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0D7FE9E" w14:textId="77777777" w:rsidR="00DC0D7C" w:rsidRPr="00EB11D3" w:rsidRDefault="00212BDF">
      <w:pPr>
        <w:widowControl w:val="0"/>
        <w:autoSpaceDE w:val="0"/>
        <w:autoSpaceDN w:val="0"/>
        <w:adjustRightInd w:val="0"/>
        <w:spacing w:line="360" w:lineRule="auto"/>
        <w:ind w:left="360"/>
        <w:contextualSpacing/>
        <w:jc w:val="center"/>
        <w:rPr>
          <w:b/>
          <w:szCs w:val="24"/>
        </w:rPr>
      </w:pPr>
      <w:r w:rsidRPr="00EB11D3">
        <w:rPr>
          <w:b/>
          <w:szCs w:val="24"/>
        </w:rPr>
        <w:t xml:space="preserve">CORPORATE GOVERNANCE, SERVICE INNOVATION, GOVERNMENT REGULATIONS AND </w:t>
      </w:r>
      <w:r w:rsidR="006D5C62" w:rsidRPr="00EB11D3">
        <w:rPr>
          <w:b/>
          <w:szCs w:val="24"/>
        </w:rPr>
        <w:t>ORGANISATIONAL PERFORMANCE OF FAITH-BASED HOSPITALS</w:t>
      </w:r>
      <w:r w:rsidRPr="00EB11D3">
        <w:rPr>
          <w:b/>
          <w:szCs w:val="24"/>
        </w:rPr>
        <w:t xml:space="preserve"> IN KENYA</w:t>
      </w:r>
    </w:p>
    <w:p w14:paraId="594FCD76" w14:textId="77777777" w:rsidR="00DC0D7C" w:rsidRPr="00EB11D3" w:rsidRDefault="00DC0D7C">
      <w:pPr>
        <w:spacing w:line="240" w:lineRule="auto"/>
        <w:ind w:left="720"/>
        <w:contextualSpacing/>
        <w:rPr>
          <w:szCs w:val="24"/>
        </w:rPr>
      </w:pPr>
    </w:p>
    <w:p w14:paraId="658A0E71" w14:textId="77777777" w:rsidR="00DC0D7C" w:rsidRPr="00EB11D3" w:rsidRDefault="00DC0D7C">
      <w:pPr>
        <w:spacing w:line="240" w:lineRule="auto"/>
        <w:ind w:left="720"/>
        <w:contextualSpacing/>
        <w:rPr>
          <w:szCs w:val="24"/>
        </w:rPr>
      </w:pPr>
    </w:p>
    <w:p w14:paraId="7C58F870" w14:textId="77777777" w:rsidR="00DC0D7C" w:rsidRPr="00EB11D3" w:rsidRDefault="00DC0D7C">
      <w:pPr>
        <w:spacing w:line="240" w:lineRule="auto"/>
        <w:ind w:left="720"/>
        <w:contextualSpacing/>
        <w:rPr>
          <w:szCs w:val="24"/>
        </w:rPr>
      </w:pPr>
    </w:p>
    <w:p w14:paraId="7C3FD666" w14:textId="77777777" w:rsidR="00DC0D7C" w:rsidRPr="00EB11D3" w:rsidRDefault="00DC0D7C">
      <w:pPr>
        <w:spacing w:line="240" w:lineRule="auto"/>
        <w:contextualSpacing/>
        <w:rPr>
          <w:szCs w:val="24"/>
        </w:rPr>
      </w:pPr>
    </w:p>
    <w:p w14:paraId="3810EEAE" w14:textId="77777777" w:rsidR="00DC0D7C" w:rsidRPr="00EB11D3" w:rsidRDefault="00DC0D7C">
      <w:pPr>
        <w:spacing w:line="240" w:lineRule="auto"/>
        <w:ind w:left="720"/>
        <w:contextualSpacing/>
        <w:rPr>
          <w:szCs w:val="24"/>
        </w:rPr>
      </w:pPr>
    </w:p>
    <w:p w14:paraId="7CA16B24" w14:textId="77777777" w:rsidR="00DC0D7C" w:rsidRPr="00EB11D3" w:rsidRDefault="00DC0D7C">
      <w:pPr>
        <w:spacing w:line="240" w:lineRule="auto"/>
        <w:ind w:left="720"/>
        <w:contextualSpacing/>
        <w:rPr>
          <w:szCs w:val="24"/>
        </w:rPr>
      </w:pPr>
    </w:p>
    <w:p w14:paraId="57982D6D" w14:textId="77777777" w:rsidR="00DC0D7C" w:rsidRPr="00EB11D3" w:rsidRDefault="00DC0D7C">
      <w:pPr>
        <w:spacing w:line="240" w:lineRule="auto"/>
        <w:ind w:left="720"/>
        <w:contextualSpacing/>
        <w:rPr>
          <w:szCs w:val="24"/>
        </w:rPr>
      </w:pPr>
    </w:p>
    <w:p w14:paraId="04139747" w14:textId="77777777" w:rsidR="00DC0D7C" w:rsidRPr="00EB11D3" w:rsidRDefault="00DC0D7C">
      <w:pPr>
        <w:spacing w:line="240" w:lineRule="auto"/>
        <w:ind w:left="720"/>
        <w:contextualSpacing/>
        <w:rPr>
          <w:szCs w:val="24"/>
        </w:rPr>
      </w:pPr>
    </w:p>
    <w:p w14:paraId="7E9F28C0" w14:textId="77777777" w:rsidR="00DC0D7C" w:rsidRPr="00EB11D3" w:rsidRDefault="00DC0D7C">
      <w:pPr>
        <w:spacing w:line="240" w:lineRule="auto"/>
        <w:ind w:left="720"/>
        <w:contextualSpacing/>
        <w:rPr>
          <w:szCs w:val="24"/>
        </w:rPr>
      </w:pPr>
    </w:p>
    <w:p w14:paraId="3AEB432A" w14:textId="77777777" w:rsidR="00DC0D7C" w:rsidRPr="00EB11D3" w:rsidRDefault="00DC0D7C">
      <w:pPr>
        <w:spacing w:line="240" w:lineRule="auto"/>
        <w:ind w:left="720"/>
        <w:contextualSpacing/>
        <w:rPr>
          <w:szCs w:val="24"/>
        </w:rPr>
      </w:pPr>
    </w:p>
    <w:p w14:paraId="6E7C6E02" w14:textId="77777777" w:rsidR="00DC0D7C" w:rsidRPr="00EB11D3" w:rsidRDefault="00DC0D7C">
      <w:pPr>
        <w:spacing w:line="240" w:lineRule="auto"/>
        <w:ind w:left="720"/>
        <w:contextualSpacing/>
        <w:rPr>
          <w:b/>
          <w:szCs w:val="24"/>
        </w:rPr>
      </w:pPr>
    </w:p>
    <w:p w14:paraId="36953511" w14:textId="77777777" w:rsidR="00DC0D7C" w:rsidRPr="00EB11D3" w:rsidRDefault="00DC0D7C">
      <w:pPr>
        <w:spacing w:line="240" w:lineRule="auto"/>
        <w:ind w:left="720"/>
        <w:contextualSpacing/>
        <w:rPr>
          <w:szCs w:val="24"/>
        </w:rPr>
      </w:pPr>
    </w:p>
    <w:p w14:paraId="1521AE10" w14:textId="77777777" w:rsidR="00DC0D7C" w:rsidRPr="00EB11D3" w:rsidRDefault="00212BDF">
      <w:pPr>
        <w:spacing w:line="360" w:lineRule="auto"/>
        <w:ind w:left="720"/>
        <w:contextualSpacing/>
        <w:jc w:val="center"/>
        <w:rPr>
          <w:b/>
          <w:bCs/>
          <w:szCs w:val="24"/>
        </w:rPr>
      </w:pPr>
      <w:r w:rsidRPr="00EB11D3">
        <w:rPr>
          <w:b/>
          <w:bCs/>
          <w:szCs w:val="24"/>
        </w:rPr>
        <w:t>JACOB KIMOTE</w:t>
      </w:r>
    </w:p>
    <w:p w14:paraId="481F49F8" w14:textId="77777777" w:rsidR="00DC0D7C" w:rsidRPr="00EB11D3" w:rsidRDefault="00DC0D7C">
      <w:pPr>
        <w:spacing w:line="360" w:lineRule="auto"/>
        <w:ind w:left="720"/>
        <w:contextualSpacing/>
        <w:rPr>
          <w:szCs w:val="24"/>
        </w:rPr>
      </w:pPr>
    </w:p>
    <w:p w14:paraId="736584BC" w14:textId="77777777" w:rsidR="00DC0D7C" w:rsidRPr="00EB11D3" w:rsidRDefault="00DC0D7C">
      <w:pPr>
        <w:spacing w:line="240" w:lineRule="auto"/>
        <w:ind w:left="720"/>
        <w:contextualSpacing/>
        <w:rPr>
          <w:szCs w:val="24"/>
        </w:rPr>
      </w:pPr>
    </w:p>
    <w:p w14:paraId="18A211BE" w14:textId="77777777" w:rsidR="00DC0D7C" w:rsidRPr="00EB11D3" w:rsidRDefault="00DC0D7C">
      <w:pPr>
        <w:spacing w:line="240" w:lineRule="auto"/>
        <w:ind w:left="720"/>
        <w:contextualSpacing/>
        <w:rPr>
          <w:szCs w:val="24"/>
        </w:rPr>
      </w:pPr>
    </w:p>
    <w:p w14:paraId="1C8F59A7" w14:textId="77777777" w:rsidR="00DC0D7C" w:rsidRPr="00EB11D3" w:rsidRDefault="00DC0D7C">
      <w:pPr>
        <w:spacing w:line="240" w:lineRule="auto"/>
        <w:ind w:left="720"/>
        <w:contextualSpacing/>
        <w:rPr>
          <w:b/>
          <w:szCs w:val="24"/>
        </w:rPr>
      </w:pPr>
    </w:p>
    <w:p w14:paraId="426F14EA" w14:textId="77777777" w:rsidR="00DC0D7C" w:rsidRPr="00EB11D3" w:rsidRDefault="00DC0D7C">
      <w:pPr>
        <w:spacing w:before="120" w:after="120"/>
        <w:jc w:val="center"/>
        <w:rPr>
          <w:b/>
          <w:szCs w:val="24"/>
        </w:rPr>
      </w:pPr>
    </w:p>
    <w:p w14:paraId="3A822628" w14:textId="77777777" w:rsidR="00DC0D7C" w:rsidRPr="00EB11D3" w:rsidRDefault="00DC0D7C">
      <w:pPr>
        <w:spacing w:before="120" w:after="120"/>
        <w:jc w:val="center"/>
        <w:rPr>
          <w:b/>
          <w:szCs w:val="24"/>
        </w:rPr>
      </w:pPr>
    </w:p>
    <w:p w14:paraId="2DFE9B82" w14:textId="77777777" w:rsidR="00DC0D7C" w:rsidRPr="00EB11D3" w:rsidRDefault="00DC0D7C">
      <w:pPr>
        <w:spacing w:before="120" w:after="120"/>
        <w:jc w:val="center"/>
        <w:rPr>
          <w:b/>
          <w:szCs w:val="24"/>
        </w:rPr>
      </w:pPr>
    </w:p>
    <w:p w14:paraId="1BA08EF0" w14:textId="77777777" w:rsidR="00DC0D7C" w:rsidRPr="00EB11D3" w:rsidRDefault="00DC0D7C">
      <w:pPr>
        <w:spacing w:before="120" w:after="120"/>
        <w:jc w:val="center"/>
        <w:rPr>
          <w:b/>
          <w:szCs w:val="24"/>
        </w:rPr>
      </w:pPr>
    </w:p>
    <w:p w14:paraId="79985650" w14:textId="77777777" w:rsidR="00DC0D7C" w:rsidRPr="00EB11D3" w:rsidRDefault="00DC0D7C">
      <w:pPr>
        <w:spacing w:before="120" w:after="120"/>
        <w:jc w:val="center"/>
        <w:rPr>
          <w:b/>
          <w:szCs w:val="24"/>
        </w:rPr>
      </w:pPr>
    </w:p>
    <w:p w14:paraId="6434460D" w14:textId="5753C358" w:rsidR="00DC0D7C" w:rsidRPr="00EB11D3" w:rsidRDefault="00212BDF">
      <w:pPr>
        <w:spacing w:before="120" w:after="120" w:line="360" w:lineRule="auto"/>
        <w:jc w:val="center"/>
        <w:rPr>
          <w:b/>
          <w:szCs w:val="24"/>
        </w:rPr>
      </w:pPr>
      <w:r w:rsidRPr="00EB11D3">
        <w:rPr>
          <w:b/>
          <w:szCs w:val="24"/>
        </w:rPr>
        <w:t xml:space="preserve">A </w:t>
      </w:r>
      <w:r w:rsidR="009B4821" w:rsidRPr="00EB11D3">
        <w:rPr>
          <w:b/>
          <w:szCs w:val="24"/>
        </w:rPr>
        <w:t xml:space="preserve">THESIS </w:t>
      </w:r>
      <w:r w:rsidRPr="00EB11D3">
        <w:rPr>
          <w:b/>
          <w:szCs w:val="24"/>
        </w:rPr>
        <w:t>SUBMITTED TO THE SCHOOL OF MANAGEMENT AND LEADERSHIP IN PARTIAL FULFILMENT OF THE REQUIREMENTS FOR THE AWARD OF THE DEGREE OF DOCTOR OF PHILOSOPHY IN MANAGEMENT AND LEADERSHIP OF THE MANAGEMENT UNIVERSITY OF AFRICA</w:t>
      </w:r>
    </w:p>
    <w:p w14:paraId="44705ED4" w14:textId="77777777" w:rsidR="00DC0D7C" w:rsidRPr="00EB11D3" w:rsidRDefault="00DC0D7C">
      <w:pPr>
        <w:pStyle w:val="Heading1"/>
        <w:tabs>
          <w:tab w:val="left" w:pos="3780"/>
        </w:tabs>
        <w:spacing w:line="360" w:lineRule="auto"/>
        <w:jc w:val="both"/>
        <w:rPr>
          <w:szCs w:val="24"/>
        </w:rPr>
      </w:pPr>
    </w:p>
    <w:p w14:paraId="25F2B964" w14:textId="77777777" w:rsidR="00DC0D7C" w:rsidRPr="00EB11D3" w:rsidRDefault="00DC0D7C">
      <w:pPr>
        <w:rPr>
          <w:szCs w:val="24"/>
        </w:rPr>
      </w:pPr>
    </w:p>
    <w:p w14:paraId="6BBF0B04" w14:textId="77777777" w:rsidR="00DC0D7C" w:rsidRPr="00EB11D3" w:rsidRDefault="003501AD">
      <w:pPr>
        <w:pStyle w:val="CommentText"/>
        <w:jc w:val="center"/>
        <w:rPr>
          <w:b/>
          <w:sz w:val="24"/>
          <w:szCs w:val="24"/>
        </w:rPr>
      </w:pPr>
      <w:r>
        <w:rPr>
          <w:b/>
          <w:sz w:val="24"/>
          <w:szCs w:val="24"/>
        </w:rPr>
        <w:t>OCTO</w:t>
      </w:r>
      <w:r w:rsidR="00FC27BD">
        <w:rPr>
          <w:b/>
          <w:sz w:val="24"/>
          <w:szCs w:val="24"/>
        </w:rPr>
        <w:t>BER</w:t>
      </w:r>
      <w:r w:rsidR="00212BDF" w:rsidRPr="00EB11D3">
        <w:rPr>
          <w:b/>
          <w:sz w:val="24"/>
          <w:szCs w:val="24"/>
        </w:rPr>
        <w:t>, 202</w:t>
      </w:r>
      <w:r w:rsidR="003B7C5D" w:rsidRPr="00EB11D3">
        <w:rPr>
          <w:b/>
          <w:sz w:val="24"/>
          <w:szCs w:val="24"/>
        </w:rPr>
        <w:t>4</w:t>
      </w:r>
    </w:p>
    <w:p w14:paraId="1B16828E" w14:textId="77777777" w:rsidR="00DC0D7C" w:rsidRPr="00EB11D3" w:rsidRDefault="00DC0D7C">
      <w:pPr>
        <w:rPr>
          <w:szCs w:val="24"/>
        </w:rPr>
      </w:pPr>
    </w:p>
    <w:p w14:paraId="499B3CDB" w14:textId="77777777" w:rsidR="00DC0D7C" w:rsidRPr="00EB11D3" w:rsidRDefault="00212BDF">
      <w:pPr>
        <w:pStyle w:val="Heading1"/>
        <w:spacing w:line="360" w:lineRule="auto"/>
        <w:rPr>
          <w:szCs w:val="24"/>
        </w:rPr>
      </w:pPr>
      <w:r w:rsidRPr="00EB11D3">
        <w:rPr>
          <w:b w:val="0"/>
          <w:szCs w:val="24"/>
        </w:rPr>
        <w:br w:type="page"/>
      </w:r>
      <w:bookmarkStart w:id="0" w:name="_Toc11164614"/>
      <w:bookmarkStart w:id="1" w:name="_Toc177387796"/>
      <w:r w:rsidRPr="00EB11D3">
        <w:rPr>
          <w:szCs w:val="24"/>
        </w:rPr>
        <w:lastRenderedPageBreak/>
        <w:t>DECLARATION</w:t>
      </w:r>
      <w:bookmarkEnd w:id="0"/>
      <w:bookmarkEnd w:id="1"/>
    </w:p>
    <w:p w14:paraId="637A6B08" w14:textId="77777777" w:rsidR="00DC0D7C" w:rsidRPr="00EB11D3" w:rsidRDefault="00212BDF">
      <w:pPr>
        <w:rPr>
          <w:rFonts w:eastAsia="Calibri"/>
          <w:b/>
          <w:szCs w:val="24"/>
          <w:lang w:val="en-GB"/>
        </w:rPr>
      </w:pPr>
      <w:bookmarkStart w:id="2" w:name="_Toc11164615"/>
      <w:r w:rsidRPr="00EB11D3">
        <w:rPr>
          <w:rFonts w:eastAsia="Calibri"/>
          <w:b/>
          <w:szCs w:val="24"/>
          <w:lang w:val="en-GB"/>
        </w:rPr>
        <w:t>Declaration by the Candidate</w:t>
      </w:r>
    </w:p>
    <w:p w14:paraId="6A690B10" w14:textId="77777777" w:rsidR="00DC0D7C" w:rsidRPr="00EB11D3" w:rsidRDefault="00212BDF">
      <w:pPr>
        <w:spacing w:line="360" w:lineRule="auto"/>
        <w:rPr>
          <w:rFonts w:eastAsia="Calibri"/>
          <w:szCs w:val="24"/>
          <w:lang w:val="en-GB"/>
        </w:rPr>
      </w:pPr>
      <w:r w:rsidRPr="00EB11D3">
        <w:rPr>
          <w:rFonts w:eastAsia="Calibri"/>
          <w:szCs w:val="24"/>
          <w:lang w:val="en-GB"/>
        </w:rPr>
        <w:t xml:space="preserve">I declare that this </w:t>
      </w:r>
      <w:r w:rsidR="009B4821" w:rsidRPr="00EB11D3">
        <w:rPr>
          <w:rFonts w:eastAsia="Calibri"/>
          <w:szCs w:val="24"/>
          <w:lang w:val="en-GB"/>
        </w:rPr>
        <w:t>thesis</w:t>
      </w:r>
      <w:r w:rsidRPr="00EB11D3">
        <w:rPr>
          <w:rFonts w:eastAsia="Calibri"/>
          <w:szCs w:val="24"/>
          <w:lang w:val="en-GB"/>
        </w:rPr>
        <w:t xml:space="preserve"> is my original work and has not previously in its entirety or in part been presented for a degree or other academic work. </w:t>
      </w:r>
    </w:p>
    <w:p w14:paraId="5ADA5A00" w14:textId="77777777" w:rsidR="00DC0D7C" w:rsidRPr="00EB11D3" w:rsidRDefault="00DC0D7C">
      <w:pPr>
        <w:spacing w:line="360" w:lineRule="auto"/>
        <w:rPr>
          <w:rFonts w:eastAsia="Calibri"/>
          <w:szCs w:val="24"/>
          <w:lang w:val="en-GB"/>
        </w:rPr>
      </w:pPr>
    </w:p>
    <w:p w14:paraId="05BB8F24" w14:textId="77777777" w:rsidR="00DC0D7C" w:rsidRPr="00EB11D3" w:rsidRDefault="00212BDF">
      <w:pPr>
        <w:spacing w:line="360" w:lineRule="auto"/>
        <w:rPr>
          <w:rFonts w:eastAsia="Calibri"/>
          <w:szCs w:val="24"/>
          <w:lang w:val="en-GB"/>
        </w:rPr>
      </w:pPr>
      <w:r w:rsidRPr="00EB11D3">
        <w:rPr>
          <w:rFonts w:eastAsia="Calibri"/>
          <w:szCs w:val="24"/>
          <w:lang w:val="en-GB"/>
        </w:rPr>
        <w:t>Signature: …………………………………….   Date: ……………………………………</w:t>
      </w:r>
    </w:p>
    <w:p w14:paraId="076F0317" w14:textId="77777777" w:rsidR="00DC0D7C" w:rsidRPr="008F4AA2" w:rsidRDefault="00212BDF">
      <w:pPr>
        <w:spacing w:line="360" w:lineRule="auto"/>
        <w:contextualSpacing/>
        <w:rPr>
          <w:rFonts w:eastAsia="Calibri"/>
          <w:b/>
          <w:bCs/>
          <w:szCs w:val="24"/>
        </w:rPr>
      </w:pPr>
      <w:r w:rsidRPr="008F4AA2">
        <w:rPr>
          <w:rFonts w:eastAsia="Calibri"/>
          <w:b/>
          <w:bCs/>
          <w:szCs w:val="24"/>
        </w:rPr>
        <w:t>Jacob Kimote</w:t>
      </w:r>
    </w:p>
    <w:p w14:paraId="48D646DF" w14:textId="77777777" w:rsidR="00DC0D7C" w:rsidRPr="008F4AA2" w:rsidRDefault="00212BDF">
      <w:pPr>
        <w:spacing w:line="360" w:lineRule="auto"/>
        <w:contextualSpacing/>
        <w:rPr>
          <w:rFonts w:eastAsia="Calibri"/>
          <w:b/>
          <w:bCs/>
          <w:szCs w:val="24"/>
          <w:lang w:val="en-GB"/>
        </w:rPr>
      </w:pPr>
      <w:r w:rsidRPr="008F4AA2">
        <w:rPr>
          <w:rFonts w:eastAsia="Calibri"/>
          <w:b/>
          <w:bCs/>
          <w:szCs w:val="24"/>
          <w:lang w:val="en-GB"/>
        </w:rPr>
        <w:t>DML/11/00107/3/18</w:t>
      </w:r>
    </w:p>
    <w:p w14:paraId="5F69B7B8" w14:textId="77777777" w:rsidR="00DC0D7C" w:rsidRPr="00EB11D3" w:rsidRDefault="00DC0D7C">
      <w:pPr>
        <w:spacing w:line="360" w:lineRule="auto"/>
        <w:rPr>
          <w:rFonts w:eastAsia="Calibri"/>
          <w:szCs w:val="24"/>
          <w:lang w:val="en-GB"/>
        </w:rPr>
      </w:pPr>
    </w:p>
    <w:p w14:paraId="75B9FE75" w14:textId="77777777" w:rsidR="00DC0D7C" w:rsidRPr="00EB11D3" w:rsidRDefault="00212BDF">
      <w:pPr>
        <w:spacing w:line="360" w:lineRule="auto"/>
        <w:rPr>
          <w:rFonts w:eastAsia="Calibri"/>
          <w:b/>
          <w:bCs/>
          <w:szCs w:val="24"/>
          <w:lang w:val="en-GB"/>
        </w:rPr>
      </w:pPr>
      <w:r w:rsidRPr="00EB11D3">
        <w:rPr>
          <w:rFonts w:eastAsia="Calibri"/>
          <w:b/>
          <w:bCs/>
          <w:szCs w:val="24"/>
          <w:lang w:val="en-GB"/>
        </w:rPr>
        <w:t>Declaration by the Supervisors</w:t>
      </w:r>
    </w:p>
    <w:p w14:paraId="7B63CEED" w14:textId="77777777" w:rsidR="00DC0D7C" w:rsidRPr="00EB11D3" w:rsidRDefault="00212BDF">
      <w:pPr>
        <w:spacing w:line="360" w:lineRule="auto"/>
        <w:ind w:right="-7"/>
        <w:rPr>
          <w:rFonts w:eastAsia="Calibri"/>
          <w:szCs w:val="24"/>
          <w:lang w:val="en-GB"/>
        </w:rPr>
      </w:pPr>
      <w:r w:rsidRPr="00EB11D3">
        <w:rPr>
          <w:rFonts w:eastAsia="Calibri"/>
          <w:szCs w:val="24"/>
          <w:lang w:val="en-GB"/>
        </w:rPr>
        <w:t xml:space="preserve">This </w:t>
      </w:r>
      <w:r w:rsidR="009B4821" w:rsidRPr="00EB11D3">
        <w:rPr>
          <w:rFonts w:eastAsia="Calibri"/>
          <w:szCs w:val="24"/>
          <w:lang w:val="en-GB"/>
        </w:rPr>
        <w:t>thesis</w:t>
      </w:r>
      <w:r w:rsidRPr="00EB11D3">
        <w:rPr>
          <w:rFonts w:eastAsia="Calibri"/>
          <w:szCs w:val="24"/>
          <w:lang w:val="en-GB"/>
        </w:rPr>
        <w:t xml:space="preserve"> has been submitted for examination with our approval as university supervisors.</w:t>
      </w:r>
    </w:p>
    <w:p w14:paraId="3F06670A" w14:textId="77777777" w:rsidR="00DC0D7C" w:rsidRPr="00EB11D3" w:rsidRDefault="00212BDF">
      <w:pPr>
        <w:spacing w:line="360" w:lineRule="auto"/>
        <w:rPr>
          <w:rFonts w:eastAsia="Calibri"/>
          <w:szCs w:val="24"/>
          <w:lang w:val="en-GB"/>
        </w:rPr>
      </w:pPr>
      <w:r w:rsidRPr="00EB11D3">
        <w:rPr>
          <w:rFonts w:eastAsia="Calibri"/>
          <w:szCs w:val="24"/>
          <w:lang w:val="en-GB"/>
        </w:rPr>
        <w:t>Signature: …………………………………….   Date: ……………………………………</w:t>
      </w:r>
    </w:p>
    <w:p w14:paraId="73ABB7BB" w14:textId="77777777" w:rsidR="00DC0D7C" w:rsidRPr="008F4AA2" w:rsidRDefault="00212BDF" w:rsidP="002B4393">
      <w:pPr>
        <w:spacing w:line="360" w:lineRule="auto"/>
        <w:contextualSpacing/>
        <w:rPr>
          <w:rFonts w:eastAsia="Calibri"/>
          <w:b/>
          <w:bCs/>
          <w:szCs w:val="24"/>
        </w:rPr>
      </w:pPr>
      <w:r w:rsidRPr="008F4AA2">
        <w:rPr>
          <w:rFonts w:eastAsia="Calibri"/>
          <w:b/>
          <w:bCs/>
          <w:szCs w:val="24"/>
        </w:rPr>
        <w:t>Dr. Angeline Wambugu, Ph.D.</w:t>
      </w:r>
    </w:p>
    <w:p w14:paraId="1DB47D9E" w14:textId="77777777" w:rsidR="00DC0D7C" w:rsidRPr="008F4AA2" w:rsidRDefault="00212BDF" w:rsidP="002B4393">
      <w:pPr>
        <w:spacing w:line="360" w:lineRule="auto"/>
        <w:contextualSpacing/>
        <w:rPr>
          <w:rFonts w:eastAsia="Calibri"/>
          <w:b/>
          <w:bCs/>
          <w:szCs w:val="24"/>
        </w:rPr>
      </w:pPr>
      <w:r w:rsidRPr="008F4AA2">
        <w:rPr>
          <w:rFonts w:eastAsia="Calibri"/>
          <w:b/>
          <w:bCs/>
          <w:szCs w:val="24"/>
        </w:rPr>
        <w:t>Management University of Africa</w:t>
      </w:r>
      <w:r w:rsidR="00052E68" w:rsidRPr="008F4AA2">
        <w:rPr>
          <w:rFonts w:eastAsia="Calibri"/>
          <w:b/>
          <w:bCs/>
          <w:szCs w:val="24"/>
        </w:rPr>
        <w:t>.</w:t>
      </w:r>
    </w:p>
    <w:p w14:paraId="3043D377" w14:textId="77777777" w:rsidR="00DC0D7C" w:rsidRPr="00EB11D3" w:rsidRDefault="00DC0D7C">
      <w:pPr>
        <w:spacing w:line="360" w:lineRule="auto"/>
        <w:rPr>
          <w:rFonts w:eastAsia="Calibri"/>
          <w:szCs w:val="24"/>
          <w:lang w:val="en-GB"/>
        </w:rPr>
      </w:pPr>
    </w:p>
    <w:p w14:paraId="3514577E" w14:textId="77777777" w:rsidR="00DC0D7C" w:rsidRPr="00EB11D3" w:rsidRDefault="00212BDF">
      <w:pPr>
        <w:spacing w:line="360" w:lineRule="auto"/>
        <w:rPr>
          <w:rFonts w:eastAsia="Calibri"/>
          <w:szCs w:val="24"/>
          <w:lang w:val="en-GB"/>
        </w:rPr>
      </w:pPr>
      <w:r w:rsidRPr="00EB11D3">
        <w:rPr>
          <w:rFonts w:eastAsia="Calibri"/>
          <w:szCs w:val="24"/>
          <w:lang w:val="en-GB"/>
        </w:rPr>
        <w:t>Signature: …………………………………….   Date: ……………………………………</w:t>
      </w:r>
    </w:p>
    <w:p w14:paraId="686D5FC0" w14:textId="77777777" w:rsidR="00DC0D7C" w:rsidRPr="008F4AA2" w:rsidRDefault="00212BDF" w:rsidP="002B4393">
      <w:pPr>
        <w:spacing w:line="360" w:lineRule="auto"/>
        <w:contextualSpacing/>
        <w:rPr>
          <w:rFonts w:eastAsia="Calibri"/>
          <w:b/>
          <w:bCs/>
          <w:szCs w:val="24"/>
        </w:rPr>
      </w:pPr>
      <w:r w:rsidRPr="008F4AA2">
        <w:rPr>
          <w:rFonts w:eastAsia="Calibri"/>
          <w:b/>
          <w:bCs/>
          <w:szCs w:val="24"/>
        </w:rPr>
        <w:t>Dr. Patricia Chemutai, Ph.D.</w:t>
      </w:r>
    </w:p>
    <w:p w14:paraId="46FF46EE" w14:textId="77777777" w:rsidR="00DC0D7C" w:rsidRPr="008F4AA2" w:rsidRDefault="00212BDF" w:rsidP="002B4393">
      <w:pPr>
        <w:spacing w:line="360" w:lineRule="auto"/>
        <w:contextualSpacing/>
        <w:rPr>
          <w:rFonts w:eastAsia="Calibri"/>
          <w:b/>
          <w:bCs/>
          <w:szCs w:val="24"/>
        </w:rPr>
      </w:pPr>
      <w:r w:rsidRPr="008F4AA2">
        <w:rPr>
          <w:rFonts w:eastAsia="Calibri"/>
          <w:b/>
          <w:bCs/>
          <w:szCs w:val="24"/>
        </w:rPr>
        <w:t>Management University of Africa</w:t>
      </w:r>
      <w:r w:rsidR="00052E68" w:rsidRPr="008F4AA2">
        <w:rPr>
          <w:rFonts w:eastAsia="Calibri"/>
          <w:b/>
          <w:bCs/>
          <w:szCs w:val="24"/>
        </w:rPr>
        <w:t>.</w:t>
      </w:r>
    </w:p>
    <w:p w14:paraId="4A50EDCE" w14:textId="77777777" w:rsidR="00DC0D7C" w:rsidRPr="00EB11D3" w:rsidRDefault="00212BDF">
      <w:pPr>
        <w:pStyle w:val="Heading1"/>
        <w:spacing w:line="360" w:lineRule="auto"/>
        <w:rPr>
          <w:szCs w:val="24"/>
        </w:rPr>
      </w:pPr>
      <w:r w:rsidRPr="00EB11D3">
        <w:rPr>
          <w:rFonts w:eastAsia="Times New Roman"/>
          <w:szCs w:val="24"/>
          <w:lang w:val="en-GB"/>
        </w:rPr>
        <w:br w:type="page"/>
      </w:r>
      <w:bookmarkStart w:id="3" w:name="_Toc177387797"/>
      <w:r w:rsidRPr="00EB11D3">
        <w:rPr>
          <w:szCs w:val="24"/>
        </w:rPr>
        <w:lastRenderedPageBreak/>
        <w:t>DEDICATION</w:t>
      </w:r>
      <w:bookmarkEnd w:id="2"/>
      <w:bookmarkEnd w:id="3"/>
    </w:p>
    <w:p w14:paraId="1DBFCD68" w14:textId="77777777" w:rsidR="00DC0D7C" w:rsidRPr="00EB11D3" w:rsidRDefault="00212BDF">
      <w:pPr>
        <w:spacing w:line="360" w:lineRule="auto"/>
        <w:rPr>
          <w:szCs w:val="24"/>
        </w:rPr>
      </w:pPr>
      <w:r w:rsidRPr="00EB11D3">
        <w:rPr>
          <w:rFonts w:eastAsia="Calibri"/>
          <w:szCs w:val="24"/>
          <w:lang w:val="en-GB"/>
        </w:rPr>
        <w:t xml:space="preserve">This </w:t>
      </w:r>
      <w:r w:rsidR="009B4821" w:rsidRPr="00EB11D3">
        <w:rPr>
          <w:rFonts w:eastAsia="Calibri"/>
          <w:szCs w:val="24"/>
          <w:lang w:val="en-GB"/>
        </w:rPr>
        <w:t>thesis</w:t>
      </w:r>
      <w:r w:rsidRPr="00EB11D3">
        <w:rPr>
          <w:rFonts w:eastAsia="Calibri"/>
          <w:szCs w:val="24"/>
          <w:lang w:val="en-GB"/>
        </w:rPr>
        <w:t xml:space="preserve"> is dedicated to my dear family</w:t>
      </w:r>
      <w:r w:rsidRPr="00EB11D3">
        <w:rPr>
          <w:rFonts w:eastAsia="Calibri"/>
          <w:szCs w:val="24"/>
        </w:rPr>
        <w:t xml:space="preserve">, </w:t>
      </w:r>
      <w:r w:rsidRPr="00EB11D3">
        <w:rPr>
          <w:rFonts w:eastAsia="Calibri"/>
          <w:szCs w:val="24"/>
          <w:lang w:val="en-GB"/>
        </w:rPr>
        <w:t xml:space="preserve">friends and </w:t>
      </w:r>
      <w:r w:rsidRPr="00EB11D3">
        <w:rPr>
          <w:rFonts w:eastAsia="Calibri"/>
          <w:szCs w:val="24"/>
        </w:rPr>
        <w:t xml:space="preserve">colleagues </w:t>
      </w:r>
      <w:r w:rsidRPr="00EB11D3">
        <w:rPr>
          <w:rFonts w:eastAsia="Calibri"/>
          <w:szCs w:val="24"/>
          <w:lang w:val="en-GB"/>
        </w:rPr>
        <w:t>for their encouragement and inspiration throughout my studies.</w:t>
      </w:r>
      <w:r w:rsidR="00B8051C" w:rsidRPr="00EB11D3">
        <w:rPr>
          <w:rFonts w:eastAsia="Calibri"/>
          <w:szCs w:val="24"/>
          <w:lang w:val="en-GB"/>
        </w:rPr>
        <w:t xml:space="preserve"> </w:t>
      </w:r>
      <w:r w:rsidR="00B8051C" w:rsidRPr="00EB11D3">
        <w:rPr>
          <w:szCs w:val="24"/>
        </w:rPr>
        <w:t>My gratitude is to wife Daisy Mwende Kyalo; my children Precious, Praise, Prosper and Promise for being a constant source of motivation and source of strength.</w:t>
      </w:r>
    </w:p>
    <w:p w14:paraId="6237D2E4" w14:textId="77777777" w:rsidR="00B8051C" w:rsidRPr="00EB11D3" w:rsidRDefault="00B8051C" w:rsidP="00B8051C">
      <w:pPr>
        <w:spacing w:line="360" w:lineRule="auto"/>
        <w:rPr>
          <w:szCs w:val="24"/>
          <w:lang w:val="en-GB"/>
        </w:rPr>
      </w:pPr>
      <w:r w:rsidRPr="00EB11D3">
        <w:rPr>
          <w:rFonts w:eastAsia="Calibri"/>
          <w:szCs w:val="24"/>
          <w:lang w:val="en-GB"/>
        </w:rPr>
        <w:t xml:space="preserve">Finally, yet importantly, </w:t>
      </w:r>
      <w:r w:rsidRPr="00EB11D3">
        <w:rPr>
          <w:rFonts w:eastAsia="Calibri"/>
          <w:szCs w:val="24"/>
        </w:rPr>
        <w:t>am grateful t</w:t>
      </w:r>
      <w:r w:rsidRPr="00EB11D3">
        <w:rPr>
          <w:szCs w:val="24"/>
        </w:rPr>
        <w:t>o my parents, Mr. Benjamin Nzou and Mrs. Agnes Kimote my brother Joseph Muna Kimote for his contribution in my academic life, classmates and colleagues for their support and scholarly advice.</w:t>
      </w:r>
    </w:p>
    <w:p w14:paraId="12A252F1" w14:textId="77777777" w:rsidR="00B8051C" w:rsidRPr="00EB11D3" w:rsidRDefault="00B8051C" w:rsidP="00B8051C">
      <w:pPr>
        <w:spacing w:line="360" w:lineRule="auto"/>
        <w:rPr>
          <w:rFonts w:eastAsia="Calibri"/>
          <w:szCs w:val="24"/>
        </w:rPr>
      </w:pPr>
      <w:r w:rsidRPr="00EB11D3">
        <w:rPr>
          <w:rFonts w:eastAsia="Calibri"/>
          <w:szCs w:val="24"/>
          <w:lang w:val="en-GB"/>
        </w:rPr>
        <w:t xml:space="preserve">May </w:t>
      </w:r>
      <w:r w:rsidRPr="00EB11D3">
        <w:rPr>
          <w:rFonts w:eastAsia="Calibri"/>
          <w:szCs w:val="24"/>
        </w:rPr>
        <w:t>the Almighty God bless you All.</w:t>
      </w:r>
    </w:p>
    <w:p w14:paraId="7854A06B" w14:textId="77777777" w:rsidR="00B8051C" w:rsidRPr="00EB11D3" w:rsidRDefault="00B8051C" w:rsidP="00B8051C">
      <w:pPr>
        <w:spacing w:line="360" w:lineRule="auto"/>
        <w:rPr>
          <w:rFonts w:eastAsia="Calibri"/>
          <w:szCs w:val="24"/>
          <w:lang w:val="en-GB"/>
        </w:rPr>
      </w:pPr>
      <w:r w:rsidRPr="00EB11D3">
        <w:rPr>
          <w:rFonts w:eastAsia="Calibri"/>
          <w:szCs w:val="24"/>
        </w:rPr>
        <w:t>You have been a gem</w:t>
      </w:r>
      <w:r w:rsidRPr="00EB11D3">
        <w:rPr>
          <w:rFonts w:eastAsia="Calibri"/>
          <w:szCs w:val="24"/>
          <w:lang w:val="en-GB"/>
        </w:rPr>
        <w:t>.</w:t>
      </w:r>
    </w:p>
    <w:p w14:paraId="619B23E7" w14:textId="77777777" w:rsidR="00B8051C" w:rsidRPr="00EB11D3" w:rsidRDefault="00B8051C">
      <w:pPr>
        <w:spacing w:line="360" w:lineRule="auto"/>
        <w:rPr>
          <w:rFonts w:eastAsia="Calibri"/>
          <w:szCs w:val="24"/>
          <w:lang w:val="en-GB"/>
        </w:rPr>
      </w:pPr>
    </w:p>
    <w:p w14:paraId="17BD3880" w14:textId="77777777" w:rsidR="00DC0D7C" w:rsidRPr="00EB11D3" w:rsidRDefault="00DC0D7C">
      <w:pPr>
        <w:rPr>
          <w:b/>
          <w:szCs w:val="24"/>
        </w:rPr>
      </w:pPr>
    </w:p>
    <w:p w14:paraId="512D4956" w14:textId="77777777" w:rsidR="00DC0D7C" w:rsidRPr="00EB11D3" w:rsidRDefault="00212BDF">
      <w:pPr>
        <w:rPr>
          <w:rFonts w:eastAsia="Times New Roman"/>
          <w:b/>
          <w:bCs/>
          <w:szCs w:val="24"/>
        </w:rPr>
      </w:pPr>
      <w:r w:rsidRPr="00EB11D3">
        <w:rPr>
          <w:szCs w:val="24"/>
        </w:rPr>
        <w:br w:type="page"/>
      </w:r>
      <w:bookmarkStart w:id="4" w:name="_Toc508381443"/>
      <w:bookmarkStart w:id="5" w:name="_Toc500588620"/>
    </w:p>
    <w:p w14:paraId="516342FB" w14:textId="77777777" w:rsidR="00DC0D7C" w:rsidRPr="00EB11D3" w:rsidRDefault="00212BDF">
      <w:pPr>
        <w:pStyle w:val="Heading1"/>
        <w:spacing w:line="360" w:lineRule="auto"/>
        <w:rPr>
          <w:szCs w:val="24"/>
          <w:lang w:bidi="en-US"/>
        </w:rPr>
      </w:pPr>
      <w:bookmarkStart w:id="6" w:name="_Toc11164616"/>
      <w:bookmarkStart w:id="7" w:name="_Toc177387798"/>
      <w:r w:rsidRPr="00EB11D3">
        <w:rPr>
          <w:szCs w:val="24"/>
        </w:rPr>
        <w:lastRenderedPageBreak/>
        <w:t>ACKNOWLEDGEMENT</w:t>
      </w:r>
      <w:bookmarkEnd w:id="4"/>
      <w:bookmarkEnd w:id="5"/>
      <w:bookmarkEnd w:id="6"/>
      <w:bookmarkEnd w:id="7"/>
    </w:p>
    <w:p w14:paraId="680D6FBF" w14:textId="77777777" w:rsidR="00DC0D7C" w:rsidRPr="00EB11D3" w:rsidRDefault="00212BDF">
      <w:pPr>
        <w:spacing w:line="360" w:lineRule="auto"/>
        <w:rPr>
          <w:szCs w:val="24"/>
          <w:lang w:eastAsia="zh-CN"/>
        </w:rPr>
      </w:pPr>
      <w:r w:rsidRPr="00EB11D3">
        <w:rPr>
          <w:rFonts w:eastAsia="Calibri"/>
          <w:szCs w:val="24"/>
          <w:lang w:val="en-GB"/>
        </w:rPr>
        <w:t>I thank the Almighty God, who is the source of life and makes all things possible. I am also greatly obliged to my supervisors; Dr. Angeline Wambugu</w:t>
      </w:r>
      <w:r w:rsidRPr="00EB11D3">
        <w:rPr>
          <w:rFonts w:eastAsia="Calibri"/>
          <w:szCs w:val="24"/>
        </w:rPr>
        <w:t xml:space="preserve"> and </w:t>
      </w:r>
      <w:r w:rsidRPr="00EB11D3">
        <w:rPr>
          <w:rFonts w:eastAsia="Calibri"/>
          <w:szCs w:val="24"/>
          <w:lang w:val="en-GB"/>
        </w:rPr>
        <w:t>Dr. Patricia Chemutai</w:t>
      </w:r>
      <w:r w:rsidRPr="00EB11D3">
        <w:rPr>
          <w:rFonts w:eastAsia="Calibri"/>
          <w:szCs w:val="24"/>
        </w:rPr>
        <w:t xml:space="preserve"> </w:t>
      </w:r>
      <w:r w:rsidRPr="00EB11D3">
        <w:rPr>
          <w:rFonts w:eastAsia="Calibri"/>
          <w:szCs w:val="24"/>
          <w:lang w:val="en-GB"/>
        </w:rPr>
        <w:t xml:space="preserve">and the Management University of Africa </w:t>
      </w:r>
      <w:r w:rsidR="00567A8F" w:rsidRPr="00EB11D3">
        <w:rPr>
          <w:rFonts w:eastAsia="Calibri"/>
          <w:szCs w:val="24"/>
          <w:lang w:val="en-GB"/>
        </w:rPr>
        <w:t>f</w:t>
      </w:r>
      <w:r w:rsidRPr="00EB11D3">
        <w:rPr>
          <w:rFonts w:eastAsia="Calibri"/>
          <w:szCs w:val="24"/>
          <w:lang w:val="en-GB"/>
        </w:rPr>
        <w:t xml:space="preserve">raternity for the exemplary guidance and support. </w:t>
      </w:r>
      <w:r w:rsidR="00DD12D8" w:rsidRPr="00EB11D3">
        <w:rPr>
          <w:szCs w:val="24"/>
        </w:rPr>
        <w:t xml:space="preserve">Many thanks </w:t>
      </w:r>
      <w:r w:rsidR="00B8051C" w:rsidRPr="00EB11D3">
        <w:rPr>
          <w:szCs w:val="24"/>
        </w:rPr>
        <w:t>go</w:t>
      </w:r>
      <w:r w:rsidR="00DD12D8" w:rsidRPr="00EB11D3">
        <w:rPr>
          <w:szCs w:val="24"/>
        </w:rPr>
        <w:t xml:space="preserve"> to the management of the </w:t>
      </w:r>
      <w:r w:rsidR="0038019E" w:rsidRPr="00EB11D3">
        <w:rPr>
          <w:szCs w:val="24"/>
        </w:rPr>
        <w:t>faith-based</w:t>
      </w:r>
      <w:r w:rsidR="00DD12D8" w:rsidRPr="00EB11D3">
        <w:rPr>
          <w:szCs w:val="24"/>
        </w:rPr>
        <w:t xml:space="preserve"> hospitals for granting me permission to conduct the research in their institutions.</w:t>
      </w:r>
    </w:p>
    <w:p w14:paraId="6684E70C" w14:textId="77777777" w:rsidR="00DC0D7C" w:rsidRPr="00EB11D3" w:rsidRDefault="00212BDF" w:rsidP="00C91CD9">
      <w:pPr>
        <w:spacing w:after="160" w:line="256" w:lineRule="auto"/>
        <w:jc w:val="left"/>
        <w:rPr>
          <w:rFonts w:eastAsia="DengXian Light"/>
          <w:b/>
          <w:szCs w:val="24"/>
        </w:rPr>
      </w:pPr>
      <w:r w:rsidRPr="00EB11D3">
        <w:rPr>
          <w:szCs w:val="24"/>
        </w:rPr>
        <w:br w:type="page"/>
      </w:r>
    </w:p>
    <w:p w14:paraId="13A0B072" w14:textId="77777777" w:rsidR="00DC0D7C" w:rsidRPr="00EB11D3" w:rsidRDefault="00212BDF" w:rsidP="00C91CD9">
      <w:pPr>
        <w:pStyle w:val="Heading1"/>
      </w:pPr>
      <w:bookmarkStart w:id="8" w:name="_Toc177387799"/>
      <w:r w:rsidRPr="00EB11D3">
        <w:lastRenderedPageBreak/>
        <w:t>TABLE OF CONTENTS</w:t>
      </w:r>
      <w:bookmarkEnd w:id="8"/>
    </w:p>
    <w:p w14:paraId="169DCD46" w14:textId="77777777" w:rsidR="00510CE8" w:rsidRPr="00042AB7" w:rsidRDefault="00212BDF" w:rsidP="006F3F01">
      <w:pPr>
        <w:pStyle w:val="TOC1"/>
        <w:tabs>
          <w:tab w:val="clear" w:pos="9350"/>
          <w:tab w:val="right" w:leader="dot" w:pos="8640"/>
        </w:tabs>
        <w:spacing w:after="0" w:line="360" w:lineRule="auto"/>
        <w:rPr>
          <w:rFonts w:ascii="Calibri" w:eastAsia="Times New Roman" w:hAnsi="Calibri"/>
          <w:b w:val="0"/>
          <w:bCs w:val="0"/>
          <w:noProof/>
          <w:kern w:val="2"/>
          <w:sz w:val="22"/>
        </w:rPr>
      </w:pPr>
      <w:r w:rsidRPr="00340BAB">
        <w:rPr>
          <w:b w:val="0"/>
          <w:bCs w:val="0"/>
          <w:szCs w:val="24"/>
        </w:rPr>
        <w:fldChar w:fldCharType="begin"/>
      </w:r>
      <w:r w:rsidRPr="00340BAB">
        <w:rPr>
          <w:b w:val="0"/>
          <w:bCs w:val="0"/>
          <w:szCs w:val="24"/>
        </w:rPr>
        <w:instrText xml:space="preserve"> TOC \o "1-3" \h \z \u </w:instrText>
      </w:r>
      <w:r w:rsidRPr="00340BAB">
        <w:rPr>
          <w:b w:val="0"/>
          <w:bCs w:val="0"/>
          <w:szCs w:val="24"/>
        </w:rPr>
        <w:fldChar w:fldCharType="separate"/>
      </w:r>
      <w:hyperlink w:anchor="_Toc177387796" w:history="1">
        <w:r w:rsidR="00510CE8" w:rsidRPr="0016538D">
          <w:rPr>
            <w:rStyle w:val="Hyperlink"/>
            <w:noProof/>
          </w:rPr>
          <w:t>DECLARATION</w:t>
        </w:r>
        <w:r w:rsidR="00510CE8">
          <w:rPr>
            <w:noProof/>
            <w:webHidden/>
          </w:rPr>
          <w:tab/>
        </w:r>
        <w:r w:rsidR="00510CE8">
          <w:rPr>
            <w:noProof/>
            <w:webHidden/>
          </w:rPr>
          <w:fldChar w:fldCharType="begin"/>
        </w:r>
        <w:r w:rsidR="00510CE8">
          <w:rPr>
            <w:noProof/>
            <w:webHidden/>
          </w:rPr>
          <w:instrText xml:space="preserve"> PAGEREF _Toc177387796 \h </w:instrText>
        </w:r>
        <w:r w:rsidR="00510CE8">
          <w:rPr>
            <w:noProof/>
            <w:webHidden/>
          </w:rPr>
        </w:r>
        <w:r w:rsidR="00510CE8">
          <w:rPr>
            <w:noProof/>
            <w:webHidden/>
          </w:rPr>
          <w:fldChar w:fldCharType="separate"/>
        </w:r>
        <w:r w:rsidR="0096247A">
          <w:rPr>
            <w:noProof/>
            <w:webHidden/>
          </w:rPr>
          <w:t>ii</w:t>
        </w:r>
        <w:r w:rsidR="00510CE8">
          <w:rPr>
            <w:noProof/>
            <w:webHidden/>
          </w:rPr>
          <w:fldChar w:fldCharType="end"/>
        </w:r>
      </w:hyperlink>
    </w:p>
    <w:p w14:paraId="3ED8B153"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797" w:history="1">
        <w:r w:rsidRPr="0016538D">
          <w:rPr>
            <w:rStyle w:val="Hyperlink"/>
            <w:noProof/>
          </w:rPr>
          <w:t>DEDICATION</w:t>
        </w:r>
        <w:r>
          <w:rPr>
            <w:noProof/>
            <w:webHidden/>
          </w:rPr>
          <w:tab/>
        </w:r>
        <w:r>
          <w:rPr>
            <w:noProof/>
            <w:webHidden/>
          </w:rPr>
          <w:fldChar w:fldCharType="begin"/>
        </w:r>
        <w:r>
          <w:rPr>
            <w:noProof/>
            <w:webHidden/>
          </w:rPr>
          <w:instrText xml:space="preserve"> PAGEREF _Toc177387797 \h </w:instrText>
        </w:r>
        <w:r>
          <w:rPr>
            <w:noProof/>
            <w:webHidden/>
          </w:rPr>
        </w:r>
        <w:r>
          <w:rPr>
            <w:noProof/>
            <w:webHidden/>
          </w:rPr>
          <w:fldChar w:fldCharType="separate"/>
        </w:r>
        <w:r w:rsidR="0096247A">
          <w:rPr>
            <w:noProof/>
            <w:webHidden/>
          </w:rPr>
          <w:t>iii</w:t>
        </w:r>
        <w:r>
          <w:rPr>
            <w:noProof/>
            <w:webHidden/>
          </w:rPr>
          <w:fldChar w:fldCharType="end"/>
        </w:r>
      </w:hyperlink>
    </w:p>
    <w:p w14:paraId="1A178E27"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798" w:history="1">
        <w:r w:rsidRPr="0016538D">
          <w:rPr>
            <w:rStyle w:val="Hyperlink"/>
            <w:noProof/>
          </w:rPr>
          <w:t>ACKNOWLEDGEMENT</w:t>
        </w:r>
        <w:r>
          <w:rPr>
            <w:noProof/>
            <w:webHidden/>
          </w:rPr>
          <w:tab/>
        </w:r>
        <w:r>
          <w:rPr>
            <w:noProof/>
            <w:webHidden/>
          </w:rPr>
          <w:fldChar w:fldCharType="begin"/>
        </w:r>
        <w:r>
          <w:rPr>
            <w:noProof/>
            <w:webHidden/>
          </w:rPr>
          <w:instrText xml:space="preserve"> PAGEREF _Toc177387798 \h </w:instrText>
        </w:r>
        <w:r>
          <w:rPr>
            <w:noProof/>
            <w:webHidden/>
          </w:rPr>
        </w:r>
        <w:r>
          <w:rPr>
            <w:noProof/>
            <w:webHidden/>
          </w:rPr>
          <w:fldChar w:fldCharType="separate"/>
        </w:r>
        <w:r w:rsidR="0096247A">
          <w:rPr>
            <w:noProof/>
            <w:webHidden/>
          </w:rPr>
          <w:t>iv</w:t>
        </w:r>
        <w:r>
          <w:rPr>
            <w:noProof/>
            <w:webHidden/>
          </w:rPr>
          <w:fldChar w:fldCharType="end"/>
        </w:r>
      </w:hyperlink>
    </w:p>
    <w:p w14:paraId="14B52F35"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799" w:history="1">
        <w:r w:rsidRPr="0016538D">
          <w:rPr>
            <w:rStyle w:val="Hyperlink"/>
            <w:noProof/>
          </w:rPr>
          <w:t>TABLE OF CONTENTS</w:t>
        </w:r>
        <w:r>
          <w:rPr>
            <w:noProof/>
            <w:webHidden/>
          </w:rPr>
          <w:tab/>
        </w:r>
        <w:r>
          <w:rPr>
            <w:noProof/>
            <w:webHidden/>
          </w:rPr>
          <w:fldChar w:fldCharType="begin"/>
        </w:r>
        <w:r>
          <w:rPr>
            <w:noProof/>
            <w:webHidden/>
          </w:rPr>
          <w:instrText xml:space="preserve"> PAGEREF _Toc177387799 \h </w:instrText>
        </w:r>
        <w:r>
          <w:rPr>
            <w:noProof/>
            <w:webHidden/>
          </w:rPr>
        </w:r>
        <w:r>
          <w:rPr>
            <w:noProof/>
            <w:webHidden/>
          </w:rPr>
          <w:fldChar w:fldCharType="separate"/>
        </w:r>
        <w:r w:rsidR="0096247A">
          <w:rPr>
            <w:noProof/>
            <w:webHidden/>
          </w:rPr>
          <w:t>v</w:t>
        </w:r>
        <w:r>
          <w:rPr>
            <w:noProof/>
            <w:webHidden/>
          </w:rPr>
          <w:fldChar w:fldCharType="end"/>
        </w:r>
      </w:hyperlink>
    </w:p>
    <w:p w14:paraId="05E0D136"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800" w:history="1">
        <w:r w:rsidRPr="0016538D">
          <w:rPr>
            <w:rStyle w:val="Hyperlink"/>
            <w:noProof/>
          </w:rPr>
          <w:t>LIST OF TABLES</w:t>
        </w:r>
        <w:r>
          <w:rPr>
            <w:noProof/>
            <w:webHidden/>
          </w:rPr>
          <w:tab/>
        </w:r>
        <w:r>
          <w:rPr>
            <w:noProof/>
            <w:webHidden/>
          </w:rPr>
          <w:fldChar w:fldCharType="begin"/>
        </w:r>
        <w:r>
          <w:rPr>
            <w:noProof/>
            <w:webHidden/>
          </w:rPr>
          <w:instrText xml:space="preserve"> PAGEREF _Toc177387800 \h </w:instrText>
        </w:r>
        <w:r>
          <w:rPr>
            <w:noProof/>
            <w:webHidden/>
          </w:rPr>
        </w:r>
        <w:r>
          <w:rPr>
            <w:noProof/>
            <w:webHidden/>
          </w:rPr>
          <w:fldChar w:fldCharType="separate"/>
        </w:r>
        <w:r w:rsidR="0096247A">
          <w:rPr>
            <w:noProof/>
            <w:webHidden/>
          </w:rPr>
          <w:t>viii</w:t>
        </w:r>
        <w:r>
          <w:rPr>
            <w:noProof/>
            <w:webHidden/>
          </w:rPr>
          <w:fldChar w:fldCharType="end"/>
        </w:r>
      </w:hyperlink>
    </w:p>
    <w:p w14:paraId="1CC6A6A3"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801" w:history="1">
        <w:r w:rsidRPr="0016538D">
          <w:rPr>
            <w:rStyle w:val="Hyperlink"/>
            <w:noProof/>
          </w:rPr>
          <w:t>LIST OF FIGURES</w:t>
        </w:r>
        <w:r>
          <w:rPr>
            <w:noProof/>
            <w:webHidden/>
          </w:rPr>
          <w:tab/>
        </w:r>
        <w:r>
          <w:rPr>
            <w:noProof/>
            <w:webHidden/>
          </w:rPr>
          <w:fldChar w:fldCharType="begin"/>
        </w:r>
        <w:r>
          <w:rPr>
            <w:noProof/>
            <w:webHidden/>
          </w:rPr>
          <w:instrText xml:space="preserve"> PAGEREF _Toc177387801 \h </w:instrText>
        </w:r>
        <w:r>
          <w:rPr>
            <w:noProof/>
            <w:webHidden/>
          </w:rPr>
        </w:r>
        <w:r>
          <w:rPr>
            <w:noProof/>
            <w:webHidden/>
          </w:rPr>
          <w:fldChar w:fldCharType="separate"/>
        </w:r>
        <w:r w:rsidR="0096247A">
          <w:rPr>
            <w:noProof/>
            <w:webHidden/>
          </w:rPr>
          <w:t>x</w:t>
        </w:r>
        <w:r>
          <w:rPr>
            <w:noProof/>
            <w:webHidden/>
          </w:rPr>
          <w:fldChar w:fldCharType="end"/>
        </w:r>
      </w:hyperlink>
    </w:p>
    <w:p w14:paraId="0BF38087"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802" w:history="1">
        <w:r w:rsidRPr="0016538D">
          <w:rPr>
            <w:rStyle w:val="Hyperlink"/>
            <w:noProof/>
          </w:rPr>
          <w:t>ABBREVIATIONS AND ACRONYMS</w:t>
        </w:r>
        <w:r>
          <w:rPr>
            <w:noProof/>
            <w:webHidden/>
          </w:rPr>
          <w:tab/>
        </w:r>
        <w:r>
          <w:rPr>
            <w:noProof/>
            <w:webHidden/>
          </w:rPr>
          <w:fldChar w:fldCharType="begin"/>
        </w:r>
        <w:r>
          <w:rPr>
            <w:noProof/>
            <w:webHidden/>
          </w:rPr>
          <w:instrText xml:space="preserve"> PAGEREF _Toc177387802 \h </w:instrText>
        </w:r>
        <w:r>
          <w:rPr>
            <w:noProof/>
            <w:webHidden/>
          </w:rPr>
        </w:r>
        <w:r>
          <w:rPr>
            <w:noProof/>
            <w:webHidden/>
          </w:rPr>
          <w:fldChar w:fldCharType="separate"/>
        </w:r>
        <w:r w:rsidR="0096247A">
          <w:rPr>
            <w:noProof/>
            <w:webHidden/>
          </w:rPr>
          <w:t>xi</w:t>
        </w:r>
        <w:r>
          <w:rPr>
            <w:noProof/>
            <w:webHidden/>
          </w:rPr>
          <w:fldChar w:fldCharType="end"/>
        </w:r>
      </w:hyperlink>
    </w:p>
    <w:p w14:paraId="17966F32"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803" w:history="1">
        <w:r w:rsidRPr="0016538D">
          <w:rPr>
            <w:rStyle w:val="Hyperlink"/>
            <w:noProof/>
          </w:rPr>
          <w:t>OPERATIONAL DEFINITION OF TERMS</w:t>
        </w:r>
        <w:r>
          <w:rPr>
            <w:noProof/>
            <w:webHidden/>
          </w:rPr>
          <w:tab/>
        </w:r>
        <w:r>
          <w:rPr>
            <w:noProof/>
            <w:webHidden/>
          </w:rPr>
          <w:fldChar w:fldCharType="begin"/>
        </w:r>
        <w:r>
          <w:rPr>
            <w:noProof/>
            <w:webHidden/>
          </w:rPr>
          <w:instrText xml:space="preserve"> PAGEREF _Toc177387803 \h </w:instrText>
        </w:r>
        <w:r>
          <w:rPr>
            <w:noProof/>
            <w:webHidden/>
          </w:rPr>
        </w:r>
        <w:r>
          <w:rPr>
            <w:noProof/>
            <w:webHidden/>
          </w:rPr>
          <w:fldChar w:fldCharType="separate"/>
        </w:r>
        <w:r w:rsidR="0096247A">
          <w:rPr>
            <w:noProof/>
            <w:webHidden/>
          </w:rPr>
          <w:t>xii</w:t>
        </w:r>
        <w:r>
          <w:rPr>
            <w:noProof/>
            <w:webHidden/>
          </w:rPr>
          <w:fldChar w:fldCharType="end"/>
        </w:r>
      </w:hyperlink>
    </w:p>
    <w:p w14:paraId="013494D4"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804" w:history="1">
        <w:r w:rsidRPr="0016538D">
          <w:rPr>
            <w:rStyle w:val="Hyperlink"/>
            <w:noProof/>
          </w:rPr>
          <w:t>ABSTRACT</w:t>
        </w:r>
        <w:r>
          <w:rPr>
            <w:noProof/>
            <w:webHidden/>
          </w:rPr>
          <w:tab/>
        </w:r>
        <w:r>
          <w:rPr>
            <w:noProof/>
            <w:webHidden/>
          </w:rPr>
          <w:fldChar w:fldCharType="begin"/>
        </w:r>
        <w:r>
          <w:rPr>
            <w:noProof/>
            <w:webHidden/>
          </w:rPr>
          <w:instrText xml:space="preserve"> PAGEREF _Toc177387804 \h </w:instrText>
        </w:r>
        <w:r>
          <w:rPr>
            <w:noProof/>
            <w:webHidden/>
          </w:rPr>
        </w:r>
        <w:r>
          <w:rPr>
            <w:noProof/>
            <w:webHidden/>
          </w:rPr>
          <w:fldChar w:fldCharType="separate"/>
        </w:r>
        <w:r w:rsidR="0096247A">
          <w:rPr>
            <w:noProof/>
            <w:webHidden/>
          </w:rPr>
          <w:t>xiii</w:t>
        </w:r>
        <w:r>
          <w:rPr>
            <w:noProof/>
            <w:webHidden/>
          </w:rPr>
          <w:fldChar w:fldCharType="end"/>
        </w:r>
      </w:hyperlink>
    </w:p>
    <w:p w14:paraId="593E3D50"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805" w:history="1">
        <w:r w:rsidRPr="0016538D">
          <w:rPr>
            <w:rStyle w:val="Hyperlink"/>
            <w:noProof/>
          </w:rPr>
          <w:t>CHAPTER ONE</w:t>
        </w:r>
        <w:r>
          <w:rPr>
            <w:noProof/>
            <w:webHidden/>
          </w:rPr>
          <w:tab/>
        </w:r>
        <w:r>
          <w:rPr>
            <w:noProof/>
            <w:webHidden/>
          </w:rPr>
          <w:fldChar w:fldCharType="begin"/>
        </w:r>
        <w:r>
          <w:rPr>
            <w:noProof/>
            <w:webHidden/>
          </w:rPr>
          <w:instrText xml:space="preserve"> PAGEREF _Toc177387805 \h </w:instrText>
        </w:r>
        <w:r>
          <w:rPr>
            <w:noProof/>
            <w:webHidden/>
          </w:rPr>
        </w:r>
        <w:r>
          <w:rPr>
            <w:noProof/>
            <w:webHidden/>
          </w:rPr>
          <w:fldChar w:fldCharType="separate"/>
        </w:r>
        <w:r w:rsidR="0096247A">
          <w:rPr>
            <w:noProof/>
            <w:webHidden/>
          </w:rPr>
          <w:t>1</w:t>
        </w:r>
        <w:r>
          <w:rPr>
            <w:noProof/>
            <w:webHidden/>
          </w:rPr>
          <w:fldChar w:fldCharType="end"/>
        </w:r>
      </w:hyperlink>
    </w:p>
    <w:p w14:paraId="43C31E06"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806" w:history="1">
        <w:r w:rsidRPr="0016538D">
          <w:rPr>
            <w:rStyle w:val="Hyperlink"/>
            <w:noProof/>
          </w:rPr>
          <w:t>INTRODUCTION</w:t>
        </w:r>
        <w:r>
          <w:rPr>
            <w:noProof/>
            <w:webHidden/>
          </w:rPr>
          <w:tab/>
        </w:r>
        <w:r>
          <w:rPr>
            <w:noProof/>
            <w:webHidden/>
          </w:rPr>
          <w:fldChar w:fldCharType="begin"/>
        </w:r>
        <w:r>
          <w:rPr>
            <w:noProof/>
            <w:webHidden/>
          </w:rPr>
          <w:instrText xml:space="preserve"> PAGEREF _Toc177387806 \h </w:instrText>
        </w:r>
        <w:r>
          <w:rPr>
            <w:noProof/>
            <w:webHidden/>
          </w:rPr>
        </w:r>
        <w:r>
          <w:rPr>
            <w:noProof/>
            <w:webHidden/>
          </w:rPr>
          <w:fldChar w:fldCharType="separate"/>
        </w:r>
        <w:r w:rsidR="0096247A">
          <w:rPr>
            <w:noProof/>
            <w:webHidden/>
          </w:rPr>
          <w:t>1</w:t>
        </w:r>
        <w:r>
          <w:rPr>
            <w:noProof/>
            <w:webHidden/>
          </w:rPr>
          <w:fldChar w:fldCharType="end"/>
        </w:r>
      </w:hyperlink>
    </w:p>
    <w:p w14:paraId="2F63AA11"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07" w:history="1">
        <w:r w:rsidRPr="0016538D">
          <w:rPr>
            <w:rStyle w:val="Hyperlink"/>
            <w:noProof/>
          </w:rPr>
          <w:t>1.1 Background of the Study</w:t>
        </w:r>
        <w:r>
          <w:rPr>
            <w:noProof/>
            <w:webHidden/>
          </w:rPr>
          <w:tab/>
        </w:r>
        <w:r>
          <w:rPr>
            <w:noProof/>
            <w:webHidden/>
          </w:rPr>
          <w:fldChar w:fldCharType="begin"/>
        </w:r>
        <w:r>
          <w:rPr>
            <w:noProof/>
            <w:webHidden/>
          </w:rPr>
          <w:instrText xml:space="preserve"> PAGEREF _Toc177387807 \h </w:instrText>
        </w:r>
        <w:r>
          <w:rPr>
            <w:noProof/>
            <w:webHidden/>
          </w:rPr>
        </w:r>
        <w:r>
          <w:rPr>
            <w:noProof/>
            <w:webHidden/>
          </w:rPr>
          <w:fldChar w:fldCharType="separate"/>
        </w:r>
        <w:r w:rsidR="0096247A">
          <w:rPr>
            <w:noProof/>
            <w:webHidden/>
          </w:rPr>
          <w:t>1</w:t>
        </w:r>
        <w:r>
          <w:rPr>
            <w:noProof/>
            <w:webHidden/>
          </w:rPr>
          <w:fldChar w:fldCharType="end"/>
        </w:r>
      </w:hyperlink>
    </w:p>
    <w:p w14:paraId="1D801882"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13" w:history="1">
        <w:r w:rsidRPr="0016538D">
          <w:rPr>
            <w:rStyle w:val="Hyperlink"/>
            <w:noProof/>
          </w:rPr>
          <w:t>1.2 Statement of the Problem</w:t>
        </w:r>
        <w:r>
          <w:rPr>
            <w:noProof/>
            <w:webHidden/>
          </w:rPr>
          <w:tab/>
        </w:r>
        <w:r>
          <w:rPr>
            <w:noProof/>
            <w:webHidden/>
          </w:rPr>
          <w:fldChar w:fldCharType="begin"/>
        </w:r>
        <w:r>
          <w:rPr>
            <w:noProof/>
            <w:webHidden/>
          </w:rPr>
          <w:instrText xml:space="preserve"> PAGEREF _Toc177387813 \h </w:instrText>
        </w:r>
        <w:r>
          <w:rPr>
            <w:noProof/>
            <w:webHidden/>
          </w:rPr>
        </w:r>
        <w:r>
          <w:rPr>
            <w:noProof/>
            <w:webHidden/>
          </w:rPr>
          <w:fldChar w:fldCharType="separate"/>
        </w:r>
        <w:r w:rsidR="0096247A">
          <w:rPr>
            <w:noProof/>
            <w:webHidden/>
          </w:rPr>
          <w:t>9</w:t>
        </w:r>
        <w:r>
          <w:rPr>
            <w:noProof/>
            <w:webHidden/>
          </w:rPr>
          <w:fldChar w:fldCharType="end"/>
        </w:r>
      </w:hyperlink>
    </w:p>
    <w:p w14:paraId="5638EDE5"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14" w:history="1">
        <w:r w:rsidRPr="0016538D">
          <w:rPr>
            <w:rStyle w:val="Hyperlink"/>
            <w:noProof/>
          </w:rPr>
          <w:t>1.3 Objectives of the Study</w:t>
        </w:r>
        <w:r>
          <w:rPr>
            <w:noProof/>
            <w:webHidden/>
          </w:rPr>
          <w:tab/>
        </w:r>
        <w:r>
          <w:rPr>
            <w:noProof/>
            <w:webHidden/>
          </w:rPr>
          <w:fldChar w:fldCharType="begin"/>
        </w:r>
        <w:r>
          <w:rPr>
            <w:noProof/>
            <w:webHidden/>
          </w:rPr>
          <w:instrText xml:space="preserve"> PAGEREF _Toc177387814 \h </w:instrText>
        </w:r>
        <w:r>
          <w:rPr>
            <w:noProof/>
            <w:webHidden/>
          </w:rPr>
        </w:r>
        <w:r>
          <w:rPr>
            <w:noProof/>
            <w:webHidden/>
          </w:rPr>
          <w:fldChar w:fldCharType="separate"/>
        </w:r>
        <w:r w:rsidR="0096247A">
          <w:rPr>
            <w:noProof/>
            <w:webHidden/>
          </w:rPr>
          <w:t>11</w:t>
        </w:r>
        <w:r>
          <w:rPr>
            <w:noProof/>
            <w:webHidden/>
          </w:rPr>
          <w:fldChar w:fldCharType="end"/>
        </w:r>
      </w:hyperlink>
    </w:p>
    <w:p w14:paraId="610B4CA5"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16" w:history="1">
        <w:r w:rsidRPr="0016538D">
          <w:rPr>
            <w:rStyle w:val="Hyperlink"/>
            <w:noProof/>
          </w:rPr>
          <w:t xml:space="preserve">1.4 </w:t>
        </w:r>
        <w:r w:rsidR="003C58AE">
          <w:rPr>
            <w:rStyle w:val="Hyperlink"/>
            <w:noProof/>
          </w:rPr>
          <w:t>Signifcance</w:t>
        </w:r>
        <w:r w:rsidRPr="0016538D">
          <w:rPr>
            <w:rStyle w:val="Hyperlink"/>
            <w:noProof/>
          </w:rPr>
          <w:t xml:space="preserve"> of the Study</w:t>
        </w:r>
        <w:r>
          <w:rPr>
            <w:noProof/>
            <w:webHidden/>
          </w:rPr>
          <w:tab/>
        </w:r>
        <w:r>
          <w:rPr>
            <w:noProof/>
            <w:webHidden/>
          </w:rPr>
          <w:fldChar w:fldCharType="begin"/>
        </w:r>
        <w:r>
          <w:rPr>
            <w:noProof/>
            <w:webHidden/>
          </w:rPr>
          <w:instrText xml:space="preserve"> PAGEREF _Toc177387816 \h </w:instrText>
        </w:r>
        <w:r>
          <w:rPr>
            <w:noProof/>
            <w:webHidden/>
          </w:rPr>
        </w:r>
        <w:r>
          <w:rPr>
            <w:noProof/>
            <w:webHidden/>
          </w:rPr>
          <w:fldChar w:fldCharType="separate"/>
        </w:r>
        <w:r w:rsidR="0096247A">
          <w:rPr>
            <w:noProof/>
            <w:webHidden/>
          </w:rPr>
          <w:t>11</w:t>
        </w:r>
        <w:r>
          <w:rPr>
            <w:noProof/>
            <w:webHidden/>
          </w:rPr>
          <w:fldChar w:fldCharType="end"/>
        </w:r>
      </w:hyperlink>
    </w:p>
    <w:p w14:paraId="098849B6"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17" w:history="1">
        <w:r w:rsidRPr="0016538D">
          <w:rPr>
            <w:rStyle w:val="Hyperlink"/>
            <w:noProof/>
          </w:rPr>
          <w:t>1.5 Scope of the Study</w:t>
        </w:r>
        <w:r>
          <w:rPr>
            <w:noProof/>
            <w:webHidden/>
          </w:rPr>
          <w:tab/>
        </w:r>
        <w:r>
          <w:rPr>
            <w:noProof/>
            <w:webHidden/>
          </w:rPr>
          <w:fldChar w:fldCharType="begin"/>
        </w:r>
        <w:r>
          <w:rPr>
            <w:noProof/>
            <w:webHidden/>
          </w:rPr>
          <w:instrText xml:space="preserve"> PAGEREF _Toc177387817 \h </w:instrText>
        </w:r>
        <w:r>
          <w:rPr>
            <w:noProof/>
            <w:webHidden/>
          </w:rPr>
        </w:r>
        <w:r>
          <w:rPr>
            <w:noProof/>
            <w:webHidden/>
          </w:rPr>
          <w:fldChar w:fldCharType="separate"/>
        </w:r>
        <w:r w:rsidR="0096247A">
          <w:rPr>
            <w:noProof/>
            <w:webHidden/>
          </w:rPr>
          <w:t>13</w:t>
        </w:r>
        <w:r>
          <w:rPr>
            <w:noProof/>
            <w:webHidden/>
          </w:rPr>
          <w:fldChar w:fldCharType="end"/>
        </w:r>
      </w:hyperlink>
    </w:p>
    <w:p w14:paraId="4C807095"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18" w:history="1">
        <w:r w:rsidRPr="0016538D">
          <w:rPr>
            <w:rStyle w:val="Hyperlink"/>
            <w:noProof/>
          </w:rPr>
          <w:t>1.6 Limitations of the Study</w:t>
        </w:r>
        <w:r>
          <w:rPr>
            <w:noProof/>
            <w:webHidden/>
          </w:rPr>
          <w:tab/>
        </w:r>
        <w:r>
          <w:rPr>
            <w:noProof/>
            <w:webHidden/>
          </w:rPr>
          <w:fldChar w:fldCharType="begin"/>
        </w:r>
        <w:r>
          <w:rPr>
            <w:noProof/>
            <w:webHidden/>
          </w:rPr>
          <w:instrText xml:space="preserve"> PAGEREF _Toc177387818 \h </w:instrText>
        </w:r>
        <w:r>
          <w:rPr>
            <w:noProof/>
            <w:webHidden/>
          </w:rPr>
        </w:r>
        <w:r>
          <w:rPr>
            <w:noProof/>
            <w:webHidden/>
          </w:rPr>
          <w:fldChar w:fldCharType="separate"/>
        </w:r>
        <w:r w:rsidR="0096247A">
          <w:rPr>
            <w:noProof/>
            <w:webHidden/>
          </w:rPr>
          <w:t>13</w:t>
        </w:r>
        <w:r>
          <w:rPr>
            <w:noProof/>
            <w:webHidden/>
          </w:rPr>
          <w:fldChar w:fldCharType="end"/>
        </w:r>
      </w:hyperlink>
    </w:p>
    <w:p w14:paraId="766BD712"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19" w:history="1">
        <w:r w:rsidRPr="0016538D">
          <w:rPr>
            <w:rStyle w:val="Hyperlink"/>
            <w:noProof/>
          </w:rPr>
          <w:t>1.7 Delimitation of the Study</w:t>
        </w:r>
        <w:r>
          <w:rPr>
            <w:noProof/>
            <w:webHidden/>
          </w:rPr>
          <w:tab/>
        </w:r>
        <w:r>
          <w:rPr>
            <w:noProof/>
            <w:webHidden/>
          </w:rPr>
          <w:fldChar w:fldCharType="begin"/>
        </w:r>
        <w:r>
          <w:rPr>
            <w:noProof/>
            <w:webHidden/>
          </w:rPr>
          <w:instrText xml:space="preserve"> PAGEREF _Toc177387819 \h </w:instrText>
        </w:r>
        <w:r>
          <w:rPr>
            <w:noProof/>
            <w:webHidden/>
          </w:rPr>
        </w:r>
        <w:r>
          <w:rPr>
            <w:noProof/>
            <w:webHidden/>
          </w:rPr>
          <w:fldChar w:fldCharType="separate"/>
        </w:r>
        <w:r w:rsidR="0096247A">
          <w:rPr>
            <w:noProof/>
            <w:webHidden/>
          </w:rPr>
          <w:t>14</w:t>
        </w:r>
        <w:r>
          <w:rPr>
            <w:noProof/>
            <w:webHidden/>
          </w:rPr>
          <w:fldChar w:fldCharType="end"/>
        </w:r>
      </w:hyperlink>
    </w:p>
    <w:p w14:paraId="2226D0AA"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20" w:history="1">
        <w:r w:rsidRPr="0016538D">
          <w:rPr>
            <w:rStyle w:val="Hyperlink"/>
            <w:noProof/>
          </w:rPr>
          <w:t>1.8 Chapter Summary</w:t>
        </w:r>
        <w:r>
          <w:rPr>
            <w:noProof/>
            <w:webHidden/>
          </w:rPr>
          <w:tab/>
        </w:r>
        <w:r>
          <w:rPr>
            <w:noProof/>
            <w:webHidden/>
          </w:rPr>
          <w:fldChar w:fldCharType="begin"/>
        </w:r>
        <w:r>
          <w:rPr>
            <w:noProof/>
            <w:webHidden/>
          </w:rPr>
          <w:instrText xml:space="preserve"> PAGEREF _Toc177387820 \h </w:instrText>
        </w:r>
        <w:r>
          <w:rPr>
            <w:noProof/>
            <w:webHidden/>
          </w:rPr>
        </w:r>
        <w:r>
          <w:rPr>
            <w:noProof/>
            <w:webHidden/>
          </w:rPr>
          <w:fldChar w:fldCharType="separate"/>
        </w:r>
        <w:r w:rsidR="0096247A">
          <w:rPr>
            <w:noProof/>
            <w:webHidden/>
          </w:rPr>
          <w:t>14</w:t>
        </w:r>
        <w:r>
          <w:rPr>
            <w:noProof/>
            <w:webHidden/>
          </w:rPr>
          <w:fldChar w:fldCharType="end"/>
        </w:r>
      </w:hyperlink>
    </w:p>
    <w:p w14:paraId="461FDEA7"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821" w:history="1">
        <w:r w:rsidRPr="0016538D">
          <w:rPr>
            <w:rStyle w:val="Hyperlink"/>
            <w:noProof/>
          </w:rPr>
          <w:t>CHAPTER TWO</w:t>
        </w:r>
        <w:r>
          <w:rPr>
            <w:noProof/>
            <w:webHidden/>
          </w:rPr>
          <w:tab/>
        </w:r>
        <w:r>
          <w:rPr>
            <w:noProof/>
            <w:webHidden/>
          </w:rPr>
          <w:fldChar w:fldCharType="begin"/>
        </w:r>
        <w:r>
          <w:rPr>
            <w:noProof/>
            <w:webHidden/>
          </w:rPr>
          <w:instrText xml:space="preserve"> PAGEREF _Toc177387821 \h </w:instrText>
        </w:r>
        <w:r>
          <w:rPr>
            <w:noProof/>
            <w:webHidden/>
          </w:rPr>
        </w:r>
        <w:r>
          <w:rPr>
            <w:noProof/>
            <w:webHidden/>
          </w:rPr>
          <w:fldChar w:fldCharType="separate"/>
        </w:r>
        <w:r w:rsidR="0096247A">
          <w:rPr>
            <w:noProof/>
            <w:webHidden/>
          </w:rPr>
          <w:t>15</w:t>
        </w:r>
        <w:r>
          <w:rPr>
            <w:noProof/>
            <w:webHidden/>
          </w:rPr>
          <w:fldChar w:fldCharType="end"/>
        </w:r>
      </w:hyperlink>
    </w:p>
    <w:p w14:paraId="4FAD7ECA"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822" w:history="1">
        <w:r w:rsidRPr="0016538D">
          <w:rPr>
            <w:rStyle w:val="Hyperlink"/>
            <w:noProof/>
          </w:rPr>
          <w:t>LITERATURE REVIEW</w:t>
        </w:r>
        <w:r>
          <w:rPr>
            <w:noProof/>
            <w:webHidden/>
          </w:rPr>
          <w:tab/>
        </w:r>
        <w:r>
          <w:rPr>
            <w:noProof/>
            <w:webHidden/>
          </w:rPr>
          <w:fldChar w:fldCharType="begin"/>
        </w:r>
        <w:r>
          <w:rPr>
            <w:noProof/>
            <w:webHidden/>
          </w:rPr>
          <w:instrText xml:space="preserve"> PAGEREF _Toc177387822 \h </w:instrText>
        </w:r>
        <w:r>
          <w:rPr>
            <w:noProof/>
            <w:webHidden/>
          </w:rPr>
        </w:r>
        <w:r>
          <w:rPr>
            <w:noProof/>
            <w:webHidden/>
          </w:rPr>
          <w:fldChar w:fldCharType="separate"/>
        </w:r>
        <w:r w:rsidR="0096247A">
          <w:rPr>
            <w:noProof/>
            <w:webHidden/>
          </w:rPr>
          <w:t>15</w:t>
        </w:r>
        <w:r>
          <w:rPr>
            <w:noProof/>
            <w:webHidden/>
          </w:rPr>
          <w:fldChar w:fldCharType="end"/>
        </w:r>
      </w:hyperlink>
    </w:p>
    <w:p w14:paraId="4DE5E838"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23" w:history="1">
        <w:r w:rsidRPr="0016538D">
          <w:rPr>
            <w:rStyle w:val="Hyperlink"/>
            <w:noProof/>
          </w:rPr>
          <w:t xml:space="preserve">2.0 </w:t>
        </w:r>
        <w:r w:rsidRPr="0016538D">
          <w:rPr>
            <w:rStyle w:val="Hyperlink"/>
            <w:bCs/>
            <w:noProof/>
          </w:rPr>
          <w:t>Introduction</w:t>
        </w:r>
        <w:r>
          <w:rPr>
            <w:noProof/>
            <w:webHidden/>
          </w:rPr>
          <w:tab/>
        </w:r>
        <w:r>
          <w:rPr>
            <w:noProof/>
            <w:webHidden/>
          </w:rPr>
          <w:fldChar w:fldCharType="begin"/>
        </w:r>
        <w:r>
          <w:rPr>
            <w:noProof/>
            <w:webHidden/>
          </w:rPr>
          <w:instrText xml:space="preserve"> PAGEREF _Toc177387823 \h </w:instrText>
        </w:r>
        <w:r>
          <w:rPr>
            <w:noProof/>
            <w:webHidden/>
          </w:rPr>
        </w:r>
        <w:r>
          <w:rPr>
            <w:noProof/>
            <w:webHidden/>
          </w:rPr>
          <w:fldChar w:fldCharType="separate"/>
        </w:r>
        <w:r w:rsidR="0096247A">
          <w:rPr>
            <w:noProof/>
            <w:webHidden/>
          </w:rPr>
          <w:t>15</w:t>
        </w:r>
        <w:r>
          <w:rPr>
            <w:noProof/>
            <w:webHidden/>
          </w:rPr>
          <w:fldChar w:fldCharType="end"/>
        </w:r>
      </w:hyperlink>
    </w:p>
    <w:p w14:paraId="080A8836"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24" w:history="1">
        <w:r w:rsidRPr="0016538D">
          <w:rPr>
            <w:rStyle w:val="Hyperlink"/>
            <w:noProof/>
          </w:rPr>
          <w:t xml:space="preserve">2.1 </w:t>
        </w:r>
        <w:r w:rsidRPr="0016538D">
          <w:rPr>
            <w:rStyle w:val="Hyperlink"/>
            <w:bCs/>
            <w:noProof/>
          </w:rPr>
          <w:t>Theoretical Literature Review</w:t>
        </w:r>
        <w:r>
          <w:rPr>
            <w:noProof/>
            <w:webHidden/>
          </w:rPr>
          <w:tab/>
        </w:r>
        <w:r>
          <w:rPr>
            <w:noProof/>
            <w:webHidden/>
          </w:rPr>
          <w:fldChar w:fldCharType="begin"/>
        </w:r>
        <w:r>
          <w:rPr>
            <w:noProof/>
            <w:webHidden/>
          </w:rPr>
          <w:instrText xml:space="preserve"> PAGEREF _Toc177387824 \h </w:instrText>
        </w:r>
        <w:r>
          <w:rPr>
            <w:noProof/>
            <w:webHidden/>
          </w:rPr>
        </w:r>
        <w:r>
          <w:rPr>
            <w:noProof/>
            <w:webHidden/>
          </w:rPr>
          <w:fldChar w:fldCharType="separate"/>
        </w:r>
        <w:r w:rsidR="0096247A">
          <w:rPr>
            <w:noProof/>
            <w:webHidden/>
          </w:rPr>
          <w:t>15</w:t>
        </w:r>
        <w:r>
          <w:rPr>
            <w:noProof/>
            <w:webHidden/>
          </w:rPr>
          <w:fldChar w:fldCharType="end"/>
        </w:r>
      </w:hyperlink>
    </w:p>
    <w:p w14:paraId="17182742"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29" w:history="1">
        <w:r w:rsidRPr="0016538D">
          <w:rPr>
            <w:rStyle w:val="Hyperlink"/>
            <w:noProof/>
          </w:rPr>
          <w:t xml:space="preserve">2.2 </w:t>
        </w:r>
        <w:r w:rsidRPr="0016538D">
          <w:rPr>
            <w:rStyle w:val="Hyperlink"/>
            <w:bCs/>
            <w:noProof/>
          </w:rPr>
          <w:t>Empirical Literature Review</w:t>
        </w:r>
        <w:r>
          <w:rPr>
            <w:noProof/>
            <w:webHidden/>
          </w:rPr>
          <w:tab/>
        </w:r>
        <w:r>
          <w:rPr>
            <w:noProof/>
            <w:webHidden/>
          </w:rPr>
          <w:fldChar w:fldCharType="begin"/>
        </w:r>
        <w:r>
          <w:rPr>
            <w:noProof/>
            <w:webHidden/>
          </w:rPr>
          <w:instrText xml:space="preserve"> PAGEREF _Toc177387829 \h </w:instrText>
        </w:r>
        <w:r>
          <w:rPr>
            <w:noProof/>
            <w:webHidden/>
          </w:rPr>
        </w:r>
        <w:r>
          <w:rPr>
            <w:noProof/>
            <w:webHidden/>
          </w:rPr>
          <w:fldChar w:fldCharType="separate"/>
        </w:r>
        <w:r w:rsidR="0096247A">
          <w:rPr>
            <w:noProof/>
            <w:webHidden/>
          </w:rPr>
          <w:t>21</w:t>
        </w:r>
        <w:r>
          <w:rPr>
            <w:noProof/>
            <w:webHidden/>
          </w:rPr>
          <w:fldChar w:fldCharType="end"/>
        </w:r>
      </w:hyperlink>
    </w:p>
    <w:p w14:paraId="14A6C5D4"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34" w:history="1">
        <w:r w:rsidRPr="0016538D">
          <w:rPr>
            <w:rStyle w:val="Hyperlink"/>
            <w:noProof/>
          </w:rPr>
          <w:t xml:space="preserve">2.3 </w:t>
        </w:r>
        <w:r w:rsidRPr="0016538D">
          <w:rPr>
            <w:rStyle w:val="Hyperlink"/>
            <w:bCs/>
            <w:noProof/>
          </w:rPr>
          <w:t>Summary of Research Gaps</w:t>
        </w:r>
        <w:r>
          <w:rPr>
            <w:noProof/>
            <w:webHidden/>
          </w:rPr>
          <w:tab/>
        </w:r>
        <w:r>
          <w:rPr>
            <w:noProof/>
            <w:webHidden/>
          </w:rPr>
          <w:fldChar w:fldCharType="begin"/>
        </w:r>
        <w:r>
          <w:rPr>
            <w:noProof/>
            <w:webHidden/>
          </w:rPr>
          <w:instrText xml:space="preserve"> PAGEREF _Toc177387834 \h </w:instrText>
        </w:r>
        <w:r>
          <w:rPr>
            <w:noProof/>
            <w:webHidden/>
          </w:rPr>
        </w:r>
        <w:r>
          <w:rPr>
            <w:noProof/>
            <w:webHidden/>
          </w:rPr>
          <w:fldChar w:fldCharType="separate"/>
        </w:r>
        <w:r w:rsidR="0096247A">
          <w:rPr>
            <w:noProof/>
            <w:webHidden/>
          </w:rPr>
          <w:t>39</w:t>
        </w:r>
        <w:r>
          <w:rPr>
            <w:noProof/>
            <w:webHidden/>
          </w:rPr>
          <w:fldChar w:fldCharType="end"/>
        </w:r>
      </w:hyperlink>
    </w:p>
    <w:p w14:paraId="5D0007FE"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35" w:history="1">
        <w:r w:rsidRPr="0016538D">
          <w:rPr>
            <w:rStyle w:val="Hyperlink"/>
            <w:bCs/>
            <w:noProof/>
          </w:rPr>
          <w:t>2.4 Hypotheses of the Study</w:t>
        </w:r>
        <w:r>
          <w:rPr>
            <w:noProof/>
            <w:webHidden/>
          </w:rPr>
          <w:tab/>
        </w:r>
        <w:r>
          <w:rPr>
            <w:noProof/>
            <w:webHidden/>
          </w:rPr>
          <w:fldChar w:fldCharType="begin"/>
        </w:r>
        <w:r>
          <w:rPr>
            <w:noProof/>
            <w:webHidden/>
          </w:rPr>
          <w:instrText xml:space="preserve"> PAGEREF _Toc177387835 \h </w:instrText>
        </w:r>
        <w:r>
          <w:rPr>
            <w:noProof/>
            <w:webHidden/>
          </w:rPr>
        </w:r>
        <w:r>
          <w:rPr>
            <w:noProof/>
            <w:webHidden/>
          </w:rPr>
          <w:fldChar w:fldCharType="separate"/>
        </w:r>
        <w:r w:rsidR="0096247A">
          <w:rPr>
            <w:noProof/>
            <w:webHidden/>
          </w:rPr>
          <w:t>42</w:t>
        </w:r>
        <w:r>
          <w:rPr>
            <w:noProof/>
            <w:webHidden/>
          </w:rPr>
          <w:fldChar w:fldCharType="end"/>
        </w:r>
      </w:hyperlink>
    </w:p>
    <w:p w14:paraId="653F7B08"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36" w:history="1">
        <w:r w:rsidRPr="0016538D">
          <w:rPr>
            <w:rStyle w:val="Hyperlink"/>
            <w:bCs/>
            <w:noProof/>
          </w:rPr>
          <w:t>2.5 Conceptual Framework</w:t>
        </w:r>
        <w:r>
          <w:rPr>
            <w:noProof/>
            <w:webHidden/>
          </w:rPr>
          <w:tab/>
        </w:r>
        <w:r>
          <w:rPr>
            <w:noProof/>
            <w:webHidden/>
          </w:rPr>
          <w:fldChar w:fldCharType="begin"/>
        </w:r>
        <w:r>
          <w:rPr>
            <w:noProof/>
            <w:webHidden/>
          </w:rPr>
          <w:instrText xml:space="preserve"> PAGEREF _Toc177387836 \h </w:instrText>
        </w:r>
        <w:r>
          <w:rPr>
            <w:noProof/>
            <w:webHidden/>
          </w:rPr>
        </w:r>
        <w:r>
          <w:rPr>
            <w:noProof/>
            <w:webHidden/>
          </w:rPr>
          <w:fldChar w:fldCharType="separate"/>
        </w:r>
        <w:r w:rsidR="0096247A">
          <w:rPr>
            <w:noProof/>
            <w:webHidden/>
          </w:rPr>
          <w:t>42</w:t>
        </w:r>
        <w:r>
          <w:rPr>
            <w:noProof/>
            <w:webHidden/>
          </w:rPr>
          <w:fldChar w:fldCharType="end"/>
        </w:r>
      </w:hyperlink>
    </w:p>
    <w:p w14:paraId="4F5FC0FD"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37" w:history="1">
        <w:r w:rsidRPr="0016538D">
          <w:rPr>
            <w:rStyle w:val="Hyperlink"/>
            <w:bCs/>
            <w:noProof/>
          </w:rPr>
          <w:t>2.6 Operationalization of Research Variables</w:t>
        </w:r>
        <w:r>
          <w:rPr>
            <w:noProof/>
            <w:webHidden/>
          </w:rPr>
          <w:tab/>
        </w:r>
        <w:r>
          <w:rPr>
            <w:noProof/>
            <w:webHidden/>
          </w:rPr>
          <w:fldChar w:fldCharType="begin"/>
        </w:r>
        <w:r>
          <w:rPr>
            <w:noProof/>
            <w:webHidden/>
          </w:rPr>
          <w:instrText xml:space="preserve"> PAGEREF _Toc177387837 \h </w:instrText>
        </w:r>
        <w:r>
          <w:rPr>
            <w:noProof/>
            <w:webHidden/>
          </w:rPr>
        </w:r>
        <w:r>
          <w:rPr>
            <w:noProof/>
            <w:webHidden/>
          </w:rPr>
          <w:fldChar w:fldCharType="separate"/>
        </w:r>
        <w:r w:rsidR="0096247A">
          <w:rPr>
            <w:noProof/>
            <w:webHidden/>
          </w:rPr>
          <w:t>44</w:t>
        </w:r>
        <w:r>
          <w:rPr>
            <w:noProof/>
            <w:webHidden/>
          </w:rPr>
          <w:fldChar w:fldCharType="end"/>
        </w:r>
      </w:hyperlink>
    </w:p>
    <w:p w14:paraId="277B9702"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38" w:history="1">
        <w:r w:rsidRPr="0016538D">
          <w:rPr>
            <w:rStyle w:val="Hyperlink"/>
            <w:bCs/>
            <w:noProof/>
          </w:rPr>
          <w:t>2.7 Chapter Summary</w:t>
        </w:r>
        <w:r>
          <w:rPr>
            <w:noProof/>
            <w:webHidden/>
          </w:rPr>
          <w:tab/>
        </w:r>
        <w:r>
          <w:rPr>
            <w:noProof/>
            <w:webHidden/>
          </w:rPr>
          <w:fldChar w:fldCharType="begin"/>
        </w:r>
        <w:r>
          <w:rPr>
            <w:noProof/>
            <w:webHidden/>
          </w:rPr>
          <w:instrText xml:space="preserve"> PAGEREF _Toc177387838 \h </w:instrText>
        </w:r>
        <w:r>
          <w:rPr>
            <w:noProof/>
            <w:webHidden/>
          </w:rPr>
        </w:r>
        <w:r>
          <w:rPr>
            <w:noProof/>
            <w:webHidden/>
          </w:rPr>
          <w:fldChar w:fldCharType="separate"/>
        </w:r>
        <w:r w:rsidR="0096247A">
          <w:rPr>
            <w:noProof/>
            <w:webHidden/>
          </w:rPr>
          <w:t>44</w:t>
        </w:r>
        <w:r>
          <w:rPr>
            <w:noProof/>
            <w:webHidden/>
          </w:rPr>
          <w:fldChar w:fldCharType="end"/>
        </w:r>
      </w:hyperlink>
    </w:p>
    <w:p w14:paraId="4B5CED2F"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839" w:history="1">
        <w:r w:rsidRPr="0016538D">
          <w:rPr>
            <w:rStyle w:val="Hyperlink"/>
            <w:noProof/>
          </w:rPr>
          <w:t>CHAPTER THREE</w:t>
        </w:r>
        <w:r>
          <w:rPr>
            <w:noProof/>
            <w:webHidden/>
          </w:rPr>
          <w:tab/>
        </w:r>
        <w:r>
          <w:rPr>
            <w:noProof/>
            <w:webHidden/>
          </w:rPr>
          <w:fldChar w:fldCharType="begin"/>
        </w:r>
        <w:r>
          <w:rPr>
            <w:noProof/>
            <w:webHidden/>
          </w:rPr>
          <w:instrText xml:space="preserve"> PAGEREF _Toc177387839 \h </w:instrText>
        </w:r>
        <w:r>
          <w:rPr>
            <w:noProof/>
            <w:webHidden/>
          </w:rPr>
        </w:r>
        <w:r>
          <w:rPr>
            <w:noProof/>
            <w:webHidden/>
          </w:rPr>
          <w:fldChar w:fldCharType="separate"/>
        </w:r>
        <w:r w:rsidR="0096247A">
          <w:rPr>
            <w:noProof/>
            <w:webHidden/>
          </w:rPr>
          <w:t>46</w:t>
        </w:r>
        <w:r>
          <w:rPr>
            <w:noProof/>
            <w:webHidden/>
          </w:rPr>
          <w:fldChar w:fldCharType="end"/>
        </w:r>
      </w:hyperlink>
    </w:p>
    <w:p w14:paraId="47040C86"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840" w:history="1">
        <w:r w:rsidRPr="0016538D">
          <w:rPr>
            <w:rStyle w:val="Hyperlink"/>
            <w:noProof/>
          </w:rPr>
          <w:t>RESEARCH METHODOLOGY</w:t>
        </w:r>
        <w:r>
          <w:rPr>
            <w:noProof/>
            <w:webHidden/>
          </w:rPr>
          <w:tab/>
        </w:r>
        <w:r>
          <w:rPr>
            <w:noProof/>
            <w:webHidden/>
          </w:rPr>
          <w:fldChar w:fldCharType="begin"/>
        </w:r>
        <w:r>
          <w:rPr>
            <w:noProof/>
            <w:webHidden/>
          </w:rPr>
          <w:instrText xml:space="preserve"> PAGEREF _Toc177387840 \h </w:instrText>
        </w:r>
        <w:r>
          <w:rPr>
            <w:noProof/>
            <w:webHidden/>
          </w:rPr>
        </w:r>
        <w:r>
          <w:rPr>
            <w:noProof/>
            <w:webHidden/>
          </w:rPr>
          <w:fldChar w:fldCharType="separate"/>
        </w:r>
        <w:r w:rsidR="0096247A">
          <w:rPr>
            <w:noProof/>
            <w:webHidden/>
          </w:rPr>
          <w:t>46</w:t>
        </w:r>
        <w:r>
          <w:rPr>
            <w:noProof/>
            <w:webHidden/>
          </w:rPr>
          <w:fldChar w:fldCharType="end"/>
        </w:r>
      </w:hyperlink>
    </w:p>
    <w:p w14:paraId="01615277"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41" w:history="1">
        <w:r w:rsidRPr="0016538D">
          <w:rPr>
            <w:rStyle w:val="Hyperlink"/>
            <w:noProof/>
          </w:rPr>
          <w:t>3.0 Introduction</w:t>
        </w:r>
        <w:r>
          <w:rPr>
            <w:noProof/>
            <w:webHidden/>
          </w:rPr>
          <w:tab/>
        </w:r>
        <w:r>
          <w:rPr>
            <w:noProof/>
            <w:webHidden/>
          </w:rPr>
          <w:fldChar w:fldCharType="begin"/>
        </w:r>
        <w:r>
          <w:rPr>
            <w:noProof/>
            <w:webHidden/>
          </w:rPr>
          <w:instrText xml:space="preserve"> PAGEREF _Toc177387841 \h </w:instrText>
        </w:r>
        <w:r>
          <w:rPr>
            <w:noProof/>
            <w:webHidden/>
          </w:rPr>
        </w:r>
        <w:r>
          <w:rPr>
            <w:noProof/>
            <w:webHidden/>
          </w:rPr>
          <w:fldChar w:fldCharType="separate"/>
        </w:r>
        <w:r w:rsidR="0096247A">
          <w:rPr>
            <w:noProof/>
            <w:webHidden/>
          </w:rPr>
          <w:t>46</w:t>
        </w:r>
        <w:r>
          <w:rPr>
            <w:noProof/>
            <w:webHidden/>
          </w:rPr>
          <w:fldChar w:fldCharType="end"/>
        </w:r>
      </w:hyperlink>
    </w:p>
    <w:p w14:paraId="0DA55448"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42" w:history="1">
        <w:r w:rsidRPr="0016538D">
          <w:rPr>
            <w:rStyle w:val="Hyperlink"/>
            <w:noProof/>
          </w:rPr>
          <w:t>3.1 Research Philosophy</w:t>
        </w:r>
        <w:r>
          <w:rPr>
            <w:noProof/>
            <w:webHidden/>
          </w:rPr>
          <w:tab/>
        </w:r>
        <w:r>
          <w:rPr>
            <w:noProof/>
            <w:webHidden/>
          </w:rPr>
          <w:fldChar w:fldCharType="begin"/>
        </w:r>
        <w:r>
          <w:rPr>
            <w:noProof/>
            <w:webHidden/>
          </w:rPr>
          <w:instrText xml:space="preserve"> PAGEREF _Toc177387842 \h </w:instrText>
        </w:r>
        <w:r>
          <w:rPr>
            <w:noProof/>
            <w:webHidden/>
          </w:rPr>
        </w:r>
        <w:r>
          <w:rPr>
            <w:noProof/>
            <w:webHidden/>
          </w:rPr>
          <w:fldChar w:fldCharType="separate"/>
        </w:r>
        <w:r w:rsidR="0096247A">
          <w:rPr>
            <w:noProof/>
            <w:webHidden/>
          </w:rPr>
          <w:t>46</w:t>
        </w:r>
        <w:r>
          <w:rPr>
            <w:noProof/>
            <w:webHidden/>
          </w:rPr>
          <w:fldChar w:fldCharType="end"/>
        </w:r>
      </w:hyperlink>
    </w:p>
    <w:p w14:paraId="1A9F18B7"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43" w:history="1">
        <w:r w:rsidRPr="0016538D">
          <w:rPr>
            <w:rStyle w:val="Hyperlink"/>
            <w:noProof/>
          </w:rPr>
          <w:t>3.2 Research Design</w:t>
        </w:r>
        <w:r>
          <w:rPr>
            <w:noProof/>
            <w:webHidden/>
          </w:rPr>
          <w:tab/>
        </w:r>
        <w:r>
          <w:rPr>
            <w:noProof/>
            <w:webHidden/>
          </w:rPr>
          <w:fldChar w:fldCharType="begin"/>
        </w:r>
        <w:r>
          <w:rPr>
            <w:noProof/>
            <w:webHidden/>
          </w:rPr>
          <w:instrText xml:space="preserve"> PAGEREF _Toc177387843 \h </w:instrText>
        </w:r>
        <w:r>
          <w:rPr>
            <w:noProof/>
            <w:webHidden/>
          </w:rPr>
        </w:r>
        <w:r>
          <w:rPr>
            <w:noProof/>
            <w:webHidden/>
          </w:rPr>
          <w:fldChar w:fldCharType="separate"/>
        </w:r>
        <w:r w:rsidR="0096247A">
          <w:rPr>
            <w:noProof/>
            <w:webHidden/>
          </w:rPr>
          <w:t>47</w:t>
        </w:r>
        <w:r>
          <w:rPr>
            <w:noProof/>
            <w:webHidden/>
          </w:rPr>
          <w:fldChar w:fldCharType="end"/>
        </w:r>
      </w:hyperlink>
    </w:p>
    <w:p w14:paraId="6483D931"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44" w:history="1">
        <w:r w:rsidRPr="0016538D">
          <w:rPr>
            <w:rStyle w:val="Hyperlink"/>
            <w:noProof/>
          </w:rPr>
          <w:t>3.3 Target Population</w:t>
        </w:r>
        <w:r>
          <w:rPr>
            <w:noProof/>
            <w:webHidden/>
          </w:rPr>
          <w:tab/>
        </w:r>
        <w:r>
          <w:rPr>
            <w:noProof/>
            <w:webHidden/>
          </w:rPr>
          <w:fldChar w:fldCharType="begin"/>
        </w:r>
        <w:r>
          <w:rPr>
            <w:noProof/>
            <w:webHidden/>
          </w:rPr>
          <w:instrText xml:space="preserve"> PAGEREF _Toc177387844 \h </w:instrText>
        </w:r>
        <w:r>
          <w:rPr>
            <w:noProof/>
            <w:webHidden/>
          </w:rPr>
        </w:r>
        <w:r>
          <w:rPr>
            <w:noProof/>
            <w:webHidden/>
          </w:rPr>
          <w:fldChar w:fldCharType="separate"/>
        </w:r>
        <w:r w:rsidR="0096247A">
          <w:rPr>
            <w:noProof/>
            <w:webHidden/>
          </w:rPr>
          <w:t>48</w:t>
        </w:r>
        <w:r>
          <w:rPr>
            <w:noProof/>
            <w:webHidden/>
          </w:rPr>
          <w:fldChar w:fldCharType="end"/>
        </w:r>
      </w:hyperlink>
    </w:p>
    <w:p w14:paraId="3130118B"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45" w:history="1">
        <w:r w:rsidRPr="0016538D">
          <w:rPr>
            <w:rStyle w:val="Hyperlink"/>
            <w:noProof/>
          </w:rPr>
          <w:t>3.4 Sample and Sampling Techniques</w:t>
        </w:r>
        <w:r>
          <w:rPr>
            <w:noProof/>
            <w:webHidden/>
          </w:rPr>
          <w:tab/>
        </w:r>
        <w:r>
          <w:rPr>
            <w:noProof/>
            <w:webHidden/>
          </w:rPr>
          <w:fldChar w:fldCharType="begin"/>
        </w:r>
        <w:r>
          <w:rPr>
            <w:noProof/>
            <w:webHidden/>
          </w:rPr>
          <w:instrText xml:space="preserve"> PAGEREF _Toc177387845 \h </w:instrText>
        </w:r>
        <w:r>
          <w:rPr>
            <w:noProof/>
            <w:webHidden/>
          </w:rPr>
        </w:r>
        <w:r>
          <w:rPr>
            <w:noProof/>
            <w:webHidden/>
          </w:rPr>
          <w:fldChar w:fldCharType="separate"/>
        </w:r>
        <w:r w:rsidR="0096247A">
          <w:rPr>
            <w:noProof/>
            <w:webHidden/>
          </w:rPr>
          <w:t>49</w:t>
        </w:r>
        <w:r>
          <w:rPr>
            <w:noProof/>
            <w:webHidden/>
          </w:rPr>
          <w:fldChar w:fldCharType="end"/>
        </w:r>
      </w:hyperlink>
    </w:p>
    <w:p w14:paraId="1C1DD079"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46" w:history="1">
        <w:r w:rsidRPr="0016538D">
          <w:rPr>
            <w:rStyle w:val="Hyperlink"/>
            <w:noProof/>
          </w:rPr>
          <w:t xml:space="preserve">3.5 </w:t>
        </w:r>
        <w:r w:rsidRPr="0016538D">
          <w:rPr>
            <w:rStyle w:val="Hyperlink"/>
            <w:bCs/>
            <w:noProof/>
          </w:rPr>
          <w:t>Data Collection Instruments</w:t>
        </w:r>
        <w:r>
          <w:rPr>
            <w:noProof/>
            <w:webHidden/>
          </w:rPr>
          <w:tab/>
        </w:r>
        <w:r>
          <w:rPr>
            <w:noProof/>
            <w:webHidden/>
          </w:rPr>
          <w:fldChar w:fldCharType="begin"/>
        </w:r>
        <w:r>
          <w:rPr>
            <w:noProof/>
            <w:webHidden/>
          </w:rPr>
          <w:instrText xml:space="preserve"> PAGEREF _Toc177387846 \h </w:instrText>
        </w:r>
        <w:r>
          <w:rPr>
            <w:noProof/>
            <w:webHidden/>
          </w:rPr>
        </w:r>
        <w:r>
          <w:rPr>
            <w:noProof/>
            <w:webHidden/>
          </w:rPr>
          <w:fldChar w:fldCharType="separate"/>
        </w:r>
        <w:r w:rsidR="0096247A">
          <w:rPr>
            <w:noProof/>
            <w:webHidden/>
          </w:rPr>
          <w:t>50</w:t>
        </w:r>
        <w:r>
          <w:rPr>
            <w:noProof/>
            <w:webHidden/>
          </w:rPr>
          <w:fldChar w:fldCharType="end"/>
        </w:r>
      </w:hyperlink>
    </w:p>
    <w:p w14:paraId="3ED376AB"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47" w:history="1">
        <w:r w:rsidRPr="0016538D">
          <w:rPr>
            <w:rStyle w:val="Hyperlink"/>
            <w:noProof/>
          </w:rPr>
          <w:t xml:space="preserve">3.6 </w:t>
        </w:r>
        <w:r w:rsidRPr="0016538D">
          <w:rPr>
            <w:rStyle w:val="Hyperlink"/>
            <w:bCs/>
            <w:noProof/>
          </w:rPr>
          <w:t>Pilot Study</w:t>
        </w:r>
        <w:r>
          <w:rPr>
            <w:noProof/>
            <w:webHidden/>
          </w:rPr>
          <w:tab/>
        </w:r>
        <w:r>
          <w:rPr>
            <w:noProof/>
            <w:webHidden/>
          </w:rPr>
          <w:fldChar w:fldCharType="begin"/>
        </w:r>
        <w:r>
          <w:rPr>
            <w:noProof/>
            <w:webHidden/>
          </w:rPr>
          <w:instrText xml:space="preserve"> PAGEREF _Toc177387847 \h </w:instrText>
        </w:r>
        <w:r>
          <w:rPr>
            <w:noProof/>
            <w:webHidden/>
          </w:rPr>
        </w:r>
        <w:r>
          <w:rPr>
            <w:noProof/>
            <w:webHidden/>
          </w:rPr>
          <w:fldChar w:fldCharType="separate"/>
        </w:r>
        <w:r w:rsidR="0096247A">
          <w:rPr>
            <w:noProof/>
            <w:webHidden/>
          </w:rPr>
          <w:t>50</w:t>
        </w:r>
        <w:r>
          <w:rPr>
            <w:noProof/>
            <w:webHidden/>
          </w:rPr>
          <w:fldChar w:fldCharType="end"/>
        </w:r>
      </w:hyperlink>
    </w:p>
    <w:p w14:paraId="517C4740"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50" w:history="1">
        <w:r w:rsidRPr="0016538D">
          <w:rPr>
            <w:rStyle w:val="Hyperlink"/>
            <w:noProof/>
          </w:rPr>
          <w:t xml:space="preserve">3.7 </w:t>
        </w:r>
        <w:r w:rsidRPr="0016538D">
          <w:rPr>
            <w:rStyle w:val="Hyperlink"/>
            <w:bCs/>
            <w:noProof/>
          </w:rPr>
          <w:t>Data Collection Procedure</w:t>
        </w:r>
        <w:r>
          <w:rPr>
            <w:noProof/>
            <w:webHidden/>
          </w:rPr>
          <w:tab/>
        </w:r>
        <w:r>
          <w:rPr>
            <w:noProof/>
            <w:webHidden/>
          </w:rPr>
          <w:fldChar w:fldCharType="begin"/>
        </w:r>
        <w:r>
          <w:rPr>
            <w:noProof/>
            <w:webHidden/>
          </w:rPr>
          <w:instrText xml:space="preserve"> PAGEREF _Toc177387850 \h </w:instrText>
        </w:r>
        <w:r>
          <w:rPr>
            <w:noProof/>
            <w:webHidden/>
          </w:rPr>
        </w:r>
        <w:r>
          <w:rPr>
            <w:noProof/>
            <w:webHidden/>
          </w:rPr>
          <w:fldChar w:fldCharType="separate"/>
        </w:r>
        <w:r w:rsidR="0096247A">
          <w:rPr>
            <w:noProof/>
            <w:webHidden/>
          </w:rPr>
          <w:t>52</w:t>
        </w:r>
        <w:r>
          <w:rPr>
            <w:noProof/>
            <w:webHidden/>
          </w:rPr>
          <w:fldChar w:fldCharType="end"/>
        </w:r>
      </w:hyperlink>
    </w:p>
    <w:p w14:paraId="27C646E1"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51" w:history="1">
        <w:r w:rsidRPr="0016538D">
          <w:rPr>
            <w:rStyle w:val="Hyperlink"/>
            <w:noProof/>
          </w:rPr>
          <w:t xml:space="preserve">3.8 </w:t>
        </w:r>
        <w:r w:rsidRPr="0016538D">
          <w:rPr>
            <w:rStyle w:val="Hyperlink"/>
            <w:bCs/>
            <w:noProof/>
          </w:rPr>
          <w:t>Data Analysis and Presentation</w:t>
        </w:r>
        <w:r>
          <w:rPr>
            <w:noProof/>
            <w:webHidden/>
          </w:rPr>
          <w:tab/>
        </w:r>
        <w:r>
          <w:rPr>
            <w:noProof/>
            <w:webHidden/>
          </w:rPr>
          <w:fldChar w:fldCharType="begin"/>
        </w:r>
        <w:r>
          <w:rPr>
            <w:noProof/>
            <w:webHidden/>
          </w:rPr>
          <w:instrText xml:space="preserve"> PAGEREF _Toc177387851 \h </w:instrText>
        </w:r>
        <w:r>
          <w:rPr>
            <w:noProof/>
            <w:webHidden/>
          </w:rPr>
        </w:r>
        <w:r>
          <w:rPr>
            <w:noProof/>
            <w:webHidden/>
          </w:rPr>
          <w:fldChar w:fldCharType="separate"/>
        </w:r>
        <w:r w:rsidR="0096247A">
          <w:rPr>
            <w:noProof/>
            <w:webHidden/>
          </w:rPr>
          <w:t>53</w:t>
        </w:r>
        <w:r>
          <w:rPr>
            <w:noProof/>
            <w:webHidden/>
          </w:rPr>
          <w:fldChar w:fldCharType="end"/>
        </w:r>
      </w:hyperlink>
    </w:p>
    <w:p w14:paraId="7C99FD67"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52" w:history="1">
        <w:r w:rsidRPr="0016538D">
          <w:rPr>
            <w:rStyle w:val="Hyperlink"/>
            <w:noProof/>
          </w:rPr>
          <w:t xml:space="preserve">3.9 </w:t>
        </w:r>
        <w:r w:rsidRPr="0016538D">
          <w:rPr>
            <w:rStyle w:val="Hyperlink"/>
            <w:bCs/>
            <w:noProof/>
          </w:rPr>
          <w:t>Hypotheses Testing</w:t>
        </w:r>
        <w:r>
          <w:rPr>
            <w:noProof/>
            <w:webHidden/>
          </w:rPr>
          <w:tab/>
        </w:r>
        <w:r>
          <w:rPr>
            <w:noProof/>
            <w:webHidden/>
          </w:rPr>
          <w:fldChar w:fldCharType="begin"/>
        </w:r>
        <w:r>
          <w:rPr>
            <w:noProof/>
            <w:webHidden/>
          </w:rPr>
          <w:instrText xml:space="preserve"> PAGEREF _Toc177387852 \h </w:instrText>
        </w:r>
        <w:r>
          <w:rPr>
            <w:noProof/>
            <w:webHidden/>
          </w:rPr>
        </w:r>
        <w:r>
          <w:rPr>
            <w:noProof/>
            <w:webHidden/>
          </w:rPr>
          <w:fldChar w:fldCharType="separate"/>
        </w:r>
        <w:r w:rsidR="0096247A">
          <w:rPr>
            <w:noProof/>
            <w:webHidden/>
          </w:rPr>
          <w:t>56</w:t>
        </w:r>
        <w:r>
          <w:rPr>
            <w:noProof/>
            <w:webHidden/>
          </w:rPr>
          <w:fldChar w:fldCharType="end"/>
        </w:r>
      </w:hyperlink>
    </w:p>
    <w:p w14:paraId="3A9B4630"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57" w:history="1">
        <w:r w:rsidRPr="0016538D">
          <w:rPr>
            <w:rStyle w:val="Hyperlink"/>
            <w:noProof/>
          </w:rPr>
          <w:t xml:space="preserve">3.10 </w:t>
        </w:r>
        <w:r w:rsidRPr="0016538D">
          <w:rPr>
            <w:rStyle w:val="Hyperlink"/>
            <w:bCs/>
            <w:noProof/>
          </w:rPr>
          <w:t>Analytical Models</w:t>
        </w:r>
        <w:r>
          <w:rPr>
            <w:noProof/>
            <w:webHidden/>
          </w:rPr>
          <w:tab/>
        </w:r>
        <w:r>
          <w:rPr>
            <w:noProof/>
            <w:webHidden/>
          </w:rPr>
          <w:fldChar w:fldCharType="begin"/>
        </w:r>
        <w:r>
          <w:rPr>
            <w:noProof/>
            <w:webHidden/>
          </w:rPr>
          <w:instrText xml:space="preserve"> PAGEREF _Toc177387857 \h </w:instrText>
        </w:r>
        <w:r>
          <w:rPr>
            <w:noProof/>
            <w:webHidden/>
          </w:rPr>
        </w:r>
        <w:r>
          <w:rPr>
            <w:noProof/>
            <w:webHidden/>
          </w:rPr>
          <w:fldChar w:fldCharType="separate"/>
        </w:r>
        <w:r w:rsidR="0096247A">
          <w:rPr>
            <w:noProof/>
            <w:webHidden/>
          </w:rPr>
          <w:t>59</w:t>
        </w:r>
        <w:r>
          <w:rPr>
            <w:noProof/>
            <w:webHidden/>
          </w:rPr>
          <w:fldChar w:fldCharType="end"/>
        </w:r>
      </w:hyperlink>
    </w:p>
    <w:p w14:paraId="71E07D52"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58" w:history="1">
        <w:r w:rsidRPr="0016538D">
          <w:rPr>
            <w:rStyle w:val="Hyperlink"/>
            <w:noProof/>
          </w:rPr>
          <w:t>3.11 Ethical Considerations</w:t>
        </w:r>
        <w:r>
          <w:rPr>
            <w:noProof/>
            <w:webHidden/>
          </w:rPr>
          <w:tab/>
        </w:r>
        <w:r>
          <w:rPr>
            <w:noProof/>
            <w:webHidden/>
          </w:rPr>
          <w:fldChar w:fldCharType="begin"/>
        </w:r>
        <w:r>
          <w:rPr>
            <w:noProof/>
            <w:webHidden/>
          </w:rPr>
          <w:instrText xml:space="preserve"> PAGEREF _Toc177387858 \h </w:instrText>
        </w:r>
        <w:r>
          <w:rPr>
            <w:noProof/>
            <w:webHidden/>
          </w:rPr>
        </w:r>
        <w:r>
          <w:rPr>
            <w:noProof/>
            <w:webHidden/>
          </w:rPr>
          <w:fldChar w:fldCharType="separate"/>
        </w:r>
        <w:r w:rsidR="0096247A">
          <w:rPr>
            <w:noProof/>
            <w:webHidden/>
          </w:rPr>
          <w:t>60</w:t>
        </w:r>
        <w:r>
          <w:rPr>
            <w:noProof/>
            <w:webHidden/>
          </w:rPr>
          <w:fldChar w:fldCharType="end"/>
        </w:r>
      </w:hyperlink>
    </w:p>
    <w:p w14:paraId="4C34A37B"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64" w:history="1">
        <w:r w:rsidRPr="0016538D">
          <w:rPr>
            <w:rStyle w:val="Hyperlink"/>
            <w:noProof/>
          </w:rPr>
          <w:t>3.12 Summary</w:t>
        </w:r>
        <w:r>
          <w:rPr>
            <w:noProof/>
            <w:webHidden/>
          </w:rPr>
          <w:tab/>
        </w:r>
        <w:r>
          <w:rPr>
            <w:noProof/>
            <w:webHidden/>
          </w:rPr>
          <w:fldChar w:fldCharType="begin"/>
        </w:r>
        <w:r>
          <w:rPr>
            <w:noProof/>
            <w:webHidden/>
          </w:rPr>
          <w:instrText xml:space="preserve"> PAGEREF _Toc177387864 \h </w:instrText>
        </w:r>
        <w:r>
          <w:rPr>
            <w:noProof/>
            <w:webHidden/>
          </w:rPr>
        </w:r>
        <w:r>
          <w:rPr>
            <w:noProof/>
            <w:webHidden/>
          </w:rPr>
          <w:fldChar w:fldCharType="separate"/>
        </w:r>
        <w:r w:rsidR="0096247A">
          <w:rPr>
            <w:noProof/>
            <w:webHidden/>
          </w:rPr>
          <w:t>62</w:t>
        </w:r>
        <w:r>
          <w:rPr>
            <w:noProof/>
            <w:webHidden/>
          </w:rPr>
          <w:fldChar w:fldCharType="end"/>
        </w:r>
      </w:hyperlink>
    </w:p>
    <w:p w14:paraId="1A7086B8"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865" w:history="1">
        <w:r w:rsidRPr="0016538D">
          <w:rPr>
            <w:rStyle w:val="Hyperlink"/>
            <w:rFonts w:eastAsia="Times New Roman"/>
            <w:noProof/>
            <w:kern w:val="36"/>
            <w:lang w:eastAsia="en-GB"/>
          </w:rPr>
          <w:t>CHAPTER FOUR</w:t>
        </w:r>
        <w:r>
          <w:rPr>
            <w:noProof/>
            <w:webHidden/>
          </w:rPr>
          <w:tab/>
        </w:r>
        <w:r>
          <w:rPr>
            <w:noProof/>
            <w:webHidden/>
          </w:rPr>
          <w:fldChar w:fldCharType="begin"/>
        </w:r>
        <w:r>
          <w:rPr>
            <w:noProof/>
            <w:webHidden/>
          </w:rPr>
          <w:instrText xml:space="preserve"> PAGEREF _Toc177387865 \h </w:instrText>
        </w:r>
        <w:r>
          <w:rPr>
            <w:noProof/>
            <w:webHidden/>
          </w:rPr>
        </w:r>
        <w:r>
          <w:rPr>
            <w:noProof/>
            <w:webHidden/>
          </w:rPr>
          <w:fldChar w:fldCharType="separate"/>
        </w:r>
        <w:r w:rsidR="0096247A">
          <w:rPr>
            <w:noProof/>
            <w:webHidden/>
          </w:rPr>
          <w:t>63</w:t>
        </w:r>
        <w:r>
          <w:rPr>
            <w:noProof/>
            <w:webHidden/>
          </w:rPr>
          <w:fldChar w:fldCharType="end"/>
        </w:r>
      </w:hyperlink>
    </w:p>
    <w:p w14:paraId="69ECFCEF"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866" w:history="1">
        <w:r w:rsidRPr="0016538D">
          <w:rPr>
            <w:rStyle w:val="Hyperlink"/>
            <w:rFonts w:eastAsia="Times New Roman"/>
            <w:noProof/>
            <w:kern w:val="36"/>
            <w:lang w:eastAsia="en-GB"/>
          </w:rPr>
          <w:t>DATA ANALYSIS AND RESEARCH RESULTS</w:t>
        </w:r>
        <w:r>
          <w:rPr>
            <w:noProof/>
            <w:webHidden/>
          </w:rPr>
          <w:tab/>
        </w:r>
        <w:r>
          <w:rPr>
            <w:noProof/>
            <w:webHidden/>
          </w:rPr>
          <w:fldChar w:fldCharType="begin"/>
        </w:r>
        <w:r>
          <w:rPr>
            <w:noProof/>
            <w:webHidden/>
          </w:rPr>
          <w:instrText xml:space="preserve"> PAGEREF _Toc177387866 \h </w:instrText>
        </w:r>
        <w:r>
          <w:rPr>
            <w:noProof/>
            <w:webHidden/>
          </w:rPr>
        </w:r>
        <w:r>
          <w:rPr>
            <w:noProof/>
            <w:webHidden/>
          </w:rPr>
          <w:fldChar w:fldCharType="separate"/>
        </w:r>
        <w:r w:rsidR="0096247A">
          <w:rPr>
            <w:noProof/>
            <w:webHidden/>
          </w:rPr>
          <w:t>63</w:t>
        </w:r>
        <w:r>
          <w:rPr>
            <w:noProof/>
            <w:webHidden/>
          </w:rPr>
          <w:fldChar w:fldCharType="end"/>
        </w:r>
      </w:hyperlink>
    </w:p>
    <w:p w14:paraId="43B05097"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67" w:history="1">
        <w:r w:rsidRPr="0016538D">
          <w:rPr>
            <w:rStyle w:val="Hyperlink"/>
            <w:noProof/>
          </w:rPr>
          <w:t>4.0 Introduction</w:t>
        </w:r>
        <w:r>
          <w:rPr>
            <w:noProof/>
            <w:webHidden/>
          </w:rPr>
          <w:tab/>
        </w:r>
        <w:r>
          <w:rPr>
            <w:noProof/>
            <w:webHidden/>
          </w:rPr>
          <w:fldChar w:fldCharType="begin"/>
        </w:r>
        <w:r>
          <w:rPr>
            <w:noProof/>
            <w:webHidden/>
          </w:rPr>
          <w:instrText xml:space="preserve"> PAGEREF _Toc177387867 \h </w:instrText>
        </w:r>
        <w:r>
          <w:rPr>
            <w:noProof/>
            <w:webHidden/>
          </w:rPr>
        </w:r>
        <w:r>
          <w:rPr>
            <w:noProof/>
            <w:webHidden/>
          </w:rPr>
          <w:fldChar w:fldCharType="separate"/>
        </w:r>
        <w:r w:rsidR="0096247A">
          <w:rPr>
            <w:noProof/>
            <w:webHidden/>
          </w:rPr>
          <w:t>63</w:t>
        </w:r>
        <w:r>
          <w:rPr>
            <w:noProof/>
            <w:webHidden/>
          </w:rPr>
          <w:fldChar w:fldCharType="end"/>
        </w:r>
      </w:hyperlink>
    </w:p>
    <w:p w14:paraId="5E107CAE"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68" w:history="1">
        <w:r w:rsidRPr="0016538D">
          <w:rPr>
            <w:rStyle w:val="Hyperlink"/>
            <w:noProof/>
          </w:rPr>
          <w:t>4.1 Response Rate</w:t>
        </w:r>
        <w:r>
          <w:rPr>
            <w:noProof/>
            <w:webHidden/>
          </w:rPr>
          <w:tab/>
        </w:r>
        <w:r>
          <w:rPr>
            <w:noProof/>
            <w:webHidden/>
          </w:rPr>
          <w:fldChar w:fldCharType="begin"/>
        </w:r>
        <w:r>
          <w:rPr>
            <w:noProof/>
            <w:webHidden/>
          </w:rPr>
          <w:instrText xml:space="preserve"> PAGEREF _Toc177387868 \h </w:instrText>
        </w:r>
        <w:r>
          <w:rPr>
            <w:noProof/>
            <w:webHidden/>
          </w:rPr>
        </w:r>
        <w:r>
          <w:rPr>
            <w:noProof/>
            <w:webHidden/>
          </w:rPr>
          <w:fldChar w:fldCharType="separate"/>
        </w:r>
        <w:r w:rsidR="0096247A">
          <w:rPr>
            <w:noProof/>
            <w:webHidden/>
          </w:rPr>
          <w:t>63</w:t>
        </w:r>
        <w:r>
          <w:rPr>
            <w:noProof/>
            <w:webHidden/>
          </w:rPr>
          <w:fldChar w:fldCharType="end"/>
        </w:r>
      </w:hyperlink>
    </w:p>
    <w:p w14:paraId="398C1885"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69" w:history="1">
        <w:r w:rsidRPr="00D933F2">
          <w:rPr>
            <w:rStyle w:val="Hyperlink"/>
            <w:rFonts w:eastAsia="Times New Roman"/>
            <w:noProof/>
          </w:rPr>
          <w:t>4.2 Demographic Characteristics of Respondents</w:t>
        </w:r>
        <w:r w:rsidRPr="00D933F2">
          <w:rPr>
            <w:noProof/>
            <w:webHidden/>
          </w:rPr>
          <w:tab/>
        </w:r>
        <w:r w:rsidRPr="00D933F2">
          <w:rPr>
            <w:noProof/>
            <w:webHidden/>
          </w:rPr>
          <w:fldChar w:fldCharType="begin"/>
        </w:r>
        <w:r w:rsidRPr="00D933F2">
          <w:rPr>
            <w:noProof/>
            <w:webHidden/>
          </w:rPr>
          <w:instrText xml:space="preserve"> PAGEREF _Toc177387869 \h </w:instrText>
        </w:r>
        <w:r w:rsidRPr="00D933F2">
          <w:rPr>
            <w:noProof/>
            <w:webHidden/>
          </w:rPr>
        </w:r>
        <w:r w:rsidRPr="00D933F2">
          <w:rPr>
            <w:noProof/>
            <w:webHidden/>
          </w:rPr>
          <w:fldChar w:fldCharType="separate"/>
        </w:r>
        <w:r w:rsidR="0096247A">
          <w:rPr>
            <w:noProof/>
            <w:webHidden/>
          </w:rPr>
          <w:t>64</w:t>
        </w:r>
        <w:r w:rsidRPr="00D933F2">
          <w:rPr>
            <w:noProof/>
            <w:webHidden/>
          </w:rPr>
          <w:fldChar w:fldCharType="end"/>
        </w:r>
      </w:hyperlink>
    </w:p>
    <w:p w14:paraId="4E958314"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74" w:history="1">
        <w:r w:rsidRPr="0016538D">
          <w:rPr>
            <w:rStyle w:val="Hyperlink"/>
            <w:noProof/>
          </w:rPr>
          <w:t>4.3 Results of the Pilot Survey</w:t>
        </w:r>
        <w:r>
          <w:rPr>
            <w:noProof/>
            <w:webHidden/>
          </w:rPr>
          <w:tab/>
        </w:r>
        <w:r>
          <w:rPr>
            <w:noProof/>
            <w:webHidden/>
          </w:rPr>
          <w:fldChar w:fldCharType="begin"/>
        </w:r>
        <w:r>
          <w:rPr>
            <w:noProof/>
            <w:webHidden/>
          </w:rPr>
          <w:instrText xml:space="preserve"> PAGEREF _Toc177387874 \h </w:instrText>
        </w:r>
        <w:r>
          <w:rPr>
            <w:noProof/>
            <w:webHidden/>
          </w:rPr>
        </w:r>
        <w:r>
          <w:rPr>
            <w:noProof/>
            <w:webHidden/>
          </w:rPr>
          <w:fldChar w:fldCharType="separate"/>
        </w:r>
        <w:r w:rsidR="0096247A">
          <w:rPr>
            <w:noProof/>
            <w:webHidden/>
          </w:rPr>
          <w:t>69</w:t>
        </w:r>
        <w:r>
          <w:rPr>
            <w:noProof/>
            <w:webHidden/>
          </w:rPr>
          <w:fldChar w:fldCharType="end"/>
        </w:r>
      </w:hyperlink>
    </w:p>
    <w:p w14:paraId="58D26B28"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79" w:history="1">
        <w:r w:rsidRPr="0016538D">
          <w:rPr>
            <w:rStyle w:val="Hyperlink"/>
            <w:noProof/>
          </w:rPr>
          <w:t xml:space="preserve">4.4 Descriptive Statistics </w:t>
        </w:r>
        <w:r>
          <w:rPr>
            <w:noProof/>
            <w:webHidden/>
          </w:rPr>
          <w:tab/>
        </w:r>
        <w:r>
          <w:rPr>
            <w:noProof/>
            <w:webHidden/>
          </w:rPr>
          <w:fldChar w:fldCharType="begin"/>
        </w:r>
        <w:r>
          <w:rPr>
            <w:noProof/>
            <w:webHidden/>
          </w:rPr>
          <w:instrText xml:space="preserve"> PAGEREF _Toc177387879 \h </w:instrText>
        </w:r>
        <w:r>
          <w:rPr>
            <w:noProof/>
            <w:webHidden/>
          </w:rPr>
        </w:r>
        <w:r>
          <w:rPr>
            <w:noProof/>
            <w:webHidden/>
          </w:rPr>
          <w:fldChar w:fldCharType="separate"/>
        </w:r>
        <w:r w:rsidR="0096247A">
          <w:rPr>
            <w:noProof/>
            <w:webHidden/>
          </w:rPr>
          <w:t>87</w:t>
        </w:r>
        <w:r>
          <w:rPr>
            <w:noProof/>
            <w:webHidden/>
          </w:rPr>
          <w:fldChar w:fldCharType="end"/>
        </w:r>
      </w:hyperlink>
    </w:p>
    <w:p w14:paraId="1B65D605"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84" w:history="1">
        <w:r w:rsidRPr="0016538D">
          <w:rPr>
            <w:rStyle w:val="Hyperlink"/>
            <w:noProof/>
          </w:rPr>
          <w:t xml:space="preserve">4.5 Relationship Between </w:t>
        </w:r>
        <w:r w:rsidR="00D933F2">
          <w:rPr>
            <w:rStyle w:val="Hyperlink"/>
            <w:noProof/>
          </w:rPr>
          <w:t xml:space="preserve">CG, SI, GR </w:t>
        </w:r>
        <w:r w:rsidRPr="0016538D">
          <w:rPr>
            <w:rStyle w:val="Hyperlink"/>
            <w:noProof/>
          </w:rPr>
          <w:t xml:space="preserve">and Organisational Performance of </w:t>
        </w:r>
        <w:r w:rsidR="00D933F2">
          <w:rPr>
            <w:rStyle w:val="Hyperlink"/>
            <w:noProof/>
          </w:rPr>
          <w:t>FBHs</w:t>
        </w:r>
        <w:r>
          <w:rPr>
            <w:noProof/>
            <w:webHidden/>
          </w:rPr>
          <w:tab/>
        </w:r>
        <w:r>
          <w:rPr>
            <w:noProof/>
            <w:webHidden/>
          </w:rPr>
          <w:fldChar w:fldCharType="begin"/>
        </w:r>
        <w:r>
          <w:rPr>
            <w:noProof/>
            <w:webHidden/>
          </w:rPr>
          <w:instrText xml:space="preserve"> PAGEREF _Toc177387884 \h </w:instrText>
        </w:r>
        <w:r>
          <w:rPr>
            <w:noProof/>
            <w:webHidden/>
          </w:rPr>
        </w:r>
        <w:r>
          <w:rPr>
            <w:noProof/>
            <w:webHidden/>
          </w:rPr>
          <w:fldChar w:fldCharType="separate"/>
        </w:r>
        <w:r w:rsidR="0096247A">
          <w:rPr>
            <w:noProof/>
            <w:webHidden/>
          </w:rPr>
          <w:t>92</w:t>
        </w:r>
        <w:r>
          <w:rPr>
            <w:noProof/>
            <w:webHidden/>
          </w:rPr>
          <w:fldChar w:fldCharType="end"/>
        </w:r>
      </w:hyperlink>
    </w:p>
    <w:p w14:paraId="2CD0344A"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85" w:history="1">
        <w:r w:rsidRPr="0016538D">
          <w:rPr>
            <w:rStyle w:val="Hyperlink"/>
            <w:noProof/>
          </w:rPr>
          <w:t>4.6 Hypotheses Testing</w:t>
        </w:r>
        <w:r>
          <w:rPr>
            <w:noProof/>
            <w:webHidden/>
          </w:rPr>
          <w:tab/>
        </w:r>
        <w:r>
          <w:rPr>
            <w:noProof/>
            <w:webHidden/>
          </w:rPr>
          <w:fldChar w:fldCharType="begin"/>
        </w:r>
        <w:r>
          <w:rPr>
            <w:noProof/>
            <w:webHidden/>
          </w:rPr>
          <w:instrText xml:space="preserve"> PAGEREF _Toc177387885 \h </w:instrText>
        </w:r>
        <w:r>
          <w:rPr>
            <w:noProof/>
            <w:webHidden/>
          </w:rPr>
        </w:r>
        <w:r>
          <w:rPr>
            <w:noProof/>
            <w:webHidden/>
          </w:rPr>
          <w:fldChar w:fldCharType="separate"/>
        </w:r>
        <w:r w:rsidR="0096247A">
          <w:rPr>
            <w:noProof/>
            <w:webHidden/>
          </w:rPr>
          <w:t>94</w:t>
        </w:r>
        <w:r>
          <w:rPr>
            <w:noProof/>
            <w:webHidden/>
          </w:rPr>
          <w:fldChar w:fldCharType="end"/>
        </w:r>
      </w:hyperlink>
    </w:p>
    <w:p w14:paraId="4A72D6BF"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90" w:history="1">
        <w:r w:rsidRPr="00D933F2">
          <w:rPr>
            <w:rStyle w:val="Hyperlink"/>
            <w:rFonts w:eastAsia="Times New Roman"/>
            <w:noProof/>
          </w:rPr>
          <w:t>4.7 Chapter Summary</w:t>
        </w:r>
        <w:r w:rsidRPr="00D933F2">
          <w:rPr>
            <w:noProof/>
            <w:webHidden/>
          </w:rPr>
          <w:tab/>
        </w:r>
        <w:r w:rsidRPr="00D933F2">
          <w:rPr>
            <w:noProof/>
            <w:webHidden/>
          </w:rPr>
          <w:fldChar w:fldCharType="begin"/>
        </w:r>
        <w:r w:rsidRPr="00D933F2">
          <w:rPr>
            <w:noProof/>
            <w:webHidden/>
          </w:rPr>
          <w:instrText xml:space="preserve"> PAGEREF _Toc177387890 \h </w:instrText>
        </w:r>
        <w:r w:rsidRPr="00D933F2">
          <w:rPr>
            <w:noProof/>
            <w:webHidden/>
          </w:rPr>
        </w:r>
        <w:r w:rsidRPr="00D933F2">
          <w:rPr>
            <w:noProof/>
            <w:webHidden/>
          </w:rPr>
          <w:fldChar w:fldCharType="separate"/>
        </w:r>
        <w:r w:rsidR="0096247A">
          <w:rPr>
            <w:noProof/>
            <w:webHidden/>
          </w:rPr>
          <w:t>110</w:t>
        </w:r>
        <w:r w:rsidRPr="00D933F2">
          <w:rPr>
            <w:noProof/>
            <w:webHidden/>
          </w:rPr>
          <w:fldChar w:fldCharType="end"/>
        </w:r>
      </w:hyperlink>
    </w:p>
    <w:p w14:paraId="32A52B63"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891" w:history="1">
        <w:r w:rsidRPr="0016538D">
          <w:rPr>
            <w:rStyle w:val="Hyperlink"/>
            <w:noProof/>
          </w:rPr>
          <w:t>CHAPTER FIVE</w:t>
        </w:r>
        <w:r>
          <w:rPr>
            <w:noProof/>
            <w:webHidden/>
          </w:rPr>
          <w:tab/>
        </w:r>
        <w:r>
          <w:rPr>
            <w:noProof/>
            <w:webHidden/>
          </w:rPr>
          <w:fldChar w:fldCharType="begin"/>
        </w:r>
        <w:r>
          <w:rPr>
            <w:noProof/>
            <w:webHidden/>
          </w:rPr>
          <w:instrText xml:space="preserve"> PAGEREF _Toc177387891 \h </w:instrText>
        </w:r>
        <w:r>
          <w:rPr>
            <w:noProof/>
            <w:webHidden/>
          </w:rPr>
        </w:r>
        <w:r>
          <w:rPr>
            <w:noProof/>
            <w:webHidden/>
          </w:rPr>
          <w:fldChar w:fldCharType="separate"/>
        </w:r>
        <w:r w:rsidR="0096247A">
          <w:rPr>
            <w:noProof/>
            <w:webHidden/>
          </w:rPr>
          <w:t>111</w:t>
        </w:r>
        <w:r>
          <w:rPr>
            <w:noProof/>
            <w:webHidden/>
          </w:rPr>
          <w:fldChar w:fldCharType="end"/>
        </w:r>
      </w:hyperlink>
    </w:p>
    <w:p w14:paraId="057E522E"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892" w:history="1">
        <w:r w:rsidRPr="0016538D">
          <w:rPr>
            <w:rStyle w:val="Hyperlink"/>
            <w:noProof/>
          </w:rPr>
          <w:t>SUMMARY, CONCLUSIONS AND RECOMMENDATIONS</w:t>
        </w:r>
        <w:r>
          <w:rPr>
            <w:noProof/>
            <w:webHidden/>
          </w:rPr>
          <w:tab/>
        </w:r>
        <w:r>
          <w:rPr>
            <w:noProof/>
            <w:webHidden/>
          </w:rPr>
          <w:fldChar w:fldCharType="begin"/>
        </w:r>
        <w:r>
          <w:rPr>
            <w:noProof/>
            <w:webHidden/>
          </w:rPr>
          <w:instrText xml:space="preserve"> PAGEREF _Toc177387892 \h </w:instrText>
        </w:r>
        <w:r>
          <w:rPr>
            <w:noProof/>
            <w:webHidden/>
          </w:rPr>
        </w:r>
        <w:r>
          <w:rPr>
            <w:noProof/>
            <w:webHidden/>
          </w:rPr>
          <w:fldChar w:fldCharType="separate"/>
        </w:r>
        <w:r w:rsidR="0096247A">
          <w:rPr>
            <w:noProof/>
            <w:webHidden/>
          </w:rPr>
          <w:t>111</w:t>
        </w:r>
        <w:r>
          <w:rPr>
            <w:noProof/>
            <w:webHidden/>
          </w:rPr>
          <w:fldChar w:fldCharType="end"/>
        </w:r>
      </w:hyperlink>
    </w:p>
    <w:p w14:paraId="5A2360B0"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93" w:history="1">
        <w:r w:rsidRPr="00D933F2">
          <w:rPr>
            <w:rStyle w:val="Hyperlink"/>
            <w:rFonts w:eastAsia="Times New Roman"/>
            <w:noProof/>
          </w:rPr>
          <w:t>5.0 Introduction</w:t>
        </w:r>
        <w:r w:rsidRPr="00D933F2">
          <w:rPr>
            <w:noProof/>
            <w:webHidden/>
          </w:rPr>
          <w:tab/>
        </w:r>
        <w:r w:rsidRPr="00D933F2">
          <w:rPr>
            <w:noProof/>
            <w:webHidden/>
          </w:rPr>
          <w:fldChar w:fldCharType="begin"/>
        </w:r>
        <w:r w:rsidRPr="00D933F2">
          <w:rPr>
            <w:noProof/>
            <w:webHidden/>
          </w:rPr>
          <w:instrText xml:space="preserve"> PAGEREF _Toc177387893 \h </w:instrText>
        </w:r>
        <w:r w:rsidRPr="00D933F2">
          <w:rPr>
            <w:noProof/>
            <w:webHidden/>
          </w:rPr>
        </w:r>
        <w:r w:rsidRPr="00D933F2">
          <w:rPr>
            <w:noProof/>
            <w:webHidden/>
          </w:rPr>
          <w:fldChar w:fldCharType="separate"/>
        </w:r>
        <w:r w:rsidR="0096247A">
          <w:rPr>
            <w:noProof/>
            <w:webHidden/>
          </w:rPr>
          <w:t>111</w:t>
        </w:r>
        <w:r w:rsidRPr="00D933F2">
          <w:rPr>
            <w:noProof/>
            <w:webHidden/>
          </w:rPr>
          <w:fldChar w:fldCharType="end"/>
        </w:r>
      </w:hyperlink>
    </w:p>
    <w:p w14:paraId="1A411FB3"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894" w:history="1">
        <w:r w:rsidRPr="00D933F2">
          <w:rPr>
            <w:rStyle w:val="Hyperlink"/>
            <w:rFonts w:eastAsia="Times New Roman"/>
            <w:noProof/>
          </w:rPr>
          <w:t>5.1 Summary of Findings</w:t>
        </w:r>
        <w:r w:rsidRPr="00D933F2">
          <w:rPr>
            <w:noProof/>
            <w:webHidden/>
          </w:rPr>
          <w:tab/>
        </w:r>
        <w:r w:rsidRPr="00D933F2">
          <w:rPr>
            <w:noProof/>
            <w:webHidden/>
          </w:rPr>
          <w:fldChar w:fldCharType="begin"/>
        </w:r>
        <w:r w:rsidRPr="00D933F2">
          <w:rPr>
            <w:noProof/>
            <w:webHidden/>
          </w:rPr>
          <w:instrText xml:space="preserve"> PAGEREF _Toc177387894 \h </w:instrText>
        </w:r>
        <w:r w:rsidRPr="00D933F2">
          <w:rPr>
            <w:noProof/>
            <w:webHidden/>
          </w:rPr>
        </w:r>
        <w:r w:rsidRPr="00D933F2">
          <w:rPr>
            <w:noProof/>
            <w:webHidden/>
          </w:rPr>
          <w:fldChar w:fldCharType="separate"/>
        </w:r>
        <w:r w:rsidR="0096247A">
          <w:rPr>
            <w:noProof/>
            <w:webHidden/>
          </w:rPr>
          <w:t>111</w:t>
        </w:r>
        <w:r w:rsidRPr="00D933F2">
          <w:rPr>
            <w:noProof/>
            <w:webHidden/>
          </w:rPr>
          <w:fldChar w:fldCharType="end"/>
        </w:r>
      </w:hyperlink>
    </w:p>
    <w:p w14:paraId="4F69CEBF"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901" w:history="1">
        <w:r w:rsidRPr="00D933F2">
          <w:rPr>
            <w:rStyle w:val="Hyperlink"/>
            <w:rFonts w:eastAsia="+mn-ea"/>
            <w:noProof/>
            <w:lang w:eastAsia="en-GB"/>
          </w:rPr>
          <w:t>5.2 Conclusions</w:t>
        </w:r>
        <w:r w:rsidRPr="00D933F2">
          <w:rPr>
            <w:noProof/>
            <w:webHidden/>
          </w:rPr>
          <w:tab/>
        </w:r>
        <w:r w:rsidRPr="00D933F2">
          <w:rPr>
            <w:noProof/>
            <w:webHidden/>
          </w:rPr>
          <w:fldChar w:fldCharType="begin"/>
        </w:r>
        <w:r w:rsidRPr="00D933F2">
          <w:rPr>
            <w:noProof/>
            <w:webHidden/>
          </w:rPr>
          <w:instrText xml:space="preserve"> PAGEREF _Toc177387901 \h </w:instrText>
        </w:r>
        <w:r w:rsidRPr="00D933F2">
          <w:rPr>
            <w:noProof/>
            <w:webHidden/>
          </w:rPr>
        </w:r>
        <w:r w:rsidRPr="00D933F2">
          <w:rPr>
            <w:noProof/>
            <w:webHidden/>
          </w:rPr>
          <w:fldChar w:fldCharType="separate"/>
        </w:r>
        <w:r w:rsidR="0096247A">
          <w:rPr>
            <w:noProof/>
            <w:webHidden/>
          </w:rPr>
          <w:t>138</w:t>
        </w:r>
        <w:r w:rsidRPr="00D933F2">
          <w:rPr>
            <w:noProof/>
            <w:webHidden/>
          </w:rPr>
          <w:fldChar w:fldCharType="end"/>
        </w:r>
      </w:hyperlink>
    </w:p>
    <w:p w14:paraId="292D627C"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906" w:history="1">
        <w:r w:rsidRPr="0016538D">
          <w:rPr>
            <w:rStyle w:val="Hyperlink"/>
            <w:noProof/>
          </w:rPr>
          <w:t>5.3 Recommendations</w:t>
        </w:r>
        <w:r>
          <w:rPr>
            <w:noProof/>
            <w:webHidden/>
          </w:rPr>
          <w:tab/>
        </w:r>
        <w:r>
          <w:rPr>
            <w:noProof/>
            <w:webHidden/>
          </w:rPr>
          <w:fldChar w:fldCharType="begin"/>
        </w:r>
        <w:r>
          <w:rPr>
            <w:noProof/>
            <w:webHidden/>
          </w:rPr>
          <w:instrText xml:space="preserve"> PAGEREF _Toc177387906 \h </w:instrText>
        </w:r>
        <w:r>
          <w:rPr>
            <w:noProof/>
            <w:webHidden/>
          </w:rPr>
        </w:r>
        <w:r>
          <w:rPr>
            <w:noProof/>
            <w:webHidden/>
          </w:rPr>
          <w:fldChar w:fldCharType="separate"/>
        </w:r>
        <w:r w:rsidR="0096247A">
          <w:rPr>
            <w:noProof/>
            <w:webHidden/>
          </w:rPr>
          <w:t>158</w:t>
        </w:r>
        <w:r>
          <w:rPr>
            <w:noProof/>
            <w:webHidden/>
          </w:rPr>
          <w:fldChar w:fldCharType="end"/>
        </w:r>
      </w:hyperlink>
    </w:p>
    <w:p w14:paraId="4D27F481" w14:textId="77777777" w:rsidR="00510CE8" w:rsidRPr="00042AB7" w:rsidRDefault="00510CE8" w:rsidP="006F3F01">
      <w:pPr>
        <w:pStyle w:val="TOC2"/>
        <w:tabs>
          <w:tab w:val="right" w:leader="dot" w:pos="8640"/>
        </w:tabs>
        <w:spacing w:after="0" w:line="360" w:lineRule="auto"/>
        <w:rPr>
          <w:rFonts w:ascii="Calibri" w:eastAsia="Times New Roman" w:hAnsi="Calibri"/>
          <w:noProof/>
          <w:kern w:val="2"/>
          <w:sz w:val="22"/>
        </w:rPr>
      </w:pPr>
      <w:hyperlink w:anchor="_Toc177387910" w:history="1">
        <w:r w:rsidRPr="0016538D">
          <w:rPr>
            <w:rStyle w:val="Hyperlink"/>
            <w:noProof/>
          </w:rPr>
          <w:t>5.4 Suggestions for Future Research</w:t>
        </w:r>
        <w:r>
          <w:rPr>
            <w:noProof/>
            <w:webHidden/>
          </w:rPr>
          <w:tab/>
        </w:r>
        <w:r>
          <w:rPr>
            <w:noProof/>
            <w:webHidden/>
          </w:rPr>
          <w:fldChar w:fldCharType="begin"/>
        </w:r>
        <w:r>
          <w:rPr>
            <w:noProof/>
            <w:webHidden/>
          </w:rPr>
          <w:instrText xml:space="preserve"> PAGEREF _Toc177387910 \h </w:instrText>
        </w:r>
        <w:r>
          <w:rPr>
            <w:noProof/>
            <w:webHidden/>
          </w:rPr>
        </w:r>
        <w:r>
          <w:rPr>
            <w:noProof/>
            <w:webHidden/>
          </w:rPr>
          <w:fldChar w:fldCharType="separate"/>
        </w:r>
        <w:r w:rsidR="0096247A">
          <w:rPr>
            <w:noProof/>
            <w:webHidden/>
          </w:rPr>
          <w:t>167</w:t>
        </w:r>
        <w:r>
          <w:rPr>
            <w:noProof/>
            <w:webHidden/>
          </w:rPr>
          <w:fldChar w:fldCharType="end"/>
        </w:r>
      </w:hyperlink>
    </w:p>
    <w:p w14:paraId="10DBE151"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911" w:history="1">
        <w:r w:rsidRPr="0016538D">
          <w:rPr>
            <w:rStyle w:val="Hyperlink"/>
            <w:noProof/>
          </w:rPr>
          <w:t>REFERENCES</w:t>
        </w:r>
        <w:r>
          <w:rPr>
            <w:noProof/>
            <w:webHidden/>
          </w:rPr>
          <w:tab/>
        </w:r>
        <w:r>
          <w:rPr>
            <w:noProof/>
            <w:webHidden/>
          </w:rPr>
          <w:fldChar w:fldCharType="begin"/>
        </w:r>
        <w:r>
          <w:rPr>
            <w:noProof/>
            <w:webHidden/>
          </w:rPr>
          <w:instrText xml:space="preserve"> PAGEREF _Toc177387911 \h </w:instrText>
        </w:r>
        <w:r>
          <w:rPr>
            <w:noProof/>
            <w:webHidden/>
          </w:rPr>
        </w:r>
        <w:r>
          <w:rPr>
            <w:noProof/>
            <w:webHidden/>
          </w:rPr>
          <w:fldChar w:fldCharType="separate"/>
        </w:r>
        <w:r w:rsidR="0096247A">
          <w:rPr>
            <w:noProof/>
            <w:webHidden/>
          </w:rPr>
          <w:t>169</w:t>
        </w:r>
        <w:r>
          <w:rPr>
            <w:noProof/>
            <w:webHidden/>
          </w:rPr>
          <w:fldChar w:fldCharType="end"/>
        </w:r>
      </w:hyperlink>
    </w:p>
    <w:p w14:paraId="5E5F9BD8"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912" w:history="1">
        <w:r w:rsidRPr="0016538D">
          <w:rPr>
            <w:rStyle w:val="Hyperlink"/>
            <w:noProof/>
          </w:rPr>
          <w:t>APPENDICES</w:t>
        </w:r>
      </w:hyperlink>
    </w:p>
    <w:p w14:paraId="14EA88E2"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913" w:history="1">
        <w:r w:rsidRPr="0016538D">
          <w:rPr>
            <w:rStyle w:val="Hyperlink"/>
            <w:noProof/>
          </w:rPr>
          <w:t>Appendix I: Letter of Introduction</w:t>
        </w:r>
      </w:hyperlink>
    </w:p>
    <w:p w14:paraId="049210A9"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914" w:history="1">
        <w:r w:rsidRPr="0016538D">
          <w:rPr>
            <w:rStyle w:val="Hyperlink"/>
            <w:noProof/>
          </w:rPr>
          <w:t>Appendix II: Letter From the University</w:t>
        </w:r>
      </w:hyperlink>
    </w:p>
    <w:p w14:paraId="7295CC9A"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915" w:history="1">
        <w:r w:rsidRPr="0016538D">
          <w:rPr>
            <w:rStyle w:val="Hyperlink"/>
            <w:noProof/>
          </w:rPr>
          <w:t>Appendix III: Research Permit</w:t>
        </w:r>
      </w:hyperlink>
    </w:p>
    <w:p w14:paraId="77D72C66" w14:textId="77777777" w:rsidR="00510CE8" w:rsidRPr="00042AB7" w:rsidRDefault="00510CE8" w:rsidP="006F3F01">
      <w:pPr>
        <w:pStyle w:val="TOC1"/>
        <w:tabs>
          <w:tab w:val="clear" w:pos="9350"/>
          <w:tab w:val="right" w:leader="dot" w:pos="8640"/>
        </w:tabs>
        <w:spacing w:after="0" w:line="360" w:lineRule="auto"/>
        <w:rPr>
          <w:rFonts w:ascii="Calibri" w:eastAsia="Times New Roman" w:hAnsi="Calibri"/>
          <w:b w:val="0"/>
          <w:bCs w:val="0"/>
          <w:noProof/>
          <w:kern w:val="2"/>
          <w:sz w:val="22"/>
        </w:rPr>
      </w:pPr>
      <w:hyperlink w:anchor="_Toc177387916" w:history="1">
        <w:r w:rsidRPr="0016538D">
          <w:rPr>
            <w:rStyle w:val="Hyperlink"/>
            <w:noProof/>
          </w:rPr>
          <w:t>Appendix IV: Questionnaire</w:t>
        </w:r>
      </w:hyperlink>
    </w:p>
    <w:p w14:paraId="14CF3A05" w14:textId="77777777" w:rsidR="00510CE8" w:rsidRDefault="00510CE8" w:rsidP="006F3F01">
      <w:pPr>
        <w:pStyle w:val="TOC1"/>
        <w:tabs>
          <w:tab w:val="clear" w:pos="9350"/>
          <w:tab w:val="right" w:leader="dot" w:pos="8640"/>
        </w:tabs>
        <w:spacing w:after="0" w:line="360" w:lineRule="auto"/>
        <w:rPr>
          <w:rStyle w:val="Hyperlink"/>
          <w:noProof/>
        </w:rPr>
      </w:pPr>
      <w:hyperlink w:anchor="_Toc177387917" w:history="1">
        <w:r w:rsidRPr="0016538D">
          <w:rPr>
            <w:rStyle w:val="Hyperlink"/>
            <w:noProof/>
          </w:rPr>
          <w:t>Appendix V: List of Faith-</w:t>
        </w:r>
        <w:r w:rsidR="00CF1C42">
          <w:rPr>
            <w:rStyle w:val="Hyperlink"/>
            <w:noProof/>
          </w:rPr>
          <w:t>B</w:t>
        </w:r>
        <w:r w:rsidRPr="0016538D">
          <w:rPr>
            <w:rStyle w:val="Hyperlink"/>
            <w:noProof/>
          </w:rPr>
          <w:t>ased Hospitals</w:t>
        </w:r>
      </w:hyperlink>
    </w:p>
    <w:p w14:paraId="3BDEF06A" w14:textId="11B2EA4A" w:rsidR="00D51483" w:rsidRPr="00D51483" w:rsidRDefault="00D51483" w:rsidP="00D51483"/>
    <w:p w14:paraId="6CF19A1F" w14:textId="77777777" w:rsidR="00C91CD9" w:rsidRPr="00340BAB" w:rsidRDefault="00212BDF" w:rsidP="00340BAB">
      <w:pPr>
        <w:tabs>
          <w:tab w:val="right" w:leader="dot" w:pos="8640"/>
        </w:tabs>
        <w:rPr>
          <w:szCs w:val="24"/>
        </w:rPr>
      </w:pPr>
      <w:r w:rsidRPr="00340BAB">
        <w:rPr>
          <w:szCs w:val="24"/>
        </w:rPr>
        <w:fldChar w:fldCharType="end"/>
      </w:r>
    </w:p>
    <w:p w14:paraId="0BB27BF8" w14:textId="77777777" w:rsidR="00510CE8" w:rsidRDefault="00C91CD9" w:rsidP="00D933F2">
      <w:pPr>
        <w:pStyle w:val="Heading1"/>
        <w:tabs>
          <w:tab w:val="right" w:leader="dot" w:pos="8640"/>
        </w:tabs>
        <w:spacing w:line="360" w:lineRule="auto"/>
        <w:rPr>
          <w:noProof/>
        </w:rPr>
      </w:pPr>
      <w:r w:rsidRPr="00340BAB">
        <w:rPr>
          <w:b w:val="0"/>
          <w:szCs w:val="24"/>
        </w:rPr>
        <w:br w:type="page"/>
      </w:r>
      <w:bookmarkStart w:id="9" w:name="_Toc11164618"/>
      <w:bookmarkStart w:id="10" w:name="_Toc177387800"/>
      <w:r w:rsidRPr="00EB11D3">
        <w:rPr>
          <w:szCs w:val="24"/>
        </w:rPr>
        <w:lastRenderedPageBreak/>
        <w:t>LIST OF TABLES</w:t>
      </w:r>
      <w:bookmarkEnd w:id="9"/>
      <w:bookmarkEnd w:id="10"/>
      <w:r w:rsidRPr="00EB11D3">
        <w:rPr>
          <w:b w:val="0"/>
          <w:szCs w:val="24"/>
        </w:rPr>
        <w:fldChar w:fldCharType="begin"/>
      </w:r>
      <w:r w:rsidRPr="00EB11D3">
        <w:rPr>
          <w:b w:val="0"/>
          <w:szCs w:val="24"/>
        </w:rPr>
        <w:instrText xml:space="preserve"> TOC \h \z \c "Table" </w:instrText>
      </w:r>
      <w:r w:rsidRPr="00EB11D3">
        <w:rPr>
          <w:b w:val="0"/>
          <w:szCs w:val="24"/>
        </w:rPr>
        <w:fldChar w:fldCharType="separate"/>
      </w:r>
    </w:p>
    <w:p w14:paraId="594A915D"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32" w:history="1">
        <w:r w:rsidRPr="00A20F72">
          <w:rPr>
            <w:rStyle w:val="Hyperlink"/>
            <w:b/>
            <w:bCs/>
            <w:noProof/>
          </w:rPr>
          <w:t>Table 1:</w:t>
        </w:r>
        <w:r w:rsidRPr="00A20F72">
          <w:rPr>
            <w:rStyle w:val="Hyperlink"/>
            <w:noProof/>
          </w:rPr>
          <w:t xml:space="preserve"> </w:t>
        </w:r>
        <w:r w:rsidRPr="00D933F2">
          <w:rPr>
            <w:rStyle w:val="Hyperlink"/>
            <w:noProof/>
            <w:lang w:val="en-GB"/>
          </w:rPr>
          <w:t xml:space="preserve">Summary of </w:t>
        </w:r>
        <w:r w:rsidRPr="00D933F2">
          <w:rPr>
            <w:rStyle w:val="Hyperlink"/>
            <w:noProof/>
          </w:rPr>
          <w:t>Research</w:t>
        </w:r>
        <w:r w:rsidRPr="00D933F2">
          <w:rPr>
            <w:rStyle w:val="Hyperlink"/>
            <w:noProof/>
            <w:lang w:val="en-GB"/>
          </w:rPr>
          <w:t xml:space="preserve"> Gaps</w:t>
        </w:r>
        <w:r>
          <w:rPr>
            <w:noProof/>
            <w:webHidden/>
          </w:rPr>
          <w:tab/>
        </w:r>
        <w:r>
          <w:rPr>
            <w:noProof/>
            <w:webHidden/>
          </w:rPr>
          <w:fldChar w:fldCharType="begin"/>
        </w:r>
        <w:r>
          <w:rPr>
            <w:noProof/>
            <w:webHidden/>
          </w:rPr>
          <w:instrText xml:space="preserve"> PAGEREF _Toc177387932 \h </w:instrText>
        </w:r>
        <w:r>
          <w:rPr>
            <w:noProof/>
            <w:webHidden/>
          </w:rPr>
        </w:r>
        <w:r>
          <w:rPr>
            <w:noProof/>
            <w:webHidden/>
          </w:rPr>
          <w:fldChar w:fldCharType="separate"/>
        </w:r>
        <w:r w:rsidR="0096247A">
          <w:rPr>
            <w:noProof/>
            <w:webHidden/>
          </w:rPr>
          <w:t>40</w:t>
        </w:r>
        <w:r>
          <w:rPr>
            <w:noProof/>
            <w:webHidden/>
          </w:rPr>
          <w:fldChar w:fldCharType="end"/>
        </w:r>
      </w:hyperlink>
    </w:p>
    <w:p w14:paraId="1CB78670"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33" w:history="1">
        <w:r w:rsidRPr="00D933F2">
          <w:rPr>
            <w:rStyle w:val="Hyperlink"/>
            <w:rFonts w:eastAsia="Times New Roman"/>
            <w:b/>
            <w:bCs/>
            <w:noProof/>
          </w:rPr>
          <w:t>Table</w:t>
        </w:r>
        <w:r w:rsidRPr="00A20F72">
          <w:rPr>
            <w:rStyle w:val="Hyperlink"/>
            <w:rFonts w:eastAsia="Times New Roman"/>
            <w:noProof/>
          </w:rPr>
          <w:t xml:space="preserve"> </w:t>
        </w:r>
        <w:r w:rsidRPr="00D933F2">
          <w:rPr>
            <w:rStyle w:val="Hyperlink"/>
            <w:rFonts w:eastAsia="Times New Roman"/>
            <w:b/>
            <w:bCs/>
            <w:noProof/>
          </w:rPr>
          <w:t>2</w:t>
        </w:r>
        <w:r w:rsidRPr="00A20F72">
          <w:rPr>
            <w:rStyle w:val="Hyperlink"/>
            <w:rFonts w:eastAsia="Times New Roman"/>
            <w:noProof/>
          </w:rPr>
          <w:t>: Operationalization of Variables</w:t>
        </w:r>
        <w:r>
          <w:rPr>
            <w:noProof/>
            <w:webHidden/>
          </w:rPr>
          <w:tab/>
        </w:r>
        <w:r>
          <w:rPr>
            <w:noProof/>
            <w:webHidden/>
          </w:rPr>
          <w:fldChar w:fldCharType="begin"/>
        </w:r>
        <w:r>
          <w:rPr>
            <w:noProof/>
            <w:webHidden/>
          </w:rPr>
          <w:instrText xml:space="preserve"> PAGEREF _Toc177387933 \h </w:instrText>
        </w:r>
        <w:r>
          <w:rPr>
            <w:noProof/>
            <w:webHidden/>
          </w:rPr>
        </w:r>
        <w:r>
          <w:rPr>
            <w:noProof/>
            <w:webHidden/>
          </w:rPr>
          <w:fldChar w:fldCharType="separate"/>
        </w:r>
        <w:r w:rsidR="0096247A">
          <w:rPr>
            <w:noProof/>
            <w:webHidden/>
          </w:rPr>
          <w:t>44</w:t>
        </w:r>
        <w:r>
          <w:rPr>
            <w:noProof/>
            <w:webHidden/>
          </w:rPr>
          <w:fldChar w:fldCharType="end"/>
        </w:r>
      </w:hyperlink>
    </w:p>
    <w:p w14:paraId="47AD2E82"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34" w:history="1">
        <w:r w:rsidRPr="00D933F2">
          <w:rPr>
            <w:rStyle w:val="Hyperlink"/>
            <w:b/>
            <w:bCs/>
            <w:noProof/>
          </w:rPr>
          <w:t>Table</w:t>
        </w:r>
        <w:r w:rsidRPr="00D933F2">
          <w:rPr>
            <w:rStyle w:val="Hyperlink"/>
            <w:noProof/>
          </w:rPr>
          <w:t xml:space="preserve"> </w:t>
        </w:r>
        <w:r w:rsidRPr="00D933F2">
          <w:rPr>
            <w:rStyle w:val="Hyperlink"/>
            <w:b/>
            <w:bCs/>
            <w:noProof/>
          </w:rPr>
          <w:t>3</w:t>
        </w:r>
        <w:r w:rsidRPr="00D933F2">
          <w:rPr>
            <w:rStyle w:val="Hyperlink"/>
            <w:noProof/>
          </w:rPr>
          <w:t>: Distribution of Study Population</w:t>
        </w:r>
        <w:r w:rsidRPr="00D933F2">
          <w:rPr>
            <w:noProof/>
            <w:webHidden/>
          </w:rPr>
          <w:tab/>
        </w:r>
        <w:r w:rsidRPr="00D933F2">
          <w:rPr>
            <w:noProof/>
            <w:webHidden/>
          </w:rPr>
          <w:fldChar w:fldCharType="begin"/>
        </w:r>
        <w:r w:rsidRPr="00D933F2">
          <w:rPr>
            <w:noProof/>
            <w:webHidden/>
          </w:rPr>
          <w:instrText xml:space="preserve"> PAGEREF _Toc177387934 \h </w:instrText>
        </w:r>
        <w:r w:rsidRPr="00D933F2">
          <w:rPr>
            <w:noProof/>
            <w:webHidden/>
          </w:rPr>
        </w:r>
        <w:r w:rsidRPr="00D933F2">
          <w:rPr>
            <w:noProof/>
            <w:webHidden/>
          </w:rPr>
          <w:fldChar w:fldCharType="separate"/>
        </w:r>
        <w:r w:rsidR="0096247A">
          <w:rPr>
            <w:noProof/>
            <w:webHidden/>
          </w:rPr>
          <w:t>49</w:t>
        </w:r>
        <w:r w:rsidRPr="00D933F2">
          <w:rPr>
            <w:noProof/>
            <w:webHidden/>
          </w:rPr>
          <w:fldChar w:fldCharType="end"/>
        </w:r>
      </w:hyperlink>
    </w:p>
    <w:p w14:paraId="59DE176D"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35" w:history="1">
        <w:r w:rsidRPr="00D933F2">
          <w:rPr>
            <w:rStyle w:val="Hyperlink"/>
            <w:b/>
            <w:bCs/>
            <w:noProof/>
          </w:rPr>
          <w:t>Table</w:t>
        </w:r>
        <w:r w:rsidRPr="00A20F72">
          <w:rPr>
            <w:rStyle w:val="Hyperlink"/>
            <w:noProof/>
          </w:rPr>
          <w:t xml:space="preserve"> </w:t>
        </w:r>
        <w:r w:rsidRPr="00D933F2">
          <w:rPr>
            <w:rStyle w:val="Hyperlink"/>
            <w:b/>
            <w:bCs/>
            <w:noProof/>
          </w:rPr>
          <w:t>4</w:t>
        </w:r>
        <w:r w:rsidRPr="00A20F72">
          <w:rPr>
            <w:rStyle w:val="Hyperlink"/>
            <w:noProof/>
          </w:rPr>
          <w:t xml:space="preserve">: </w:t>
        </w:r>
        <w:r w:rsidR="001614B2">
          <w:rPr>
            <w:rStyle w:val="Hyperlink"/>
            <w:noProof/>
          </w:rPr>
          <w:t>Population</w:t>
        </w:r>
        <w:r w:rsidRPr="00A20F72">
          <w:rPr>
            <w:rStyle w:val="Hyperlink"/>
            <w:noProof/>
          </w:rPr>
          <w:t xml:space="preserve"> Distribution</w:t>
        </w:r>
        <w:r>
          <w:rPr>
            <w:noProof/>
            <w:webHidden/>
          </w:rPr>
          <w:tab/>
        </w:r>
        <w:r>
          <w:rPr>
            <w:noProof/>
            <w:webHidden/>
          </w:rPr>
          <w:fldChar w:fldCharType="begin"/>
        </w:r>
        <w:r>
          <w:rPr>
            <w:noProof/>
            <w:webHidden/>
          </w:rPr>
          <w:instrText xml:space="preserve"> PAGEREF _Toc177387935 \h </w:instrText>
        </w:r>
        <w:r>
          <w:rPr>
            <w:noProof/>
            <w:webHidden/>
          </w:rPr>
        </w:r>
        <w:r>
          <w:rPr>
            <w:noProof/>
            <w:webHidden/>
          </w:rPr>
          <w:fldChar w:fldCharType="separate"/>
        </w:r>
        <w:r w:rsidR="0096247A">
          <w:rPr>
            <w:noProof/>
            <w:webHidden/>
          </w:rPr>
          <w:t>49</w:t>
        </w:r>
        <w:r>
          <w:rPr>
            <w:noProof/>
            <w:webHidden/>
          </w:rPr>
          <w:fldChar w:fldCharType="end"/>
        </w:r>
      </w:hyperlink>
    </w:p>
    <w:p w14:paraId="3835A782"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36" w:history="1">
        <w:r w:rsidRPr="00D933F2">
          <w:rPr>
            <w:rStyle w:val="Hyperlink"/>
            <w:rFonts w:eastAsia="Calibri"/>
            <w:b/>
            <w:bCs/>
            <w:noProof/>
          </w:rPr>
          <w:t>Table</w:t>
        </w:r>
        <w:r w:rsidRPr="00D933F2">
          <w:rPr>
            <w:rStyle w:val="Hyperlink"/>
            <w:rFonts w:eastAsia="Calibri"/>
            <w:noProof/>
          </w:rPr>
          <w:t xml:space="preserve"> </w:t>
        </w:r>
        <w:r w:rsidRPr="00D933F2">
          <w:rPr>
            <w:rStyle w:val="Hyperlink"/>
            <w:rFonts w:eastAsia="Calibri"/>
            <w:b/>
            <w:bCs/>
            <w:noProof/>
          </w:rPr>
          <w:t>5</w:t>
        </w:r>
        <w:r w:rsidRPr="00D933F2">
          <w:rPr>
            <w:rStyle w:val="Hyperlink"/>
            <w:rFonts w:eastAsia="Calibri"/>
            <w:noProof/>
          </w:rPr>
          <w:t>: Objectives, Hypothesis Testing, Analysis and Model Estimation</w:t>
        </w:r>
        <w:r w:rsidRPr="00D933F2">
          <w:rPr>
            <w:noProof/>
            <w:webHidden/>
          </w:rPr>
          <w:tab/>
        </w:r>
        <w:r w:rsidRPr="00D933F2">
          <w:rPr>
            <w:noProof/>
            <w:webHidden/>
          </w:rPr>
          <w:fldChar w:fldCharType="begin"/>
        </w:r>
        <w:r w:rsidRPr="00D933F2">
          <w:rPr>
            <w:noProof/>
            <w:webHidden/>
          </w:rPr>
          <w:instrText xml:space="preserve"> PAGEREF _Toc177387936 \h </w:instrText>
        </w:r>
        <w:r w:rsidRPr="00D933F2">
          <w:rPr>
            <w:noProof/>
            <w:webHidden/>
          </w:rPr>
        </w:r>
        <w:r w:rsidRPr="00D933F2">
          <w:rPr>
            <w:noProof/>
            <w:webHidden/>
          </w:rPr>
          <w:fldChar w:fldCharType="separate"/>
        </w:r>
        <w:r w:rsidR="0096247A">
          <w:rPr>
            <w:noProof/>
            <w:webHidden/>
          </w:rPr>
          <w:t>59</w:t>
        </w:r>
        <w:r w:rsidRPr="00D933F2">
          <w:rPr>
            <w:noProof/>
            <w:webHidden/>
          </w:rPr>
          <w:fldChar w:fldCharType="end"/>
        </w:r>
      </w:hyperlink>
    </w:p>
    <w:p w14:paraId="7D680A2D"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37" w:history="1">
        <w:r w:rsidRPr="00D933F2">
          <w:rPr>
            <w:rStyle w:val="Hyperlink"/>
            <w:rFonts w:eastAsia="Times New Roman"/>
            <w:b/>
            <w:bCs/>
            <w:noProof/>
          </w:rPr>
          <w:t>Table</w:t>
        </w:r>
        <w:r w:rsidRPr="00D933F2">
          <w:rPr>
            <w:rStyle w:val="Hyperlink"/>
            <w:rFonts w:eastAsia="Times New Roman"/>
            <w:noProof/>
          </w:rPr>
          <w:t xml:space="preserve"> </w:t>
        </w:r>
        <w:r w:rsidRPr="00D933F2">
          <w:rPr>
            <w:rStyle w:val="Hyperlink"/>
            <w:rFonts w:eastAsia="Times New Roman"/>
            <w:b/>
            <w:bCs/>
            <w:noProof/>
          </w:rPr>
          <w:t>6</w:t>
        </w:r>
        <w:r w:rsidRPr="00D933F2">
          <w:rPr>
            <w:rStyle w:val="Hyperlink"/>
            <w:rFonts w:eastAsia="Times New Roman"/>
            <w:noProof/>
          </w:rPr>
          <w:t>: Response Rate</w:t>
        </w:r>
        <w:r w:rsidRPr="00D933F2">
          <w:rPr>
            <w:noProof/>
            <w:webHidden/>
          </w:rPr>
          <w:tab/>
        </w:r>
        <w:r w:rsidRPr="00D933F2">
          <w:rPr>
            <w:noProof/>
            <w:webHidden/>
          </w:rPr>
          <w:fldChar w:fldCharType="begin"/>
        </w:r>
        <w:r w:rsidRPr="00D933F2">
          <w:rPr>
            <w:noProof/>
            <w:webHidden/>
          </w:rPr>
          <w:instrText xml:space="preserve"> PAGEREF _Toc177387937 \h </w:instrText>
        </w:r>
        <w:r w:rsidRPr="00D933F2">
          <w:rPr>
            <w:noProof/>
            <w:webHidden/>
          </w:rPr>
        </w:r>
        <w:r w:rsidRPr="00D933F2">
          <w:rPr>
            <w:noProof/>
            <w:webHidden/>
          </w:rPr>
          <w:fldChar w:fldCharType="separate"/>
        </w:r>
        <w:r w:rsidR="0096247A">
          <w:rPr>
            <w:noProof/>
            <w:webHidden/>
          </w:rPr>
          <w:t>64</w:t>
        </w:r>
        <w:r w:rsidRPr="00D933F2">
          <w:rPr>
            <w:noProof/>
            <w:webHidden/>
          </w:rPr>
          <w:fldChar w:fldCharType="end"/>
        </w:r>
      </w:hyperlink>
    </w:p>
    <w:p w14:paraId="1B5B6C64"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38" w:history="1">
        <w:r w:rsidRPr="00D933F2">
          <w:rPr>
            <w:rStyle w:val="Hyperlink"/>
            <w:rFonts w:eastAsia="Times New Roman"/>
            <w:b/>
            <w:bCs/>
            <w:noProof/>
          </w:rPr>
          <w:t>Table</w:t>
        </w:r>
        <w:r w:rsidRPr="00D933F2">
          <w:rPr>
            <w:rStyle w:val="Hyperlink"/>
            <w:rFonts w:eastAsia="Times New Roman"/>
            <w:noProof/>
          </w:rPr>
          <w:t xml:space="preserve"> </w:t>
        </w:r>
        <w:r w:rsidRPr="00D933F2">
          <w:rPr>
            <w:rStyle w:val="Hyperlink"/>
            <w:rFonts w:eastAsia="Times New Roman"/>
            <w:b/>
            <w:bCs/>
            <w:noProof/>
          </w:rPr>
          <w:t>7</w:t>
        </w:r>
        <w:r w:rsidRPr="00D933F2">
          <w:rPr>
            <w:rStyle w:val="Hyperlink"/>
            <w:rFonts w:eastAsia="Cambria"/>
            <w:noProof/>
          </w:rPr>
          <w:t>: Gender of Respondents</w:t>
        </w:r>
        <w:r w:rsidRPr="00D933F2">
          <w:rPr>
            <w:noProof/>
            <w:webHidden/>
          </w:rPr>
          <w:tab/>
        </w:r>
        <w:r w:rsidRPr="00D933F2">
          <w:rPr>
            <w:noProof/>
            <w:webHidden/>
          </w:rPr>
          <w:fldChar w:fldCharType="begin"/>
        </w:r>
        <w:r w:rsidRPr="00D933F2">
          <w:rPr>
            <w:noProof/>
            <w:webHidden/>
          </w:rPr>
          <w:instrText xml:space="preserve"> PAGEREF _Toc177387938 \h </w:instrText>
        </w:r>
        <w:r w:rsidRPr="00D933F2">
          <w:rPr>
            <w:noProof/>
            <w:webHidden/>
          </w:rPr>
        </w:r>
        <w:r w:rsidRPr="00D933F2">
          <w:rPr>
            <w:noProof/>
            <w:webHidden/>
          </w:rPr>
          <w:fldChar w:fldCharType="separate"/>
        </w:r>
        <w:r w:rsidR="0096247A">
          <w:rPr>
            <w:noProof/>
            <w:webHidden/>
          </w:rPr>
          <w:t>65</w:t>
        </w:r>
        <w:r w:rsidRPr="00D933F2">
          <w:rPr>
            <w:noProof/>
            <w:webHidden/>
          </w:rPr>
          <w:fldChar w:fldCharType="end"/>
        </w:r>
      </w:hyperlink>
    </w:p>
    <w:p w14:paraId="1D59FE8A"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39" w:history="1">
        <w:r w:rsidRPr="00D933F2">
          <w:rPr>
            <w:rStyle w:val="Hyperlink"/>
            <w:rFonts w:eastAsia="Times New Roman"/>
            <w:b/>
            <w:bCs/>
            <w:noProof/>
          </w:rPr>
          <w:t>Table</w:t>
        </w:r>
        <w:r w:rsidRPr="00D933F2">
          <w:rPr>
            <w:rStyle w:val="Hyperlink"/>
            <w:rFonts w:eastAsia="Times New Roman"/>
            <w:noProof/>
          </w:rPr>
          <w:t xml:space="preserve"> </w:t>
        </w:r>
        <w:r w:rsidRPr="00D933F2">
          <w:rPr>
            <w:rStyle w:val="Hyperlink"/>
            <w:rFonts w:eastAsia="Times New Roman"/>
            <w:b/>
            <w:bCs/>
            <w:noProof/>
          </w:rPr>
          <w:t>8</w:t>
        </w:r>
        <w:r w:rsidRPr="00D933F2">
          <w:rPr>
            <w:rStyle w:val="Hyperlink"/>
            <w:rFonts w:eastAsia="Times New Roman"/>
            <w:noProof/>
          </w:rPr>
          <w:t xml:space="preserve">: Age of </w:t>
        </w:r>
        <w:r w:rsidR="00D933F2">
          <w:rPr>
            <w:rStyle w:val="Hyperlink"/>
            <w:rFonts w:eastAsia="Times New Roman"/>
            <w:noProof/>
          </w:rPr>
          <w:t>Respondents</w:t>
        </w:r>
        <w:r w:rsidRPr="00D933F2">
          <w:rPr>
            <w:noProof/>
            <w:webHidden/>
          </w:rPr>
          <w:tab/>
        </w:r>
        <w:r w:rsidRPr="00D933F2">
          <w:rPr>
            <w:noProof/>
            <w:webHidden/>
          </w:rPr>
          <w:fldChar w:fldCharType="begin"/>
        </w:r>
        <w:r w:rsidRPr="00D933F2">
          <w:rPr>
            <w:noProof/>
            <w:webHidden/>
          </w:rPr>
          <w:instrText xml:space="preserve"> PAGEREF _Toc177387939 \h </w:instrText>
        </w:r>
        <w:r w:rsidRPr="00D933F2">
          <w:rPr>
            <w:noProof/>
            <w:webHidden/>
          </w:rPr>
        </w:r>
        <w:r w:rsidRPr="00D933F2">
          <w:rPr>
            <w:noProof/>
            <w:webHidden/>
          </w:rPr>
          <w:fldChar w:fldCharType="separate"/>
        </w:r>
        <w:r w:rsidR="0096247A">
          <w:rPr>
            <w:noProof/>
            <w:webHidden/>
          </w:rPr>
          <w:t>66</w:t>
        </w:r>
        <w:r w:rsidRPr="00D933F2">
          <w:rPr>
            <w:noProof/>
            <w:webHidden/>
          </w:rPr>
          <w:fldChar w:fldCharType="end"/>
        </w:r>
      </w:hyperlink>
    </w:p>
    <w:p w14:paraId="2086AF2E"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40" w:history="1">
        <w:r w:rsidRPr="00D933F2">
          <w:rPr>
            <w:rStyle w:val="Hyperlink"/>
            <w:rFonts w:eastAsia="Times New Roman"/>
            <w:b/>
            <w:bCs/>
            <w:noProof/>
          </w:rPr>
          <w:t>Table</w:t>
        </w:r>
        <w:r w:rsidRPr="00D933F2">
          <w:rPr>
            <w:rStyle w:val="Hyperlink"/>
            <w:rFonts w:eastAsia="Times New Roman"/>
            <w:noProof/>
          </w:rPr>
          <w:t xml:space="preserve"> </w:t>
        </w:r>
        <w:r w:rsidRPr="00D933F2">
          <w:rPr>
            <w:rStyle w:val="Hyperlink"/>
            <w:rFonts w:eastAsia="Times New Roman"/>
            <w:b/>
            <w:bCs/>
            <w:noProof/>
          </w:rPr>
          <w:t>9</w:t>
        </w:r>
        <w:r w:rsidRPr="00D933F2">
          <w:rPr>
            <w:rStyle w:val="Hyperlink"/>
            <w:rFonts w:eastAsia="Cambria"/>
            <w:noProof/>
          </w:rPr>
          <w:t>: Level of Education</w:t>
        </w:r>
        <w:r w:rsidRPr="00D933F2">
          <w:rPr>
            <w:noProof/>
            <w:webHidden/>
          </w:rPr>
          <w:tab/>
        </w:r>
        <w:r w:rsidRPr="00D933F2">
          <w:rPr>
            <w:noProof/>
            <w:webHidden/>
          </w:rPr>
          <w:fldChar w:fldCharType="begin"/>
        </w:r>
        <w:r w:rsidRPr="00D933F2">
          <w:rPr>
            <w:noProof/>
            <w:webHidden/>
          </w:rPr>
          <w:instrText xml:space="preserve"> PAGEREF _Toc177387940 \h </w:instrText>
        </w:r>
        <w:r w:rsidRPr="00D933F2">
          <w:rPr>
            <w:noProof/>
            <w:webHidden/>
          </w:rPr>
        </w:r>
        <w:r w:rsidRPr="00D933F2">
          <w:rPr>
            <w:noProof/>
            <w:webHidden/>
          </w:rPr>
          <w:fldChar w:fldCharType="separate"/>
        </w:r>
        <w:r w:rsidR="0096247A">
          <w:rPr>
            <w:noProof/>
            <w:webHidden/>
          </w:rPr>
          <w:t>67</w:t>
        </w:r>
        <w:r w:rsidRPr="00D933F2">
          <w:rPr>
            <w:noProof/>
            <w:webHidden/>
          </w:rPr>
          <w:fldChar w:fldCharType="end"/>
        </w:r>
      </w:hyperlink>
    </w:p>
    <w:p w14:paraId="69FB3048"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41" w:history="1">
        <w:r w:rsidRPr="00D933F2">
          <w:rPr>
            <w:rStyle w:val="Hyperlink"/>
            <w:rFonts w:eastAsia="Times New Roman"/>
            <w:b/>
            <w:bCs/>
            <w:noProof/>
          </w:rPr>
          <w:t>Table</w:t>
        </w:r>
        <w:r w:rsidRPr="00D933F2">
          <w:rPr>
            <w:rStyle w:val="Hyperlink"/>
            <w:rFonts w:eastAsia="Times New Roman"/>
            <w:noProof/>
          </w:rPr>
          <w:t xml:space="preserve"> </w:t>
        </w:r>
        <w:r w:rsidRPr="00D933F2">
          <w:rPr>
            <w:rStyle w:val="Hyperlink"/>
            <w:rFonts w:eastAsia="Times New Roman"/>
            <w:b/>
            <w:bCs/>
            <w:noProof/>
          </w:rPr>
          <w:t>10</w:t>
        </w:r>
        <w:r w:rsidRPr="00D933F2">
          <w:rPr>
            <w:rStyle w:val="Hyperlink"/>
            <w:rFonts w:eastAsia="Times New Roman"/>
            <w:noProof/>
          </w:rPr>
          <w:t>: Years of Service</w:t>
        </w:r>
        <w:r w:rsidRPr="00D933F2">
          <w:rPr>
            <w:noProof/>
            <w:webHidden/>
          </w:rPr>
          <w:tab/>
        </w:r>
        <w:r w:rsidRPr="00D933F2">
          <w:rPr>
            <w:noProof/>
            <w:webHidden/>
          </w:rPr>
          <w:fldChar w:fldCharType="begin"/>
        </w:r>
        <w:r w:rsidRPr="00D933F2">
          <w:rPr>
            <w:noProof/>
            <w:webHidden/>
          </w:rPr>
          <w:instrText xml:space="preserve"> PAGEREF _Toc177387941 \h </w:instrText>
        </w:r>
        <w:r w:rsidRPr="00D933F2">
          <w:rPr>
            <w:noProof/>
            <w:webHidden/>
          </w:rPr>
        </w:r>
        <w:r w:rsidRPr="00D933F2">
          <w:rPr>
            <w:noProof/>
            <w:webHidden/>
          </w:rPr>
          <w:fldChar w:fldCharType="separate"/>
        </w:r>
        <w:r w:rsidR="0096247A">
          <w:rPr>
            <w:noProof/>
            <w:webHidden/>
          </w:rPr>
          <w:t>69</w:t>
        </w:r>
        <w:r w:rsidRPr="00D933F2">
          <w:rPr>
            <w:noProof/>
            <w:webHidden/>
          </w:rPr>
          <w:fldChar w:fldCharType="end"/>
        </w:r>
      </w:hyperlink>
    </w:p>
    <w:p w14:paraId="64781950"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42" w:history="1">
        <w:r w:rsidRPr="00D933F2">
          <w:rPr>
            <w:rStyle w:val="Hyperlink"/>
            <w:rFonts w:eastAsia="Times New Roman"/>
            <w:b/>
            <w:bCs/>
            <w:noProof/>
          </w:rPr>
          <w:t>Table</w:t>
        </w:r>
        <w:r w:rsidRPr="00D933F2">
          <w:rPr>
            <w:rStyle w:val="Hyperlink"/>
            <w:rFonts w:eastAsia="Times New Roman"/>
            <w:noProof/>
          </w:rPr>
          <w:t xml:space="preserve"> </w:t>
        </w:r>
        <w:r w:rsidRPr="00D933F2">
          <w:rPr>
            <w:rStyle w:val="Hyperlink"/>
            <w:rFonts w:eastAsia="Times New Roman"/>
            <w:b/>
            <w:bCs/>
            <w:noProof/>
          </w:rPr>
          <w:t>11</w:t>
        </w:r>
        <w:r w:rsidRPr="00D933F2">
          <w:rPr>
            <w:rStyle w:val="Hyperlink"/>
            <w:rFonts w:eastAsia="Times New Roman"/>
            <w:noProof/>
          </w:rPr>
          <w:t xml:space="preserve">: KMO and Bartlett’s Test for Corporate </w:t>
        </w:r>
        <w:r w:rsidR="00D933F2" w:rsidRPr="00D933F2">
          <w:rPr>
            <w:rStyle w:val="Hyperlink"/>
            <w:rFonts w:eastAsia="Times New Roman"/>
            <w:noProof/>
          </w:rPr>
          <w:t>Governance</w:t>
        </w:r>
        <w:r w:rsidRPr="00D933F2">
          <w:rPr>
            <w:noProof/>
            <w:webHidden/>
          </w:rPr>
          <w:tab/>
        </w:r>
        <w:r w:rsidRPr="00D933F2">
          <w:rPr>
            <w:noProof/>
            <w:webHidden/>
          </w:rPr>
          <w:fldChar w:fldCharType="begin"/>
        </w:r>
        <w:r w:rsidRPr="00D933F2">
          <w:rPr>
            <w:noProof/>
            <w:webHidden/>
          </w:rPr>
          <w:instrText xml:space="preserve"> PAGEREF _Toc177387942 \h </w:instrText>
        </w:r>
        <w:r w:rsidRPr="00D933F2">
          <w:rPr>
            <w:noProof/>
            <w:webHidden/>
          </w:rPr>
        </w:r>
        <w:r w:rsidRPr="00D933F2">
          <w:rPr>
            <w:noProof/>
            <w:webHidden/>
          </w:rPr>
          <w:fldChar w:fldCharType="separate"/>
        </w:r>
        <w:r w:rsidR="0096247A">
          <w:rPr>
            <w:noProof/>
            <w:webHidden/>
          </w:rPr>
          <w:t>71</w:t>
        </w:r>
        <w:r w:rsidRPr="00D933F2">
          <w:rPr>
            <w:noProof/>
            <w:webHidden/>
          </w:rPr>
          <w:fldChar w:fldCharType="end"/>
        </w:r>
      </w:hyperlink>
    </w:p>
    <w:p w14:paraId="6E700620"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43" w:history="1">
        <w:r w:rsidRPr="00D933F2">
          <w:rPr>
            <w:rStyle w:val="Hyperlink"/>
            <w:b/>
            <w:bCs/>
            <w:noProof/>
          </w:rPr>
          <w:t>Table</w:t>
        </w:r>
        <w:r w:rsidRPr="00D933F2">
          <w:rPr>
            <w:rStyle w:val="Hyperlink"/>
            <w:noProof/>
          </w:rPr>
          <w:t xml:space="preserve"> </w:t>
        </w:r>
        <w:r w:rsidRPr="00D933F2">
          <w:rPr>
            <w:rStyle w:val="Hyperlink"/>
            <w:b/>
            <w:bCs/>
            <w:noProof/>
          </w:rPr>
          <w:t>12</w:t>
        </w:r>
        <w:r w:rsidRPr="00D933F2">
          <w:rPr>
            <w:rStyle w:val="Hyperlink"/>
            <w:noProof/>
          </w:rPr>
          <w:t>: KMO and Bartlett’s Test for Service Innovation</w:t>
        </w:r>
        <w:r w:rsidRPr="00D933F2">
          <w:rPr>
            <w:noProof/>
            <w:webHidden/>
          </w:rPr>
          <w:tab/>
        </w:r>
        <w:r w:rsidRPr="00D933F2">
          <w:rPr>
            <w:noProof/>
            <w:webHidden/>
          </w:rPr>
          <w:fldChar w:fldCharType="begin"/>
        </w:r>
        <w:r w:rsidRPr="00D933F2">
          <w:rPr>
            <w:noProof/>
            <w:webHidden/>
          </w:rPr>
          <w:instrText xml:space="preserve"> PAGEREF _Toc177387943 \h </w:instrText>
        </w:r>
        <w:r w:rsidRPr="00D933F2">
          <w:rPr>
            <w:noProof/>
            <w:webHidden/>
          </w:rPr>
        </w:r>
        <w:r w:rsidRPr="00D933F2">
          <w:rPr>
            <w:noProof/>
            <w:webHidden/>
          </w:rPr>
          <w:fldChar w:fldCharType="separate"/>
        </w:r>
        <w:r w:rsidR="0096247A">
          <w:rPr>
            <w:noProof/>
            <w:webHidden/>
          </w:rPr>
          <w:t>72</w:t>
        </w:r>
        <w:r w:rsidRPr="00D933F2">
          <w:rPr>
            <w:noProof/>
            <w:webHidden/>
          </w:rPr>
          <w:fldChar w:fldCharType="end"/>
        </w:r>
      </w:hyperlink>
    </w:p>
    <w:p w14:paraId="5AA7E153"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44" w:history="1">
        <w:r w:rsidRPr="00D933F2">
          <w:rPr>
            <w:rStyle w:val="Hyperlink"/>
            <w:rFonts w:eastAsia="Times New Roman"/>
            <w:b/>
            <w:bCs/>
            <w:noProof/>
          </w:rPr>
          <w:t>Table</w:t>
        </w:r>
        <w:r w:rsidRPr="00D933F2">
          <w:rPr>
            <w:rStyle w:val="Hyperlink"/>
            <w:rFonts w:eastAsia="Times New Roman"/>
            <w:noProof/>
          </w:rPr>
          <w:t xml:space="preserve"> </w:t>
        </w:r>
        <w:r w:rsidRPr="00D933F2">
          <w:rPr>
            <w:rStyle w:val="Hyperlink"/>
            <w:rFonts w:eastAsia="Times New Roman"/>
            <w:b/>
            <w:bCs/>
            <w:noProof/>
          </w:rPr>
          <w:t>13</w:t>
        </w:r>
        <w:r w:rsidRPr="00D933F2">
          <w:rPr>
            <w:rStyle w:val="Hyperlink"/>
            <w:rFonts w:eastAsia="Times New Roman"/>
            <w:noProof/>
          </w:rPr>
          <w:t>: KMO and Bartlett’s Test for Government Regulations</w:t>
        </w:r>
        <w:r w:rsidRPr="00D933F2">
          <w:rPr>
            <w:noProof/>
            <w:webHidden/>
          </w:rPr>
          <w:tab/>
        </w:r>
        <w:r w:rsidRPr="00D933F2">
          <w:rPr>
            <w:noProof/>
            <w:webHidden/>
          </w:rPr>
          <w:fldChar w:fldCharType="begin"/>
        </w:r>
        <w:r w:rsidRPr="00D933F2">
          <w:rPr>
            <w:noProof/>
            <w:webHidden/>
          </w:rPr>
          <w:instrText xml:space="preserve"> PAGEREF _Toc177387944 \h </w:instrText>
        </w:r>
        <w:r w:rsidRPr="00D933F2">
          <w:rPr>
            <w:noProof/>
            <w:webHidden/>
          </w:rPr>
        </w:r>
        <w:r w:rsidRPr="00D933F2">
          <w:rPr>
            <w:noProof/>
            <w:webHidden/>
          </w:rPr>
          <w:fldChar w:fldCharType="separate"/>
        </w:r>
        <w:r w:rsidR="0096247A">
          <w:rPr>
            <w:noProof/>
            <w:webHidden/>
          </w:rPr>
          <w:t>72</w:t>
        </w:r>
        <w:r w:rsidRPr="00D933F2">
          <w:rPr>
            <w:noProof/>
            <w:webHidden/>
          </w:rPr>
          <w:fldChar w:fldCharType="end"/>
        </w:r>
      </w:hyperlink>
    </w:p>
    <w:p w14:paraId="757C15F9"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45" w:history="1">
        <w:r w:rsidRPr="00D933F2">
          <w:rPr>
            <w:rStyle w:val="Hyperlink"/>
            <w:rFonts w:eastAsia="Times New Roman"/>
            <w:b/>
            <w:bCs/>
            <w:noProof/>
          </w:rPr>
          <w:t>Table</w:t>
        </w:r>
        <w:r w:rsidRPr="00D933F2">
          <w:rPr>
            <w:rStyle w:val="Hyperlink"/>
            <w:rFonts w:eastAsia="Times New Roman"/>
            <w:noProof/>
          </w:rPr>
          <w:t xml:space="preserve"> </w:t>
        </w:r>
        <w:r w:rsidRPr="00D933F2">
          <w:rPr>
            <w:rStyle w:val="Hyperlink"/>
            <w:rFonts w:eastAsia="Times New Roman"/>
            <w:b/>
            <w:bCs/>
            <w:noProof/>
          </w:rPr>
          <w:t>14</w:t>
        </w:r>
        <w:r w:rsidRPr="00D933F2">
          <w:rPr>
            <w:rStyle w:val="Hyperlink"/>
            <w:rFonts w:eastAsia="Times New Roman"/>
            <w:noProof/>
          </w:rPr>
          <w:t>: KMO and Bartlett’s Test for Organisational Performance</w:t>
        </w:r>
        <w:r w:rsidRPr="00D933F2">
          <w:rPr>
            <w:noProof/>
            <w:webHidden/>
          </w:rPr>
          <w:tab/>
        </w:r>
        <w:r w:rsidRPr="00D933F2">
          <w:rPr>
            <w:noProof/>
            <w:webHidden/>
          </w:rPr>
          <w:fldChar w:fldCharType="begin"/>
        </w:r>
        <w:r w:rsidRPr="00D933F2">
          <w:rPr>
            <w:noProof/>
            <w:webHidden/>
          </w:rPr>
          <w:instrText xml:space="preserve"> PAGEREF _Toc177387945 \h </w:instrText>
        </w:r>
        <w:r w:rsidRPr="00D933F2">
          <w:rPr>
            <w:noProof/>
            <w:webHidden/>
          </w:rPr>
        </w:r>
        <w:r w:rsidRPr="00D933F2">
          <w:rPr>
            <w:noProof/>
            <w:webHidden/>
          </w:rPr>
          <w:fldChar w:fldCharType="separate"/>
        </w:r>
        <w:r w:rsidR="0096247A">
          <w:rPr>
            <w:noProof/>
            <w:webHidden/>
          </w:rPr>
          <w:t>73</w:t>
        </w:r>
        <w:r w:rsidRPr="00D933F2">
          <w:rPr>
            <w:noProof/>
            <w:webHidden/>
          </w:rPr>
          <w:fldChar w:fldCharType="end"/>
        </w:r>
      </w:hyperlink>
    </w:p>
    <w:p w14:paraId="3463F615"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46" w:history="1">
        <w:r w:rsidRPr="00D933F2">
          <w:rPr>
            <w:rStyle w:val="Hyperlink"/>
            <w:rFonts w:eastAsia="Cambria"/>
            <w:b/>
            <w:bCs/>
            <w:noProof/>
          </w:rPr>
          <w:t>Table</w:t>
        </w:r>
        <w:r w:rsidRPr="00D933F2">
          <w:rPr>
            <w:rStyle w:val="Hyperlink"/>
            <w:rFonts w:eastAsia="Cambria"/>
            <w:noProof/>
          </w:rPr>
          <w:t xml:space="preserve"> </w:t>
        </w:r>
        <w:r w:rsidRPr="00D933F2">
          <w:rPr>
            <w:rStyle w:val="Hyperlink"/>
            <w:rFonts w:eastAsia="Cambria"/>
            <w:b/>
            <w:bCs/>
            <w:noProof/>
          </w:rPr>
          <w:t>15</w:t>
        </w:r>
        <w:r w:rsidRPr="00D933F2">
          <w:rPr>
            <w:rStyle w:val="Hyperlink"/>
            <w:rFonts w:eastAsia="Cambria"/>
            <w:noProof/>
          </w:rPr>
          <w:t>: Reliability Test</w:t>
        </w:r>
        <w:r w:rsidRPr="00D933F2">
          <w:rPr>
            <w:noProof/>
            <w:webHidden/>
          </w:rPr>
          <w:tab/>
        </w:r>
        <w:r w:rsidRPr="00D933F2">
          <w:rPr>
            <w:noProof/>
            <w:webHidden/>
          </w:rPr>
          <w:fldChar w:fldCharType="begin"/>
        </w:r>
        <w:r w:rsidRPr="00D933F2">
          <w:rPr>
            <w:noProof/>
            <w:webHidden/>
          </w:rPr>
          <w:instrText xml:space="preserve"> PAGEREF _Toc177387946 \h </w:instrText>
        </w:r>
        <w:r w:rsidRPr="00D933F2">
          <w:rPr>
            <w:noProof/>
            <w:webHidden/>
          </w:rPr>
        </w:r>
        <w:r w:rsidRPr="00D933F2">
          <w:rPr>
            <w:noProof/>
            <w:webHidden/>
          </w:rPr>
          <w:fldChar w:fldCharType="separate"/>
        </w:r>
        <w:r w:rsidR="0096247A">
          <w:rPr>
            <w:noProof/>
            <w:webHidden/>
          </w:rPr>
          <w:t>74</w:t>
        </w:r>
        <w:r w:rsidRPr="00D933F2">
          <w:rPr>
            <w:noProof/>
            <w:webHidden/>
          </w:rPr>
          <w:fldChar w:fldCharType="end"/>
        </w:r>
      </w:hyperlink>
    </w:p>
    <w:p w14:paraId="79E44A6F"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47" w:history="1">
        <w:r w:rsidRPr="00D933F2">
          <w:rPr>
            <w:rStyle w:val="Hyperlink"/>
            <w:rFonts w:eastAsia="Cambria"/>
            <w:b/>
            <w:bCs/>
            <w:noProof/>
          </w:rPr>
          <w:t>Table</w:t>
        </w:r>
        <w:r w:rsidRPr="00D933F2">
          <w:rPr>
            <w:rStyle w:val="Hyperlink"/>
            <w:rFonts w:eastAsia="Cambria"/>
            <w:noProof/>
          </w:rPr>
          <w:t xml:space="preserve"> </w:t>
        </w:r>
        <w:r w:rsidRPr="00D933F2">
          <w:rPr>
            <w:rStyle w:val="Hyperlink"/>
            <w:rFonts w:eastAsia="Cambria"/>
            <w:b/>
            <w:bCs/>
            <w:noProof/>
          </w:rPr>
          <w:t>16</w:t>
        </w:r>
        <w:r w:rsidRPr="00D933F2">
          <w:rPr>
            <w:rStyle w:val="Hyperlink"/>
            <w:rFonts w:eastAsia="Cambria"/>
            <w:noProof/>
          </w:rPr>
          <w:t>: Test for Normality</w:t>
        </w:r>
        <w:r w:rsidRPr="00D933F2">
          <w:rPr>
            <w:noProof/>
            <w:webHidden/>
          </w:rPr>
          <w:tab/>
        </w:r>
        <w:r w:rsidRPr="00D933F2">
          <w:rPr>
            <w:noProof/>
            <w:webHidden/>
          </w:rPr>
          <w:fldChar w:fldCharType="begin"/>
        </w:r>
        <w:r w:rsidRPr="00D933F2">
          <w:rPr>
            <w:noProof/>
            <w:webHidden/>
          </w:rPr>
          <w:instrText xml:space="preserve"> PAGEREF _Toc177387947 \h </w:instrText>
        </w:r>
        <w:r w:rsidRPr="00D933F2">
          <w:rPr>
            <w:noProof/>
            <w:webHidden/>
          </w:rPr>
        </w:r>
        <w:r w:rsidRPr="00D933F2">
          <w:rPr>
            <w:noProof/>
            <w:webHidden/>
          </w:rPr>
          <w:fldChar w:fldCharType="separate"/>
        </w:r>
        <w:r w:rsidR="0096247A">
          <w:rPr>
            <w:noProof/>
            <w:webHidden/>
          </w:rPr>
          <w:t>75</w:t>
        </w:r>
        <w:r w:rsidRPr="00D933F2">
          <w:rPr>
            <w:noProof/>
            <w:webHidden/>
          </w:rPr>
          <w:fldChar w:fldCharType="end"/>
        </w:r>
      </w:hyperlink>
    </w:p>
    <w:p w14:paraId="4608771D"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48" w:history="1">
        <w:r w:rsidRPr="00D933F2">
          <w:rPr>
            <w:rStyle w:val="Hyperlink"/>
            <w:rFonts w:eastAsia="Cambria"/>
            <w:b/>
            <w:bCs/>
            <w:noProof/>
          </w:rPr>
          <w:t>Table</w:t>
        </w:r>
        <w:r w:rsidRPr="00D933F2">
          <w:rPr>
            <w:rStyle w:val="Hyperlink"/>
            <w:rFonts w:eastAsia="Cambria"/>
            <w:noProof/>
          </w:rPr>
          <w:t xml:space="preserve"> </w:t>
        </w:r>
        <w:r w:rsidRPr="00D933F2">
          <w:rPr>
            <w:rStyle w:val="Hyperlink"/>
            <w:rFonts w:eastAsia="Cambria"/>
            <w:b/>
            <w:bCs/>
            <w:noProof/>
          </w:rPr>
          <w:t>17</w:t>
        </w:r>
        <w:r w:rsidRPr="00D933F2">
          <w:rPr>
            <w:rStyle w:val="Hyperlink"/>
            <w:rFonts w:eastAsia="Cambria"/>
            <w:noProof/>
          </w:rPr>
          <w:t>: Multicollinearity Test Using Tolerance and VIF</w:t>
        </w:r>
        <w:r w:rsidRPr="00D933F2">
          <w:rPr>
            <w:noProof/>
            <w:webHidden/>
          </w:rPr>
          <w:tab/>
        </w:r>
        <w:r w:rsidRPr="00D933F2">
          <w:rPr>
            <w:noProof/>
            <w:webHidden/>
          </w:rPr>
          <w:fldChar w:fldCharType="begin"/>
        </w:r>
        <w:r w:rsidRPr="00D933F2">
          <w:rPr>
            <w:noProof/>
            <w:webHidden/>
          </w:rPr>
          <w:instrText xml:space="preserve"> PAGEREF _Toc177387948 \h </w:instrText>
        </w:r>
        <w:r w:rsidRPr="00D933F2">
          <w:rPr>
            <w:noProof/>
            <w:webHidden/>
          </w:rPr>
        </w:r>
        <w:r w:rsidRPr="00D933F2">
          <w:rPr>
            <w:noProof/>
            <w:webHidden/>
          </w:rPr>
          <w:fldChar w:fldCharType="separate"/>
        </w:r>
        <w:r w:rsidR="0096247A">
          <w:rPr>
            <w:noProof/>
            <w:webHidden/>
          </w:rPr>
          <w:t>76</w:t>
        </w:r>
        <w:r w:rsidRPr="00D933F2">
          <w:rPr>
            <w:noProof/>
            <w:webHidden/>
          </w:rPr>
          <w:fldChar w:fldCharType="end"/>
        </w:r>
      </w:hyperlink>
    </w:p>
    <w:p w14:paraId="4DCE77DD"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49" w:history="1">
        <w:r w:rsidRPr="00D933F2">
          <w:rPr>
            <w:rStyle w:val="Hyperlink"/>
            <w:rFonts w:eastAsia="Cambria"/>
            <w:b/>
            <w:bCs/>
            <w:noProof/>
          </w:rPr>
          <w:t>Table</w:t>
        </w:r>
        <w:r w:rsidRPr="00D933F2">
          <w:rPr>
            <w:rStyle w:val="Hyperlink"/>
            <w:rFonts w:eastAsia="Cambria"/>
            <w:noProof/>
          </w:rPr>
          <w:t xml:space="preserve"> </w:t>
        </w:r>
        <w:r w:rsidRPr="00D933F2">
          <w:rPr>
            <w:rStyle w:val="Hyperlink"/>
            <w:rFonts w:eastAsia="Cambria"/>
            <w:b/>
            <w:bCs/>
            <w:noProof/>
          </w:rPr>
          <w:t>18</w:t>
        </w:r>
        <w:r w:rsidRPr="00D933F2">
          <w:rPr>
            <w:rStyle w:val="Hyperlink"/>
            <w:rFonts w:eastAsia="Cambria"/>
            <w:noProof/>
          </w:rPr>
          <w:t xml:space="preserve">: Factor Loading for Corporate </w:t>
        </w:r>
        <w:r w:rsidR="00D933F2" w:rsidRPr="00D933F2">
          <w:rPr>
            <w:rStyle w:val="Hyperlink"/>
            <w:rFonts w:eastAsia="Cambria"/>
            <w:noProof/>
          </w:rPr>
          <w:t>G</w:t>
        </w:r>
        <w:r w:rsidRPr="00D933F2">
          <w:rPr>
            <w:rStyle w:val="Hyperlink"/>
            <w:rFonts w:eastAsia="Cambria"/>
            <w:noProof/>
          </w:rPr>
          <w:t>overnance</w:t>
        </w:r>
        <w:r w:rsidRPr="00D933F2">
          <w:rPr>
            <w:noProof/>
            <w:webHidden/>
          </w:rPr>
          <w:tab/>
        </w:r>
        <w:r w:rsidRPr="00D933F2">
          <w:rPr>
            <w:noProof/>
            <w:webHidden/>
          </w:rPr>
          <w:fldChar w:fldCharType="begin"/>
        </w:r>
        <w:r w:rsidRPr="00D933F2">
          <w:rPr>
            <w:noProof/>
            <w:webHidden/>
          </w:rPr>
          <w:instrText xml:space="preserve"> PAGEREF _Toc177387949 \h </w:instrText>
        </w:r>
        <w:r w:rsidRPr="00D933F2">
          <w:rPr>
            <w:noProof/>
            <w:webHidden/>
          </w:rPr>
        </w:r>
        <w:r w:rsidRPr="00D933F2">
          <w:rPr>
            <w:noProof/>
            <w:webHidden/>
          </w:rPr>
          <w:fldChar w:fldCharType="separate"/>
        </w:r>
        <w:r w:rsidR="0096247A">
          <w:rPr>
            <w:noProof/>
            <w:webHidden/>
          </w:rPr>
          <w:t>80</w:t>
        </w:r>
        <w:r w:rsidRPr="00D933F2">
          <w:rPr>
            <w:noProof/>
            <w:webHidden/>
          </w:rPr>
          <w:fldChar w:fldCharType="end"/>
        </w:r>
      </w:hyperlink>
    </w:p>
    <w:p w14:paraId="04D93B72"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50" w:history="1">
        <w:r w:rsidRPr="00D933F2">
          <w:rPr>
            <w:rStyle w:val="Hyperlink"/>
            <w:rFonts w:eastAsia="Times New Roman"/>
            <w:b/>
            <w:bCs/>
            <w:noProof/>
          </w:rPr>
          <w:t>Table</w:t>
        </w:r>
        <w:r w:rsidRPr="00D933F2">
          <w:rPr>
            <w:rStyle w:val="Hyperlink"/>
            <w:rFonts w:eastAsia="Times New Roman"/>
            <w:noProof/>
          </w:rPr>
          <w:t xml:space="preserve"> </w:t>
        </w:r>
        <w:r w:rsidRPr="00D933F2">
          <w:rPr>
            <w:rStyle w:val="Hyperlink"/>
            <w:rFonts w:eastAsia="Times New Roman"/>
            <w:b/>
            <w:bCs/>
            <w:noProof/>
          </w:rPr>
          <w:t>19</w:t>
        </w:r>
        <w:r w:rsidRPr="00D933F2">
          <w:rPr>
            <w:rStyle w:val="Hyperlink"/>
            <w:rFonts w:eastAsia="Times New Roman"/>
            <w:noProof/>
          </w:rPr>
          <w:t>: Factor Loading for Service Innovation</w:t>
        </w:r>
        <w:r w:rsidRPr="00D933F2">
          <w:rPr>
            <w:noProof/>
            <w:webHidden/>
          </w:rPr>
          <w:tab/>
        </w:r>
        <w:r w:rsidRPr="00D933F2">
          <w:rPr>
            <w:noProof/>
            <w:webHidden/>
          </w:rPr>
          <w:fldChar w:fldCharType="begin"/>
        </w:r>
        <w:r w:rsidRPr="00D933F2">
          <w:rPr>
            <w:noProof/>
            <w:webHidden/>
          </w:rPr>
          <w:instrText xml:space="preserve"> PAGEREF _Toc177387950 \h </w:instrText>
        </w:r>
        <w:r w:rsidRPr="00D933F2">
          <w:rPr>
            <w:noProof/>
            <w:webHidden/>
          </w:rPr>
        </w:r>
        <w:r w:rsidRPr="00D933F2">
          <w:rPr>
            <w:noProof/>
            <w:webHidden/>
          </w:rPr>
          <w:fldChar w:fldCharType="separate"/>
        </w:r>
        <w:r w:rsidR="0096247A">
          <w:rPr>
            <w:noProof/>
            <w:webHidden/>
          </w:rPr>
          <w:t>82</w:t>
        </w:r>
        <w:r w:rsidRPr="00D933F2">
          <w:rPr>
            <w:noProof/>
            <w:webHidden/>
          </w:rPr>
          <w:fldChar w:fldCharType="end"/>
        </w:r>
      </w:hyperlink>
    </w:p>
    <w:p w14:paraId="1CCA35F2"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51" w:history="1">
        <w:r w:rsidRPr="00D933F2">
          <w:rPr>
            <w:rStyle w:val="Hyperlink"/>
            <w:rFonts w:eastAsia="Times New Roman"/>
            <w:b/>
            <w:bCs/>
            <w:noProof/>
          </w:rPr>
          <w:t>Table</w:t>
        </w:r>
        <w:r w:rsidRPr="00D933F2">
          <w:rPr>
            <w:rStyle w:val="Hyperlink"/>
            <w:rFonts w:eastAsia="Times New Roman"/>
            <w:noProof/>
          </w:rPr>
          <w:t xml:space="preserve"> </w:t>
        </w:r>
        <w:r w:rsidRPr="00D933F2">
          <w:rPr>
            <w:rStyle w:val="Hyperlink"/>
            <w:rFonts w:eastAsia="Times New Roman"/>
            <w:b/>
            <w:bCs/>
            <w:noProof/>
          </w:rPr>
          <w:t>20</w:t>
        </w:r>
        <w:r w:rsidRPr="00D933F2">
          <w:rPr>
            <w:rStyle w:val="Hyperlink"/>
            <w:rFonts w:eastAsia="Times New Roman"/>
            <w:noProof/>
          </w:rPr>
          <w:t>: Factor Loading for Government Regulations</w:t>
        </w:r>
        <w:r w:rsidRPr="00D933F2">
          <w:rPr>
            <w:noProof/>
            <w:webHidden/>
          </w:rPr>
          <w:tab/>
        </w:r>
        <w:r w:rsidRPr="00D933F2">
          <w:rPr>
            <w:noProof/>
            <w:webHidden/>
          </w:rPr>
          <w:fldChar w:fldCharType="begin"/>
        </w:r>
        <w:r w:rsidRPr="00D933F2">
          <w:rPr>
            <w:noProof/>
            <w:webHidden/>
          </w:rPr>
          <w:instrText xml:space="preserve"> PAGEREF _Toc177387951 \h </w:instrText>
        </w:r>
        <w:r w:rsidRPr="00D933F2">
          <w:rPr>
            <w:noProof/>
            <w:webHidden/>
          </w:rPr>
        </w:r>
        <w:r w:rsidRPr="00D933F2">
          <w:rPr>
            <w:noProof/>
            <w:webHidden/>
          </w:rPr>
          <w:fldChar w:fldCharType="separate"/>
        </w:r>
        <w:r w:rsidR="0096247A">
          <w:rPr>
            <w:noProof/>
            <w:webHidden/>
          </w:rPr>
          <w:t>84</w:t>
        </w:r>
        <w:r w:rsidRPr="00D933F2">
          <w:rPr>
            <w:noProof/>
            <w:webHidden/>
          </w:rPr>
          <w:fldChar w:fldCharType="end"/>
        </w:r>
      </w:hyperlink>
    </w:p>
    <w:p w14:paraId="14843ADE"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52" w:history="1">
        <w:r w:rsidRPr="00D933F2">
          <w:rPr>
            <w:rStyle w:val="Hyperlink"/>
            <w:rFonts w:eastAsia="Times New Roman"/>
            <w:b/>
            <w:bCs/>
            <w:noProof/>
          </w:rPr>
          <w:t>Table</w:t>
        </w:r>
        <w:r w:rsidRPr="00D933F2">
          <w:rPr>
            <w:rStyle w:val="Hyperlink"/>
            <w:rFonts w:eastAsia="Times New Roman"/>
            <w:noProof/>
          </w:rPr>
          <w:t xml:space="preserve"> </w:t>
        </w:r>
        <w:r w:rsidRPr="00D933F2">
          <w:rPr>
            <w:rStyle w:val="Hyperlink"/>
            <w:rFonts w:eastAsia="Times New Roman"/>
            <w:b/>
            <w:bCs/>
            <w:noProof/>
          </w:rPr>
          <w:t>21</w:t>
        </w:r>
        <w:r w:rsidRPr="00D933F2">
          <w:rPr>
            <w:rStyle w:val="Hyperlink"/>
            <w:rFonts w:eastAsia="Times New Roman"/>
            <w:noProof/>
          </w:rPr>
          <w:t xml:space="preserve">: Factor Loading for Organisational </w:t>
        </w:r>
        <w:r w:rsidR="00D933F2" w:rsidRPr="00D933F2">
          <w:rPr>
            <w:rStyle w:val="Hyperlink"/>
            <w:rFonts w:eastAsia="Times New Roman"/>
            <w:noProof/>
          </w:rPr>
          <w:t>Performance</w:t>
        </w:r>
        <w:r w:rsidRPr="00D933F2">
          <w:rPr>
            <w:rStyle w:val="Hyperlink"/>
            <w:rFonts w:eastAsia="Times New Roman"/>
            <w:noProof/>
          </w:rPr>
          <w:t xml:space="preserve"> of F</w:t>
        </w:r>
        <w:r w:rsidR="00D933F2" w:rsidRPr="00D933F2">
          <w:rPr>
            <w:rStyle w:val="Hyperlink"/>
            <w:rFonts w:eastAsia="Times New Roman"/>
            <w:noProof/>
          </w:rPr>
          <w:t>BHs</w:t>
        </w:r>
        <w:r w:rsidRPr="00D933F2">
          <w:rPr>
            <w:noProof/>
            <w:webHidden/>
          </w:rPr>
          <w:tab/>
        </w:r>
        <w:r w:rsidRPr="00D933F2">
          <w:rPr>
            <w:noProof/>
            <w:webHidden/>
          </w:rPr>
          <w:fldChar w:fldCharType="begin"/>
        </w:r>
        <w:r w:rsidRPr="00D933F2">
          <w:rPr>
            <w:noProof/>
            <w:webHidden/>
          </w:rPr>
          <w:instrText xml:space="preserve"> PAGEREF _Toc177387952 \h </w:instrText>
        </w:r>
        <w:r w:rsidRPr="00D933F2">
          <w:rPr>
            <w:noProof/>
            <w:webHidden/>
          </w:rPr>
        </w:r>
        <w:r w:rsidRPr="00D933F2">
          <w:rPr>
            <w:noProof/>
            <w:webHidden/>
          </w:rPr>
          <w:fldChar w:fldCharType="separate"/>
        </w:r>
        <w:r w:rsidR="0096247A">
          <w:rPr>
            <w:noProof/>
            <w:webHidden/>
          </w:rPr>
          <w:t>86</w:t>
        </w:r>
        <w:r w:rsidRPr="00D933F2">
          <w:rPr>
            <w:noProof/>
            <w:webHidden/>
          </w:rPr>
          <w:fldChar w:fldCharType="end"/>
        </w:r>
      </w:hyperlink>
    </w:p>
    <w:p w14:paraId="2FD301BC"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53" w:history="1">
        <w:r w:rsidRPr="00D933F2">
          <w:rPr>
            <w:rStyle w:val="Hyperlink"/>
            <w:rFonts w:eastAsia="Times New Roman"/>
            <w:b/>
            <w:bCs/>
            <w:noProof/>
          </w:rPr>
          <w:t>Table</w:t>
        </w:r>
        <w:r w:rsidRPr="00D933F2">
          <w:rPr>
            <w:rStyle w:val="Hyperlink"/>
            <w:rFonts w:eastAsia="Times New Roman"/>
            <w:noProof/>
          </w:rPr>
          <w:t xml:space="preserve"> </w:t>
        </w:r>
        <w:r w:rsidRPr="00D933F2">
          <w:rPr>
            <w:rStyle w:val="Hyperlink"/>
            <w:rFonts w:eastAsia="Times New Roman"/>
            <w:b/>
            <w:bCs/>
            <w:noProof/>
          </w:rPr>
          <w:t>22</w:t>
        </w:r>
        <w:r w:rsidRPr="00D933F2">
          <w:rPr>
            <w:rStyle w:val="Hyperlink"/>
            <w:rFonts w:eastAsia="Times New Roman"/>
            <w:noProof/>
          </w:rPr>
          <w:t xml:space="preserve">: Descriptive Statistics for Corporate </w:t>
        </w:r>
        <w:r w:rsidR="00D105E7" w:rsidRPr="00D933F2">
          <w:rPr>
            <w:rStyle w:val="Hyperlink"/>
            <w:rFonts w:eastAsia="Times New Roman"/>
            <w:noProof/>
          </w:rPr>
          <w:t>Governance</w:t>
        </w:r>
        <w:r w:rsidRPr="00D933F2">
          <w:rPr>
            <w:noProof/>
            <w:webHidden/>
          </w:rPr>
          <w:tab/>
        </w:r>
        <w:r w:rsidRPr="00D933F2">
          <w:rPr>
            <w:noProof/>
            <w:webHidden/>
          </w:rPr>
          <w:fldChar w:fldCharType="begin"/>
        </w:r>
        <w:r w:rsidRPr="00D933F2">
          <w:rPr>
            <w:noProof/>
            <w:webHidden/>
          </w:rPr>
          <w:instrText xml:space="preserve"> PAGEREF _Toc177387953 \h </w:instrText>
        </w:r>
        <w:r w:rsidRPr="00D933F2">
          <w:rPr>
            <w:noProof/>
            <w:webHidden/>
          </w:rPr>
        </w:r>
        <w:r w:rsidRPr="00D933F2">
          <w:rPr>
            <w:noProof/>
            <w:webHidden/>
          </w:rPr>
          <w:fldChar w:fldCharType="separate"/>
        </w:r>
        <w:r w:rsidR="0096247A">
          <w:rPr>
            <w:noProof/>
            <w:webHidden/>
          </w:rPr>
          <w:t>88</w:t>
        </w:r>
        <w:r w:rsidRPr="00D933F2">
          <w:rPr>
            <w:noProof/>
            <w:webHidden/>
          </w:rPr>
          <w:fldChar w:fldCharType="end"/>
        </w:r>
      </w:hyperlink>
    </w:p>
    <w:p w14:paraId="4CF64DC8"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54" w:history="1">
        <w:r w:rsidRPr="00D933F2">
          <w:rPr>
            <w:rStyle w:val="Hyperlink"/>
            <w:b/>
            <w:bCs/>
            <w:noProof/>
          </w:rPr>
          <w:t>Table</w:t>
        </w:r>
        <w:r w:rsidRPr="00D933F2">
          <w:rPr>
            <w:rStyle w:val="Hyperlink"/>
            <w:noProof/>
          </w:rPr>
          <w:t xml:space="preserve"> </w:t>
        </w:r>
        <w:r w:rsidRPr="00D933F2">
          <w:rPr>
            <w:rStyle w:val="Hyperlink"/>
            <w:b/>
            <w:bCs/>
            <w:noProof/>
          </w:rPr>
          <w:t>23</w:t>
        </w:r>
        <w:r w:rsidRPr="00D933F2">
          <w:rPr>
            <w:rStyle w:val="Hyperlink"/>
            <w:noProof/>
          </w:rPr>
          <w:t>: Descriptive Statistics for Service Innovation</w:t>
        </w:r>
        <w:r w:rsidRPr="00D933F2">
          <w:rPr>
            <w:noProof/>
            <w:webHidden/>
          </w:rPr>
          <w:tab/>
        </w:r>
        <w:r w:rsidRPr="00D933F2">
          <w:rPr>
            <w:noProof/>
            <w:webHidden/>
          </w:rPr>
          <w:fldChar w:fldCharType="begin"/>
        </w:r>
        <w:r w:rsidRPr="00D933F2">
          <w:rPr>
            <w:noProof/>
            <w:webHidden/>
          </w:rPr>
          <w:instrText xml:space="preserve"> PAGEREF _Toc177387954 \h </w:instrText>
        </w:r>
        <w:r w:rsidRPr="00D933F2">
          <w:rPr>
            <w:noProof/>
            <w:webHidden/>
          </w:rPr>
        </w:r>
        <w:r w:rsidRPr="00D933F2">
          <w:rPr>
            <w:noProof/>
            <w:webHidden/>
          </w:rPr>
          <w:fldChar w:fldCharType="separate"/>
        </w:r>
        <w:r w:rsidR="0096247A">
          <w:rPr>
            <w:noProof/>
            <w:webHidden/>
          </w:rPr>
          <w:t>89</w:t>
        </w:r>
        <w:r w:rsidRPr="00D933F2">
          <w:rPr>
            <w:noProof/>
            <w:webHidden/>
          </w:rPr>
          <w:fldChar w:fldCharType="end"/>
        </w:r>
      </w:hyperlink>
    </w:p>
    <w:p w14:paraId="2012CC3F"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55" w:history="1">
        <w:r w:rsidRPr="00D933F2">
          <w:rPr>
            <w:rStyle w:val="Hyperlink"/>
            <w:b/>
            <w:bCs/>
            <w:noProof/>
          </w:rPr>
          <w:t>Table</w:t>
        </w:r>
        <w:r w:rsidRPr="00D933F2">
          <w:rPr>
            <w:rStyle w:val="Hyperlink"/>
            <w:noProof/>
          </w:rPr>
          <w:t xml:space="preserve"> </w:t>
        </w:r>
        <w:r w:rsidRPr="00D933F2">
          <w:rPr>
            <w:rStyle w:val="Hyperlink"/>
            <w:b/>
            <w:bCs/>
            <w:noProof/>
          </w:rPr>
          <w:t>24</w:t>
        </w:r>
        <w:r w:rsidRPr="00D933F2">
          <w:rPr>
            <w:rStyle w:val="Hyperlink"/>
            <w:noProof/>
          </w:rPr>
          <w:t>: Descriptive Statistics for Government Regulations</w:t>
        </w:r>
        <w:r w:rsidRPr="00D933F2">
          <w:rPr>
            <w:noProof/>
            <w:webHidden/>
          </w:rPr>
          <w:tab/>
        </w:r>
        <w:r w:rsidRPr="00D933F2">
          <w:rPr>
            <w:noProof/>
            <w:webHidden/>
          </w:rPr>
          <w:fldChar w:fldCharType="begin"/>
        </w:r>
        <w:r w:rsidRPr="00D933F2">
          <w:rPr>
            <w:noProof/>
            <w:webHidden/>
          </w:rPr>
          <w:instrText xml:space="preserve"> PAGEREF _Toc177387955 \h </w:instrText>
        </w:r>
        <w:r w:rsidRPr="00D933F2">
          <w:rPr>
            <w:noProof/>
            <w:webHidden/>
          </w:rPr>
        </w:r>
        <w:r w:rsidRPr="00D933F2">
          <w:rPr>
            <w:noProof/>
            <w:webHidden/>
          </w:rPr>
          <w:fldChar w:fldCharType="separate"/>
        </w:r>
        <w:r w:rsidR="0096247A">
          <w:rPr>
            <w:noProof/>
            <w:webHidden/>
          </w:rPr>
          <w:t>90</w:t>
        </w:r>
        <w:r w:rsidRPr="00D933F2">
          <w:rPr>
            <w:noProof/>
            <w:webHidden/>
          </w:rPr>
          <w:fldChar w:fldCharType="end"/>
        </w:r>
      </w:hyperlink>
    </w:p>
    <w:p w14:paraId="0C325785"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56" w:history="1">
        <w:r w:rsidRPr="00A20F72">
          <w:rPr>
            <w:rStyle w:val="Hyperlink"/>
            <w:b/>
            <w:bCs/>
            <w:noProof/>
          </w:rPr>
          <w:t xml:space="preserve">Table 25: </w:t>
        </w:r>
        <w:r w:rsidRPr="00D933F2">
          <w:rPr>
            <w:rStyle w:val="Hyperlink"/>
            <w:noProof/>
          </w:rPr>
          <w:t>Descriptive Statistics for Organisational Performance</w:t>
        </w:r>
        <w:r w:rsidRPr="00D933F2">
          <w:rPr>
            <w:rStyle w:val="Hyperlink"/>
            <w:noProof/>
            <w:lang w:val="en"/>
          </w:rPr>
          <w:t xml:space="preserve"> of</w:t>
        </w:r>
        <w:r w:rsidR="00D933F2" w:rsidRPr="00D933F2">
          <w:rPr>
            <w:rStyle w:val="Hyperlink"/>
            <w:noProof/>
            <w:lang w:val="en"/>
          </w:rPr>
          <w:t xml:space="preserve"> FBHs</w:t>
        </w:r>
        <w:r w:rsidRPr="00D933F2">
          <w:rPr>
            <w:noProof/>
            <w:webHidden/>
          </w:rPr>
          <w:tab/>
        </w:r>
        <w:r w:rsidRPr="00D933F2">
          <w:rPr>
            <w:noProof/>
            <w:webHidden/>
          </w:rPr>
          <w:fldChar w:fldCharType="begin"/>
        </w:r>
        <w:r w:rsidRPr="00D933F2">
          <w:rPr>
            <w:noProof/>
            <w:webHidden/>
          </w:rPr>
          <w:instrText xml:space="preserve"> PAGEREF _Toc177387956 \h </w:instrText>
        </w:r>
        <w:r w:rsidRPr="00D933F2">
          <w:rPr>
            <w:noProof/>
            <w:webHidden/>
          </w:rPr>
        </w:r>
        <w:r w:rsidRPr="00D933F2">
          <w:rPr>
            <w:noProof/>
            <w:webHidden/>
          </w:rPr>
          <w:fldChar w:fldCharType="separate"/>
        </w:r>
        <w:r w:rsidR="0096247A">
          <w:rPr>
            <w:noProof/>
            <w:webHidden/>
          </w:rPr>
          <w:t>91</w:t>
        </w:r>
        <w:r w:rsidRPr="00D933F2">
          <w:rPr>
            <w:noProof/>
            <w:webHidden/>
          </w:rPr>
          <w:fldChar w:fldCharType="end"/>
        </w:r>
      </w:hyperlink>
    </w:p>
    <w:p w14:paraId="02543980"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57" w:history="1">
        <w:r w:rsidRPr="00A20F72">
          <w:rPr>
            <w:rStyle w:val="Hyperlink"/>
            <w:b/>
            <w:bCs/>
            <w:noProof/>
          </w:rPr>
          <w:t xml:space="preserve">Table 26: </w:t>
        </w:r>
        <w:r w:rsidRPr="00D933F2">
          <w:rPr>
            <w:rStyle w:val="Hyperlink"/>
            <w:noProof/>
          </w:rPr>
          <w:t xml:space="preserve">Relationship Between </w:t>
        </w:r>
        <w:r w:rsidR="00D933F2" w:rsidRPr="00D933F2">
          <w:rPr>
            <w:rStyle w:val="Hyperlink"/>
            <w:noProof/>
          </w:rPr>
          <w:t>CG, SI, GR and OP</w:t>
        </w:r>
        <w:r w:rsidRPr="00D933F2">
          <w:rPr>
            <w:rStyle w:val="Hyperlink"/>
            <w:noProof/>
          </w:rPr>
          <w:t xml:space="preserve"> of Faith-Based Hospitals</w:t>
        </w:r>
        <w:r w:rsidRPr="00D933F2">
          <w:rPr>
            <w:noProof/>
            <w:webHidden/>
          </w:rPr>
          <w:tab/>
        </w:r>
        <w:r w:rsidRPr="00D933F2">
          <w:rPr>
            <w:noProof/>
            <w:webHidden/>
          </w:rPr>
          <w:fldChar w:fldCharType="begin"/>
        </w:r>
        <w:r w:rsidRPr="00D933F2">
          <w:rPr>
            <w:noProof/>
            <w:webHidden/>
          </w:rPr>
          <w:instrText xml:space="preserve"> PAGEREF _Toc177387957 \h </w:instrText>
        </w:r>
        <w:r w:rsidRPr="00D933F2">
          <w:rPr>
            <w:noProof/>
            <w:webHidden/>
          </w:rPr>
        </w:r>
        <w:r w:rsidRPr="00D933F2">
          <w:rPr>
            <w:noProof/>
            <w:webHidden/>
          </w:rPr>
          <w:fldChar w:fldCharType="separate"/>
        </w:r>
        <w:r w:rsidR="0096247A">
          <w:rPr>
            <w:noProof/>
            <w:webHidden/>
          </w:rPr>
          <w:t>93</w:t>
        </w:r>
        <w:r w:rsidRPr="00D933F2">
          <w:rPr>
            <w:noProof/>
            <w:webHidden/>
          </w:rPr>
          <w:fldChar w:fldCharType="end"/>
        </w:r>
      </w:hyperlink>
    </w:p>
    <w:p w14:paraId="742E8F1B"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58" w:history="1">
        <w:r w:rsidRPr="00A20F72">
          <w:rPr>
            <w:rStyle w:val="Hyperlink"/>
            <w:b/>
            <w:bCs/>
            <w:noProof/>
          </w:rPr>
          <w:t xml:space="preserve">Table 27: </w:t>
        </w:r>
        <w:r w:rsidRPr="00D105E7">
          <w:rPr>
            <w:rStyle w:val="Hyperlink"/>
            <w:noProof/>
          </w:rPr>
          <w:t xml:space="preserve">Model Summary for Corporate </w:t>
        </w:r>
        <w:r w:rsidR="00D105E7" w:rsidRPr="00D105E7">
          <w:rPr>
            <w:rStyle w:val="Hyperlink"/>
            <w:noProof/>
          </w:rPr>
          <w:t>Governance</w:t>
        </w:r>
        <w:r>
          <w:rPr>
            <w:noProof/>
            <w:webHidden/>
          </w:rPr>
          <w:tab/>
        </w:r>
        <w:r>
          <w:rPr>
            <w:noProof/>
            <w:webHidden/>
          </w:rPr>
          <w:fldChar w:fldCharType="begin"/>
        </w:r>
        <w:r>
          <w:rPr>
            <w:noProof/>
            <w:webHidden/>
          </w:rPr>
          <w:instrText xml:space="preserve"> PAGEREF _Toc177387958 \h </w:instrText>
        </w:r>
        <w:r>
          <w:rPr>
            <w:noProof/>
            <w:webHidden/>
          </w:rPr>
        </w:r>
        <w:r>
          <w:rPr>
            <w:noProof/>
            <w:webHidden/>
          </w:rPr>
          <w:fldChar w:fldCharType="separate"/>
        </w:r>
        <w:r w:rsidR="0096247A">
          <w:rPr>
            <w:noProof/>
            <w:webHidden/>
          </w:rPr>
          <w:t>95</w:t>
        </w:r>
        <w:r>
          <w:rPr>
            <w:noProof/>
            <w:webHidden/>
          </w:rPr>
          <w:fldChar w:fldCharType="end"/>
        </w:r>
      </w:hyperlink>
    </w:p>
    <w:p w14:paraId="3934F413"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59" w:history="1">
        <w:r w:rsidRPr="00A20F72">
          <w:rPr>
            <w:rStyle w:val="Hyperlink"/>
            <w:rFonts w:eastAsia="Times New Roman"/>
            <w:b/>
            <w:bCs/>
            <w:noProof/>
          </w:rPr>
          <w:t xml:space="preserve">Table 28: </w:t>
        </w:r>
        <w:r w:rsidRPr="00D105E7">
          <w:rPr>
            <w:rStyle w:val="Hyperlink"/>
            <w:rFonts w:eastAsia="Times New Roman"/>
            <w:noProof/>
          </w:rPr>
          <w:t>ANOVA</w:t>
        </w:r>
        <w:r>
          <w:rPr>
            <w:noProof/>
            <w:webHidden/>
          </w:rPr>
          <w:tab/>
        </w:r>
        <w:r>
          <w:rPr>
            <w:noProof/>
            <w:webHidden/>
          </w:rPr>
          <w:fldChar w:fldCharType="begin"/>
        </w:r>
        <w:r>
          <w:rPr>
            <w:noProof/>
            <w:webHidden/>
          </w:rPr>
          <w:instrText xml:space="preserve"> PAGEREF _Toc177387959 \h </w:instrText>
        </w:r>
        <w:r>
          <w:rPr>
            <w:noProof/>
            <w:webHidden/>
          </w:rPr>
        </w:r>
        <w:r>
          <w:rPr>
            <w:noProof/>
            <w:webHidden/>
          </w:rPr>
          <w:fldChar w:fldCharType="separate"/>
        </w:r>
        <w:r w:rsidR="0096247A">
          <w:rPr>
            <w:noProof/>
            <w:webHidden/>
          </w:rPr>
          <w:t>95</w:t>
        </w:r>
        <w:r>
          <w:rPr>
            <w:noProof/>
            <w:webHidden/>
          </w:rPr>
          <w:fldChar w:fldCharType="end"/>
        </w:r>
      </w:hyperlink>
    </w:p>
    <w:p w14:paraId="3F8451A6"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60" w:history="1">
        <w:r w:rsidRPr="00A20F72">
          <w:rPr>
            <w:rStyle w:val="Hyperlink"/>
            <w:rFonts w:eastAsia="Times New Roman"/>
            <w:b/>
            <w:bCs/>
            <w:noProof/>
          </w:rPr>
          <w:t xml:space="preserve">Table 29: </w:t>
        </w:r>
        <w:r w:rsidRPr="00D105E7">
          <w:rPr>
            <w:rStyle w:val="Hyperlink"/>
            <w:rFonts w:eastAsia="Times New Roman"/>
            <w:noProof/>
          </w:rPr>
          <w:t>Regression Coefficients for CG and OP</w:t>
        </w:r>
        <w:r>
          <w:rPr>
            <w:noProof/>
            <w:webHidden/>
          </w:rPr>
          <w:tab/>
        </w:r>
        <w:r>
          <w:rPr>
            <w:noProof/>
            <w:webHidden/>
          </w:rPr>
          <w:fldChar w:fldCharType="begin"/>
        </w:r>
        <w:r>
          <w:rPr>
            <w:noProof/>
            <w:webHidden/>
          </w:rPr>
          <w:instrText xml:space="preserve"> PAGEREF _Toc177387960 \h </w:instrText>
        </w:r>
        <w:r>
          <w:rPr>
            <w:noProof/>
            <w:webHidden/>
          </w:rPr>
        </w:r>
        <w:r>
          <w:rPr>
            <w:noProof/>
            <w:webHidden/>
          </w:rPr>
          <w:fldChar w:fldCharType="separate"/>
        </w:r>
        <w:r w:rsidR="0096247A">
          <w:rPr>
            <w:noProof/>
            <w:webHidden/>
          </w:rPr>
          <w:t>96</w:t>
        </w:r>
        <w:r>
          <w:rPr>
            <w:noProof/>
            <w:webHidden/>
          </w:rPr>
          <w:fldChar w:fldCharType="end"/>
        </w:r>
      </w:hyperlink>
    </w:p>
    <w:p w14:paraId="523D117D"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61" w:history="1">
        <w:r w:rsidRPr="00A20F72">
          <w:rPr>
            <w:rStyle w:val="Hyperlink"/>
            <w:rFonts w:eastAsia="Calibri"/>
            <w:b/>
            <w:noProof/>
          </w:rPr>
          <w:t>Table 30</w:t>
        </w:r>
        <w:r w:rsidRPr="00A20F72">
          <w:rPr>
            <w:rStyle w:val="Hyperlink"/>
            <w:rFonts w:eastAsia="Calibri"/>
            <w:b/>
            <w:iCs/>
            <w:noProof/>
            <w:lang w:val="en-GB"/>
          </w:rPr>
          <w:t xml:space="preserve">: </w:t>
        </w:r>
        <w:r w:rsidRPr="00D105E7">
          <w:rPr>
            <w:rStyle w:val="Hyperlink"/>
            <w:rFonts w:eastAsia="Calibri"/>
            <w:bCs/>
            <w:iCs/>
            <w:noProof/>
            <w:lang w:val="en-GB"/>
          </w:rPr>
          <w:t>Regression Results from the Test of the Effect of CG on OP</w:t>
        </w:r>
        <w:r w:rsidRPr="00D105E7">
          <w:rPr>
            <w:bCs/>
            <w:noProof/>
            <w:webHidden/>
          </w:rPr>
          <w:tab/>
        </w:r>
        <w:r w:rsidRPr="00D105E7">
          <w:rPr>
            <w:bCs/>
            <w:noProof/>
            <w:webHidden/>
          </w:rPr>
          <w:fldChar w:fldCharType="begin"/>
        </w:r>
        <w:r w:rsidRPr="00D105E7">
          <w:rPr>
            <w:bCs/>
            <w:noProof/>
            <w:webHidden/>
          </w:rPr>
          <w:instrText xml:space="preserve"> PAGEREF _Toc177387961 \h </w:instrText>
        </w:r>
        <w:r w:rsidRPr="00D105E7">
          <w:rPr>
            <w:bCs/>
            <w:noProof/>
            <w:webHidden/>
          </w:rPr>
        </w:r>
        <w:r w:rsidRPr="00D105E7">
          <w:rPr>
            <w:bCs/>
            <w:noProof/>
            <w:webHidden/>
          </w:rPr>
          <w:fldChar w:fldCharType="separate"/>
        </w:r>
        <w:r w:rsidR="0096247A">
          <w:rPr>
            <w:bCs/>
            <w:noProof/>
            <w:webHidden/>
          </w:rPr>
          <w:t>98</w:t>
        </w:r>
        <w:r w:rsidRPr="00D105E7">
          <w:rPr>
            <w:bCs/>
            <w:noProof/>
            <w:webHidden/>
          </w:rPr>
          <w:fldChar w:fldCharType="end"/>
        </w:r>
      </w:hyperlink>
    </w:p>
    <w:p w14:paraId="0BD4CD7E"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62" w:history="1">
        <w:r w:rsidRPr="00A20F72">
          <w:rPr>
            <w:rStyle w:val="Hyperlink"/>
            <w:rFonts w:eastAsia="Calibri"/>
            <w:b/>
            <w:noProof/>
          </w:rPr>
          <w:t>Table 31</w:t>
        </w:r>
        <w:r w:rsidRPr="00A20F72">
          <w:rPr>
            <w:rStyle w:val="Hyperlink"/>
            <w:rFonts w:eastAsia="Calibri"/>
            <w:b/>
            <w:iCs/>
            <w:noProof/>
            <w:lang w:val="en-GB"/>
          </w:rPr>
          <w:t xml:space="preserve">: </w:t>
        </w:r>
        <w:r w:rsidRPr="00510CE8">
          <w:rPr>
            <w:rStyle w:val="Hyperlink"/>
            <w:rFonts w:eastAsia="Calibri"/>
            <w:bCs/>
            <w:iCs/>
            <w:noProof/>
            <w:lang w:val="en-GB"/>
          </w:rPr>
          <w:t>Regression Results from the Test of the Effect CG on SI</w:t>
        </w:r>
        <w:r>
          <w:rPr>
            <w:noProof/>
            <w:webHidden/>
          </w:rPr>
          <w:tab/>
        </w:r>
        <w:r>
          <w:rPr>
            <w:noProof/>
            <w:webHidden/>
          </w:rPr>
          <w:fldChar w:fldCharType="begin"/>
        </w:r>
        <w:r>
          <w:rPr>
            <w:noProof/>
            <w:webHidden/>
          </w:rPr>
          <w:instrText xml:space="preserve"> PAGEREF _Toc177387962 \h </w:instrText>
        </w:r>
        <w:r>
          <w:rPr>
            <w:noProof/>
            <w:webHidden/>
          </w:rPr>
        </w:r>
        <w:r>
          <w:rPr>
            <w:noProof/>
            <w:webHidden/>
          </w:rPr>
          <w:fldChar w:fldCharType="separate"/>
        </w:r>
        <w:r w:rsidR="0096247A">
          <w:rPr>
            <w:noProof/>
            <w:webHidden/>
          </w:rPr>
          <w:t>99</w:t>
        </w:r>
        <w:r>
          <w:rPr>
            <w:noProof/>
            <w:webHidden/>
          </w:rPr>
          <w:fldChar w:fldCharType="end"/>
        </w:r>
      </w:hyperlink>
    </w:p>
    <w:p w14:paraId="7DDC0F85"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63" w:history="1">
        <w:r w:rsidRPr="00A20F72">
          <w:rPr>
            <w:rStyle w:val="Hyperlink"/>
            <w:rFonts w:eastAsia="Times New Roman"/>
            <w:b/>
            <w:bCs/>
            <w:noProof/>
          </w:rPr>
          <w:t>Table 32</w:t>
        </w:r>
        <w:r w:rsidRPr="00A20F72">
          <w:rPr>
            <w:rStyle w:val="Hyperlink"/>
            <w:rFonts w:eastAsia="Times New Roman"/>
            <w:b/>
            <w:bCs/>
            <w:iCs/>
            <w:noProof/>
            <w:lang w:val="en-GB"/>
          </w:rPr>
          <w:t xml:space="preserve">: </w:t>
        </w:r>
        <w:r w:rsidRPr="00510CE8">
          <w:rPr>
            <w:rStyle w:val="Hyperlink"/>
            <w:rFonts w:eastAsia="Times New Roman"/>
            <w:iCs/>
            <w:noProof/>
            <w:lang w:val="en-GB"/>
          </w:rPr>
          <w:t>Regression Results from the Test of the Effect of SI on OP</w:t>
        </w:r>
        <w:r w:rsidRPr="00510CE8">
          <w:rPr>
            <w:noProof/>
            <w:webHidden/>
          </w:rPr>
          <w:tab/>
        </w:r>
        <w:r w:rsidRPr="00510CE8">
          <w:rPr>
            <w:noProof/>
            <w:webHidden/>
          </w:rPr>
          <w:fldChar w:fldCharType="begin"/>
        </w:r>
        <w:r w:rsidRPr="00510CE8">
          <w:rPr>
            <w:noProof/>
            <w:webHidden/>
          </w:rPr>
          <w:instrText xml:space="preserve"> PAGEREF _Toc177387963 \h </w:instrText>
        </w:r>
        <w:r w:rsidRPr="00510CE8">
          <w:rPr>
            <w:noProof/>
            <w:webHidden/>
          </w:rPr>
        </w:r>
        <w:r w:rsidRPr="00510CE8">
          <w:rPr>
            <w:noProof/>
            <w:webHidden/>
          </w:rPr>
          <w:fldChar w:fldCharType="separate"/>
        </w:r>
        <w:r w:rsidR="0096247A">
          <w:rPr>
            <w:noProof/>
            <w:webHidden/>
          </w:rPr>
          <w:t>100</w:t>
        </w:r>
        <w:r w:rsidRPr="00510CE8">
          <w:rPr>
            <w:noProof/>
            <w:webHidden/>
          </w:rPr>
          <w:fldChar w:fldCharType="end"/>
        </w:r>
      </w:hyperlink>
    </w:p>
    <w:p w14:paraId="7E4C5CB8"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64" w:history="1">
        <w:r w:rsidRPr="00A20F72">
          <w:rPr>
            <w:rStyle w:val="Hyperlink"/>
            <w:rFonts w:eastAsia="Times New Roman"/>
            <w:b/>
            <w:bCs/>
            <w:noProof/>
          </w:rPr>
          <w:t>Table 33</w:t>
        </w:r>
        <w:r w:rsidRPr="00A20F72">
          <w:rPr>
            <w:rStyle w:val="Hyperlink"/>
            <w:rFonts w:eastAsia="Times New Roman"/>
            <w:b/>
            <w:bCs/>
            <w:noProof/>
            <w:lang w:val="en-GB"/>
          </w:rPr>
          <w:t xml:space="preserve">:  </w:t>
        </w:r>
        <w:r w:rsidRPr="00510CE8">
          <w:rPr>
            <w:rStyle w:val="Hyperlink"/>
            <w:rFonts w:eastAsia="Times New Roman"/>
            <w:noProof/>
            <w:lang w:val="en-GB"/>
          </w:rPr>
          <w:t>Regression Results Depicting Mediating Effect of SI on CG and OP</w:t>
        </w:r>
        <w:r>
          <w:rPr>
            <w:noProof/>
            <w:webHidden/>
          </w:rPr>
          <w:tab/>
        </w:r>
        <w:r>
          <w:rPr>
            <w:noProof/>
            <w:webHidden/>
          </w:rPr>
          <w:fldChar w:fldCharType="begin"/>
        </w:r>
        <w:r>
          <w:rPr>
            <w:noProof/>
            <w:webHidden/>
          </w:rPr>
          <w:instrText xml:space="preserve"> PAGEREF _Toc177387964 \h </w:instrText>
        </w:r>
        <w:r>
          <w:rPr>
            <w:noProof/>
            <w:webHidden/>
          </w:rPr>
        </w:r>
        <w:r>
          <w:rPr>
            <w:noProof/>
            <w:webHidden/>
          </w:rPr>
          <w:fldChar w:fldCharType="separate"/>
        </w:r>
        <w:r w:rsidR="0096247A">
          <w:rPr>
            <w:noProof/>
            <w:webHidden/>
          </w:rPr>
          <w:t>101</w:t>
        </w:r>
        <w:r>
          <w:rPr>
            <w:noProof/>
            <w:webHidden/>
          </w:rPr>
          <w:fldChar w:fldCharType="end"/>
        </w:r>
      </w:hyperlink>
    </w:p>
    <w:p w14:paraId="528E0557"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65" w:history="1">
        <w:r w:rsidRPr="00A20F72">
          <w:rPr>
            <w:rStyle w:val="Hyperlink"/>
            <w:rFonts w:eastAsia="Times New Roman"/>
            <w:b/>
            <w:bCs/>
            <w:noProof/>
          </w:rPr>
          <w:t>Table 34</w:t>
        </w:r>
        <w:r w:rsidRPr="00A20F72">
          <w:rPr>
            <w:rStyle w:val="Hyperlink"/>
            <w:rFonts w:eastAsia="Times New Roman"/>
            <w:b/>
            <w:bCs/>
            <w:iCs/>
            <w:noProof/>
            <w:lang w:val="en-GB" w:eastAsia="en-GB"/>
          </w:rPr>
          <w:t xml:space="preserve">: </w:t>
        </w:r>
        <w:r w:rsidRPr="00510CE8">
          <w:rPr>
            <w:rStyle w:val="Hyperlink"/>
            <w:rFonts w:eastAsia="Times New Roman"/>
            <w:iCs/>
            <w:noProof/>
            <w:lang w:val="en-GB" w:eastAsia="en-GB"/>
          </w:rPr>
          <w:t xml:space="preserve">Regression Results for </w:t>
        </w:r>
        <w:r w:rsidRPr="00510CE8">
          <w:rPr>
            <w:rStyle w:val="Hyperlink"/>
            <w:rFonts w:eastAsia="Times New Roman"/>
            <w:noProof/>
            <w:lang w:val="en-GB" w:eastAsia="en-GB"/>
          </w:rPr>
          <w:t xml:space="preserve">Model Summary </w:t>
        </w:r>
        <w:r w:rsidRPr="00510CE8">
          <w:rPr>
            <w:rStyle w:val="Hyperlink"/>
            <w:rFonts w:eastAsia="Times New Roman"/>
            <w:iCs/>
            <w:noProof/>
            <w:lang w:val="en-GB" w:eastAsia="en-GB"/>
          </w:rPr>
          <w:t xml:space="preserve">for </w:t>
        </w:r>
        <w:r w:rsidRPr="00510CE8">
          <w:rPr>
            <w:rStyle w:val="Hyperlink"/>
            <w:rFonts w:eastAsia="Times New Roman"/>
            <w:noProof/>
          </w:rPr>
          <w:t>CG, GR and OP</w:t>
        </w:r>
        <w:r>
          <w:rPr>
            <w:noProof/>
            <w:webHidden/>
          </w:rPr>
          <w:tab/>
        </w:r>
        <w:r>
          <w:rPr>
            <w:noProof/>
            <w:webHidden/>
          </w:rPr>
          <w:fldChar w:fldCharType="begin"/>
        </w:r>
        <w:r>
          <w:rPr>
            <w:noProof/>
            <w:webHidden/>
          </w:rPr>
          <w:instrText xml:space="preserve"> PAGEREF _Toc177387965 \h </w:instrText>
        </w:r>
        <w:r>
          <w:rPr>
            <w:noProof/>
            <w:webHidden/>
          </w:rPr>
        </w:r>
        <w:r>
          <w:rPr>
            <w:noProof/>
            <w:webHidden/>
          </w:rPr>
          <w:fldChar w:fldCharType="separate"/>
        </w:r>
        <w:r w:rsidR="0096247A">
          <w:rPr>
            <w:noProof/>
            <w:webHidden/>
          </w:rPr>
          <w:t>104</w:t>
        </w:r>
        <w:r>
          <w:rPr>
            <w:noProof/>
            <w:webHidden/>
          </w:rPr>
          <w:fldChar w:fldCharType="end"/>
        </w:r>
      </w:hyperlink>
    </w:p>
    <w:p w14:paraId="2D6FB63F"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66" w:history="1">
        <w:r w:rsidRPr="00A20F72">
          <w:rPr>
            <w:rStyle w:val="Hyperlink"/>
            <w:rFonts w:eastAsia="Times New Roman"/>
            <w:b/>
            <w:bCs/>
            <w:noProof/>
          </w:rPr>
          <w:t xml:space="preserve">Table 35: </w:t>
        </w:r>
        <w:r w:rsidRPr="00510CE8">
          <w:rPr>
            <w:rStyle w:val="Hyperlink"/>
            <w:rFonts w:eastAsia="Times New Roman"/>
            <w:noProof/>
          </w:rPr>
          <w:t>ANOVA</w:t>
        </w:r>
        <w:r>
          <w:rPr>
            <w:noProof/>
            <w:webHidden/>
          </w:rPr>
          <w:tab/>
        </w:r>
        <w:r>
          <w:rPr>
            <w:noProof/>
            <w:webHidden/>
          </w:rPr>
          <w:fldChar w:fldCharType="begin"/>
        </w:r>
        <w:r>
          <w:rPr>
            <w:noProof/>
            <w:webHidden/>
          </w:rPr>
          <w:instrText xml:space="preserve"> PAGEREF _Toc177387966 \h </w:instrText>
        </w:r>
        <w:r>
          <w:rPr>
            <w:noProof/>
            <w:webHidden/>
          </w:rPr>
        </w:r>
        <w:r>
          <w:rPr>
            <w:noProof/>
            <w:webHidden/>
          </w:rPr>
          <w:fldChar w:fldCharType="separate"/>
        </w:r>
        <w:r w:rsidR="0096247A">
          <w:rPr>
            <w:noProof/>
            <w:webHidden/>
          </w:rPr>
          <w:t>105</w:t>
        </w:r>
        <w:r>
          <w:rPr>
            <w:noProof/>
            <w:webHidden/>
          </w:rPr>
          <w:fldChar w:fldCharType="end"/>
        </w:r>
      </w:hyperlink>
    </w:p>
    <w:p w14:paraId="31AF47FC"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67" w:history="1">
        <w:r w:rsidRPr="00A20F72">
          <w:rPr>
            <w:rStyle w:val="Hyperlink"/>
            <w:rFonts w:eastAsia="Times New Roman"/>
            <w:b/>
            <w:bCs/>
            <w:noProof/>
          </w:rPr>
          <w:t>Table 36</w:t>
        </w:r>
        <w:r w:rsidRPr="00A20F72">
          <w:rPr>
            <w:rStyle w:val="Hyperlink"/>
            <w:rFonts w:eastAsia="Times New Roman"/>
            <w:b/>
            <w:bCs/>
            <w:noProof/>
            <w:lang w:val="en-GB" w:eastAsia="en-GB"/>
          </w:rPr>
          <w:t xml:space="preserve">: </w:t>
        </w:r>
        <w:r w:rsidRPr="00510CE8">
          <w:rPr>
            <w:rStyle w:val="Hyperlink"/>
            <w:rFonts w:eastAsia="Times New Roman"/>
            <w:noProof/>
            <w:lang w:val="en-GB" w:eastAsia="en-GB"/>
          </w:rPr>
          <w:t>Regression Coefficients for Moderating Effect</w:t>
        </w:r>
        <w:r>
          <w:rPr>
            <w:noProof/>
            <w:webHidden/>
          </w:rPr>
          <w:tab/>
        </w:r>
        <w:r>
          <w:rPr>
            <w:noProof/>
            <w:webHidden/>
          </w:rPr>
          <w:fldChar w:fldCharType="begin"/>
        </w:r>
        <w:r>
          <w:rPr>
            <w:noProof/>
            <w:webHidden/>
          </w:rPr>
          <w:instrText xml:space="preserve"> PAGEREF _Toc177387967 \h </w:instrText>
        </w:r>
        <w:r>
          <w:rPr>
            <w:noProof/>
            <w:webHidden/>
          </w:rPr>
        </w:r>
        <w:r>
          <w:rPr>
            <w:noProof/>
            <w:webHidden/>
          </w:rPr>
          <w:fldChar w:fldCharType="separate"/>
        </w:r>
        <w:r w:rsidR="0096247A">
          <w:rPr>
            <w:noProof/>
            <w:webHidden/>
          </w:rPr>
          <w:t>105</w:t>
        </w:r>
        <w:r>
          <w:rPr>
            <w:noProof/>
            <w:webHidden/>
          </w:rPr>
          <w:fldChar w:fldCharType="end"/>
        </w:r>
      </w:hyperlink>
    </w:p>
    <w:p w14:paraId="2C6951C2"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68" w:history="1">
        <w:r w:rsidRPr="00A20F72">
          <w:rPr>
            <w:rStyle w:val="Hyperlink"/>
            <w:rFonts w:eastAsia="Times New Roman"/>
            <w:b/>
            <w:bCs/>
            <w:noProof/>
          </w:rPr>
          <w:t>Table 37</w:t>
        </w:r>
        <w:r w:rsidRPr="00A20F72">
          <w:rPr>
            <w:rStyle w:val="Hyperlink"/>
            <w:rFonts w:eastAsia="Cambria"/>
            <w:b/>
            <w:bCs/>
            <w:noProof/>
          </w:rPr>
          <w:t xml:space="preserve">: </w:t>
        </w:r>
        <w:r w:rsidRPr="00510CE8">
          <w:rPr>
            <w:rStyle w:val="Hyperlink"/>
            <w:rFonts w:eastAsia="Cambria"/>
            <w:noProof/>
          </w:rPr>
          <w:t xml:space="preserve">Model Summary for Mediated Moderation </w:t>
        </w:r>
        <w:r w:rsidRPr="00510CE8">
          <w:rPr>
            <w:rStyle w:val="Hyperlink"/>
            <w:rFonts w:eastAsia="Cambria"/>
            <w:noProof/>
            <w:lang w:val="zh-CN"/>
          </w:rPr>
          <w:t>Model</w:t>
        </w:r>
        <w:r>
          <w:rPr>
            <w:noProof/>
            <w:webHidden/>
          </w:rPr>
          <w:tab/>
        </w:r>
        <w:r>
          <w:rPr>
            <w:noProof/>
            <w:webHidden/>
          </w:rPr>
          <w:fldChar w:fldCharType="begin"/>
        </w:r>
        <w:r>
          <w:rPr>
            <w:noProof/>
            <w:webHidden/>
          </w:rPr>
          <w:instrText xml:space="preserve"> PAGEREF _Toc177387968 \h </w:instrText>
        </w:r>
        <w:r>
          <w:rPr>
            <w:noProof/>
            <w:webHidden/>
          </w:rPr>
        </w:r>
        <w:r>
          <w:rPr>
            <w:noProof/>
            <w:webHidden/>
          </w:rPr>
          <w:fldChar w:fldCharType="separate"/>
        </w:r>
        <w:r w:rsidR="0096247A">
          <w:rPr>
            <w:noProof/>
            <w:webHidden/>
          </w:rPr>
          <w:t>108</w:t>
        </w:r>
        <w:r>
          <w:rPr>
            <w:noProof/>
            <w:webHidden/>
          </w:rPr>
          <w:fldChar w:fldCharType="end"/>
        </w:r>
      </w:hyperlink>
    </w:p>
    <w:p w14:paraId="5F7256B1"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69" w:history="1">
        <w:r w:rsidRPr="00A20F72">
          <w:rPr>
            <w:rStyle w:val="Hyperlink"/>
            <w:rFonts w:eastAsia="Times New Roman"/>
            <w:b/>
            <w:bCs/>
            <w:noProof/>
          </w:rPr>
          <w:t xml:space="preserve">Table 38: </w:t>
        </w:r>
        <w:r w:rsidRPr="00510CE8">
          <w:rPr>
            <w:rStyle w:val="Hyperlink"/>
            <w:rFonts w:eastAsia="Times New Roman"/>
            <w:noProof/>
          </w:rPr>
          <w:t>ANOVA</w:t>
        </w:r>
        <w:r>
          <w:rPr>
            <w:noProof/>
            <w:webHidden/>
          </w:rPr>
          <w:tab/>
        </w:r>
        <w:r>
          <w:rPr>
            <w:noProof/>
            <w:webHidden/>
          </w:rPr>
          <w:fldChar w:fldCharType="begin"/>
        </w:r>
        <w:r>
          <w:rPr>
            <w:noProof/>
            <w:webHidden/>
          </w:rPr>
          <w:instrText xml:space="preserve"> PAGEREF _Toc177387969 \h </w:instrText>
        </w:r>
        <w:r>
          <w:rPr>
            <w:noProof/>
            <w:webHidden/>
          </w:rPr>
        </w:r>
        <w:r>
          <w:rPr>
            <w:noProof/>
            <w:webHidden/>
          </w:rPr>
          <w:fldChar w:fldCharType="separate"/>
        </w:r>
        <w:r w:rsidR="0096247A">
          <w:rPr>
            <w:noProof/>
            <w:webHidden/>
          </w:rPr>
          <w:t>109</w:t>
        </w:r>
        <w:r>
          <w:rPr>
            <w:noProof/>
            <w:webHidden/>
          </w:rPr>
          <w:fldChar w:fldCharType="end"/>
        </w:r>
      </w:hyperlink>
    </w:p>
    <w:p w14:paraId="4074AEA0"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70" w:history="1">
        <w:r w:rsidRPr="00A20F72">
          <w:rPr>
            <w:rStyle w:val="Hyperlink"/>
            <w:rFonts w:eastAsia="Times New Roman"/>
            <w:b/>
            <w:bCs/>
            <w:noProof/>
          </w:rPr>
          <w:t xml:space="preserve">Table 39: </w:t>
        </w:r>
        <w:r w:rsidRPr="00510CE8">
          <w:rPr>
            <w:rStyle w:val="Hyperlink"/>
            <w:rFonts w:eastAsia="Times New Roman"/>
            <w:noProof/>
          </w:rPr>
          <w:t>Regression Coefficients for Mediated Moderation Effect</w:t>
        </w:r>
        <w:r w:rsidRPr="00510CE8">
          <w:rPr>
            <w:noProof/>
            <w:webHidden/>
          </w:rPr>
          <w:tab/>
        </w:r>
        <w:r>
          <w:rPr>
            <w:noProof/>
            <w:webHidden/>
          </w:rPr>
          <w:fldChar w:fldCharType="begin"/>
        </w:r>
        <w:r>
          <w:rPr>
            <w:noProof/>
            <w:webHidden/>
          </w:rPr>
          <w:instrText xml:space="preserve"> PAGEREF _Toc177387970 \h </w:instrText>
        </w:r>
        <w:r>
          <w:rPr>
            <w:noProof/>
            <w:webHidden/>
          </w:rPr>
        </w:r>
        <w:r>
          <w:rPr>
            <w:noProof/>
            <w:webHidden/>
          </w:rPr>
          <w:fldChar w:fldCharType="separate"/>
        </w:r>
        <w:r w:rsidR="0096247A">
          <w:rPr>
            <w:noProof/>
            <w:webHidden/>
          </w:rPr>
          <w:t>109</w:t>
        </w:r>
        <w:r>
          <w:rPr>
            <w:noProof/>
            <w:webHidden/>
          </w:rPr>
          <w:fldChar w:fldCharType="end"/>
        </w:r>
      </w:hyperlink>
    </w:p>
    <w:p w14:paraId="575C004C"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71" w:history="1">
        <w:r w:rsidRPr="00A20F72">
          <w:rPr>
            <w:rStyle w:val="Hyperlink"/>
            <w:rFonts w:eastAsia="Times New Roman"/>
            <w:b/>
            <w:bCs/>
            <w:noProof/>
          </w:rPr>
          <w:t>Table 40</w:t>
        </w:r>
        <w:r w:rsidRPr="00A20F72">
          <w:rPr>
            <w:rStyle w:val="Hyperlink"/>
            <w:rFonts w:eastAsia="Times New Roman"/>
            <w:b/>
            <w:bCs/>
            <w:noProof/>
            <w:lang w:val="en-GB" w:eastAsia="en-GB"/>
          </w:rPr>
          <w:t xml:space="preserve">: </w:t>
        </w:r>
        <w:r w:rsidRPr="00510CE8">
          <w:rPr>
            <w:rStyle w:val="Hyperlink"/>
            <w:rFonts w:eastAsia="Times New Roman"/>
            <w:noProof/>
            <w:lang w:val="en-GB" w:eastAsia="en-GB"/>
          </w:rPr>
          <w:t xml:space="preserve">Summary </w:t>
        </w:r>
        <w:r w:rsidRPr="00510CE8">
          <w:rPr>
            <w:rStyle w:val="Hyperlink"/>
            <w:rFonts w:eastAsia="Times New Roman"/>
            <w:noProof/>
          </w:rPr>
          <w:t>of</w:t>
        </w:r>
        <w:r w:rsidRPr="00510CE8">
          <w:rPr>
            <w:rStyle w:val="Hyperlink"/>
            <w:rFonts w:eastAsia="Times New Roman"/>
            <w:noProof/>
            <w:lang w:val="en-GB" w:eastAsia="en-GB"/>
          </w:rPr>
          <w:t xml:space="preserve"> Hypotheses</w:t>
        </w:r>
        <w:r w:rsidRPr="00510CE8">
          <w:rPr>
            <w:noProof/>
            <w:webHidden/>
          </w:rPr>
          <w:tab/>
        </w:r>
        <w:r w:rsidRPr="00510CE8">
          <w:rPr>
            <w:noProof/>
            <w:webHidden/>
          </w:rPr>
          <w:fldChar w:fldCharType="begin"/>
        </w:r>
        <w:r w:rsidRPr="00510CE8">
          <w:rPr>
            <w:noProof/>
            <w:webHidden/>
          </w:rPr>
          <w:instrText xml:space="preserve"> PAGEREF _Toc177387971 \h </w:instrText>
        </w:r>
        <w:r w:rsidRPr="00510CE8">
          <w:rPr>
            <w:noProof/>
            <w:webHidden/>
          </w:rPr>
        </w:r>
        <w:r w:rsidRPr="00510CE8">
          <w:rPr>
            <w:noProof/>
            <w:webHidden/>
          </w:rPr>
          <w:fldChar w:fldCharType="separate"/>
        </w:r>
        <w:r w:rsidR="0096247A">
          <w:rPr>
            <w:noProof/>
            <w:webHidden/>
          </w:rPr>
          <w:t>136</w:t>
        </w:r>
        <w:r w:rsidRPr="00510CE8">
          <w:rPr>
            <w:noProof/>
            <w:webHidden/>
          </w:rPr>
          <w:fldChar w:fldCharType="end"/>
        </w:r>
      </w:hyperlink>
    </w:p>
    <w:p w14:paraId="7F844B15" w14:textId="77777777" w:rsidR="00510CE8" w:rsidRPr="00042AB7" w:rsidRDefault="00510CE8" w:rsidP="00D933F2">
      <w:pPr>
        <w:pStyle w:val="TableofFigures"/>
        <w:tabs>
          <w:tab w:val="right" w:leader="dot" w:pos="8630"/>
        </w:tabs>
        <w:spacing w:line="360" w:lineRule="auto"/>
        <w:rPr>
          <w:rFonts w:ascii="Calibri" w:eastAsia="Times New Roman" w:hAnsi="Calibri"/>
          <w:noProof/>
          <w:kern w:val="2"/>
          <w:sz w:val="22"/>
        </w:rPr>
      </w:pPr>
      <w:hyperlink w:anchor="_Toc177387972" w:history="1">
        <w:r w:rsidRPr="00A20F72">
          <w:rPr>
            <w:rStyle w:val="Hyperlink"/>
            <w:rFonts w:eastAsia="Times New Roman"/>
            <w:b/>
            <w:bCs/>
            <w:noProof/>
          </w:rPr>
          <w:t xml:space="preserve">Table 41: </w:t>
        </w:r>
        <w:r w:rsidRPr="00510CE8">
          <w:rPr>
            <w:rStyle w:val="Hyperlink"/>
            <w:rFonts w:eastAsia="Times New Roman"/>
            <w:noProof/>
          </w:rPr>
          <w:t>Summary of Key Findings</w:t>
        </w:r>
        <w:r w:rsidRPr="00510CE8">
          <w:rPr>
            <w:noProof/>
            <w:webHidden/>
          </w:rPr>
          <w:tab/>
        </w:r>
        <w:r w:rsidRPr="00510CE8">
          <w:rPr>
            <w:noProof/>
            <w:webHidden/>
          </w:rPr>
          <w:fldChar w:fldCharType="begin"/>
        </w:r>
        <w:r w:rsidRPr="00510CE8">
          <w:rPr>
            <w:noProof/>
            <w:webHidden/>
          </w:rPr>
          <w:instrText xml:space="preserve"> PAGEREF _Toc177387972 \h </w:instrText>
        </w:r>
        <w:r w:rsidRPr="00510CE8">
          <w:rPr>
            <w:noProof/>
            <w:webHidden/>
          </w:rPr>
        </w:r>
        <w:r w:rsidRPr="00510CE8">
          <w:rPr>
            <w:noProof/>
            <w:webHidden/>
          </w:rPr>
          <w:fldChar w:fldCharType="separate"/>
        </w:r>
        <w:r w:rsidR="0096247A">
          <w:rPr>
            <w:noProof/>
            <w:webHidden/>
          </w:rPr>
          <w:t>157</w:t>
        </w:r>
        <w:r w:rsidRPr="00510CE8">
          <w:rPr>
            <w:noProof/>
            <w:webHidden/>
          </w:rPr>
          <w:fldChar w:fldCharType="end"/>
        </w:r>
      </w:hyperlink>
    </w:p>
    <w:p w14:paraId="11415EEA" w14:textId="77777777" w:rsidR="00C91CD9" w:rsidRPr="00EB11D3" w:rsidRDefault="00C91CD9" w:rsidP="00340BAB">
      <w:pPr>
        <w:tabs>
          <w:tab w:val="right" w:leader="dot" w:pos="8640"/>
        </w:tabs>
        <w:spacing w:after="160" w:line="360" w:lineRule="auto"/>
        <w:jc w:val="left"/>
        <w:rPr>
          <w:b/>
          <w:szCs w:val="24"/>
        </w:rPr>
      </w:pPr>
      <w:r w:rsidRPr="00EB11D3">
        <w:rPr>
          <w:b/>
          <w:szCs w:val="24"/>
        </w:rPr>
        <w:fldChar w:fldCharType="end"/>
      </w:r>
    </w:p>
    <w:p w14:paraId="13E2FB45" w14:textId="77777777" w:rsidR="00C91CD9" w:rsidRPr="00EB11D3" w:rsidRDefault="00C91CD9" w:rsidP="00C91CD9">
      <w:pPr>
        <w:spacing w:after="160" w:line="256" w:lineRule="auto"/>
        <w:jc w:val="left"/>
        <w:rPr>
          <w:rFonts w:eastAsia="DengXian Light"/>
          <w:b/>
          <w:szCs w:val="24"/>
        </w:rPr>
      </w:pPr>
      <w:r w:rsidRPr="00EB11D3">
        <w:rPr>
          <w:szCs w:val="24"/>
        </w:rPr>
        <w:br w:type="page"/>
      </w:r>
      <w:bookmarkStart w:id="11" w:name="_Toc11164619"/>
    </w:p>
    <w:p w14:paraId="05CE4BC1" w14:textId="77777777" w:rsidR="00510CE8" w:rsidRDefault="00C91CD9" w:rsidP="00C91CD9">
      <w:pPr>
        <w:pStyle w:val="Heading1"/>
        <w:rPr>
          <w:noProof/>
        </w:rPr>
      </w:pPr>
      <w:bookmarkStart w:id="12" w:name="_Toc177387801"/>
      <w:r w:rsidRPr="00EB11D3">
        <w:rPr>
          <w:szCs w:val="24"/>
        </w:rPr>
        <w:lastRenderedPageBreak/>
        <w:t>LIST OF FIGURES</w:t>
      </w:r>
      <w:bookmarkEnd w:id="11"/>
      <w:bookmarkEnd w:id="12"/>
      <w:r w:rsidRPr="00EB11D3">
        <w:rPr>
          <w:b w:val="0"/>
          <w:szCs w:val="24"/>
        </w:rPr>
        <w:fldChar w:fldCharType="begin"/>
      </w:r>
      <w:r w:rsidRPr="00EB11D3">
        <w:rPr>
          <w:b w:val="0"/>
          <w:szCs w:val="24"/>
        </w:rPr>
        <w:instrText xml:space="preserve"> TOC \h \z \c "Figure" </w:instrText>
      </w:r>
      <w:r w:rsidRPr="00EB11D3">
        <w:rPr>
          <w:b w:val="0"/>
          <w:szCs w:val="24"/>
        </w:rPr>
        <w:fldChar w:fldCharType="separate"/>
      </w:r>
    </w:p>
    <w:p w14:paraId="563CDBBE" w14:textId="77777777" w:rsidR="00510CE8" w:rsidRPr="00042AB7" w:rsidRDefault="00510CE8" w:rsidP="00510CE8">
      <w:pPr>
        <w:pStyle w:val="TableofFigures"/>
        <w:tabs>
          <w:tab w:val="right" w:leader="dot" w:pos="8630"/>
        </w:tabs>
        <w:spacing w:line="360" w:lineRule="auto"/>
        <w:rPr>
          <w:rFonts w:ascii="Calibri" w:eastAsia="Times New Roman" w:hAnsi="Calibri"/>
          <w:noProof/>
          <w:kern w:val="2"/>
          <w:sz w:val="22"/>
        </w:rPr>
      </w:pPr>
      <w:hyperlink w:anchor="_Toc177387973" w:history="1">
        <w:r w:rsidRPr="00625116">
          <w:rPr>
            <w:rStyle w:val="Hyperlink"/>
            <w:rFonts w:eastAsia="DengXian"/>
            <w:b/>
            <w:bCs/>
            <w:noProof/>
          </w:rPr>
          <w:t xml:space="preserve">Figure 1: </w:t>
        </w:r>
        <w:r w:rsidRPr="00510CE8">
          <w:rPr>
            <w:rStyle w:val="Hyperlink"/>
            <w:rFonts w:eastAsia="DengXian"/>
            <w:noProof/>
          </w:rPr>
          <w:t>Conceptual Model</w:t>
        </w:r>
        <w:r w:rsidRPr="00510CE8">
          <w:rPr>
            <w:noProof/>
            <w:webHidden/>
          </w:rPr>
          <w:tab/>
        </w:r>
        <w:r w:rsidRPr="00510CE8">
          <w:rPr>
            <w:noProof/>
            <w:webHidden/>
          </w:rPr>
          <w:fldChar w:fldCharType="begin"/>
        </w:r>
        <w:r w:rsidRPr="00510CE8">
          <w:rPr>
            <w:noProof/>
            <w:webHidden/>
          </w:rPr>
          <w:instrText xml:space="preserve"> PAGEREF _Toc177387973 \h </w:instrText>
        </w:r>
        <w:r w:rsidRPr="00510CE8">
          <w:rPr>
            <w:noProof/>
            <w:webHidden/>
          </w:rPr>
        </w:r>
        <w:r w:rsidRPr="00510CE8">
          <w:rPr>
            <w:noProof/>
            <w:webHidden/>
          </w:rPr>
          <w:fldChar w:fldCharType="separate"/>
        </w:r>
        <w:r w:rsidR="0096247A">
          <w:rPr>
            <w:noProof/>
            <w:webHidden/>
          </w:rPr>
          <w:t>43</w:t>
        </w:r>
        <w:r w:rsidRPr="00510CE8">
          <w:rPr>
            <w:noProof/>
            <w:webHidden/>
          </w:rPr>
          <w:fldChar w:fldCharType="end"/>
        </w:r>
      </w:hyperlink>
    </w:p>
    <w:p w14:paraId="77C6DD70" w14:textId="77777777" w:rsidR="00510CE8" w:rsidRPr="00042AB7" w:rsidRDefault="00510CE8" w:rsidP="00510CE8">
      <w:pPr>
        <w:pStyle w:val="TableofFigures"/>
        <w:tabs>
          <w:tab w:val="right" w:leader="dot" w:pos="8630"/>
        </w:tabs>
        <w:spacing w:line="360" w:lineRule="auto"/>
        <w:rPr>
          <w:rFonts w:ascii="Calibri" w:eastAsia="Times New Roman" w:hAnsi="Calibri"/>
          <w:noProof/>
          <w:kern w:val="2"/>
          <w:sz w:val="22"/>
        </w:rPr>
      </w:pPr>
      <w:hyperlink w:anchor="_Toc177387974" w:history="1">
        <w:r w:rsidRPr="00625116">
          <w:rPr>
            <w:rStyle w:val="Hyperlink"/>
            <w:rFonts w:eastAsia="Cambria"/>
            <w:b/>
            <w:bCs/>
            <w:noProof/>
          </w:rPr>
          <w:t xml:space="preserve">Figure 2: </w:t>
        </w:r>
        <w:r w:rsidRPr="00510CE8">
          <w:rPr>
            <w:rStyle w:val="Hyperlink"/>
            <w:rFonts w:eastAsia="Cambria"/>
            <w:noProof/>
          </w:rPr>
          <w:t>Linearity Tests</w:t>
        </w:r>
        <w:r w:rsidRPr="00510CE8">
          <w:rPr>
            <w:noProof/>
            <w:webHidden/>
          </w:rPr>
          <w:tab/>
        </w:r>
        <w:r w:rsidRPr="00510CE8">
          <w:rPr>
            <w:noProof/>
            <w:webHidden/>
          </w:rPr>
          <w:fldChar w:fldCharType="begin"/>
        </w:r>
        <w:r w:rsidRPr="00510CE8">
          <w:rPr>
            <w:noProof/>
            <w:webHidden/>
          </w:rPr>
          <w:instrText xml:space="preserve"> PAGEREF _Toc177387974 \h </w:instrText>
        </w:r>
        <w:r w:rsidRPr="00510CE8">
          <w:rPr>
            <w:noProof/>
            <w:webHidden/>
          </w:rPr>
        </w:r>
        <w:r w:rsidRPr="00510CE8">
          <w:rPr>
            <w:noProof/>
            <w:webHidden/>
          </w:rPr>
          <w:fldChar w:fldCharType="separate"/>
        </w:r>
        <w:r w:rsidR="0096247A">
          <w:rPr>
            <w:noProof/>
            <w:webHidden/>
          </w:rPr>
          <w:t>79</w:t>
        </w:r>
        <w:r w:rsidRPr="00510CE8">
          <w:rPr>
            <w:noProof/>
            <w:webHidden/>
          </w:rPr>
          <w:fldChar w:fldCharType="end"/>
        </w:r>
      </w:hyperlink>
    </w:p>
    <w:p w14:paraId="232A1497" w14:textId="77777777" w:rsidR="00510CE8" w:rsidRPr="00042AB7" w:rsidRDefault="00510CE8" w:rsidP="00510CE8">
      <w:pPr>
        <w:pStyle w:val="TableofFigures"/>
        <w:tabs>
          <w:tab w:val="right" w:leader="dot" w:pos="8630"/>
        </w:tabs>
        <w:spacing w:line="360" w:lineRule="auto"/>
        <w:rPr>
          <w:rFonts w:ascii="Calibri" w:eastAsia="Times New Roman" w:hAnsi="Calibri"/>
          <w:noProof/>
          <w:kern w:val="2"/>
          <w:sz w:val="22"/>
        </w:rPr>
      </w:pPr>
      <w:hyperlink w:anchor="_Toc177387975" w:history="1">
        <w:r w:rsidRPr="00625116">
          <w:rPr>
            <w:rStyle w:val="Hyperlink"/>
            <w:rFonts w:eastAsia="Times New Roman"/>
            <w:b/>
            <w:bCs/>
            <w:noProof/>
          </w:rPr>
          <w:t>Figure 3</w:t>
        </w:r>
        <w:r w:rsidRPr="00625116">
          <w:rPr>
            <w:rStyle w:val="Hyperlink"/>
            <w:rFonts w:eastAsia="Times New Roman"/>
            <w:b/>
            <w:bCs/>
            <w:iCs/>
            <w:noProof/>
            <w:lang w:val="en-GB"/>
          </w:rPr>
          <w:t xml:space="preserve">: </w:t>
        </w:r>
        <w:r w:rsidRPr="00510CE8">
          <w:rPr>
            <w:rStyle w:val="Hyperlink"/>
            <w:rFonts w:eastAsia="Times New Roman"/>
            <w:iCs/>
            <w:noProof/>
            <w:lang w:val="en-GB"/>
          </w:rPr>
          <w:t>Simple Moderation Model for CG, GR and OP</w:t>
        </w:r>
        <w:r w:rsidRPr="00510CE8">
          <w:rPr>
            <w:noProof/>
            <w:webHidden/>
          </w:rPr>
          <w:tab/>
        </w:r>
        <w:r w:rsidRPr="00510CE8">
          <w:rPr>
            <w:noProof/>
            <w:webHidden/>
          </w:rPr>
          <w:fldChar w:fldCharType="begin"/>
        </w:r>
        <w:r w:rsidRPr="00510CE8">
          <w:rPr>
            <w:noProof/>
            <w:webHidden/>
          </w:rPr>
          <w:instrText xml:space="preserve"> PAGEREF _Toc177387975 \h </w:instrText>
        </w:r>
        <w:r w:rsidRPr="00510CE8">
          <w:rPr>
            <w:noProof/>
            <w:webHidden/>
          </w:rPr>
        </w:r>
        <w:r w:rsidRPr="00510CE8">
          <w:rPr>
            <w:noProof/>
            <w:webHidden/>
          </w:rPr>
          <w:fldChar w:fldCharType="separate"/>
        </w:r>
        <w:r w:rsidR="0096247A">
          <w:rPr>
            <w:noProof/>
            <w:webHidden/>
          </w:rPr>
          <w:t>103</w:t>
        </w:r>
        <w:r w:rsidRPr="00510CE8">
          <w:rPr>
            <w:noProof/>
            <w:webHidden/>
          </w:rPr>
          <w:fldChar w:fldCharType="end"/>
        </w:r>
      </w:hyperlink>
    </w:p>
    <w:p w14:paraId="2064A4EC" w14:textId="77777777" w:rsidR="00510CE8" w:rsidRPr="00042AB7" w:rsidRDefault="00510CE8" w:rsidP="00510CE8">
      <w:pPr>
        <w:pStyle w:val="TableofFigures"/>
        <w:tabs>
          <w:tab w:val="right" w:leader="dot" w:pos="8630"/>
        </w:tabs>
        <w:spacing w:line="360" w:lineRule="auto"/>
        <w:rPr>
          <w:rFonts w:ascii="Calibri" w:eastAsia="Times New Roman" w:hAnsi="Calibri"/>
          <w:noProof/>
          <w:kern w:val="2"/>
          <w:sz w:val="22"/>
        </w:rPr>
      </w:pPr>
      <w:hyperlink w:anchor="_Toc177387976" w:history="1">
        <w:r w:rsidRPr="00625116">
          <w:rPr>
            <w:rStyle w:val="Hyperlink"/>
            <w:rFonts w:eastAsia="Times New Roman"/>
            <w:b/>
            <w:bCs/>
            <w:noProof/>
          </w:rPr>
          <w:t>Figure 4</w:t>
        </w:r>
        <w:r w:rsidRPr="00625116">
          <w:rPr>
            <w:rStyle w:val="Hyperlink"/>
            <w:rFonts w:eastAsia="Times New Roman"/>
            <w:b/>
            <w:bCs/>
            <w:iCs/>
            <w:noProof/>
            <w:lang w:val="en-GB"/>
          </w:rPr>
          <w:t xml:space="preserve">: </w:t>
        </w:r>
        <w:r w:rsidRPr="00510CE8">
          <w:rPr>
            <w:rStyle w:val="Hyperlink"/>
            <w:rFonts w:eastAsia="Times New Roman"/>
            <w:iCs/>
            <w:noProof/>
            <w:lang w:val="en-GB"/>
          </w:rPr>
          <w:t>Revised Simple Moderation Model for CG, GR and OP</w:t>
        </w:r>
        <w:r w:rsidRPr="00510CE8">
          <w:rPr>
            <w:noProof/>
            <w:webHidden/>
          </w:rPr>
          <w:tab/>
        </w:r>
        <w:r w:rsidRPr="00510CE8">
          <w:rPr>
            <w:noProof/>
            <w:webHidden/>
          </w:rPr>
          <w:fldChar w:fldCharType="begin"/>
        </w:r>
        <w:r w:rsidRPr="00510CE8">
          <w:rPr>
            <w:noProof/>
            <w:webHidden/>
          </w:rPr>
          <w:instrText xml:space="preserve"> PAGEREF _Toc177387976 \h </w:instrText>
        </w:r>
        <w:r w:rsidRPr="00510CE8">
          <w:rPr>
            <w:noProof/>
            <w:webHidden/>
          </w:rPr>
        </w:r>
        <w:r w:rsidRPr="00510CE8">
          <w:rPr>
            <w:noProof/>
            <w:webHidden/>
          </w:rPr>
          <w:fldChar w:fldCharType="separate"/>
        </w:r>
        <w:r w:rsidR="0096247A">
          <w:rPr>
            <w:noProof/>
            <w:webHidden/>
          </w:rPr>
          <w:t>107</w:t>
        </w:r>
        <w:r w:rsidRPr="00510CE8">
          <w:rPr>
            <w:noProof/>
            <w:webHidden/>
          </w:rPr>
          <w:fldChar w:fldCharType="end"/>
        </w:r>
      </w:hyperlink>
    </w:p>
    <w:p w14:paraId="5017B0D3" w14:textId="77777777" w:rsidR="00510CE8" w:rsidRPr="00042AB7" w:rsidRDefault="00510CE8" w:rsidP="00510CE8">
      <w:pPr>
        <w:pStyle w:val="TableofFigures"/>
        <w:tabs>
          <w:tab w:val="right" w:leader="dot" w:pos="8630"/>
        </w:tabs>
        <w:spacing w:line="360" w:lineRule="auto"/>
        <w:rPr>
          <w:rFonts w:ascii="Calibri" w:eastAsia="Times New Roman" w:hAnsi="Calibri"/>
          <w:noProof/>
          <w:kern w:val="2"/>
          <w:sz w:val="22"/>
        </w:rPr>
      </w:pPr>
      <w:hyperlink w:anchor="_Toc177387977" w:history="1">
        <w:r w:rsidRPr="00625116">
          <w:rPr>
            <w:rStyle w:val="Hyperlink"/>
            <w:rFonts w:eastAsia="Times New Roman"/>
            <w:b/>
            <w:bCs/>
            <w:noProof/>
          </w:rPr>
          <w:t xml:space="preserve">Figure 5: </w:t>
        </w:r>
        <w:r w:rsidRPr="00510CE8">
          <w:rPr>
            <w:rStyle w:val="Hyperlink"/>
            <w:rFonts w:eastAsia="Times New Roman"/>
            <w:noProof/>
          </w:rPr>
          <w:t>Optimal Model</w:t>
        </w:r>
        <w:r w:rsidRPr="00510CE8">
          <w:rPr>
            <w:noProof/>
            <w:webHidden/>
          </w:rPr>
          <w:tab/>
        </w:r>
        <w:r w:rsidRPr="00510CE8">
          <w:rPr>
            <w:noProof/>
            <w:webHidden/>
          </w:rPr>
          <w:fldChar w:fldCharType="begin"/>
        </w:r>
        <w:r w:rsidRPr="00510CE8">
          <w:rPr>
            <w:noProof/>
            <w:webHidden/>
          </w:rPr>
          <w:instrText xml:space="preserve"> PAGEREF _Toc177387977 \h </w:instrText>
        </w:r>
        <w:r w:rsidRPr="00510CE8">
          <w:rPr>
            <w:noProof/>
            <w:webHidden/>
          </w:rPr>
        </w:r>
        <w:r w:rsidRPr="00510CE8">
          <w:rPr>
            <w:noProof/>
            <w:webHidden/>
          </w:rPr>
          <w:fldChar w:fldCharType="separate"/>
        </w:r>
        <w:r w:rsidR="0096247A">
          <w:rPr>
            <w:noProof/>
            <w:webHidden/>
          </w:rPr>
          <w:t>137</w:t>
        </w:r>
        <w:r w:rsidRPr="00510CE8">
          <w:rPr>
            <w:noProof/>
            <w:webHidden/>
          </w:rPr>
          <w:fldChar w:fldCharType="end"/>
        </w:r>
      </w:hyperlink>
    </w:p>
    <w:p w14:paraId="37E7663F" w14:textId="77777777" w:rsidR="00DC0D7C" w:rsidRPr="00EB11D3" w:rsidRDefault="00C91CD9" w:rsidP="00C91CD9">
      <w:pPr>
        <w:tabs>
          <w:tab w:val="right" w:leader="dot" w:pos="8640"/>
        </w:tabs>
        <w:rPr>
          <w:szCs w:val="24"/>
        </w:rPr>
      </w:pPr>
      <w:r w:rsidRPr="00EB11D3">
        <w:rPr>
          <w:rFonts w:eastAsia="DengXian Light"/>
          <w:b/>
          <w:szCs w:val="24"/>
        </w:rPr>
        <w:fldChar w:fldCharType="end"/>
      </w:r>
    </w:p>
    <w:p w14:paraId="434A3F53" w14:textId="77777777" w:rsidR="00DC0D7C" w:rsidRPr="00EB11D3" w:rsidRDefault="00DC0D7C">
      <w:pPr>
        <w:rPr>
          <w:szCs w:val="24"/>
        </w:rPr>
      </w:pPr>
    </w:p>
    <w:p w14:paraId="126C3516" w14:textId="77777777" w:rsidR="00DC0D7C" w:rsidRPr="00EB11D3" w:rsidRDefault="00DC0D7C">
      <w:pPr>
        <w:rPr>
          <w:szCs w:val="24"/>
        </w:rPr>
      </w:pPr>
    </w:p>
    <w:p w14:paraId="5C3D4FFA" w14:textId="77777777" w:rsidR="00DC0D7C" w:rsidRPr="00EB11D3" w:rsidRDefault="00212BDF" w:rsidP="006E0E04">
      <w:pPr>
        <w:pStyle w:val="Heading1"/>
        <w:spacing w:line="360" w:lineRule="auto"/>
      </w:pPr>
      <w:r w:rsidRPr="00EB11D3">
        <w:br w:type="page"/>
      </w:r>
      <w:bookmarkStart w:id="13" w:name="_Toc177387802"/>
      <w:r w:rsidRPr="00EB11D3">
        <w:lastRenderedPageBreak/>
        <w:t>ABBREVIATIONS AND ACRONYMS</w:t>
      </w:r>
      <w:bookmarkEnd w:id="13"/>
    </w:p>
    <w:p w14:paraId="3732127F" w14:textId="77777777" w:rsidR="008A3C52" w:rsidRPr="00EB11D3" w:rsidRDefault="008A3C52" w:rsidP="006E0E04">
      <w:pPr>
        <w:spacing w:line="360" w:lineRule="auto"/>
        <w:jc w:val="left"/>
        <w:rPr>
          <w:szCs w:val="24"/>
          <w:lang w:eastAsia="zh-CN"/>
        </w:rPr>
      </w:pPr>
      <w:r w:rsidRPr="00EB11D3">
        <w:rPr>
          <w:b/>
          <w:bCs/>
          <w:szCs w:val="24"/>
        </w:rPr>
        <w:t>CEO</w:t>
      </w:r>
      <w:r w:rsidRPr="00EB11D3">
        <w:rPr>
          <w:szCs w:val="24"/>
        </w:rPr>
        <w:tab/>
      </w:r>
      <w:r w:rsidRPr="00EB11D3">
        <w:rPr>
          <w:szCs w:val="24"/>
        </w:rPr>
        <w:tab/>
      </w:r>
      <w:r w:rsidRPr="00EB11D3">
        <w:rPr>
          <w:szCs w:val="24"/>
        </w:rPr>
        <w:tab/>
        <w:t>Chief Executive Officer</w:t>
      </w:r>
    </w:p>
    <w:p w14:paraId="16FC6276" w14:textId="77777777" w:rsidR="008A3C52" w:rsidRPr="00EB11D3" w:rsidRDefault="008A3C52">
      <w:pPr>
        <w:spacing w:line="259" w:lineRule="auto"/>
        <w:jc w:val="left"/>
        <w:rPr>
          <w:szCs w:val="24"/>
          <w:lang w:eastAsia="zh-CN"/>
        </w:rPr>
      </w:pPr>
      <w:r w:rsidRPr="00EB11D3">
        <w:rPr>
          <w:b/>
          <w:bCs/>
          <w:szCs w:val="24"/>
          <w:lang w:eastAsia="zh-CN"/>
        </w:rPr>
        <w:t>CG</w:t>
      </w:r>
      <w:r w:rsidRPr="00EB11D3">
        <w:rPr>
          <w:szCs w:val="24"/>
          <w:lang w:eastAsia="zh-CN"/>
        </w:rPr>
        <w:tab/>
      </w:r>
      <w:r w:rsidRPr="00EB11D3">
        <w:rPr>
          <w:szCs w:val="24"/>
          <w:lang w:eastAsia="zh-CN"/>
        </w:rPr>
        <w:tab/>
      </w:r>
      <w:r w:rsidRPr="00EB11D3">
        <w:rPr>
          <w:szCs w:val="24"/>
          <w:lang w:eastAsia="zh-CN"/>
        </w:rPr>
        <w:tab/>
        <w:t>Corporate Governance</w:t>
      </w:r>
    </w:p>
    <w:p w14:paraId="6B5A17EA" w14:textId="77777777" w:rsidR="008A3C52" w:rsidRPr="00EB11D3" w:rsidRDefault="008A3C52">
      <w:pPr>
        <w:spacing w:line="259" w:lineRule="auto"/>
        <w:jc w:val="left"/>
        <w:rPr>
          <w:szCs w:val="24"/>
          <w:lang w:eastAsia="zh-CN"/>
        </w:rPr>
      </w:pPr>
      <w:r w:rsidRPr="00EB11D3">
        <w:rPr>
          <w:b/>
          <w:bCs/>
          <w:szCs w:val="24"/>
        </w:rPr>
        <w:t xml:space="preserve">CHAK </w:t>
      </w:r>
      <w:r w:rsidRPr="00EB11D3">
        <w:rPr>
          <w:szCs w:val="24"/>
        </w:rPr>
        <w:tab/>
      </w:r>
      <w:r w:rsidRPr="00EB11D3">
        <w:rPr>
          <w:szCs w:val="24"/>
        </w:rPr>
        <w:tab/>
        <w:t>Christian Health Association of Kenya</w:t>
      </w:r>
    </w:p>
    <w:p w14:paraId="7A545E0C" w14:textId="77777777" w:rsidR="008A3C52" w:rsidRPr="00EB11D3" w:rsidRDefault="008A3C52">
      <w:pPr>
        <w:spacing w:line="259" w:lineRule="auto"/>
        <w:jc w:val="left"/>
        <w:rPr>
          <w:szCs w:val="24"/>
          <w:lang w:eastAsia="zh-CN"/>
        </w:rPr>
      </w:pPr>
      <w:r w:rsidRPr="00EB11D3">
        <w:rPr>
          <w:b/>
          <w:bCs/>
          <w:szCs w:val="24"/>
          <w:lang w:eastAsia="zh-CN"/>
        </w:rPr>
        <w:t>CSR</w:t>
      </w:r>
      <w:r w:rsidRPr="00EB11D3">
        <w:rPr>
          <w:szCs w:val="24"/>
          <w:lang w:eastAsia="zh-CN"/>
        </w:rPr>
        <w:tab/>
      </w:r>
      <w:r w:rsidRPr="00EB11D3">
        <w:rPr>
          <w:szCs w:val="24"/>
          <w:lang w:eastAsia="zh-CN"/>
        </w:rPr>
        <w:tab/>
      </w:r>
      <w:r w:rsidRPr="00EB11D3">
        <w:rPr>
          <w:szCs w:val="24"/>
          <w:lang w:eastAsia="zh-CN"/>
        </w:rPr>
        <w:tab/>
        <w:t xml:space="preserve">Corporate Social </w:t>
      </w:r>
      <w:r w:rsidR="00567A8F" w:rsidRPr="00EB11D3">
        <w:rPr>
          <w:szCs w:val="24"/>
          <w:lang w:eastAsia="zh-CN"/>
        </w:rPr>
        <w:t>R</w:t>
      </w:r>
      <w:r w:rsidRPr="00EB11D3">
        <w:rPr>
          <w:szCs w:val="24"/>
          <w:lang w:eastAsia="zh-CN"/>
        </w:rPr>
        <w:t>esponsibility</w:t>
      </w:r>
    </w:p>
    <w:p w14:paraId="11A8DDBC" w14:textId="77777777" w:rsidR="008A3C52" w:rsidRPr="00EB11D3" w:rsidRDefault="008A3C52">
      <w:pPr>
        <w:spacing w:line="259" w:lineRule="auto"/>
        <w:jc w:val="left"/>
        <w:rPr>
          <w:szCs w:val="24"/>
          <w:lang w:eastAsia="zh-CN"/>
        </w:rPr>
      </w:pPr>
      <w:r w:rsidRPr="00EB11D3">
        <w:rPr>
          <w:b/>
          <w:bCs/>
          <w:szCs w:val="24"/>
        </w:rPr>
        <w:t>FB</w:t>
      </w:r>
      <w:r w:rsidR="001A46A9">
        <w:rPr>
          <w:b/>
          <w:bCs/>
          <w:szCs w:val="24"/>
        </w:rPr>
        <w:t>H</w:t>
      </w:r>
      <w:r w:rsidRPr="00EB11D3">
        <w:rPr>
          <w:b/>
          <w:bCs/>
          <w:szCs w:val="24"/>
        </w:rPr>
        <w:t>s</w:t>
      </w:r>
      <w:r w:rsidRPr="00EB11D3">
        <w:rPr>
          <w:szCs w:val="24"/>
          <w:lang w:eastAsia="zh-CN"/>
        </w:rPr>
        <w:tab/>
      </w:r>
      <w:r w:rsidRPr="00EB11D3">
        <w:rPr>
          <w:szCs w:val="24"/>
          <w:lang w:eastAsia="zh-CN"/>
        </w:rPr>
        <w:tab/>
      </w:r>
      <w:r w:rsidRPr="00EB11D3">
        <w:rPr>
          <w:szCs w:val="24"/>
          <w:lang w:eastAsia="zh-CN"/>
        </w:rPr>
        <w:tab/>
      </w:r>
      <w:r w:rsidR="0038019E" w:rsidRPr="00EB11D3">
        <w:rPr>
          <w:szCs w:val="24"/>
          <w:lang w:eastAsia="zh-CN"/>
        </w:rPr>
        <w:t>Faith-based</w:t>
      </w:r>
      <w:r w:rsidRPr="00EB11D3">
        <w:rPr>
          <w:szCs w:val="24"/>
          <w:lang w:eastAsia="zh-CN"/>
        </w:rPr>
        <w:t xml:space="preserve"> </w:t>
      </w:r>
      <w:r w:rsidR="001A46A9">
        <w:rPr>
          <w:szCs w:val="24"/>
          <w:lang w:eastAsia="zh-CN"/>
        </w:rPr>
        <w:t>Hospitals</w:t>
      </w:r>
    </w:p>
    <w:p w14:paraId="164F3404" w14:textId="77777777" w:rsidR="008A3C52" w:rsidRPr="00EB11D3" w:rsidRDefault="008A3C52">
      <w:pPr>
        <w:spacing w:line="259" w:lineRule="auto"/>
        <w:jc w:val="left"/>
        <w:rPr>
          <w:szCs w:val="24"/>
          <w:shd w:val="clear" w:color="auto" w:fill="FFFFFF"/>
          <w:lang w:eastAsia="zh-CN"/>
        </w:rPr>
      </w:pPr>
      <w:r w:rsidRPr="00EB11D3">
        <w:rPr>
          <w:b/>
          <w:bCs/>
          <w:szCs w:val="24"/>
          <w:lang w:eastAsia="zh-CN"/>
        </w:rPr>
        <w:t>GCC</w:t>
      </w:r>
      <w:r w:rsidRPr="00EB11D3">
        <w:rPr>
          <w:b/>
          <w:bCs/>
          <w:szCs w:val="24"/>
          <w:lang w:eastAsia="zh-CN"/>
        </w:rPr>
        <w:tab/>
      </w:r>
      <w:r w:rsidRPr="00EB11D3">
        <w:rPr>
          <w:szCs w:val="24"/>
          <w:shd w:val="clear" w:color="auto" w:fill="FFFFFF"/>
        </w:rPr>
        <w:tab/>
      </w:r>
      <w:r w:rsidRPr="00EB11D3">
        <w:rPr>
          <w:szCs w:val="24"/>
          <w:shd w:val="clear" w:color="auto" w:fill="FFFFFF"/>
        </w:rPr>
        <w:tab/>
      </w:r>
      <w:r w:rsidRPr="00EB11D3">
        <w:rPr>
          <w:szCs w:val="24"/>
          <w:lang w:eastAsia="zh-CN"/>
        </w:rPr>
        <w:t>Gulf Cooperation Council</w:t>
      </w:r>
      <w:r w:rsidRPr="00EB11D3">
        <w:rPr>
          <w:szCs w:val="24"/>
          <w:shd w:val="clear" w:color="auto" w:fill="FFFFFF"/>
        </w:rPr>
        <w:t xml:space="preserve"> </w:t>
      </w:r>
    </w:p>
    <w:p w14:paraId="778B3233" w14:textId="77777777" w:rsidR="008A3C52" w:rsidRPr="00EB11D3" w:rsidRDefault="008A3C52">
      <w:pPr>
        <w:spacing w:line="259" w:lineRule="auto"/>
        <w:jc w:val="left"/>
        <w:rPr>
          <w:szCs w:val="24"/>
        </w:rPr>
      </w:pPr>
      <w:r w:rsidRPr="00EB11D3">
        <w:rPr>
          <w:b/>
          <w:bCs/>
          <w:szCs w:val="24"/>
        </w:rPr>
        <w:t>GoK</w:t>
      </w:r>
      <w:r w:rsidRPr="00EB11D3">
        <w:rPr>
          <w:szCs w:val="24"/>
        </w:rPr>
        <w:tab/>
      </w:r>
      <w:r w:rsidRPr="00EB11D3">
        <w:rPr>
          <w:szCs w:val="24"/>
        </w:rPr>
        <w:tab/>
      </w:r>
      <w:r w:rsidRPr="00EB11D3">
        <w:rPr>
          <w:szCs w:val="24"/>
        </w:rPr>
        <w:tab/>
        <w:t>Government of Kenya</w:t>
      </w:r>
    </w:p>
    <w:p w14:paraId="3211C9EF" w14:textId="77777777" w:rsidR="008A3C52" w:rsidRPr="00EB11D3" w:rsidRDefault="008A3C52">
      <w:pPr>
        <w:spacing w:line="259" w:lineRule="auto"/>
        <w:jc w:val="left"/>
        <w:rPr>
          <w:b/>
          <w:bCs/>
          <w:szCs w:val="24"/>
        </w:rPr>
      </w:pPr>
      <w:r w:rsidRPr="00EB11D3">
        <w:rPr>
          <w:b/>
          <w:bCs/>
          <w:szCs w:val="24"/>
        </w:rPr>
        <w:t>GR</w:t>
      </w:r>
      <w:r w:rsidRPr="00EB11D3">
        <w:rPr>
          <w:b/>
          <w:bCs/>
          <w:szCs w:val="24"/>
        </w:rPr>
        <w:tab/>
      </w:r>
      <w:r w:rsidRPr="00EB11D3">
        <w:rPr>
          <w:b/>
          <w:bCs/>
          <w:szCs w:val="24"/>
        </w:rPr>
        <w:tab/>
      </w:r>
      <w:r w:rsidRPr="00EB11D3">
        <w:rPr>
          <w:b/>
          <w:bCs/>
          <w:szCs w:val="24"/>
        </w:rPr>
        <w:tab/>
      </w:r>
      <w:r w:rsidRPr="00EB11D3">
        <w:rPr>
          <w:szCs w:val="24"/>
        </w:rPr>
        <w:t>Government Regulations</w:t>
      </w:r>
    </w:p>
    <w:p w14:paraId="6F7CB5F4" w14:textId="77777777" w:rsidR="00146C48" w:rsidRPr="00EB11D3" w:rsidRDefault="00146C48" w:rsidP="00146C48">
      <w:pPr>
        <w:spacing w:line="259" w:lineRule="auto"/>
        <w:jc w:val="left"/>
        <w:rPr>
          <w:szCs w:val="24"/>
          <w:lang w:eastAsia="zh-CN"/>
        </w:rPr>
      </w:pPr>
      <w:r w:rsidRPr="00EB11D3">
        <w:rPr>
          <w:rFonts w:eastAsia="Times New Roman"/>
          <w:b/>
          <w:bCs/>
          <w:szCs w:val="24"/>
        </w:rPr>
        <w:t>HMIS</w:t>
      </w:r>
      <w:r w:rsidRPr="00EB11D3">
        <w:rPr>
          <w:rFonts w:eastAsia="Times New Roman"/>
          <w:szCs w:val="24"/>
        </w:rPr>
        <w:tab/>
      </w:r>
      <w:r w:rsidRPr="00EB11D3">
        <w:rPr>
          <w:rFonts w:eastAsia="Times New Roman"/>
          <w:szCs w:val="24"/>
        </w:rPr>
        <w:tab/>
      </w:r>
      <w:r w:rsidRPr="00EB11D3">
        <w:rPr>
          <w:rFonts w:eastAsia="Times New Roman"/>
          <w:szCs w:val="24"/>
        </w:rPr>
        <w:tab/>
        <w:t xml:space="preserve">Health Management Information System </w:t>
      </w:r>
    </w:p>
    <w:p w14:paraId="1E5D5392" w14:textId="77777777" w:rsidR="008A3C52" w:rsidRPr="00EB11D3" w:rsidRDefault="008A3C52">
      <w:pPr>
        <w:spacing w:line="259" w:lineRule="auto"/>
        <w:jc w:val="left"/>
        <w:rPr>
          <w:szCs w:val="24"/>
        </w:rPr>
      </w:pPr>
      <w:r w:rsidRPr="00EB11D3">
        <w:rPr>
          <w:b/>
          <w:bCs/>
          <w:szCs w:val="24"/>
        </w:rPr>
        <w:t>ILO</w:t>
      </w:r>
      <w:r w:rsidRPr="00EB11D3">
        <w:rPr>
          <w:szCs w:val="24"/>
        </w:rPr>
        <w:tab/>
      </w:r>
      <w:r w:rsidRPr="00EB11D3">
        <w:rPr>
          <w:szCs w:val="24"/>
        </w:rPr>
        <w:tab/>
      </w:r>
      <w:r w:rsidRPr="00EB11D3">
        <w:rPr>
          <w:szCs w:val="24"/>
        </w:rPr>
        <w:tab/>
        <w:t>International Labour Organization</w:t>
      </w:r>
    </w:p>
    <w:p w14:paraId="7D5BBA2A" w14:textId="77777777" w:rsidR="008A3C52" w:rsidRPr="00EB11D3" w:rsidRDefault="008A3C52">
      <w:pPr>
        <w:spacing w:line="259" w:lineRule="auto"/>
        <w:jc w:val="left"/>
        <w:rPr>
          <w:szCs w:val="24"/>
          <w:lang w:eastAsia="zh-CN"/>
        </w:rPr>
      </w:pPr>
      <w:r w:rsidRPr="00EB11D3">
        <w:rPr>
          <w:b/>
          <w:bCs/>
          <w:szCs w:val="24"/>
        </w:rPr>
        <w:t>KHMFL</w:t>
      </w:r>
      <w:r w:rsidRPr="00EB11D3">
        <w:rPr>
          <w:szCs w:val="24"/>
        </w:rPr>
        <w:tab/>
      </w:r>
      <w:r w:rsidRPr="00EB11D3">
        <w:rPr>
          <w:szCs w:val="24"/>
        </w:rPr>
        <w:tab/>
        <w:t>Kenya Health Master Facility List</w:t>
      </w:r>
    </w:p>
    <w:p w14:paraId="4301CAF4" w14:textId="77777777" w:rsidR="008A3C52" w:rsidRPr="00EB11D3" w:rsidRDefault="008A3C52">
      <w:pPr>
        <w:spacing w:line="259" w:lineRule="auto"/>
        <w:jc w:val="left"/>
        <w:rPr>
          <w:szCs w:val="24"/>
          <w:lang w:eastAsia="zh-CN"/>
        </w:rPr>
      </w:pPr>
      <w:r w:rsidRPr="00EB11D3">
        <w:rPr>
          <w:b/>
          <w:bCs/>
          <w:szCs w:val="24"/>
        </w:rPr>
        <w:t xml:space="preserve">MOH </w:t>
      </w:r>
      <w:r w:rsidRPr="00EB11D3">
        <w:rPr>
          <w:szCs w:val="24"/>
          <w:lang w:eastAsia="zh-CN"/>
        </w:rPr>
        <w:tab/>
      </w:r>
      <w:r w:rsidRPr="00EB11D3">
        <w:rPr>
          <w:szCs w:val="24"/>
          <w:lang w:eastAsia="zh-CN"/>
        </w:rPr>
        <w:tab/>
      </w:r>
      <w:r w:rsidRPr="00EB11D3">
        <w:rPr>
          <w:szCs w:val="24"/>
          <w:lang w:eastAsia="zh-CN"/>
        </w:rPr>
        <w:tab/>
      </w:r>
      <w:r w:rsidRPr="00EB11D3">
        <w:rPr>
          <w:szCs w:val="24"/>
        </w:rPr>
        <w:t>Ministry of Health</w:t>
      </w:r>
    </w:p>
    <w:p w14:paraId="36D3C97C" w14:textId="77777777" w:rsidR="008A3C52" w:rsidRPr="00EB11D3" w:rsidRDefault="008A3C52">
      <w:pPr>
        <w:spacing w:line="259" w:lineRule="auto"/>
        <w:jc w:val="left"/>
        <w:rPr>
          <w:szCs w:val="24"/>
        </w:rPr>
      </w:pPr>
      <w:r w:rsidRPr="00EB11D3">
        <w:rPr>
          <w:b/>
          <w:bCs/>
          <w:szCs w:val="24"/>
        </w:rPr>
        <w:t>NGOs</w:t>
      </w:r>
      <w:r w:rsidRPr="00EB11D3">
        <w:rPr>
          <w:szCs w:val="24"/>
        </w:rPr>
        <w:tab/>
      </w:r>
      <w:r w:rsidRPr="00EB11D3">
        <w:rPr>
          <w:szCs w:val="24"/>
        </w:rPr>
        <w:tab/>
      </w:r>
      <w:r w:rsidRPr="00EB11D3">
        <w:rPr>
          <w:szCs w:val="24"/>
        </w:rPr>
        <w:tab/>
        <w:t>Non-Governmental Organization</w:t>
      </w:r>
    </w:p>
    <w:p w14:paraId="75E56187" w14:textId="77777777" w:rsidR="008A3C52" w:rsidRPr="00EB11D3" w:rsidRDefault="008A3C52">
      <w:pPr>
        <w:spacing w:line="259" w:lineRule="auto"/>
        <w:jc w:val="left"/>
        <w:rPr>
          <w:szCs w:val="24"/>
          <w:lang w:eastAsia="zh-CN"/>
        </w:rPr>
      </w:pPr>
      <w:r w:rsidRPr="00EB11D3">
        <w:rPr>
          <w:b/>
          <w:bCs/>
          <w:szCs w:val="24"/>
          <w:lang w:eastAsia="zh-CN"/>
        </w:rPr>
        <w:t>OECD</w:t>
      </w:r>
      <w:r w:rsidRPr="00EB11D3">
        <w:rPr>
          <w:b/>
          <w:bCs/>
          <w:szCs w:val="24"/>
          <w:lang w:eastAsia="zh-CN"/>
        </w:rPr>
        <w:tab/>
      </w:r>
      <w:r w:rsidRPr="00EB11D3">
        <w:rPr>
          <w:szCs w:val="24"/>
          <w:lang w:eastAsia="zh-CN"/>
        </w:rPr>
        <w:tab/>
      </w:r>
      <w:r w:rsidRPr="00EB11D3">
        <w:rPr>
          <w:szCs w:val="24"/>
          <w:lang w:eastAsia="zh-CN"/>
        </w:rPr>
        <w:tab/>
        <w:t>The Organization for Economic Co-operation and Development </w:t>
      </w:r>
    </w:p>
    <w:p w14:paraId="7BDB5CD1" w14:textId="77777777" w:rsidR="008A3C52" w:rsidRPr="00EB11D3" w:rsidRDefault="008A3C52">
      <w:pPr>
        <w:spacing w:line="259" w:lineRule="auto"/>
        <w:jc w:val="left"/>
        <w:rPr>
          <w:szCs w:val="24"/>
        </w:rPr>
      </w:pPr>
      <w:r w:rsidRPr="00EB11D3">
        <w:rPr>
          <w:b/>
          <w:bCs/>
          <w:szCs w:val="24"/>
        </w:rPr>
        <w:t>OLS</w:t>
      </w:r>
      <w:r w:rsidRPr="00EB11D3">
        <w:rPr>
          <w:b/>
          <w:bCs/>
          <w:szCs w:val="24"/>
        </w:rPr>
        <w:tab/>
      </w:r>
      <w:r w:rsidRPr="00EB11D3">
        <w:rPr>
          <w:b/>
          <w:bCs/>
          <w:szCs w:val="24"/>
        </w:rPr>
        <w:tab/>
      </w:r>
      <w:r w:rsidRPr="00EB11D3">
        <w:rPr>
          <w:b/>
          <w:bCs/>
          <w:szCs w:val="24"/>
        </w:rPr>
        <w:tab/>
      </w:r>
      <w:r w:rsidRPr="00EB11D3">
        <w:rPr>
          <w:szCs w:val="24"/>
        </w:rPr>
        <w:t>Ordinary Least squares</w:t>
      </w:r>
    </w:p>
    <w:p w14:paraId="2984C9F8" w14:textId="77777777" w:rsidR="008A3C52" w:rsidRPr="00EB11D3" w:rsidRDefault="008A3C52">
      <w:pPr>
        <w:spacing w:line="259" w:lineRule="auto"/>
        <w:jc w:val="left"/>
        <w:rPr>
          <w:b/>
          <w:bCs/>
          <w:szCs w:val="24"/>
        </w:rPr>
      </w:pPr>
      <w:r w:rsidRPr="00EB11D3">
        <w:rPr>
          <w:b/>
          <w:szCs w:val="24"/>
        </w:rPr>
        <w:t>PLS -SEM</w:t>
      </w:r>
      <w:r w:rsidRPr="00EB11D3">
        <w:rPr>
          <w:szCs w:val="24"/>
        </w:rPr>
        <w:tab/>
      </w:r>
      <w:r w:rsidRPr="00EB11D3">
        <w:rPr>
          <w:szCs w:val="24"/>
        </w:rPr>
        <w:tab/>
      </w:r>
      <w:r w:rsidRPr="00EB11D3">
        <w:rPr>
          <w:szCs w:val="24"/>
          <w:lang w:eastAsia="zh-CN"/>
        </w:rPr>
        <w:t>Partial Least Square Structural Equation Modeling</w:t>
      </w:r>
    </w:p>
    <w:p w14:paraId="6644F54D" w14:textId="77777777" w:rsidR="008A3C52" w:rsidRPr="00EB11D3" w:rsidRDefault="008A3C52">
      <w:pPr>
        <w:spacing w:line="259" w:lineRule="auto"/>
        <w:jc w:val="left"/>
        <w:rPr>
          <w:bCs/>
          <w:szCs w:val="24"/>
          <w:lang w:eastAsia="zh-CN"/>
        </w:rPr>
      </w:pPr>
      <w:r w:rsidRPr="00EB11D3">
        <w:rPr>
          <w:rFonts w:eastAsia="Times New Roman"/>
          <w:b/>
          <w:szCs w:val="24"/>
        </w:rPr>
        <w:t>R&amp;D</w:t>
      </w:r>
      <w:r w:rsidRPr="00EB11D3">
        <w:rPr>
          <w:rFonts w:eastAsia="Times New Roman"/>
          <w:bCs/>
          <w:szCs w:val="24"/>
        </w:rPr>
        <w:t xml:space="preserve"> </w:t>
      </w:r>
      <w:r w:rsidRPr="00EB11D3">
        <w:rPr>
          <w:rFonts w:eastAsia="Times New Roman"/>
          <w:bCs/>
          <w:szCs w:val="24"/>
        </w:rPr>
        <w:tab/>
      </w:r>
      <w:r w:rsidRPr="00EB11D3">
        <w:rPr>
          <w:rFonts w:eastAsia="Times New Roman"/>
          <w:bCs/>
          <w:szCs w:val="24"/>
        </w:rPr>
        <w:tab/>
      </w:r>
      <w:r w:rsidRPr="00EB11D3">
        <w:rPr>
          <w:rFonts w:eastAsia="Times New Roman"/>
          <w:bCs/>
          <w:szCs w:val="24"/>
        </w:rPr>
        <w:tab/>
        <w:t>Research and Development</w:t>
      </w:r>
    </w:p>
    <w:p w14:paraId="7E836C60" w14:textId="77777777" w:rsidR="008A3C52" w:rsidRPr="00EB11D3" w:rsidRDefault="008A3C52">
      <w:pPr>
        <w:spacing w:line="259" w:lineRule="auto"/>
        <w:jc w:val="left"/>
        <w:rPr>
          <w:szCs w:val="24"/>
          <w:lang w:eastAsia="zh-CN"/>
        </w:rPr>
      </w:pPr>
      <w:r w:rsidRPr="00EB11D3">
        <w:rPr>
          <w:b/>
          <w:bCs/>
          <w:szCs w:val="24"/>
          <w:lang w:eastAsia="zh-CN"/>
        </w:rPr>
        <w:t>RDT</w:t>
      </w:r>
      <w:r w:rsidRPr="00EB11D3">
        <w:rPr>
          <w:szCs w:val="24"/>
          <w:lang w:eastAsia="zh-CN"/>
        </w:rPr>
        <w:tab/>
      </w:r>
      <w:r w:rsidRPr="00EB11D3">
        <w:rPr>
          <w:szCs w:val="24"/>
          <w:lang w:eastAsia="zh-CN"/>
        </w:rPr>
        <w:tab/>
      </w:r>
      <w:r w:rsidRPr="00EB11D3">
        <w:rPr>
          <w:szCs w:val="24"/>
          <w:lang w:eastAsia="zh-CN"/>
        </w:rPr>
        <w:tab/>
        <w:t xml:space="preserve">Resource Dependency Theory </w:t>
      </w:r>
    </w:p>
    <w:p w14:paraId="12E1A42D" w14:textId="77777777" w:rsidR="008A3C52" w:rsidRPr="00EB11D3" w:rsidRDefault="008A3C52">
      <w:pPr>
        <w:spacing w:line="259" w:lineRule="auto"/>
        <w:jc w:val="left"/>
        <w:rPr>
          <w:szCs w:val="24"/>
        </w:rPr>
      </w:pPr>
      <w:r w:rsidRPr="00EB11D3">
        <w:rPr>
          <w:b/>
          <w:bCs/>
          <w:szCs w:val="24"/>
        </w:rPr>
        <w:t>SDGs</w:t>
      </w:r>
      <w:r w:rsidRPr="00EB11D3">
        <w:rPr>
          <w:szCs w:val="24"/>
        </w:rPr>
        <w:t xml:space="preserve"> </w:t>
      </w:r>
      <w:r w:rsidRPr="00EB11D3">
        <w:rPr>
          <w:szCs w:val="24"/>
        </w:rPr>
        <w:tab/>
      </w:r>
      <w:r w:rsidRPr="00EB11D3">
        <w:rPr>
          <w:szCs w:val="24"/>
        </w:rPr>
        <w:tab/>
      </w:r>
      <w:r w:rsidRPr="00EB11D3">
        <w:rPr>
          <w:szCs w:val="24"/>
        </w:rPr>
        <w:tab/>
        <w:t xml:space="preserve">Sustainable Development Goals </w:t>
      </w:r>
    </w:p>
    <w:p w14:paraId="75640B37" w14:textId="77777777" w:rsidR="008A3C52" w:rsidRPr="00EB11D3" w:rsidRDefault="008A3C52">
      <w:pPr>
        <w:spacing w:line="259" w:lineRule="auto"/>
        <w:jc w:val="left"/>
        <w:rPr>
          <w:szCs w:val="24"/>
          <w:lang w:eastAsia="zh-CN"/>
        </w:rPr>
      </w:pPr>
      <w:r w:rsidRPr="00EB11D3">
        <w:rPr>
          <w:b/>
          <w:bCs/>
          <w:szCs w:val="24"/>
          <w:lang w:eastAsia="zh-CN"/>
        </w:rPr>
        <w:t>SEM</w:t>
      </w:r>
      <w:r w:rsidRPr="00EB11D3">
        <w:rPr>
          <w:b/>
          <w:bCs/>
          <w:szCs w:val="24"/>
          <w:lang w:eastAsia="zh-CN"/>
        </w:rPr>
        <w:tab/>
      </w:r>
      <w:r w:rsidRPr="00EB11D3">
        <w:rPr>
          <w:szCs w:val="24"/>
          <w:lang w:eastAsia="zh-CN"/>
        </w:rPr>
        <w:tab/>
      </w:r>
      <w:r w:rsidRPr="00EB11D3">
        <w:rPr>
          <w:szCs w:val="24"/>
          <w:lang w:eastAsia="zh-CN"/>
        </w:rPr>
        <w:tab/>
        <w:t xml:space="preserve">Structural Equation Modeling </w:t>
      </w:r>
    </w:p>
    <w:p w14:paraId="1A0F3804" w14:textId="77777777" w:rsidR="008A3C52" w:rsidRPr="00EB11D3" w:rsidRDefault="008A3C52">
      <w:pPr>
        <w:spacing w:line="259" w:lineRule="auto"/>
        <w:jc w:val="left"/>
        <w:rPr>
          <w:szCs w:val="24"/>
          <w:lang w:eastAsia="zh-CN"/>
        </w:rPr>
      </w:pPr>
      <w:r w:rsidRPr="00EB11D3">
        <w:rPr>
          <w:b/>
          <w:bCs/>
          <w:szCs w:val="24"/>
          <w:lang w:eastAsia="zh-CN"/>
        </w:rPr>
        <w:t>SI</w:t>
      </w:r>
      <w:r w:rsidRPr="00EB11D3">
        <w:rPr>
          <w:szCs w:val="24"/>
          <w:lang w:eastAsia="zh-CN"/>
        </w:rPr>
        <w:tab/>
      </w:r>
      <w:r w:rsidRPr="00EB11D3">
        <w:rPr>
          <w:szCs w:val="24"/>
          <w:lang w:eastAsia="zh-CN"/>
        </w:rPr>
        <w:tab/>
      </w:r>
      <w:r w:rsidRPr="00EB11D3">
        <w:rPr>
          <w:szCs w:val="24"/>
          <w:lang w:eastAsia="zh-CN"/>
        </w:rPr>
        <w:tab/>
        <w:t>Service innovation</w:t>
      </w:r>
    </w:p>
    <w:p w14:paraId="54E4AEAB" w14:textId="77777777" w:rsidR="008A3C52" w:rsidRPr="00EB11D3" w:rsidRDefault="008A3C52">
      <w:pPr>
        <w:spacing w:line="259" w:lineRule="auto"/>
        <w:jc w:val="left"/>
        <w:rPr>
          <w:szCs w:val="24"/>
          <w:lang w:eastAsia="zh-CN"/>
        </w:rPr>
      </w:pPr>
      <w:r w:rsidRPr="00EB11D3">
        <w:rPr>
          <w:b/>
          <w:szCs w:val="24"/>
          <w:lang w:eastAsia="zh-CN"/>
        </w:rPr>
        <w:t>SIC</w:t>
      </w:r>
      <w:r w:rsidRPr="00EB11D3">
        <w:rPr>
          <w:szCs w:val="24"/>
          <w:lang w:eastAsia="zh-CN"/>
        </w:rPr>
        <w:tab/>
      </w:r>
      <w:r w:rsidRPr="00EB11D3">
        <w:rPr>
          <w:szCs w:val="24"/>
          <w:lang w:eastAsia="zh-CN"/>
        </w:rPr>
        <w:tab/>
      </w:r>
      <w:r w:rsidRPr="00EB11D3">
        <w:rPr>
          <w:szCs w:val="24"/>
          <w:lang w:eastAsia="zh-CN"/>
        </w:rPr>
        <w:tab/>
        <w:t>Standard Industrial Classification Code</w:t>
      </w:r>
    </w:p>
    <w:p w14:paraId="640DBF52" w14:textId="77777777" w:rsidR="008A3C52" w:rsidRPr="00EB11D3" w:rsidRDefault="008A3C52">
      <w:pPr>
        <w:spacing w:line="259" w:lineRule="auto"/>
        <w:jc w:val="left"/>
        <w:rPr>
          <w:szCs w:val="24"/>
          <w:lang w:eastAsia="zh-CN"/>
        </w:rPr>
      </w:pPr>
      <w:r w:rsidRPr="00EB11D3">
        <w:rPr>
          <w:b/>
          <w:bCs/>
          <w:szCs w:val="24"/>
          <w:lang w:eastAsia="zh-CN"/>
        </w:rPr>
        <w:t>VIF</w:t>
      </w:r>
      <w:r w:rsidRPr="00EB11D3">
        <w:rPr>
          <w:szCs w:val="24"/>
          <w:lang w:eastAsia="zh-CN"/>
        </w:rPr>
        <w:tab/>
      </w:r>
      <w:r w:rsidRPr="00EB11D3">
        <w:rPr>
          <w:szCs w:val="24"/>
          <w:lang w:eastAsia="zh-CN"/>
        </w:rPr>
        <w:tab/>
      </w:r>
      <w:r w:rsidRPr="00EB11D3">
        <w:rPr>
          <w:szCs w:val="24"/>
          <w:lang w:eastAsia="zh-CN"/>
        </w:rPr>
        <w:tab/>
        <w:t xml:space="preserve">Variance Inflation Factor </w:t>
      </w:r>
    </w:p>
    <w:p w14:paraId="7E718786" w14:textId="77777777" w:rsidR="00DC0D7C" w:rsidRPr="00EB11D3" w:rsidRDefault="00212BDF">
      <w:pPr>
        <w:spacing w:after="160" w:line="256" w:lineRule="auto"/>
        <w:jc w:val="left"/>
        <w:rPr>
          <w:rFonts w:eastAsia="DengXian Light"/>
          <w:b/>
          <w:szCs w:val="24"/>
        </w:rPr>
      </w:pPr>
      <w:r w:rsidRPr="00EB11D3">
        <w:rPr>
          <w:szCs w:val="24"/>
        </w:rPr>
        <w:br w:type="page"/>
      </w:r>
    </w:p>
    <w:p w14:paraId="64691E9B" w14:textId="77777777" w:rsidR="00DC0D7C" w:rsidRPr="00EB11D3" w:rsidRDefault="00212BDF">
      <w:pPr>
        <w:pStyle w:val="Heading1"/>
        <w:spacing w:line="360" w:lineRule="auto"/>
        <w:rPr>
          <w:szCs w:val="24"/>
        </w:rPr>
      </w:pPr>
      <w:bookmarkStart w:id="14" w:name="_Toc177387803"/>
      <w:r w:rsidRPr="00EB11D3">
        <w:rPr>
          <w:szCs w:val="24"/>
        </w:rPr>
        <w:lastRenderedPageBreak/>
        <w:t>OPERATIONAL DEFINITION OF TERMS</w:t>
      </w:r>
      <w:bookmarkEnd w:id="14"/>
      <w:r w:rsidRPr="00EB11D3">
        <w:rPr>
          <w:szCs w:val="24"/>
        </w:rPr>
        <w:t xml:space="preserve"> </w:t>
      </w:r>
    </w:p>
    <w:p w14:paraId="2FC814F9" w14:textId="77777777" w:rsidR="00DC0D7C" w:rsidRPr="00EB11D3" w:rsidRDefault="00DC0D7C">
      <w:pPr>
        <w:spacing w:after="0" w:line="360" w:lineRule="auto"/>
        <w:ind w:left="2880" w:hanging="2880"/>
        <w:rPr>
          <w:szCs w:val="24"/>
        </w:rPr>
      </w:pPr>
    </w:p>
    <w:p w14:paraId="29D9672E" w14:textId="77777777" w:rsidR="008A3C52" w:rsidRPr="00EB11D3" w:rsidRDefault="008A3C52" w:rsidP="00140342">
      <w:pPr>
        <w:ind w:left="3544" w:hanging="3544"/>
        <w:rPr>
          <w:szCs w:val="24"/>
        </w:rPr>
      </w:pPr>
      <w:r w:rsidRPr="00EB11D3">
        <w:rPr>
          <w:rFonts w:eastAsia="Times New Roman"/>
          <w:b/>
          <w:szCs w:val="24"/>
        </w:rPr>
        <w:t>Corporate Governance</w:t>
      </w:r>
      <w:r w:rsidRPr="00EB11D3">
        <w:rPr>
          <w:rFonts w:eastAsia="Times New Roman"/>
          <w:b/>
          <w:szCs w:val="24"/>
        </w:rPr>
        <w:tab/>
      </w:r>
      <w:r w:rsidR="00140342" w:rsidRPr="00140342">
        <w:rPr>
          <w:szCs w:val="24"/>
        </w:rPr>
        <w:t xml:space="preserve">Corporate governance is a set of </w:t>
      </w:r>
      <w:r w:rsidR="00140342">
        <w:rPr>
          <w:szCs w:val="24"/>
        </w:rPr>
        <w:t>systems</w:t>
      </w:r>
      <w:r w:rsidR="00140342" w:rsidRPr="00140342">
        <w:rPr>
          <w:szCs w:val="24"/>
        </w:rPr>
        <w:t xml:space="preserve">, practices and guidelines </w:t>
      </w:r>
      <w:r w:rsidR="00140342">
        <w:rPr>
          <w:szCs w:val="24"/>
        </w:rPr>
        <w:t>that</w:t>
      </w:r>
      <w:r w:rsidR="00140342" w:rsidRPr="00140342">
        <w:rPr>
          <w:szCs w:val="24"/>
        </w:rPr>
        <w:t xml:space="preserve"> </w:t>
      </w:r>
      <w:r w:rsidR="00140342">
        <w:rPr>
          <w:szCs w:val="24"/>
        </w:rPr>
        <w:t>direct</w:t>
      </w:r>
      <w:r w:rsidR="00140342" w:rsidRPr="00140342">
        <w:rPr>
          <w:szCs w:val="24"/>
        </w:rPr>
        <w:t xml:space="preserve"> and </w:t>
      </w:r>
      <w:r w:rsidR="00140342">
        <w:rPr>
          <w:szCs w:val="24"/>
        </w:rPr>
        <w:t>control</w:t>
      </w:r>
      <w:r w:rsidR="00140342" w:rsidRPr="00140342">
        <w:rPr>
          <w:szCs w:val="24"/>
        </w:rPr>
        <w:t>; the</w:t>
      </w:r>
      <w:r w:rsidR="00140342">
        <w:rPr>
          <w:szCs w:val="24"/>
        </w:rPr>
        <w:t xml:space="preserve"> </w:t>
      </w:r>
      <w:r w:rsidR="00140342" w:rsidRPr="00140342">
        <w:rPr>
          <w:szCs w:val="24"/>
        </w:rPr>
        <w:t xml:space="preserve">structure and processes for </w:t>
      </w:r>
      <w:r w:rsidR="00140342">
        <w:rPr>
          <w:szCs w:val="24"/>
        </w:rPr>
        <w:t>decision-making</w:t>
      </w:r>
      <w:r w:rsidR="00140342" w:rsidRPr="00140342">
        <w:rPr>
          <w:szCs w:val="24"/>
        </w:rPr>
        <w:t>, accountability, control and behaviour of the shareholders</w:t>
      </w:r>
      <w:r w:rsidR="00140342">
        <w:rPr>
          <w:szCs w:val="24"/>
        </w:rPr>
        <w:t xml:space="preserve"> </w:t>
      </w:r>
      <w:r w:rsidR="00140342" w:rsidRPr="00140342">
        <w:rPr>
          <w:szCs w:val="24"/>
        </w:rPr>
        <w:t>and related stakeholders. It influences how objectives are set and achieved, how risk is monitored and</w:t>
      </w:r>
      <w:r w:rsidR="00140342">
        <w:rPr>
          <w:szCs w:val="24"/>
        </w:rPr>
        <w:t xml:space="preserve"> </w:t>
      </w:r>
      <w:r w:rsidR="00140342" w:rsidRPr="00140342">
        <w:rPr>
          <w:szCs w:val="24"/>
        </w:rPr>
        <w:t>addressed and how performance is optimized.</w:t>
      </w:r>
    </w:p>
    <w:p w14:paraId="14581792" w14:textId="77777777" w:rsidR="008A3C52" w:rsidRPr="00EB11D3" w:rsidRDefault="0038019E">
      <w:pPr>
        <w:ind w:left="3544" w:hanging="3544"/>
        <w:rPr>
          <w:b/>
          <w:szCs w:val="24"/>
          <w:lang w:eastAsia="zh-CN"/>
        </w:rPr>
      </w:pPr>
      <w:r w:rsidRPr="00EB11D3">
        <w:rPr>
          <w:b/>
          <w:szCs w:val="24"/>
          <w:lang w:eastAsia="zh-CN"/>
        </w:rPr>
        <w:t>Faith-based</w:t>
      </w:r>
      <w:r w:rsidR="008A3C52" w:rsidRPr="00EB11D3">
        <w:rPr>
          <w:b/>
          <w:szCs w:val="24"/>
          <w:lang w:eastAsia="zh-CN"/>
        </w:rPr>
        <w:t xml:space="preserve"> Hospitals </w:t>
      </w:r>
      <w:r w:rsidR="008A3C52" w:rsidRPr="00EB11D3">
        <w:rPr>
          <w:b/>
          <w:szCs w:val="24"/>
          <w:lang w:eastAsia="zh-CN"/>
        </w:rPr>
        <w:tab/>
      </w:r>
      <w:r w:rsidR="008A3C52" w:rsidRPr="00EB11D3">
        <w:rPr>
          <w:bCs/>
          <w:szCs w:val="24"/>
        </w:rPr>
        <w:t xml:space="preserve">These are </w:t>
      </w:r>
      <w:r w:rsidR="008A3C52" w:rsidRPr="00EB11D3">
        <w:rPr>
          <w:szCs w:val="24"/>
        </w:rPr>
        <w:t xml:space="preserve">health service institutions </w:t>
      </w:r>
      <w:r w:rsidR="008A3C52" w:rsidRPr="00EB11D3">
        <w:rPr>
          <w:bCs/>
          <w:szCs w:val="24"/>
        </w:rPr>
        <w:t>that are owned, established</w:t>
      </w:r>
      <w:r w:rsidR="008A3C52" w:rsidRPr="00EB11D3">
        <w:rPr>
          <w:szCs w:val="24"/>
        </w:rPr>
        <w:t xml:space="preserve">, managed, and controlled by the church or religious </w:t>
      </w:r>
      <w:r w:rsidR="00813F2C" w:rsidRPr="00EB11D3">
        <w:rPr>
          <w:szCs w:val="24"/>
        </w:rPr>
        <w:t>organisat</w:t>
      </w:r>
      <w:r w:rsidR="008A3C52" w:rsidRPr="00EB11D3">
        <w:rPr>
          <w:szCs w:val="24"/>
        </w:rPr>
        <w:t>ions.</w:t>
      </w:r>
    </w:p>
    <w:p w14:paraId="128CF6F0" w14:textId="77777777" w:rsidR="008A3C52" w:rsidRPr="00EB11D3" w:rsidRDefault="008A3C52">
      <w:pPr>
        <w:ind w:left="3544" w:hanging="3544"/>
        <w:rPr>
          <w:b/>
          <w:szCs w:val="24"/>
          <w:lang w:eastAsia="zh-CN"/>
        </w:rPr>
      </w:pPr>
      <w:r w:rsidRPr="00EB11D3">
        <w:rPr>
          <w:b/>
          <w:szCs w:val="24"/>
          <w:lang w:eastAsia="zh-CN"/>
        </w:rPr>
        <w:t>Government Regulations</w:t>
      </w:r>
      <w:r w:rsidRPr="00EB11D3">
        <w:rPr>
          <w:b/>
          <w:szCs w:val="24"/>
          <w:lang w:eastAsia="zh-CN"/>
        </w:rPr>
        <w:tab/>
      </w:r>
      <w:r w:rsidRPr="00EB11D3">
        <w:rPr>
          <w:szCs w:val="24"/>
        </w:rPr>
        <w:t>Refers to the legal system, which includes the government's enforceable laws, policies and regulations with which every institution and person must abide and are typically upheld by enforcing violations with fines and other sanctions.</w:t>
      </w:r>
      <w:r w:rsidR="00A225B3" w:rsidRPr="00A225B3">
        <w:t xml:space="preserve"> </w:t>
      </w:r>
      <w:r w:rsidR="00A225B3" w:rsidRPr="00A225B3">
        <w:rPr>
          <w:szCs w:val="24"/>
        </w:rPr>
        <w:t>In this study government regulations was operationalised using Law &amp; Regulations, Professional Ethics and Professional Standards.</w:t>
      </w:r>
    </w:p>
    <w:p w14:paraId="44E9FFD2" w14:textId="77777777" w:rsidR="008A3C52" w:rsidRPr="00EB11D3" w:rsidRDefault="008A3C52">
      <w:pPr>
        <w:ind w:left="3544" w:hanging="3544"/>
        <w:rPr>
          <w:bCs/>
          <w:szCs w:val="24"/>
          <w:lang w:eastAsia="zh-CN"/>
        </w:rPr>
      </w:pPr>
      <w:r w:rsidRPr="00EB11D3">
        <w:rPr>
          <w:rFonts w:eastAsia="Times New Roman"/>
          <w:b/>
          <w:szCs w:val="24"/>
        </w:rPr>
        <w:t xml:space="preserve">Organisational performance </w:t>
      </w:r>
      <w:r w:rsidRPr="00EB11D3">
        <w:rPr>
          <w:rFonts w:eastAsia="Times New Roman"/>
          <w:b/>
          <w:szCs w:val="24"/>
        </w:rPr>
        <w:tab/>
      </w:r>
      <w:r w:rsidRPr="00EB11D3">
        <w:rPr>
          <w:bCs/>
          <w:szCs w:val="24"/>
        </w:rPr>
        <w:t>Refers to a company's ability to achieve actual output or results against its intended outputs. Performance can be measured using the financial or non-financial viewpoints.</w:t>
      </w:r>
      <w:r w:rsidR="00A225B3" w:rsidRPr="00A225B3">
        <w:t xml:space="preserve"> </w:t>
      </w:r>
      <w:r w:rsidR="00A225B3" w:rsidRPr="00A225B3">
        <w:rPr>
          <w:bCs/>
          <w:szCs w:val="24"/>
        </w:rPr>
        <w:t>In this study organisational performance was operationalised using; Internal Business process efficiency, Customer satisfaction, Effectiveness and Productivity.</w:t>
      </w:r>
    </w:p>
    <w:p w14:paraId="600802B0" w14:textId="77777777" w:rsidR="008A3C52" w:rsidRPr="00EB11D3" w:rsidRDefault="008A3C52">
      <w:pPr>
        <w:ind w:left="3544" w:hanging="3544"/>
        <w:rPr>
          <w:bCs/>
          <w:szCs w:val="24"/>
          <w:lang w:eastAsia="zh-CN"/>
        </w:rPr>
      </w:pPr>
      <w:r w:rsidRPr="00EB11D3">
        <w:rPr>
          <w:b/>
          <w:szCs w:val="24"/>
          <w:lang w:eastAsia="zh-CN"/>
        </w:rPr>
        <w:t>Service Innovation</w:t>
      </w:r>
      <w:r w:rsidRPr="00EB11D3">
        <w:rPr>
          <w:b/>
          <w:szCs w:val="24"/>
          <w:lang w:eastAsia="zh-CN"/>
        </w:rPr>
        <w:tab/>
      </w:r>
      <w:r w:rsidRPr="00EB11D3">
        <w:rPr>
          <w:rFonts w:eastAsia="Times New Roman"/>
          <w:szCs w:val="24"/>
        </w:rPr>
        <w:t>Refers to a value-added chain service activity in which businesses offer novel services by fusing previously existing aspects with recently produced ones.</w:t>
      </w:r>
      <w:r w:rsidR="00A225B3" w:rsidRPr="00A225B3">
        <w:t xml:space="preserve"> </w:t>
      </w:r>
      <w:r w:rsidR="00A225B3" w:rsidRPr="00A225B3">
        <w:rPr>
          <w:rFonts w:eastAsia="Times New Roman"/>
          <w:szCs w:val="24"/>
        </w:rPr>
        <w:t>Service innovation was conceptualized in this study using; Diversification of services, Technological integration, Process improvement, and Customer-centric services.</w:t>
      </w:r>
    </w:p>
    <w:p w14:paraId="2E5C0D41" w14:textId="77777777" w:rsidR="009A5FD1" w:rsidRPr="00EB11D3" w:rsidRDefault="009A5FD1">
      <w:pPr>
        <w:spacing w:after="0" w:line="240" w:lineRule="auto"/>
        <w:jc w:val="left"/>
        <w:rPr>
          <w:rFonts w:eastAsia="DengXian Light"/>
          <w:b/>
          <w:szCs w:val="24"/>
        </w:rPr>
      </w:pPr>
      <w:r w:rsidRPr="00EB11D3">
        <w:rPr>
          <w:szCs w:val="24"/>
        </w:rPr>
        <w:br w:type="page"/>
      </w:r>
    </w:p>
    <w:p w14:paraId="1C753EFF" w14:textId="77777777" w:rsidR="00DC0D7C" w:rsidRPr="00EB11D3" w:rsidRDefault="00212BDF">
      <w:pPr>
        <w:pStyle w:val="Heading1"/>
        <w:rPr>
          <w:szCs w:val="24"/>
        </w:rPr>
      </w:pPr>
      <w:bookmarkStart w:id="15" w:name="_Toc177387804"/>
      <w:r w:rsidRPr="00EB11D3">
        <w:rPr>
          <w:szCs w:val="24"/>
        </w:rPr>
        <w:lastRenderedPageBreak/>
        <w:t>ABSTRACT</w:t>
      </w:r>
      <w:bookmarkEnd w:id="15"/>
    </w:p>
    <w:p w14:paraId="58FE81F2" w14:textId="77777777" w:rsidR="0060162E" w:rsidRPr="00EB11D3" w:rsidRDefault="00212BDF" w:rsidP="00DA7A16">
      <w:pPr>
        <w:spacing w:after="0" w:line="240" w:lineRule="auto"/>
        <w:rPr>
          <w:szCs w:val="24"/>
          <w:lang w:val="en"/>
        </w:rPr>
      </w:pPr>
      <w:r w:rsidRPr="00EB11D3">
        <w:rPr>
          <w:szCs w:val="24"/>
          <w:lang w:val="en"/>
        </w:rPr>
        <w:t xml:space="preserve">The </w:t>
      </w:r>
      <w:r w:rsidR="00C00756" w:rsidRPr="00EB11D3">
        <w:rPr>
          <w:szCs w:val="24"/>
          <w:lang w:val="en"/>
        </w:rPr>
        <w:t xml:space="preserve">purpose of the study </w:t>
      </w:r>
      <w:r w:rsidR="00615D89" w:rsidRPr="00EB11D3">
        <w:rPr>
          <w:szCs w:val="24"/>
          <w:lang w:val="en"/>
        </w:rPr>
        <w:t xml:space="preserve">was </w:t>
      </w:r>
      <w:r w:rsidRPr="00EB11D3">
        <w:rPr>
          <w:szCs w:val="24"/>
          <w:lang w:val="en"/>
        </w:rPr>
        <w:t xml:space="preserve">to </w:t>
      </w:r>
      <w:r w:rsidR="006F74DA" w:rsidRPr="00EB11D3">
        <w:rPr>
          <w:szCs w:val="24"/>
          <w:lang w:val="en"/>
        </w:rPr>
        <w:t xml:space="preserve">establish </w:t>
      </w:r>
      <w:r w:rsidRPr="00EB11D3">
        <w:rPr>
          <w:szCs w:val="24"/>
          <w:lang w:val="en"/>
        </w:rPr>
        <w:t xml:space="preserve">the relationship between corporate governance, service innovation, government regulations and </w:t>
      </w:r>
      <w:r w:rsidR="006D5C62" w:rsidRPr="00EB11D3">
        <w:rPr>
          <w:szCs w:val="24"/>
          <w:lang w:val="en"/>
        </w:rPr>
        <w:t>organisational performance of Faith-Based Hospitals</w:t>
      </w:r>
      <w:r w:rsidRPr="00EB11D3">
        <w:rPr>
          <w:szCs w:val="24"/>
          <w:lang w:val="en"/>
        </w:rPr>
        <w:t xml:space="preserve"> in Kenya.  The specific objectives of the study</w:t>
      </w:r>
      <w:r w:rsidR="00C00756" w:rsidRPr="00EB11D3">
        <w:rPr>
          <w:szCs w:val="24"/>
          <w:lang w:val="en"/>
        </w:rPr>
        <w:t xml:space="preserve"> </w:t>
      </w:r>
      <w:r w:rsidR="00615D89" w:rsidRPr="00EB11D3">
        <w:rPr>
          <w:szCs w:val="24"/>
          <w:lang w:val="en"/>
        </w:rPr>
        <w:t>we</w:t>
      </w:r>
      <w:r w:rsidR="00C00756" w:rsidRPr="00EB11D3">
        <w:rPr>
          <w:szCs w:val="24"/>
          <w:lang w:val="en"/>
        </w:rPr>
        <w:t>re</w:t>
      </w:r>
      <w:r w:rsidRPr="00EB11D3">
        <w:rPr>
          <w:szCs w:val="24"/>
          <w:lang w:val="en"/>
        </w:rPr>
        <w:t xml:space="preserve">;  to establish the </w:t>
      </w:r>
      <w:r w:rsidR="009318D9" w:rsidRPr="00EB11D3">
        <w:rPr>
          <w:szCs w:val="24"/>
          <w:lang w:val="en"/>
        </w:rPr>
        <w:t xml:space="preserve">effects </w:t>
      </w:r>
      <w:r w:rsidRPr="00EB11D3">
        <w:rPr>
          <w:szCs w:val="24"/>
          <w:lang w:val="en"/>
        </w:rPr>
        <w:t xml:space="preserve">of corporate governance on organisational performance of faith-based hospital in Kenya; to determine the mediating effect of service innovation on the relationship between corporate governance and organisational performance of faith-based hospital in Kenya; to examine the moderating effect of government regulations on the relationship between corporate governance and organisational performance of faith-based hospital in Kenya; and </w:t>
      </w:r>
      <w:r w:rsidR="00D80B87" w:rsidRPr="00EB11D3">
        <w:rPr>
          <w:szCs w:val="24"/>
          <w:lang w:val="en"/>
        </w:rPr>
        <w:t xml:space="preserve">to determine the </w:t>
      </w:r>
      <w:r w:rsidR="00E70D07" w:rsidRPr="00EB11D3">
        <w:rPr>
          <w:szCs w:val="24"/>
          <w:lang w:val="en"/>
        </w:rPr>
        <w:t xml:space="preserve">mediated moderation </w:t>
      </w:r>
      <w:r w:rsidR="00D80B87" w:rsidRPr="00EB11D3">
        <w:rPr>
          <w:szCs w:val="24"/>
          <w:lang w:val="en"/>
        </w:rPr>
        <w:t xml:space="preserve">effect of </w:t>
      </w:r>
      <w:r w:rsidR="0022665C" w:rsidRPr="00EB11D3">
        <w:rPr>
          <w:szCs w:val="24"/>
          <w:lang w:val="en"/>
        </w:rPr>
        <w:t>service innovation and government regulation</w:t>
      </w:r>
      <w:r w:rsidR="00D80B87" w:rsidRPr="00EB11D3">
        <w:rPr>
          <w:szCs w:val="24"/>
          <w:lang w:val="en"/>
        </w:rPr>
        <w:t xml:space="preserve"> on the relationship between corporate governance and </w:t>
      </w:r>
      <w:r w:rsidR="006D5C62" w:rsidRPr="00EB11D3">
        <w:rPr>
          <w:szCs w:val="24"/>
          <w:lang w:val="en"/>
        </w:rPr>
        <w:t>organisational performance of Faith-Based Hospitals</w:t>
      </w:r>
      <w:r w:rsidR="00D80B87" w:rsidRPr="00EB11D3">
        <w:rPr>
          <w:szCs w:val="24"/>
          <w:lang w:val="en"/>
        </w:rPr>
        <w:t xml:space="preserve"> in Kenya</w:t>
      </w:r>
      <w:r w:rsidRPr="00EB11D3">
        <w:rPr>
          <w:szCs w:val="24"/>
          <w:lang w:val="en"/>
        </w:rPr>
        <w:t xml:space="preserve">. The study </w:t>
      </w:r>
      <w:r w:rsidR="00615D89" w:rsidRPr="00EB11D3">
        <w:rPr>
          <w:szCs w:val="24"/>
          <w:lang w:val="en"/>
        </w:rPr>
        <w:t xml:space="preserve">was </w:t>
      </w:r>
      <w:r w:rsidR="00AA4A43" w:rsidRPr="00EB11D3">
        <w:rPr>
          <w:szCs w:val="24"/>
          <w:lang w:val="en"/>
        </w:rPr>
        <w:t xml:space="preserve">anchored on the </w:t>
      </w:r>
      <w:r w:rsidRPr="00EB11D3">
        <w:rPr>
          <w:szCs w:val="24"/>
          <w:lang w:val="en"/>
        </w:rPr>
        <w:t>Resource Dependence Theory</w:t>
      </w:r>
      <w:r w:rsidR="007319A1" w:rsidRPr="00EB11D3">
        <w:rPr>
          <w:szCs w:val="24"/>
          <w:lang w:val="en"/>
        </w:rPr>
        <w:t xml:space="preserve"> and</w:t>
      </w:r>
      <w:r w:rsidRPr="00EB11D3">
        <w:rPr>
          <w:szCs w:val="24"/>
          <w:lang w:val="en"/>
        </w:rPr>
        <w:t xml:space="preserve"> employ</w:t>
      </w:r>
      <w:r w:rsidR="00615D89" w:rsidRPr="00EB11D3">
        <w:rPr>
          <w:szCs w:val="24"/>
          <w:lang w:val="en"/>
        </w:rPr>
        <w:t>ed</w:t>
      </w:r>
      <w:r w:rsidRPr="00EB11D3">
        <w:rPr>
          <w:szCs w:val="24"/>
          <w:lang w:val="en"/>
        </w:rPr>
        <w:t xml:space="preserve"> positivist research philosophy. This study use</w:t>
      </w:r>
      <w:r w:rsidR="00615D89" w:rsidRPr="00EB11D3">
        <w:rPr>
          <w:szCs w:val="24"/>
          <w:lang w:val="en"/>
        </w:rPr>
        <w:t>d</w:t>
      </w:r>
      <w:r w:rsidRPr="00EB11D3">
        <w:rPr>
          <w:szCs w:val="24"/>
          <w:lang w:val="en"/>
        </w:rPr>
        <w:t xml:space="preserve"> cross- sectional survey research approach</w:t>
      </w:r>
      <w:r w:rsidR="007C68B4" w:rsidRPr="00EB11D3">
        <w:rPr>
          <w:szCs w:val="24"/>
          <w:lang w:val="en"/>
        </w:rPr>
        <w:t xml:space="preserve">. </w:t>
      </w:r>
      <w:r w:rsidR="00B16368" w:rsidRPr="00EB11D3">
        <w:rPr>
          <w:szCs w:val="24"/>
          <w:lang w:val="en"/>
        </w:rPr>
        <w:t>The study adopt</w:t>
      </w:r>
      <w:r w:rsidR="00615D89" w:rsidRPr="00EB11D3">
        <w:rPr>
          <w:szCs w:val="24"/>
          <w:lang w:val="en"/>
        </w:rPr>
        <w:t>ed</w:t>
      </w:r>
      <w:r w:rsidR="00B16368" w:rsidRPr="00EB11D3">
        <w:rPr>
          <w:szCs w:val="24"/>
          <w:lang w:val="en"/>
        </w:rPr>
        <w:t xml:space="preserve"> a census method to obtain study population. </w:t>
      </w:r>
      <w:r w:rsidR="00B619C0" w:rsidRPr="00EB11D3">
        <w:rPr>
          <w:szCs w:val="24"/>
          <w:lang w:val="en"/>
        </w:rPr>
        <w:t xml:space="preserve">The unit of analysis consisted of </w:t>
      </w:r>
      <w:r w:rsidR="00B619C0" w:rsidRPr="00EB11D3">
        <w:rPr>
          <w:szCs w:val="24"/>
        </w:rPr>
        <w:t xml:space="preserve">level 4 and 5 Faith-based Hospitals </w:t>
      </w:r>
      <w:r w:rsidRPr="00EB11D3">
        <w:rPr>
          <w:szCs w:val="24"/>
          <w:lang w:val="en"/>
        </w:rPr>
        <w:t>in Kenya</w:t>
      </w:r>
      <w:r w:rsidR="00B619C0" w:rsidRPr="00EB11D3">
        <w:rPr>
          <w:szCs w:val="24"/>
          <w:lang w:val="en"/>
        </w:rPr>
        <w:t xml:space="preserve"> while the unit of observation consisted of Finance Director, Executive Director and Medical director</w:t>
      </w:r>
      <w:r w:rsidR="00B619C0" w:rsidRPr="00EB11D3">
        <w:t xml:space="preserve"> of all the target faith-based hospitals. </w:t>
      </w:r>
      <w:r w:rsidR="00342225" w:rsidRPr="00EB11D3">
        <w:rPr>
          <w:szCs w:val="24"/>
          <w:lang w:val="en"/>
        </w:rPr>
        <w:t xml:space="preserve">Three hundred and nine </w:t>
      </w:r>
      <w:r w:rsidR="00B619C0" w:rsidRPr="00EB11D3">
        <w:t>questionnaires</w:t>
      </w:r>
      <w:r w:rsidR="00B268CF" w:rsidRPr="00EB11D3">
        <w:t xml:space="preserve"> </w:t>
      </w:r>
      <w:r w:rsidR="00615D89" w:rsidRPr="00EB11D3">
        <w:t>were</w:t>
      </w:r>
      <w:r w:rsidR="00B268CF" w:rsidRPr="00EB11D3">
        <w:t xml:space="preserve"> administered to </w:t>
      </w:r>
      <w:r w:rsidR="00B268CF" w:rsidRPr="00EB11D3">
        <w:rPr>
          <w:szCs w:val="24"/>
          <w:lang w:val="en"/>
        </w:rPr>
        <w:t>Finance Director, Executive Director and Medical director</w:t>
      </w:r>
      <w:r w:rsidR="00B268CF" w:rsidRPr="00EB11D3">
        <w:t xml:space="preserve"> of all faith-based hospitals using </w:t>
      </w:r>
      <w:r w:rsidR="00B268CF" w:rsidRPr="00EB11D3">
        <w:rPr>
          <w:szCs w:val="24"/>
          <w:lang w:val="en"/>
        </w:rPr>
        <w:t>purposive sampling</w:t>
      </w:r>
      <w:r w:rsidRPr="00EB11D3">
        <w:rPr>
          <w:szCs w:val="24"/>
          <w:lang w:val="en"/>
        </w:rPr>
        <w:t xml:space="preserve">. </w:t>
      </w:r>
      <w:r w:rsidR="007C68B4" w:rsidRPr="00EB11D3">
        <w:rPr>
          <w:szCs w:val="24"/>
          <w:lang w:val="en"/>
        </w:rPr>
        <w:t xml:space="preserve">Primary data </w:t>
      </w:r>
      <w:r w:rsidR="00615D89" w:rsidRPr="00EB11D3">
        <w:rPr>
          <w:szCs w:val="24"/>
          <w:lang w:val="en"/>
        </w:rPr>
        <w:t>was</w:t>
      </w:r>
      <w:r w:rsidR="007C68B4" w:rsidRPr="00EB11D3">
        <w:rPr>
          <w:szCs w:val="24"/>
          <w:lang w:val="en"/>
        </w:rPr>
        <w:t xml:space="preserve"> collected using </w:t>
      </w:r>
      <w:r w:rsidR="00C00756" w:rsidRPr="00EB11D3">
        <w:rPr>
          <w:szCs w:val="24"/>
          <w:lang w:val="en"/>
        </w:rPr>
        <w:t xml:space="preserve">a </w:t>
      </w:r>
      <w:r w:rsidR="007C68B4" w:rsidRPr="00EB11D3">
        <w:rPr>
          <w:szCs w:val="24"/>
          <w:lang w:val="en"/>
        </w:rPr>
        <w:t xml:space="preserve">structured questionnaire. </w:t>
      </w:r>
      <w:r w:rsidR="00DD5288" w:rsidRPr="00EB11D3">
        <w:rPr>
          <w:szCs w:val="24"/>
          <w:lang w:val="en"/>
        </w:rPr>
        <w:t xml:space="preserve">Quantitative data </w:t>
      </w:r>
      <w:r w:rsidR="00615D89" w:rsidRPr="00EB11D3">
        <w:rPr>
          <w:szCs w:val="24"/>
          <w:lang w:val="en"/>
        </w:rPr>
        <w:t>was</w:t>
      </w:r>
      <w:r w:rsidR="00DD5288" w:rsidRPr="00EB11D3">
        <w:rPr>
          <w:szCs w:val="24"/>
          <w:lang w:val="en"/>
        </w:rPr>
        <w:t xml:space="preserve"> analysed using </w:t>
      </w:r>
      <w:r w:rsidRPr="00EB11D3">
        <w:rPr>
          <w:szCs w:val="24"/>
          <w:lang w:val="en"/>
        </w:rPr>
        <w:t>Statistical Package for Social Sciences (SPSS version 2</w:t>
      </w:r>
      <w:r w:rsidR="007C4CAB" w:rsidRPr="00EB11D3">
        <w:rPr>
          <w:szCs w:val="24"/>
          <w:lang w:val="en"/>
        </w:rPr>
        <w:t>7</w:t>
      </w:r>
      <w:r w:rsidRPr="00EB11D3">
        <w:rPr>
          <w:szCs w:val="24"/>
          <w:lang w:val="en"/>
        </w:rPr>
        <w:t xml:space="preserve">). </w:t>
      </w:r>
      <w:r w:rsidR="00C00756" w:rsidRPr="00EB11D3">
        <w:rPr>
          <w:szCs w:val="24"/>
          <w:lang w:val="en"/>
        </w:rPr>
        <w:t xml:space="preserve">Regression analysis </w:t>
      </w:r>
      <w:r w:rsidR="00615D89" w:rsidRPr="00EB11D3">
        <w:rPr>
          <w:szCs w:val="24"/>
          <w:lang w:val="en"/>
        </w:rPr>
        <w:t>was</w:t>
      </w:r>
      <w:r w:rsidR="00C00756" w:rsidRPr="00EB11D3">
        <w:rPr>
          <w:szCs w:val="24"/>
          <w:lang w:val="en"/>
        </w:rPr>
        <w:t xml:space="preserve"> used in the prediction of causal inferences between the study variables and hypothesis testing. </w:t>
      </w:r>
      <w:r w:rsidRPr="00EB11D3">
        <w:rPr>
          <w:szCs w:val="24"/>
          <w:lang w:val="en"/>
        </w:rPr>
        <w:t>The study observe</w:t>
      </w:r>
      <w:r w:rsidR="005D6627" w:rsidRPr="00EB11D3">
        <w:rPr>
          <w:szCs w:val="24"/>
          <w:lang w:val="en"/>
        </w:rPr>
        <w:t>d</w:t>
      </w:r>
      <w:r w:rsidRPr="00EB11D3">
        <w:rPr>
          <w:szCs w:val="24"/>
          <w:lang w:val="en"/>
        </w:rPr>
        <w:t xml:space="preserve"> </w:t>
      </w:r>
      <w:r w:rsidR="00AA4A43" w:rsidRPr="00EB11D3">
        <w:rPr>
          <w:szCs w:val="24"/>
          <w:lang w:val="en"/>
        </w:rPr>
        <w:t xml:space="preserve">ethical standards of </w:t>
      </w:r>
      <w:r w:rsidR="0060162E" w:rsidRPr="00EB11D3">
        <w:rPr>
          <w:szCs w:val="24"/>
          <w:lang w:val="en"/>
        </w:rPr>
        <w:t>research:</w:t>
      </w:r>
      <w:r w:rsidR="00AA4A43" w:rsidRPr="00EB11D3">
        <w:rPr>
          <w:szCs w:val="24"/>
          <w:lang w:val="en"/>
        </w:rPr>
        <w:t xml:space="preserve"> Informed consent, voluntary participation, </w:t>
      </w:r>
      <w:r w:rsidR="0042248C" w:rsidRPr="00EB11D3">
        <w:rPr>
          <w:szCs w:val="24"/>
          <w:lang w:val="en"/>
        </w:rPr>
        <w:t>c</w:t>
      </w:r>
      <w:r w:rsidR="0060162E" w:rsidRPr="00EB11D3">
        <w:rPr>
          <w:szCs w:val="24"/>
          <w:lang w:val="en"/>
        </w:rPr>
        <w:t>onfidentiality, privacy and anonymity.</w:t>
      </w:r>
      <w:r w:rsidR="005F6DA0" w:rsidRPr="00EB11D3">
        <w:rPr>
          <w:szCs w:val="24"/>
          <w:lang w:val="en"/>
        </w:rPr>
        <w:t xml:space="preserve"> The study findings indicated that there was a statistically significant correlations between corporate governance and </w:t>
      </w:r>
      <w:r w:rsidR="006D5C62" w:rsidRPr="00EB11D3">
        <w:rPr>
          <w:szCs w:val="24"/>
          <w:lang w:val="en"/>
        </w:rPr>
        <w:t>organisational performance of Faith-Based Hospitals</w:t>
      </w:r>
      <w:r w:rsidR="005F6DA0" w:rsidRPr="00EB11D3">
        <w:rPr>
          <w:szCs w:val="24"/>
          <w:lang w:val="en"/>
        </w:rPr>
        <w:t xml:space="preserve"> in Kenya. Service innovation was found to have a partial mediation effect on the relationship between corporate governance and </w:t>
      </w:r>
      <w:r w:rsidR="006D5C62" w:rsidRPr="00EB11D3">
        <w:rPr>
          <w:szCs w:val="24"/>
          <w:lang w:val="en"/>
        </w:rPr>
        <w:t>organisational performance of Faith-Based Hospitals</w:t>
      </w:r>
      <w:r w:rsidR="005F6DA0" w:rsidRPr="00EB11D3">
        <w:rPr>
          <w:szCs w:val="24"/>
          <w:lang w:val="en"/>
        </w:rPr>
        <w:t xml:space="preserve"> in Kenya. Moreover, government regulations was found to have a</w:t>
      </w:r>
      <w:r w:rsidR="00222A5A" w:rsidRPr="00EB11D3">
        <w:rPr>
          <w:szCs w:val="24"/>
          <w:lang w:val="en"/>
        </w:rPr>
        <w:t xml:space="preserve"> </w:t>
      </w:r>
      <w:r w:rsidR="005F6DA0" w:rsidRPr="00EB11D3">
        <w:rPr>
          <w:szCs w:val="24"/>
          <w:lang w:val="en"/>
        </w:rPr>
        <w:t xml:space="preserve">enhancing moderating effect on the relationship between corporate governance and </w:t>
      </w:r>
      <w:r w:rsidR="006D5C62" w:rsidRPr="00EB11D3">
        <w:rPr>
          <w:szCs w:val="24"/>
          <w:lang w:val="en"/>
        </w:rPr>
        <w:t>organisational performance of Faith-Based Hospitals</w:t>
      </w:r>
      <w:r w:rsidR="005F6DA0" w:rsidRPr="00EB11D3">
        <w:rPr>
          <w:szCs w:val="24"/>
          <w:lang w:val="en"/>
        </w:rPr>
        <w:t xml:space="preserve"> in Kenya. </w:t>
      </w:r>
      <w:r w:rsidR="007319A1" w:rsidRPr="00EB11D3">
        <w:rPr>
          <w:szCs w:val="24"/>
          <w:lang w:val="en"/>
        </w:rPr>
        <w:t>T</w:t>
      </w:r>
      <w:r w:rsidR="00437766" w:rsidRPr="00EB11D3">
        <w:rPr>
          <w:szCs w:val="24"/>
          <w:lang w:val="en"/>
        </w:rPr>
        <w:t>he study recommends that regulations governing faith-based hospitals' adoption of innovative medical services and technology should be simplified</w:t>
      </w:r>
      <w:r w:rsidR="007319A1" w:rsidRPr="00EB11D3">
        <w:rPr>
          <w:szCs w:val="24"/>
          <w:lang w:val="en"/>
        </w:rPr>
        <w:t xml:space="preserve"> and </w:t>
      </w:r>
      <w:r w:rsidR="00815503" w:rsidRPr="00EB11D3">
        <w:rPr>
          <w:szCs w:val="24"/>
          <w:lang w:val="en"/>
        </w:rPr>
        <w:t xml:space="preserve">hospitals should engage stakeholders in the process of designing and improving services to make sure that innovations meet their needs and improve results. </w:t>
      </w:r>
      <w:r w:rsidR="00125FC2" w:rsidRPr="00EB11D3">
        <w:rPr>
          <w:szCs w:val="24"/>
          <w:lang w:val="en"/>
        </w:rPr>
        <w:t>To improve service delivery and efficiency, faith-based hospitals should embrace advances made possible by technology, such as telemedicine, electronic health records, and mobile health app</w:t>
      </w:r>
      <w:r w:rsidR="005751CE">
        <w:rPr>
          <w:szCs w:val="24"/>
          <w:lang w:val="en"/>
        </w:rPr>
        <w:t>lications</w:t>
      </w:r>
      <w:r w:rsidR="00D174DE" w:rsidRPr="00EB11D3">
        <w:rPr>
          <w:szCs w:val="24"/>
          <w:lang w:val="en"/>
        </w:rPr>
        <w:t>.</w:t>
      </w:r>
    </w:p>
    <w:p w14:paraId="36CBFB6E" w14:textId="77777777" w:rsidR="0060162E" w:rsidRPr="00EB11D3" w:rsidRDefault="0060162E">
      <w:pPr>
        <w:spacing w:after="0" w:line="240" w:lineRule="auto"/>
        <w:rPr>
          <w:szCs w:val="24"/>
        </w:rPr>
      </w:pPr>
    </w:p>
    <w:p w14:paraId="4A796E9F" w14:textId="77777777" w:rsidR="0060162E" w:rsidRPr="00EB11D3" w:rsidRDefault="0060162E">
      <w:pPr>
        <w:spacing w:after="0" w:line="240" w:lineRule="auto"/>
        <w:rPr>
          <w:szCs w:val="24"/>
        </w:rPr>
      </w:pPr>
    </w:p>
    <w:p w14:paraId="2F95A46D" w14:textId="77777777" w:rsidR="0060162E" w:rsidRPr="00EB11D3" w:rsidRDefault="0060162E">
      <w:pPr>
        <w:spacing w:after="0" w:line="240" w:lineRule="auto"/>
        <w:rPr>
          <w:szCs w:val="24"/>
        </w:rPr>
        <w:sectPr w:rsidR="0060162E" w:rsidRPr="00EB11D3" w:rsidSect="005F6C66">
          <w:footerReference w:type="default" r:id="rId11"/>
          <w:type w:val="continuous"/>
          <w:pgSz w:w="12240" w:h="15840"/>
          <w:pgMar w:top="1440" w:right="1440" w:bottom="1440" w:left="2160" w:header="720" w:footer="720" w:gutter="0"/>
          <w:pgNumType w:fmt="lowerRoman" w:start="1"/>
          <w:cols w:space="720"/>
          <w:titlePg/>
          <w:docGrid w:linePitch="326"/>
        </w:sectPr>
      </w:pPr>
    </w:p>
    <w:p w14:paraId="1AD1BB32" w14:textId="77777777" w:rsidR="002E298F" w:rsidRPr="00EB11D3" w:rsidRDefault="002E298F">
      <w:pPr>
        <w:spacing w:after="0" w:line="240" w:lineRule="auto"/>
        <w:jc w:val="left"/>
        <w:rPr>
          <w:rFonts w:eastAsia="DengXian Light"/>
          <w:b/>
          <w:szCs w:val="24"/>
        </w:rPr>
      </w:pPr>
      <w:r w:rsidRPr="00EB11D3">
        <w:rPr>
          <w:szCs w:val="24"/>
        </w:rPr>
        <w:br w:type="page"/>
      </w:r>
    </w:p>
    <w:p w14:paraId="7B073F95" w14:textId="77777777" w:rsidR="00DC0D7C" w:rsidRPr="00EB11D3" w:rsidRDefault="00212BDF" w:rsidP="004F2FB6">
      <w:pPr>
        <w:pStyle w:val="Heading1"/>
        <w:spacing w:before="0" w:line="360" w:lineRule="auto"/>
        <w:rPr>
          <w:szCs w:val="24"/>
        </w:rPr>
      </w:pPr>
      <w:bookmarkStart w:id="16" w:name="_Toc177387805"/>
      <w:r w:rsidRPr="00EB11D3">
        <w:rPr>
          <w:szCs w:val="24"/>
        </w:rPr>
        <w:lastRenderedPageBreak/>
        <w:t>CHAPTER ONE</w:t>
      </w:r>
      <w:bookmarkEnd w:id="16"/>
    </w:p>
    <w:p w14:paraId="601F2FD6" w14:textId="77777777" w:rsidR="00DC0D7C" w:rsidRPr="00EB11D3" w:rsidRDefault="00212BDF" w:rsidP="004F2FB6">
      <w:pPr>
        <w:pStyle w:val="Heading1"/>
        <w:spacing w:before="0" w:line="360" w:lineRule="auto"/>
        <w:rPr>
          <w:szCs w:val="24"/>
        </w:rPr>
      </w:pPr>
      <w:bookmarkStart w:id="17" w:name="_Toc177387806"/>
      <w:r w:rsidRPr="00EB11D3">
        <w:rPr>
          <w:szCs w:val="24"/>
        </w:rPr>
        <w:t>INTRODUCTION</w:t>
      </w:r>
      <w:bookmarkEnd w:id="17"/>
      <w:r w:rsidRPr="00EB11D3">
        <w:rPr>
          <w:szCs w:val="24"/>
        </w:rPr>
        <w:t xml:space="preserve"> </w:t>
      </w:r>
    </w:p>
    <w:p w14:paraId="277B168F" w14:textId="77777777" w:rsidR="006B3D84" w:rsidRPr="00EB11D3" w:rsidRDefault="006B3D84" w:rsidP="006B3D84">
      <w:pPr>
        <w:rPr>
          <w:rFonts w:eastAsia="DengXian Light"/>
          <w:b/>
          <w:szCs w:val="24"/>
        </w:rPr>
      </w:pPr>
      <w:r w:rsidRPr="00EB11D3">
        <w:rPr>
          <w:rFonts w:eastAsia="DengXian Light"/>
          <w:b/>
          <w:szCs w:val="24"/>
        </w:rPr>
        <w:t>1.0 Introduction</w:t>
      </w:r>
    </w:p>
    <w:p w14:paraId="381D426B" w14:textId="77777777" w:rsidR="00DC0D7C" w:rsidRPr="00EB11D3" w:rsidRDefault="009C4505">
      <w:pPr>
        <w:spacing w:line="360" w:lineRule="auto"/>
        <w:rPr>
          <w:rFonts w:eastAsia="Calibri"/>
          <w:b/>
          <w:bCs/>
          <w:szCs w:val="24"/>
        </w:rPr>
      </w:pPr>
      <w:r w:rsidRPr="00EB11D3">
        <w:rPr>
          <w:szCs w:val="24"/>
        </w:rPr>
        <w:t xml:space="preserve">This chapter describes the study's background, problem statement, </w:t>
      </w:r>
      <w:r w:rsidR="00813F2C" w:rsidRPr="00EB11D3">
        <w:rPr>
          <w:szCs w:val="24"/>
        </w:rPr>
        <w:t>objectives</w:t>
      </w:r>
      <w:r w:rsidRPr="00EB11D3">
        <w:rPr>
          <w:szCs w:val="24"/>
        </w:rPr>
        <w:t>, scope, significance, and limit</w:t>
      </w:r>
      <w:r w:rsidR="00813F2C" w:rsidRPr="00EB11D3">
        <w:rPr>
          <w:szCs w:val="24"/>
        </w:rPr>
        <w:t>ations</w:t>
      </w:r>
      <w:r w:rsidRPr="00EB11D3">
        <w:rPr>
          <w:szCs w:val="24"/>
        </w:rPr>
        <w:t>.</w:t>
      </w:r>
      <w:r w:rsidR="00B619C0" w:rsidRPr="00EB11D3">
        <w:rPr>
          <w:szCs w:val="24"/>
        </w:rPr>
        <w:t xml:space="preserve"> The justification of the study and discussion of the constructs is discussed and the delimitations outlined.</w:t>
      </w:r>
    </w:p>
    <w:p w14:paraId="5589CDE0" w14:textId="77777777" w:rsidR="00DC0D7C" w:rsidRPr="00EB11D3" w:rsidRDefault="00212BDF">
      <w:pPr>
        <w:pStyle w:val="Heading2"/>
        <w:spacing w:line="360" w:lineRule="auto"/>
        <w:jc w:val="both"/>
        <w:rPr>
          <w:szCs w:val="24"/>
        </w:rPr>
      </w:pPr>
      <w:bookmarkStart w:id="18" w:name="_Toc177387807"/>
      <w:r w:rsidRPr="00EB11D3">
        <w:rPr>
          <w:szCs w:val="24"/>
        </w:rPr>
        <w:t>1.1 Background of the Study</w:t>
      </w:r>
      <w:bookmarkEnd w:id="18"/>
      <w:r w:rsidRPr="00EB11D3">
        <w:rPr>
          <w:szCs w:val="24"/>
        </w:rPr>
        <w:t xml:space="preserve"> </w:t>
      </w:r>
    </w:p>
    <w:p w14:paraId="22ABDD66" w14:textId="77777777" w:rsidR="00C52CF0" w:rsidRDefault="009C4505">
      <w:pPr>
        <w:widowControl w:val="0"/>
        <w:autoSpaceDE w:val="0"/>
        <w:autoSpaceDN w:val="0"/>
        <w:adjustRightInd w:val="0"/>
        <w:spacing w:before="240" w:line="360" w:lineRule="auto"/>
        <w:contextualSpacing/>
        <w:rPr>
          <w:szCs w:val="24"/>
        </w:rPr>
      </w:pPr>
      <w:r w:rsidRPr="00EB11D3">
        <w:rPr>
          <w:szCs w:val="24"/>
        </w:rPr>
        <w:t xml:space="preserve">The role of corporate governance as a mechanism for effective institutional management has piqued the interest of numerous strategic and policy-making bodies around the world (International Finance Corporation, 2020). </w:t>
      </w:r>
      <w:r w:rsidR="00950B2A" w:rsidRPr="00EB11D3">
        <w:rPr>
          <w:szCs w:val="24"/>
        </w:rPr>
        <w:t xml:space="preserve">Corporate failures and appalling corporate performance have been caused by dysfunctional public administration, a lack of transparency, distortions, and bad corporate governance, which have a detrimental effect on productivity and </w:t>
      </w:r>
      <w:r w:rsidR="00813F2C" w:rsidRPr="00EB11D3">
        <w:rPr>
          <w:szCs w:val="24"/>
        </w:rPr>
        <w:t>organisat</w:t>
      </w:r>
      <w:r w:rsidR="00950B2A" w:rsidRPr="00EB11D3">
        <w:rPr>
          <w:szCs w:val="24"/>
        </w:rPr>
        <w:t>ional goals (Kyere &amp; Ausloos, 2021).</w:t>
      </w:r>
      <w:r w:rsidR="00C52CF0">
        <w:rPr>
          <w:szCs w:val="24"/>
        </w:rPr>
        <w:t xml:space="preserve"> </w:t>
      </w:r>
      <w:r w:rsidR="00F5565F" w:rsidRPr="00EB11D3">
        <w:rPr>
          <w:szCs w:val="24"/>
        </w:rPr>
        <w:t xml:space="preserve">Globally, </w:t>
      </w:r>
      <w:r w:rsidR="00195AA6" w:rsidRPr="00EB11D3">
        <w:rPr>
          <w:szCs w:val="24"/>
        </w:rPr>
        <w:t>l</w:t>
      </w:r>
      <w:r w:rsidR="00212BDF" w:rsidRPr="00EB11D3">
        <w:rPr>
          <w:szCs w:val="24"/>
        </w:rPr>
        <w:t>ack of sound corporate governance has been linked to poor organisational performance (</w:t>
      </w:r>
      <w:r w:rsidR="00FF0539" w:rsidRPr="00EB11D3">
        <w:rPr>
          <w:szCs w:val="24"/>
        </w:rPr>
        <w:t>Bezawada, 2020</w:t>
      </w:r>
      <w:r w:rsidR="00212BDF" w:rsidRPr="00EB11D3">
        <w:rPr>
          <w:szCs w:val="24"/>
        </w:rPr>
        <w:t xml:space="preserve">). </w:t>
      </w:r>
      <w:r w:rsidR="00C00756" w:rsidRPr="00EB11D3">
        <w:rPr>
          <w:szCs w:val="24"/>
        </w:rPr>
        <w:t>Studies show that p</w:t>
      </w:r>
      <w:r w:rsidR="006C0BF2" w:rsidRPr="00EB11D3">
        <w:rPr>
          <w:szCs w:val="24"/>
        </w:rPr>
        <w:t xml:space="preserve">oor corporate governance practices </w:t>
      </w:r>
      <w:r w:rsidR="00C00756" w:rsidRPr="00EB11D3">
        <w:rPr>
          <w:szCs w:val="24"/>
        </w:rPr>
        <w:t xml:space="preserve">is </w:t>
      </w:r>
      <w:r w:rsidR="006C0BF2" w:rsidRPr="00EB11D3">
        <w:rPr>
          <w:szCs w:val="24"/>
        </w:rPr>
        <w:t>a contributing factor in the scandals and financial failures that were observed</w:t>
      </w:r>
      <w:r w:rsidR="00C00756" w:rsidRPr="00EB11D3">
        <w:rPr>
          <w:szCs w:val="24"/>
        </w:rPr>
        <w:t xml:space="preserve"> in Europe</w:t>
      </w:r>
      <w:r w:rsidR="004C014E" w:rsidRPr="00EB11D3">
        <w:rPr>
          <w:szCs w:val="24"/>
        </w:rPr>
        <w:t xml:space="preserve"> </w:t>
      </w:r>
      <w:r w:rsidR="00C47FB7" w:rsidRPr="00EB11D3">
        <w:rPr>
          <w:szCs w:val="24"/>
        </w:rPr>
        <w:t>in hospital</w:t>
      </w:r>
      <w:r w:rsidR="00195AA6" w:rsidRPr="00EB11D3">
        <w:rPr>
          <w:szCs w:val="24"/>
        </w:rPr>
        <w:t>s</w:t>
      </w:r>
      <w:r w:rsidR="00C47FB7" w:rsidRPr="00EB11D3">
        <w:rPr>
          <w:szCs w:val="24"/>
        </w:rPr>
        <w:t xml:space="preserve"> </w:t>
      </w:r>
      <w:r w:rsidR="006C0BF2" w:rsidRPr="00EB11D3">
        <w:rPr>
          <w:szCs w:val="24"/>
        </w:rPr>
        <w:t>(</w:t>
      </w:r>
      <w:r w:rsidR="00E5151E" w:rsidRPr="00EB11D3">
        <w:rPr>
          <w:szCs w:val="24"/>
        </w:rPr>
        <w:t>Brown, 2019</w:t>
      </w:r>
      <w:r w:rsidR="00BA1D8E" w:rsidRPr="00EB11D3">
        <w:rPr>
          <w:szCs w:val="24"/>
        </w:rPr>
        <w:t xml:space="preserve">; </w:t>
      </w:r>
      <w:r w:rsidR="00633A51" w:rsidRPr="00EB11D3">
        <w:rPr>
          <w:szCs w:val="24"/>
        </w:rPr>
        <w:t xml:space="preserve">Mannion et al., 2019; </w:t>
      </w:r>
      <w:r w:rsidR="00BA1D8E" w:rsidRPr="00EB11D3">
        <w:rPr>
          <w:szCs w:val="24"/>
        </w:rPr>
        <w:t>Marques, da Silva, Teixeira, &amp; Nogueira, 2020</w:t>
      </w:r>
      <w:r w:rsidR="006C0BF2" w:rsidRPr="00EB11D3">
        <w:rPr>
          <w:szCs w:val="24"/>
        </w:rPr>
        <w:t>).</w:t>
      </w:r>
      <w:r w:rsidR="00212BDF" w:rsidRPr="00EB11D3">
        <w:rPr>
          <w:szCs w:val="24"/>
        </w:rPr>
        <w:t xml:space="preserve"> </w:t>
      </w:r>
      <w:r w:rsidR="003F0A05" w:rsidRPr="003F0A05">
        <w:rPr>
          <w:szCs w:val="24"/>
        </w:rPr>
        <w:t>According to the findings of the research conducted by Erwin, Landry, Livingston, and Dias (2019) in the United States, there is a correlation between corporate governance proxies and hospital performance.</w:t>
      </w:r>
      <w:r w:rsidRPr="00EB11D3" w:rsidDel="009C4505">
        <w:rPr>
          <w:szCs w:val="24"/>
        </w:rPr>
        <w:t xml:space="preserve"> </w:t>
      </w:r>
    </w:p>
    <w:p w14:paraId="36594F6C" w14:textId="77777777" w:rsidR="00C52CF0" w:rsidRDefault="00C52CF0">
      <w:pPr>
        <w:widowControl w:val="0"/>
        <w:autoSpaceDE w:val="0"/>
        <w:autoSpaceDN w:val="0"/>
        <w:adjustRightInd w:val="0"/>
        <w:spacing w:before="240" w:line="360" w:lineRule="auto"/>
        <w:contextualSpacing/>
        <w:rPr>
          <w:szCs w:val="24"/>
        </w:rPr>
      </w:pPr>
    </w:p>
    <w:p w14:paraId="1B48B302" w14:textId="77777777" w:rsidR="002C375E" w:rsidRPr="00EB11D3" w:rsidRDefault="00F5565F" w:rsidP="00C52CF0">
      <w:pPr>
        <w:widowControl w:val="0"/>
        <w:autoSpaceDE w:val="0"/>
        <w:autoSpaceDN w:val="0"/>
        <w:adjustRightInd w:val="0"/>
        <w:spacing w:before="240" w:line="360" w:lineRule="auto"/>
        <w:contextualSpacing/>
        <w:rPr>
          <w:szCs w:val="24"/>
        </w:rPr>
      </w:pPr>
      <w:r w:rsidRPr="00EB11D3">
        <w:rPr>
          <w:szCs w:val="24"/>
        </w:rPr>
        <w:t xml:space="preserve">A study by </w:t>
      </w:r>
      <w:r w:rsidR="00224D44" w:rsidRPr="00EB11D3">
        <w:rPr>
          <w:szCs w:val="24"/>
        </w:rPr>
        <w:t xml:space="preserve">Berland (2019) </w:t>
      </w:r>
      <w:r w:rsidRPr="00EB11D3">
        <w:rPr>
          <w:szCs w:val="24"/>
        </w:rPr>
        <w:t xml:space="preserve">revealed </w:t>
      </w:r>
      <w:r w:rsidR="0069138B" w:rsidRPr="00EB11D3">
        <w:rPr>
          <w:szCs w:val="24"/>
        </w:rPr>
        <w:t>the</w:t>
      </w:r>
      <w:r w:rsidR="00757967" w:rsidRPr="00EB11D3">
        <w:rPr>
          <w:szCs w:val="24"/>
        </w:rPr>
        <w:t xml:space="preserve"> need for shared</w:t>
      </w:r>
      <w:r w:rsidR="0069138B" w:rsidRPr="00EB11D3">
        <w:rPr>
          <w:szCs w:val="24"/>
        </w:rPr>
        <w:t xml:space="preserve"> responsibility </w:t>
      </w:r>
      <w:r w:rsidR="006B4905" w:rsidRPr="00EB11D3">
        <w:rPr>
          <w:szCs w:val="24"/>
        </w:rPr>
        <w:t xml:space="preserve">between </w:t>
      </w:r>
      <w:r w:rsidR="0069138B" w:rsidRPr="00EB11D3">
        <w:rPr>
          <w:szCs w:val="24"/>
        </w:rPr>
        <w:t>the directors of the hospital</w:t>
      </w:r>
      <w:r w:rsidR="00D515A9" w:rsidRPr="00EB11D3">
        <w:rPr>
          <w:szCs w:val="24"/>
        </w:rPr>
        <w:t xml:space="preserve"> and </w:t>
      </w:r>
      <w:r w:rsidR="007A0173" w:rsidRPr="00EB11D3">
        <w:rPr>
          <w:szCs w:val="24"/>
        </w:rPr>
        <w:t xml:space="preserve">the </w:t>
      </w:r>
      <w:r w:rsidR="00D515A9" w:rsidRPr="00EB11D3">
        <w:rPr>
          <w:szCs w:val="24"/>
        </w:rPr>
        <w:t>community</w:t>
      </w:r>
      <w:r w:rsidR="0069138B" w:rsidRPr="00EB11D3">
        <w:rPr>
          <w:szCs w:val="24"/>
        </w:rPr>
        <w:t xml:space="preserve"> </w:t>
      </w:r>
      <w:r w:rsidR="002A2738" w:rsidRPr="00EB11D3">
        <w:rPr>
          <w:szCs w:val="24"/>
        </w:rPr>
        <w:t>in ob</w:t>
      </w:r>
      <w:r w:rsidR="003C4921" w:rsidRPr="00EB11D3">
        <w:rPr>
          <w:szCs w:val="24"/>
        </w:rPr>
        <w:t xml:space="preserve">serving good corporate governance in the </w:t>
      </w:r>
      <w:r w:rsidR="008E1414" w:rsidRPr="00EB11D3">
        <w:rPr>
          <w:szCs w:val="24"/>
        </w:rPr>
        <w:t>hospitals</w:t>
      </w:r>
      <w:r w:rsidRPr="00EB11D3">
        <w:rPr>
          <w:szCs w:val="24"/>
        </w:rPr>
        <w:t xml:space="preserve"> in Canada</w:t>
      </w:r>
      <w:r w:rsidR="00BD2368" w:rsidRPr="00EB11D3">
        <w:rPr>
          <w:szCs w:val="24"/>
        </w:rPr>
        <w:t>.</w:t>
      </w:r>
      <w:r w:rsidR="00C42914" w:rsidRPr="00EB11D3">
        <w:rPr>
          <w:szCs w:val="24"/>
        </w:rPr>
        <w:t xml:space="preserve"> </w:t>
      </w:r>
      <w:r w:rsidR="00C03016" w:rsidRPr="00EB11D3">
        <w:rPr>
          <w:szCs w:val="24"/>
        </w:rPr>
        <w:t>Likewise,</w:t>
      </w:r>
      <w:r w:rsidRPr="00EB11D3">
        <w:rPr>
          <w:szCs w:val="24"/>
        </w:rPr>
        <w:t xml:space="preserve"> </w:t>
      </w:r>
      <w:r w:rsidR="00337F2F" w:rsidRPr="00EB11D3">
        <w:rPr>
          <w:szCs w:val="24"/>
        </w:rPr>
        <w:t>Afriyie et al. (2020)</w:t>
      </w:r>
      <w:r w:rsidR="00E10707" w:rsidRPr="00EB11D3">
        <w:rPr>
          <w:szCs w:val="24"/>
        </w:rPr>
        <w:t xml:space="preserve"> </w:t>
      </w:r>
      <w:r w:rsidR="00C03016" w:rsidRPr="00EB11D3">
        <w:rPr>
          <w:szCs w:val="24"/>
        </w:rPr>
        <w:t xml:space="preserve">observed </w:t>
      </w:r>
      <w:r w:rsidR="00E10707" w:rsidRPr="00EB11D3">
        <w:rPr>
          <w:szCs w:val="24"/>
        </w:rPr>
        <w:t>that a</w:t>
      </w:r>
      <w:r w:rsidR="00AA3050" w:rsidRPr="00EB11D3">
        <w:rPr>
          <w:szCs w:val="24"/>
        </w:rPr>
        <w:t xml:space="preserve"> hospital's performance</w:t>
      </w:r>
      <w:r w:rsidRPr="00EB11D3">
        <w:rPr>
          <w:szCs w:val="24"/>
        </w:rPr>
        <w:t xml:space="preserve"> and operational efficiency</w:t>
      </w:r>
      <w:r w:rsidR="00AA3050" w:rsidRPr="00EB11D3">
        <w:rPr>
          <w:szCs w:val="24"/>
        </w:rPr>
        <w:t xml:space="preserve"> is enhanced by good governance</w:t>
      </w:r>
      <w:r w:rsidRPr="00EB11D3">
        <w:rPr>
          <w:szCs w:val="24"/>
        </w:rPr>
        <w:t xml:space="preserve"> </w:t>
      </w:r>
      <w:r w:rsidR="00950867" w:rsidRPr="00EB11D3">
        <w:rPr>
          <w:szCs w:val="24"/>
        </w:rPr>
        <w:t>in Ghana health industry</w:t>
      </w:r>
      <w:r w:rsidR="00AA3050" w:rsidRPr="00EB11D3">
        <w:rPr>
          <w:szCs w:val="24"/>
        </w:rPr>
        <w:t xml:space="preserve">. </w:t>
      </w:r>
      <w:r w:rsidR="00565E47" w:rsidRPr="00EB11D3">
        <w:rPr>
          <w:szCs w:val="24"/>
        </w:rPr>
        <w:t>Marques, Serrasqueiro, and Nogueira (2020) linked transparency, truthfulness, and integrity in hospitals to a strong corporate governance (Agnihotri &amp; Arora, 2021)</w:t>
      </w:r>
      <w:r w:rsidR="002E3EC7" w:rsidRPr="00EB11D3">
        <w:rPr>
          <w:szCs w:val="24"/>
        </w:rPr>
        <w:t>.</w:t>
      </w:r>
      <w:r w:rsidR="00C52CF0">
        <w:rPr>
          <w:szCs w:val="24"/>
        </w:rPr>
        <w:t xml:space="preserve"> </w:t>
      </w:r>
      <w:r w:rsidR="00212BDF" w:rsidRPr="00EB11D3">
        <w:rPr>
          <w:szCs w:val="24"/>
        </w:rPr>
        <w:t>In Kenya, poor organisational performance has been linked to poor corporate governance</w:t>
      </w:r>
      <w:r w:rsidR="00252309" w:rsidRPr="00EB11D3">
        <w:rPr>
          <w:szCs w:val="24"/>
        </w:rPr>
        <w:t xml:space="preserve"> in health sector</w:t>
      </w:r>
      <w:r w:rsidR="00212BDF" w:rsidRPr="00EB11D3">
        <w:rPr>
          <w:szCs w:val="24"/>
        </w:rPr>
        <w:t xml:space="preserve"> (</w:t>
      </w:r>
      <w:r w:rsidR="00E27201" w:rsidRPr="00EB11D3">
        <w:rPr>
          <w:szCs w:val="24"/>
        </w:rPr>
        <w:t>Emodia, &amp; Mwanzia, 2021;</w:t>
      </w:r>
      <w:r w:rsidR="00252309" w:rsidRPr="00EB11D3">
        <w:rPr>
          <w:szCs w:val="24"/>
          <w:shd w:val="clear" w:color="auto" w:fill="FFFFFF"/>
        </w:rPr>
        <w:t xml:space="preserve"> </w:t>
      </w:r>
      <w:r w:rsidR="003A722A" w:rsidRPr="00EB11D3">
        <w:rPr>
          <w:szCs w:val="24"/>
          <w:shd w:val="clear" w:color="auto" w:fill="FFFFFF"/>
        </w:rPr>
        <w:t xml:space="preserve">Kinyua &amp; Ngari, 2021; </w:t>
      </w:r>
      <w:r w:rsidR="00252309" w:rsidRPr="00EB11D3">
        <w:rPr>
          <w:szCs w:val="24"/>
          <w:shd w:val="clear" w:color="auto" w:fill="FFFFFF"/>
        </w:rPr>
        <w:t>Muthengi &amp; Ragui, 2023</w:t>
      </w:r>
      <w:r w:rsidR="00212BDF" w:rsidRPr="00EB11D3">
        <w:rPr>
          <w:szCs w:val="24"/>
        </w:rPr>
        <w:t xml:space="preserve">). </w:t>
      </w:r>
      <w:r w:rsidR="00F047B6" w:rsidRPr="00EB11D3">
        <w:rPr>
          <w:szCs w:val="24"/>
        </w:rPr>
        <w:t xml:space="preserve">Sound corporate governance protects shareholders' rights by increasing corporate transparency and ensuring greater </w:t>
      </w:r>
      <w:r w:rsidR="001342B9">
        <w:rPr>
          <w:szCs w:val="24"/>
        </w:rPr>
        <w:t>dis</w:t>
      </w:r>
      <w:r w:rsidR="00F047B6" w:rsidRPr="00EB11D3">
        <w:rPr>
          <w:szCs w:val="24"/>
        </w:rPr>
        <w:t xml:space="preserve">closure of financial and non-financial information (Wu, Coleman, &amp; Bawuah, 2020; El-Chaarani, Abraham, &amp; Skaf, 2022; Lin &amp; Qamruzzaman, </w:t>
      </w:r>
      <w:r w:rsidR="00F047B6" w:rsidRPr="00EB11D3">
        <w:rPr>
          <w:szCs w:val="24"/>
        </w:rPr>
        <w:lastRenderedPageBreak/>
        <w:t xml:space="preserve">2023). </w:t>
      </w:r>
      <w:r w:rsidR="00813F2C" w:rsidRPr="00EB11D3">
        <w:rPr>
          <w:szCs w:val="24"/>
        </w:rPr>
        <w:t>Organisat</w:t>
      </w:r>
      <w:r w:rsidR="00212BDF" w:rsidRPr="00EB11D3">
        <w:rPr>
          <w:szCs w:val="24"/>
        </w:rPr>
        <w:t xml:space="preserve">ions that follow clear corporate governance are better able to manage efficient systems, regulate oversight, provide more chances for growth, and have better access to resources, which improves overall performance and lowers risks (Bhagat &amp; Bolton, 2019). </w:t>
      </w:r>
      <w:r w:rsidR="002C375E" w:rsidRPr="00EB11D3">
        <w:rPr>
          <w:szCs w:val="24"/>
        </w:rPr>
        <w:t>Morteruel et. al. (2021) emphasizes the need for governance in the health sectors by stimulating supportive innovative and extensive public health management strategies to combat diseases through healthy living, health promotion, and early detection.</w:t>
      </w:r>
    </w:p>
    <w:p w14:paraId="4F082639" w14:textId="77777777" w:rsidR="00DC0D7C" w:rsidRPr="00EB11D3" w:rsidRDefault="00DC0D7C">
      <w:pPr>
        <w:widowControl w:val="0"/>
        <w:autoSpaceDE w:val="0"/>
        <w:autoSpaceDN w:val="0"/>
        <w:adjustRightInd w:val="0"/>
        <w:spacing w:line="360" w:lineRule="auto"/>
        <w:contextualSpacing/>
        <w:rPr>
          <w:szCs w:val="24"/>
        </w:rPr>
      </w:pPr>
    </w:p>
    <w:p w14:paraId="06AF3206" w14:textId="77777777" w:rsidR="00DC0D7C" w:rsidRPr="00EB11D3" w:rsidRDefault="00212BDF" w:rsidP="0076027F">
      <w:pPr>
        <w:spacing w:line="360" w:lineRule="auto"/>
        <w:rPr>
          <w:szCs w:val="24"/>
        </w:rPr>
      </w:pPr>
      <w:r w:rsidRPr="00EB11D3">
        <w:rPr>
          <w:szCs w:val="24"/>
        </w:rPr>
        <w:t>Poor service innovation strategies arising from an improper analysis of the industry have led to poor implementation of the adopted strategies (</w:t>
      </w:r>
      <w:r w:rsidR="003E199D" w:rsidRPr="00EB11D3">
        <w:rPr>
          <w:szCs w:val="24"/>
        </w:rPr>
        <w:t>Zhao, Tsai, &amp; Wang, 2019; YuSheng, &amp; Ibrahim, 2019</w:t>
      </w:r>
      <w:r w:rsidRPr="00EB11D3">
        <w:rPr>
          <w:szCs w:val="24"/>
        </w:rPr>
        <w:t xml:space="preserve">). </w:t>
      </w:r>
      <w:bookmarkStart w:id="19" w:name="_Hlk155888716"/>
      <w:r w:rsidR="0076027F" w:rsidRPr="00EB11D3">
        <w:rPr>
          <w:szCs w:val="24"/>
        </w:rPr>
        <w:t xml:space="preserve">Corporate governance plays a crucial role in fostering service innovation in </w:t>
      </w:r>
      <w:r w:rsidR="00685A87" w:rsidRPr="00EB11D3">
        <w:rPr>
          <w:szCs w:val="24"/>
        </w:rPr>
        <w:t>a</w:t>
      </w:r>
      <w:r w:rsidR="0076027F" w:rsidRPr="00EB11D3">
        <w:rPr>
          <w:szCs w:val="24"/>
        </w:rPr>
        <w:t xml:space="preserve">n organization. Effective corporate governance structures and practices provide the framework for aligning organizational goals, managing resources, and encouraging a culture of innovation </w:t>
      </w:r>
      <w:bookmarkEnd w:id="19"/>
      <w:r w:rsidR="0076027F" w:rsidRPr="00EB11D3">
        <w:rPr>
          <w:szCs w:val="24"/>
        </w:rPr>
        <w:t xml:space="preserve">(Aureli et al. 2020). </w:t>
      </w:r>
      <w:bookmarkStart w:id="20" w:name="_Hlk155888819"/>
      <w:r w:rsidR="0076027F" w:rsidRPr="00EB11D3">
        <w:rPr>
          <w:szCs w:val="24"/>
        </w:rPr>
        <w:t>Corporate governance provides the foundation for creating a supportive environment for service innovation by establishing a clear vision, managing risks, allocating resources strategically, appealing stakeholders, measuring performance, and fostering an organisational culture that values and encourages innovation</w:t>
      </w:r>
      <w:r w:rsidR="006D7273" w:rsidRPr="00EB11D3">
        <w:rPr>
          <w:szCs w:val="24"/>
        </w:rPr>
        <w:t xml:space="preserve"> </w:t>
      </w:r>
      <w:bookmarkEnd w:id="20"/>
      <w:r w:rsidR="006D7273" w:rsidRPr="00EB11D3">
        <w:rPr>
          <w:szCs w:val="24"/>
        </w:rPr>
        <w:t>(Scherer &amp; Voegtlin, 2020)</w:t>
      </w:r>
      <w:r w:rsidR="0076027F" w:rsidRPr="00EB11D3">
        <w:rPr>
          <w:szCs w:val="24"/>
        </w:rPr>
        <w:t xml:space="preserve">. </w:t>
      </w:r>
      <w:r w:rsidR="00652578" w:rsidRPr="00EB11D3">
        <w:rPr>
          <w:szCs w:val="24"/>
        </w:rPr>
        <w:t xml:space="preserve">The results of an analysis by Kitsios and Grigoroudis (2020) </w:t>
      </w:r>
      <w:r w:rsidR="00F25DC2" w:rsidRPr="00EB11D3">
        <w:rPr>
          <w:szCs w:val="24"/>
        </w:rPr>
        <w:t>showed</w:t>
      </w:r>
      <w:r w:rsidR="00652578" w:rsidRPr="00EB11D3">
        <w:rPr>
          <w:szCs w:val="24"/>
        </w:rPr>
        <w:t xml:space="preserve"> a relationship between </w:t>
      </w:r>
      <w:r w:rsidR="0080547C" w:rsidRPr="00EB11D3">
        <w:rPr>
          <w:szCs w:val="24"/>
        </w:rPr>
        <w:t>service innovation and performance.</w:t>
      </w:r>
      <w:r w:rsidR="00652578" w:rsidRPr="00EB11D3">
        <w:rPr>
          <w:szCs w:val="24"/>
        </w:rPr>
        <w:t xml:space="preserve"> </w:t>
      </w:r>
      <w:r w:rsidRPr="00EB11D3">
        <w:rPr>
          <w:szCs w:val="24"/>
        </w:rPr>
        <w:t>Adoption of proper and timely service innovations results in improved performance</w:t>
      </w:r>
      <w:r w:rsidR="0076027F" w:rsidRPr="00EB11D3">
        <w:rPr>
          <w:szCs w:val="24"/>
        </w:rPr>
        <w:t xml:space="preserve"> </w:t>
      </w:r>
      <w:r w:rsidR="00705AEC" w:rsidRPr="00EB11D3">
        <w:rPr>
          <w:szCs w:val="24"/>
        </w:rPr>
        <w:t>(Joly et al., 2019).</w:t>
      </w:r>
      <w:r w:rsidR="00876054" w:rsidRPr="00EB11D3">
        <w:rPr>
          <w:szCs w:val="24"/>
        </w:rPr>
        <w:t xml:space="preserve"> </w:t>
      </w:r>
      <w:r w:rsidR="0060162E" w:rsidRPr="00EB11D3">
        <w:rPr>
          <w:szCs w:val="24"/>
        </w:rPr>
        <w:t xml:space="preserve">As a result of </w:t>
      </w:r>
      <w:r w:rsidRPr="00EB11D3">
        <w:rPr>
          <w:szCs w:val="24"/>
        </w:rPr>
        <w:t xml:space="preserve">the technology's exponential growth, businesses are developing new products in response to consumer demands and requests (Audretsch &amp; Belitski, 2020). Consumers' wants are changing at an exponential rate </w:t>
      </w:r>
      <w:r w:rsidR="00DB5E00" w:rsidRPr="00EB11D3">
        <w:rPr>
          <w:szCs w:val="24"/>
        </w:rPr>
        <w:t>necessitating the need for organizations to</w:t>
      </w:r>
      <w:r w:rsidRPr="00EB11D3">
        <w:rPr>
          <w:szCs w:val="24"/>
        </w:rPr>
        <w:t xml:space="preserve"> continuously seek new products with the </w:t>
      </w:r>
      <w:r w:rsidR="0080547C" w:rsidRPr="00EB11D3">
        <w:rPr>
          <w:szCs w:val="24"/>
        </w:rPr>
        <w:t xml:space="preserve">latest technological </w:t>
      </w:r>
      <w:r w:rsidRPr="00EB11D3">
        <w:rPr>
          <w:szCs w:val="24"/>
        </w:rPr>
        <w:t>advancements (Capozza &amp; Divella, 2019).</w:t>
      </w:r>
    </w:p>
    <w:p w14:paraId="0A1ED771" w14:textId="77777777" w:rsidR="008C51C1" w:rsidRPr="00EB11D3" w:rsidRDefault="00212BDF">
      <w:pPr>
        <w:widowControl w:val="0"/>
        <w:autoSpaceDE w:val="0"/>
        <w:autoSpaceDN w:val="0"/>
        <w:adjustRightInd w:val="0"/>
        <w:spacing w:line="360" w:lineRule="auto"/>
        <w:contextualSpacing/>
        <w:rPr>
          <w:szCs w:val="24"/>
        </w:rPr>
      </w:pPr>
      <w:r w:rsidRPr="00EB11D3">
        <w:rPr>
          <w:szCs w:val="24"/>
        </w:rPr>
        <w:t>Government regulations include policies, acts, standards, and rules aimed at ensuring and protecting a healthy business working environment. Some regulations are aimed at protecting both shareholder and stakeholders’ rights</w:t>
      </w:r>
      <w:r w:rsidR="00F25DC2" w:rsidRPr="00EB11D3">
        <w:rPr>
          <w:szCs w:val="24"/>
        </w:rPr>
        <w:t xml:space="preserve"> by reducing the likelihood of conflict between the shareholders and management</w:t>
      </w:r>
      <w:r w:rsidR="004B5DD6" w:rsidRPr="00EB11D3">
        <w:rPr>
          <w:szCs w:val="24"/>
        </w:rPr>
        <w:t xml:space="preserve"> (KSA's Corporate Governance Regulations, 2006). </w:t>
      </w:r>
      <w:r w:rsidRPr="00EB11D3">
        <w:rPr>
          <w:szCs w:val="24"/>
        </w:rPr>
        <w:t>Government regulations are set of mechanisms for mitigating and improving stockholders’ welfare (</w:t>
      </w:r>
      <w:r w:rsidR="008402C9" w:rsidRPr="00EB11D3">
        <w:rPr>
          <w:szCs w:val="24"/>
        </w:rPr>
        <w:t>Fernandez-Crehuet, Rosales-Salas, &amp; Avilés, 2020</w:t>
      </w:r>
      <w:r w:rsidR="006600B2" w:rsidRPr="00EB11D3">
        <w:rPr>
          <w:szCs w:val="24"/>
        </w:rPr>
        <w:t>; Bajaher, Habbash &amp; Alborr, 2022</w:t>
      </w:r>
      <w:r w:rsidRPr="00EB11D3">
        <w:rPr>
          <w:szCs w:val="24"/>
        </w:rPr>
        <w:t xml:space="preserve">). </w:t>
      </w:r>
      <w:bookmarkStart w:id="21" w:name="_Hlk123896658"/>
      <w:r w:rsidR="005944B3" w:rsidRPr="00EB11D3">
        <w:rPr>
          <w:szCs w:val="24"/>
        </w:rPr>
        <w:t xml:space="preserve">Although many regulations aim to alleviate financial constraints and eliminate corporate scandals, more research is needed to determine the impact of government regulation on organisational performance in the health care industry (Watt et al., 2019; Oleribe et al., 2019; Mousa, &amp; Othman, 2020). </w:t>
      </w:r>
      <w:r w:rsidRPr="00EB11D3">
        <w:rPr>
          <w:szCs w:val="24"/>
        </w:rPr>
        <w:t xml:space="preserve"> </w:t>
      </w:r>
      <w:bookmarkEnd w:id="21"/>
    </w:p>
    <w:p w14:paraId="5C3BB38F" w14:textId="77777777" w:rsidR="008C51C1" w:rsidRPr="00EB11D3" w:rsidRDefault="008C51C1">
      <w:pPr>
        <w:widowControl w:val="0"/>
        <w:autoSpaceDE w:val="0"/>
        <w:autoSpaceDN w:val="0"/>
        <w:adjustRightInd w:val="0"/>
        <w:spacing w:line="360" w:lineRule="auto"/>
        <w:contextualSpacing/>
        <w:rPr>
          <w:szCs w:val="24"/>
        </w:rPr>
      </w:pPr>
    </w:p>
    <w:p w14:paraId="796466E9" w14:textId="77777777" w:rsidR="00DC0D7C" w:rsidRPr="00EB11D3" w:rsidRDefault="00471FFE">
      <w:pPr>
        <w:widowControl w:val="0"/>
        <w:autoSpaceDE w:val="0"/>
        <w:autoSpaceDN w:val="0"/>
        <w:adjustRightInd w:val="0"/>
        <w:spacing w:line="360" w:lineRule="auto"/>
        <w:contextualSpacing/>
        <w:rPr>
          <w:szCs w:val="24"/>
        </w:rPr>
      </w:pPr>
      <w:r w:rsidRPr="00471FFE">
        <w:rPr>
          <w:szCs w:val="24"/>
        </w:rPr>
        <w:t xml:space="preserve">It is essential to have a comprehensive grasp of the global health concerns in order to properly comprehend the influence that corporate governance has on the functioning of health institutions via the observation of a variety of elements. </w:t>
      </w:r>
      <w:r w:rsidR="00774714" w:rsidRPr="00EB11D3">
        <w:rPr>
          <w:szCs w:val="24"/>
        </w:rPr>
        <w:t xml:space="preserve">However, the majority of faith-based hospitals have yet to implement good corporate governance. As a result, these institutions continue to be vulnerable because they rely on boards of directors who lack the appropriate skill set, experience, and competence. The purpose of this research is to ascertain the relationship between corporate governance, service innovation, government regulations and </w:t>
      </w:r>
      <w:r w:rsidR="006D5C62" w:rsidRPr="00EB11D3">
        <w:rPr>
          <w:szCs w:val="24"/>
        </w:rPr>
        <w:t>organisational performance of Faith-Based Hospitals</w:t>
      </w:r>
      <w:r w:rsidR="00774714" w:rsidRPr="00EB11D3">
        <w:rPr>
          <w:szCs w:val="24"/>
        </w:rPr>
        <w:t xml:space="preserve"> in Kenya.</w:t>
      </w:r>
      <w:r w:rsidR="00212BDF" w:rsidRPr="00EB11D3">
        <w:rPr>
          <w:szCs w:val="24"/>
        </w:rPr>
        <w:t xml:space="preserve"> </w:t>
      </w:r>
    </w:p>
    <w:p w14:paraId="1BCD036A" w14:textId="77777777" w:rsidR="00DC0D7C" w:rsidRPr="00EB11D3" w:rsidRDefault="00212BDF" w:rsidP="00AD1CB7">
      <w:pPr>
        <w:pStyle w:val="Heading3"/>
        <w:rPr>
          <w:rFonts w:eastAsia="DengXian"/>
        </w:rPr>
      </w:pPr>
      <w:bookmarkStart w:id="22" w:name="_Toc153052052"/>
      <w:bookmarkStart w:id="23" w:name="_Toc164151190"/>
      <w:bookmarkStart w:id="24" w:name="_Toc168673382"/>
      <w:bookmarkStart w:id="25" w:name="_Toc168737824"/>
      <w:bookmarkStart w:id="26" w:name="_Toc171602576"/>
      <w:bookmarkStart w:id="27" w:name="_Toc171603403"/>
      <w:bookmarkStart w:id="28" w:name="_Toc177387808"/>
      <w:bookmarkStart w:id="29" w:name="_Toc127537230"/>
      <w:bookmarkStart w:id="30" w:name="_Toc132031140"/>
      <w:bookmarkStart w:id="31" w:name="_Toc132709297"/>
      <w:bookmarkStart w:id="32" w:name="_Toc132709374"/>
      <w:bookmarkStart w:id="33" w:name="_Toc132709901"/>
      <w:bookmarkStart w:id="34" w:name="_Toc127539491"/>
      <w:bookmarkStart w:id="35" w:name="_Toc134174624"/>
      <w:bookmarkStart w:id="36" w:name="_Toc135405660"/>
      <w:bookmarkStart w:id="37" w:name="_Toc135405766"/>
      <w:bookmarkStart w:id="38" w:name="_Toc135405843"/>
      <w:bookmarkStart w:id="39" w:name="_Toc135938056"/>
      <w:bookmarkStart w:id="40" w:name="_Toc135938262"/>
      <w:bookmarkStart w:id="41" w:name="_Toc140111825"/>
      <w:r w:rsidRPr="00EB11D3">
        <w:t>1.1.1 Corporate Governance</w:t>
      </w:r>
      <w:bookmarkEnd w:id="22"/>
      <w:bookmarkEnd w:id="23"/>
      <w:bookmarkEnd w:id="24"/>
      <w:bookmarkEnd w:id="25"/>
      <w:bookmarkEnd w:id="26"/>
      <w:bookmarkEnd w:id="27"/>
      <w:bookmarkEnd w:id="28"/>
      <w:r w:rsidRPr="00EB11D3">
        <w:rPr>
          <w:rFonts w:eastAsia="DengXian"/>
        </w:rPr>
        <w:t xml:space="preserve"> </w:t>
      </w:r>
      <w:bookmarkEnd w:id="29"/>
      <w:bookmarkEnd w:id="30"/>
      <w:bookmarkEnd w:id="31"/>
      <w:bookmarkEnd w:id="32"/>
      <w:bookmarkEnd w:id="33"/>
      <w:bookmarkEnd w:id="34"/>
      <w:bookmarkEnd w:id="35"/>
      <w:bookmarkEnd w:id="36"/>
      <w:bookmarkEnd w:id="37"/>
      <w:bookmarkEnd w:id="38"/>
      <w:bookmarkEnd w:id="39"/>
      <w:bookmarkEnd w:id="40"/>
      <w:bookmarkEnd w:id="41"/>
    </w:p>
    <w:p w14:paraId="2308BC45" w14:textId="77777777" w:rsidR="00DC0D7C" w:rsidRPr="00EB11D3" w:rsidRDefault="001C2675">
      <w:pPr>
        <w:spacing w:line="360" w:lineRule="auto"/>
        <w:contextualSpacing/>
        <w:rPr>
          <w:szCs w:val="24"/>
        </w:rPr>
      </w:pPr>
      <w:r w:rsidRPr="00EB11D3">
        <w:rPr>
          <w:szCs w:val="24"/>
        </w:rPr>
        <w:t>Corporate governance entail</w:t>
      </w:r>
      <w:r w:rsidR="00DB5E00" w:rsidRPr="00EB11D3">
        <w:rPr>
          <w:szCs w:val="24"/>
        </w:rPr>
        <w:t>s</w:t>
      </w:r>
      <w:r w:rsidRPr="00EB11D3">
        <w:rPr>
          <w:szCs w:val="24"/>
        </w:rPr>
        <w:t xml:space="preserve"> </w:t>
      </w:r>
      <w:r w:rsidR="00DB5E00" w:rsidRPr="00EB11D3">
        <w:rPr>
          <w:szCs w:val="24"/>
        </w:rPr>
        <w:t xml:space="preserve">a </w:t>
      </w:r>
      <w:r w:rsidRPr="00EB11D3">
        <w:rPr>
          <w:szCs w:val="24"/>
        </w:rPr>
        <w:t xml:space="preserve">sum of principles or norms related to an </w:t>
      </w:r>
      <w:r w:rsidR="00813F2C" w:rsidRPr="00EB11D3">
        <w:rPr>
          <w:szCs w:val="24"/>
        </w:rPr>
        <w:t>organisat</w:t>
      </w:r>
      <w:r w:rsidRPr="00EB11D3">
        <w:rPr>
          <w:szCs w:val="24"/>
        </w:rPr>
        <w:t xml:space="preserve">ion's internal management that are aimed at establishing an ideal relationship between the </w:t>
      </w:r>
      <w:r w:rsidR="00544767">
        <w:rPr>
          <w:szCs w:val="24"/>
        </w:rPr>
        <w:t>organisation</w:t>
      </w:r>
      <w:r w:rsidRPr="00EB11D3">
        <w:rPr>
          <w:szCs w:val="24"/>
        </w:rPr>
        <w:t>'s administration, board, and other stakeholders while focusing on deficits in the firm's legal system and the rights of stakeholders (Buallay, &amp; Al-Ajmi, 2020</w:t>
      </w:r>
      <w:r w:rsidR="009D0656" w:rsidRPr="00EB11D3">
        <w:rPr>
          <w:szCs w:val="24"/>
        </w:rPr>
        <w:t>; Al-Taee &amp; Al-Jauhar, 2022</w:t>
      </w:r>
      <w:r w:rsidRPr="00EB11D3">
        <w:rPr>
          <w:szCs w:val="24"/>
        </w:rPr>
        <w:t>). Corporate governance can also be described as a process and structure that establishes the company's goal, means of achieving the goal, and performance monitoring systems (Buallay, &amp; Hamdan, 2019).</w:t>
      </w:r>
      <w:r w:rsidR="00170E8B" w:rsidRPr="00EB11D3">
        <w:rPr>
          <w:szCs w:val="24"/>
        </w:rPr>
        <w:t xml:space="preserve"> </w:t>
      </w:r>
      <w:r w:rsidR="00F547FD" w:rsidRPr="00EB11D3">
        <w:rPr>
          <w:szCs w:val="24"/>
        </w:rPr>
        <w:t xml:space="preserve">Corporate </w:t>
      </w:r>
      <w:r w:rsidR="00212BDF" w:rsidRPr="00EB11D3">
        <w:rPr>
          <w:szCs w:val="24"/>
        </w:rPr>
        <w:t>governance is described as the procedures and frameworks used to manage and direct businesses (</w:t>
      </w:r>
      <w:r w:rsidR="00F547FD" w:rsidRPr="00EB11D3">
        <w:rPr>
          <w:szCs w:val="24"/>
        </w:rPr>
        <w:t>Anwar, &amp; Aziz, 2019; Aureli, Del Baldo, Lombardi</w:t>
      </w:r>
      <w:r w:rsidR="00FC0092" w:rsidRPr="00EB11D3">
        <w:rPr>
          <w:szCs w:val="24"/>
        </w:rPr>
        <w:t xml:space="preserve"> </w:t>
      </w:r>
      <w:r w:rsidR="00F547FD" w:rsidRPr="00EB11D3">
        <w:rPr>
          <w:szCs w:val="24"/>
        </w:rPr>
        <w:t>&amp; Nappo, 2020</w:t>
      </w:r>
      <w:r w:rsidR="00212BDF" w:rsidRPr="00EB11D3">
        <w:rPr>
          <w:szCs w:val="24"/>
        </w:rPr>
        <w:t xml:space="preserve">). </w:t>
      </w:r>
      <w:bookmarkStart w:id="42" w:name="_Hlk155889139"/>
      <w:r w:rsidR="00170E8B" w:rsidRPr="00EB11D3">
        <w:rPr>
          <w:szCs w:val="24"/>
        </w:rPr>
        <w:t xml:space="preserve">A sound corporate governance encourages better accountability and transparency towards the company's investors, as well as providing them with the tools they need to handle shareholder grievances. Corporate governance ensures that the interests of many stakeholders are considered, hence furthering the fundamental goal of boosting </w:t>
      </w:r>
      <w:r w:rsidR="00544767">
        <w:rPr>
          <w:szCs w:val="24"/>
        </w:rPr>
        <w:t>organisation’s</w:t>
      </w:r>
      <w:r w:rsidR="00170E8B" w:rsidRPr="00EB11D3">
        <w:rPr>
          <w:szCs w:val="24"/>
        </w:rPr>
        <w:t xml:space="preserve"> performance and shareholder value </w:t>
      </w:r>
      <w:bookmarkEnd w:id="42"/>
      <w:r w:rsidR="00170E8B" w:rsidRPr="00EB11D3">
        <w:rPr>
          <w:szCs w:val="24"/>
        </w:rPr>
        <w:t>(Saygili, Saygili, &amp; Taran, 2021).</w:t>
      </w:r>
      <w:r w:rsidR="007130A6" w:rsidRPr="00EB11D3">
        <w:rPr>
          <w:szCs w:val="24"/>
        </w:rPr>
        <w:t xml:space="preserve"> </w:t>
      </w:r>
      <w:r w:rsidR="005D6627" w:rsidRPr="00EB11D3">
        <w:rPr>
          <w:rFonts w:eastAsia="Times New Roman"/>
          <w:szCs w:val="24"/>
        </w:rPr>
        <w:t xml:space="preserve">Rezeki, Pasinringi and Saleh (2020) linked the performance of hospitals to sound corporate governance. </w:t>
      </w:r>
      <w:r w:rsidR="007130A6" w:rsidRPr="00EB11D3">
        <w:rPr>
          <w:szCs w:val="24"/>
        </w:rPr>
        <w:t>Abdallah and Bahloul (2021) revealed a link between</w:t>
      </w:r>
      <w:r w:rsidR="00BC7F4C" w:rsidRPr="00EB11D3">
        <w:rPr>
          <w:szCs w:val="24"/>
        </w:rPr>
        <w:t xml:space="preserve"> financial performance and</w:t>
      </w:r>
      <w:r w:rsidR="007130A6" w:rsidRPr="00EB11D3">
        <w:rPr>
          <w:szCs w:val="24"/>
        </w:rPr>
        <w:t xml:space="preserve"> the indicators of corporate governance (</w:t>
      </w:r>
      <w:r w:rsidR="00BC7F4C" w:rsidRPr="00EB11D3">
        <w:rPr>
          <w:szCs w:val="24"/>
        </w:rPr>
        <w:t>Board of Directors, the Audit Committee, Size, Leverage and Age). Similarly, Zelalem, Ali and Wodajo (2022)</w:t>
      </w:r>
      <w:r w:rsidR="00D675E9" w:rsidRPr="00EB11D3">
        <w:rPr>
          <w:szCs w:val="24"/>
        </w:rPr>
        <w:t xml:space="preserve">, allude that </w:t>
      </w:r>
      <w:r w:rsidR="00BC7F4C" w:rsidRPr="00EB11D3">
        <w:rPr>
          <w:szCs w:val="24"/>
        </w:rPr>
        <w:t xml:space="preserve">the indicators </w:t>
      </w:r>
      <w:r w:rsidR="00994EB9" w:rsidRPr="00EB11D3">
        <w:rPr>
          <w:szCs w:val="24"/>
        </w:rPr>
        <w:t xml:space="preserve">of </w:t>
      </w:r>
      <w:r w:rsidR="00BC7F4C" w:rsidRPr="00EB11D3">
        <w:rPr>
          <w:szCs w:val="24"/>
        </w:rPr>
        <w:t>corporate governance</w:t>
      </w:r>
      <w:r w:rsidR="00633A51" w:rsidRPr="00EB11D3">
        <w:rPr>
          <w:szCs w:val="24"/>
        </w:rPr>
        <w:t xml:space="preserve"> (board size, management soundness, board remuneration, and financial disclosure) were found to influence the financial performance.</w:t>
      </w:r>
      <w:r w:rsidR="00BC7F4C" w:rsidRPr="00EB11D3">
        <w:rPr>
          <w:szCs w:val="24"/>
        </w:rPr>
        <w:t xml:space="preserve"> </w:t>
      </w:r>
    </w:p>
    <w:p w14:paraId="212B76D7" w14:textId="77777777" w:rsidR="00DC0D7C" w:rsidRPr="00EB11D3" w:rsidRDefault="00DC0D7C">
      <w:pPr>
        <w:contextualSpacing/>
        <w:rPr>
          <w:szCs w:val="24"/>
        </w:rPr>
      </w:pPr>
    </w:p>
    <w:p w14:paraId="1B7ACC6E" w14:textId="77777777" w:rsidR="00DC0D7C" w:rsidRPr="00EB11D3" w:rsidRDefault="00212BDF" w:rsidP="004537AA">
      <w:pPr>
        <w:spacing w:line="360" w:lineRule="auto"/>
        <w:contextualSpacing/>
        <w:rPr>
          <w:szCs w:val="24"/>
          <w:lang w:eastAsia="zh-CN"/>
        </w:rPr>
      </w:pPr>
      <w:r w:rsidRPr="00EB11D3">
        <w:rPr>
          <w:szCs w:val="24"/>
        </w:rPr>
        <w:t>Corporate governance can function as a tool to align the interests of stakeholders and management as owners' interests may differ from representatives' interests</w:t>
      </w:r>
      <w:r w:rsidR="00D675E9" w:rsidRPr="00EB11D3">
        <w:rPr>
          <w:szCs w:val="24"/>
        </w:rPr>
        <w:t xml:space="preserve">, the principal-agency problem that </w:t>
      </w:r>
      <w:r w:rsidR="00D675E9" w:rsidRPr="00EB11D3">
        <w:rPr>
          <w:szCs w:val="24"/>
        </w:rPr>
        <w:lastRenderedPageBreak/>
        <w:t>normally exists between the shareholders, the principals and the management, the agent enlisted to the run the organization on behalf of the owners</w:t>
      </w:r>
      <w:r w:rsidRPr="00EB11D3">
        <w:rPr>
          <w:szCs w:val="24"/>
        </w:rPr>
        <w:t>. This study adopt</w:t>
      </w:r>
      <w:r w:rsidR="00DA46A9" w:rsidRPr="00EB11D3">
        <w:rPr>
          <w:szCs w:val="24"/>
        </w:rPr>
        <w:t>ed</w:t>
      </w:r>
      <w:r w:rsidRPr="00EB11D3">
        <w:rPr>
          <w:szCs w:val="24"/>
        </w:rPr>
        <w:t xml:space="preserve"> the definition by </w:t>
      </w:r>
      <w:r w:rsidR="00503BD1" w:rsidRPr="00EB11D3">
        <w:rPr>
          <w:szCs w:val="24"/>
        </w:rPr>
        <w:t>Aureli, Del Baldo, Lombardi and Nappo (2020</w:t>
      </w:r>
      <w:r w:rsidRPr="00EB11D3">
        <w:rPr>
          <w:szCs w:val="24"/>
        </w:rPr>
        <w:t xml:space="preserve">) since it involves transparency and accountability, integrity in the mechanisms used in governance. </w:t>
      </w:r>
    </w:p>
    <w:p w14:paraId="510165E3" w14:textId="77777777" w:rsidR="00DC0D7C" w:rsidRPr="00EB11D3" w:rsidRDefault="00DC0D7C">
      <w:pPr>
        <w:spacing w:after="0" w:line="360" w:lineRule="auto"/>
        <w:rPr>
          <w:szCs w:val="24"/>
        </w:rPr>
      </w:pPr>
    </w:p>
    <w:p w14:paraId="3DAE8BB5" w14:textId="77777777" w:rsidR="00DC0D7C" w:rsidRPr="00EB11D3" w:rsidRDefault="00212BDF" w:rsidP="007F2906">
      <w:pPr>
        <w:spacing w:after="0" w:line="360" w:lineRule="auto"/>
        <w:rPr>
          <w:szCs w:val="24"/>
        </w:rPr>
      </w:pPr>
      <w:r w:rsidRPr="00EB11D3">
        <w:rPr>
          <w:szCs w:val="24"/>
        </w:rPr>
        <w:t xml:space="preserve">Corporate governance </w:t>
      </w:r>
      <w:r w:rsidR="005A42FA" w:rsidRPr="00EB11D3">
        <w:rPr>
          <w:szCs w:val="24"/>
        </w:rPr>
        <w:t>occurs</w:t>
      </w:r>
      <w:r w:rsidRPr="00EB11D3">
        <w:rPr>
          <w:szCs w:val="24"/>
        </w:rPr>
        <w:t xml:space="preserve"> as a change in one or more of dimensions: </w:t>
      </w:r>
      <w:r w:rsidR="00533F22" w:rsidRPr="00EB11D3">
        <w:rPr>
          <w:szCs w:val="24"/>
        </w:rPr>
        <w:t>Accountability- Commitment to deliver measurable results</w:t>
      </w:r>
      <w:r w:rsidR="00843240" w:rsidRPr="00EB11D3">
        <w:rPr>
          <w:szCs w:val="24"/>
        </w:rPr>
        <w:t>;</w:t>
      </w:r>
      <w:r w:rsidR="00533F22" w:rsidRPr="00EB11D3">
        <w:rPr>
          <w:szCs w:val="24"/>
        </w:rPr>
        <w:t xml:space="preserve"> Operational effectiveness – cost containment and optimal efficiency</w:t>
      </w:r>
      <w:r w:rsidR="00843240" w:rsidRPr="00EB11D3">
        <w:rPr>
          <w:szCs w:val="24"/>
        </w:rPr>
        <w:t>;</w:t>
      </w:r>
      <w:r w:rsidR="00533F22" w:rsidRPr="00EB11D3">
        <w:rPr>
          <w:szCs w:val="24"/>
        </w:rPr>
        <w:t xml:space="preserve"> Quality – development, implementation, measurement and enforcement of standards</w:t>
      </w:r>
      <w:r w:rsidR="00843240" w:rsidRPr="00EB11D3">
        <w:rPr>
          <w:szCs w:val="24"/>
        </w:rPr>
        <w:t>;</w:t>
      </w:r>
      <w:r w:rsidR="00533F22" w:rsidRPr="00EB11D3">
        <w:rPr>
          <w:szCs w:val="24"/>
        </w:rPr>
        <w:t xml:space="preserve"> effective controls – accounting and </w:t>
      </w:r>
      <w:r w:rsidR="00E83C5B" w:rsidRPr="00EB11D3">
        <w:rPr>
          <w:szCs w:val="24"/>
        </w:rPr>
        <w:t>cost monitoring with</w:t>
      </w:r>
      <w:r w:rsidR="003767C5" w:rsidRPr="00EB11D3">
        <w:rPr>
          <w:szCs w:val="24"/>
        </w:rPr>
        <w:t>in</w:t>
      </w:r>
      <w:r w:rsidR="00E83C5B" w:rsidRPr="00EB11D3">
        <w:rPr>
          <w:szCs w:val="24"/>
        </w:rPr>
        <w:t xml:space="preserve"> the </w:t>
      </w:r>
      <w:r w:rsidR="00813F2C" w:rsidRPr="00EB11D3">
        <w:rPr>
          <w:szCs w:val="24"/>
        </w:rPr>
        <w:t>organisat</w:t>
      </w:r>
      <w:r w:rsidR="00E83C5B" w:rsidRPr="00EB11D3">
        <w:rPr>
          <w:szCs w:val="24"/>
        </w:rPr>
        <w:t>ion and adherence to priorities – maint</w:t>
      </w:r>
      <w:r w:rsidR="003767C5" w:rsidRPr="00EB11D3">
        <w:rPr>
          <w:szCs w:val="24"/>
        </w:rPr>
        <w:t>ain</w:t>
      </w:r>
      <w:r w:rsidR="00E83C5B" w:rsidRPr="00EB11D3">
        <w:rPr>
          <w:szCs w:val="24"/>
        </w:rPr>
        <w:t>ing focus on corporate goals and objectives</w:t>
      </w:r>
      <w:r w:rsidRPr="00EB11D3">
        <w:rPr>
          <w:szCs w:val="24"/>
        </w:rPr>
        <w:t xml:space="preserve"> (Hanif &amp; Asgher, 2018; Pateli &amp; Lioukas, 2019)</w:t>
      </w:r>
      <w:r w:rsidR="00C03034" w:rsidRPr="00EB11D3">
        <w:rPr>
          <w:szCs w:val="24"/>
        </w:rPr>
        <w:t xml:space="preserve">. </w:t>
      </w:r>
      <w:r w:rsidR="00F83341" w:rsidRPr="00EB11D3">
        <w:rPr>
          <w:szCs w:val="24"/>
        </w:rPr>
        <w:t>In this study, c</w:t>
      </w:r>
      <w:r w:rsidR="007F2906" w:rsidRPr="00EB11D3">
        <w:rPr>
          <w:szCs w:val="24"/>
        </w:rPr>
        <w:t xml:space="preserve">orporate governance </w:t>
      </w:r>
      <w:r w:rsidR="00DA46A9" w:rsidRPr="00EB11D3">
        <w:rPr>
          <w:szCs w:val="24"/>
        </w:rPr>
        <w:t>was</w:t>
      </w:r>
      <w:r w:rsidR="007F2906" w:rsidRPr="00EB11D3">
        <w:rPr>
          <w:szCs w:val="24"/>
        </w:rPr>
        <w:t xml:space="preserve"> operationalized using</w:t>
      </w:r>
      <w:r w:rsidR="00F83341" w:rsidRPr="00EB11D3">
        <w:rPr>
          <w:szCs w:val="24"/>
        </w:rPr>
        <w:t xml:space="preserve"> the following dimensions: </w:t>
      </w:r>
      <w:r w:rsidR="007F2906" w:rsidRPr="00EB11D3">
        <w:rPr>
          <w:szCs w:val="24"/>
        </w:rPr>
        <w:t xml:space="preserve"> board composition, accountability, transparency and responsibility.</w:t>
      </w:r>
    </w:p>
    <w:p w14:paraId="6C327B37" w14:textId="77777777" w:rsidR="004537AA" w:rsidRPr="00EB11D3" w:rsidRDefault="004537AA" w:rsidP="007F2906">
      <w:pPr>
        <w:spacing w:after="0" w:line="360" w:lineRule="auto"/>
        <w:rPr>
          <w:szCs w:val="24"/>
        </w:rPr>
      </w:pPr>
    </w:p>
    <w:p w14:paraId="67ADCC5D" w14:textId="77777777" w:rsidR="00DC0D7C" w:rsidRPr="00EB11D3" w:rsidRDefault="00212BDF" w:rsidP="00AD1CB7">
      <w:pPr>
        <w:pStyle w:val="Heading3"/>
      </w:pPr>
      <w:bookmarkStart w:id="43" w:name="_Toc127537231"/>
      <w:bookmarkStart w:id="44" w:name="_Toc127539492"/>
      <w:bookmarkStart w:id="45" w:name="_Toc132031141"/>
      <w:bookmarkStart w:id="46" w:name="_Toc132709298"/>
      <w:bookmarkStart w:id="47" w:name="_Toc132709902"/>
      <w:bookmarkStart w:id="48" w:name="_Toc132709375"/>
      <w:bookmarkStart w:id="49" w:name="_Toc134174625"/>
      <w:bookmarkStart w:id="50" w:name="_Toc135405661"/>
      <w:bookmarkStart w:id="51" w:name="_Toc135405767"/>
      <w:bookmarkStart w:id="52" w:name="_Toc135405844"/>
      <w:bookmarkStart w:id="53" w:name="_Toc135938057"/>
      <w:bookmarkStart w:id="54" w:name="_Toc135938263"/>
      <w:bookmarkStart w:id="55" w:name="_Toc140111826"/>
      <w:bookmarkStart w:id="56" w:name="_Toc153052053"/>
      <w:bookmarkStart w:id="57" w:name="_Toc164151191"/>
      <w:bookmarkStart w:id="58" w:name="_Toc168673383"/>
      <w:bookmarkStart w:id="59" w:name="_Toc168737825"/>
      <w:bookmarkStart w:id="60" w:name="_Toc171602577"/>
      <w:bookmarkStart w:id="61" w:name="_Toc171603404"/>
      <w:bookmarkStart w:id="62" w:name="_Toc177387809"/>
      <w:r w:rsidRPr="00EB11D3">
        <w:t xml:space="preserve">1.1.2 </w:t>
      </w:r>
      <w:bookmarkEnd w:id="43"/>
      <w:bookmarkEnd w:id="44"/>
      <w:bookmarkEnd w:id="45"/>
      <w:r w:rsidRPr="00EB11D3">
        <w:t>Service Innovation</w:t>
      </w:r>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p w14:paraId="1185EE78" w14:textId="77777777" w:rsidR="00DC0D7C" w:rsidRPr="00EB11D3" w:rsidRDefault="00212BDF">
      <w:pPr>
        <w:shd w:val="clear" w:color="auto" w:fill="FFFFFF"/>
        <w:spacing w:after="100" w:afterAutospacing="1" w:line="360" w:lineRule="auto"/>
        <w:contextualSpacing/>
        <w:rPr>
          <w:rFonts w:eastAsia="Times New Roman"/>
          <w:szCs w:val="24"/>
        </w:rPr>
      </w:pPr>
      <w:bookmarkStart w:id="63" w:name="_Toc127537232"/>
      <w:bookmarkStart w:id="64" w:name="_Toc127539493"/>
      <w:bookmarkStart w:id="65" w:name="_Toc132031142"/>
      <w:r w:rsidRPr="00EB11D3">
        <w:rPr>
          <w:szCs w:val="24"/>
        </w:rPr>
        <w:t>Service innovation refers to the process of acquiring the required resources, (re)combining them, and creating new services (</w:t>
      </w:r>
      <w:r w:rsidR="00F70714" w:rsidRPr="00EB11D3">
        <w:rPr>
          <w:szCs w:val="24"/>
        </w:rPr>
        <w:t>Samuelsson, Witell, Gottfridsson, &amp; Elg,</w:t>
      </w:r>
      <w:r w:rsidR="007B513F" w:rsidRPr="00EB11D3">
        <w:rPr>
          <w:szCs w:val="24"/>
        </w:rPr>
        <w:t xml:space="preserve"> 2019</w:t>
      </w:r>
      <w:r w:rsidR="00F70714" w:rsidRPr="00EB11D3">
        <w:rPr>
          <w:szCs w:val="24"/>
        </w:rPr>
        <w:t>;</w:t>
      </w:r>
      <w:r w:rsidR="00F70714" w:rsidRPr="00EB11D3">
        <w:rPr>
          <w:rFonts w:eastAsia="Times New Roman"/>
          <w:szCs w:val="24"/>
        </w:rPr>
        <w:t xml:space="preserve"> </w:t>
      </w:r>
      <w:r w:rsidR="00F70714" w:rsidRPr="00EB11D3">
        <w:rPr>
          <w:szCs w:val="24"/>
        </w:rPr>
        <w:t>Kurtmollaiev, &amp; Pedersen, 2022</w:t>
      </w:r>
      <w:r w:rsidRPr="00EB11D3">
        <w:rPr>
          <w:szCs w:val="24"/>
        </w:rPr>
        <w:t>).</w:t>
      </w:r>
      <w:r w:rsidRPr="00EB11D3">
        <w:rPr>
          <w:rFonts w:eastAsia="Times New Roman"/>
          <w:szCs w:val="24"/>
        </w:rPr>
        <w:t xml:space="preserve"> </w:t>
      </w:r>
      <w:r w:rsidR="00CC6C4F" w:rsidRPr="00EB11D3">
        <w:rPr>
          <w:rFonts w:eastAsia="Times New Roman"/>
          <w:szCs w:val="24"/>
        </w:rPr>
        <w:t xml:space="preserve">Service innovation is defined as the introduction of new or improved processes, goods, or services based on new scientific or technological knowledge and/or organisational know-how (Casidy, Nyadzayo, &amp; Mohan, 2020). </w:t>
      </w:r>
      <w:r w:rsidRPr="00EB11D3">
        <w:rPr>
          <w:rFonts w:eastAsia="Times New Roman"/>
          <w:szCs w:val="24"/>
        </w:rPr>
        <w:t>The introduction of new services, incremental advancements, or modifications to current services constitute service innovation (</w:t>
      </w:r>
      <w:r w:rsidR="004774ED" w:rsidRPr="00EB11D3">
        <w:rPr>
          <w:szCs w:val="24"/>
        </w:rPr>
        <w:t>Samuelsson et al., 2019</w:t>
      </w:r>
      <w:r w:rsidRPr="00EB11D3">
        <w:rPr>
          <w:rFonts w:eastAsia="Times New Roman"/>
          <w:szCs w:val="24"/>
        </w:rPr>
        <w:t xml:space="preserve">; Martin-Rios &amp; Ciobanu, 2019; </w:t>
      </w:r>
      <w:r w:rsidRPr="00EB11D3">
        <w:rPr>
          <w:rFonts w:eastAsia="Times New Roman"/>
          <w:bCs/>
          <w:szCs w:val="24"/>
        </w:rPr>
        <w:t>Tajeddini, Martin, &amp; Altinay, 2020</w:t>
      </w:r>
      <w:r w:rsidRPr="00EB11D3">
        <w:rPr>
          <w:rFonts w:eastAsia="Times New Roman"/>
          <w:szCs w:val="24"/>
        </w:rPr>
        <w:t xml:space="preserve">). </w:t>
      </w:r>
      <w:r w:rsidR="002875C0" w:rsidRPr="00EB11D3">
        <w:rPr>
          <w:rFonts w:eastAsia="Times New Roman"/>
          <w:szCs w:val="24"/>
        </w:rPr>
        <w:t xml:space="preserve">The degree of social </w:t>
      </w:r>
      <w:r w:rsidR="00D33567" w:rsidRPr="00EB11D3">
        <w:rPr>
          <w:rFonts w:eastAsia="Times New Roman"/>
          <w:szCs w:val="24"/>
        </w:rPr>
        <w:t>practice</w:t>
      </w:r>
      <w:r w:rsidR="002875C0" w:rsidRPr="00EB11D3">
        <w:rPr>
          <w:rFonts w:eastAsia="Times New Roman"/>
          <w:szCs w:val="24"/>
        </w:rPr>
        <w:t xml:space="preserve"> change affects how service innovation is perceived in the health care industry as radical, incremental, or transformative. The majority of service innovations in healthcare settings are incremental, meaning that they make minor changes to current resource integration </w:t>
      </w:r>
      <w:r w:rsidR="008A7513" w:rsidRPr="00EB11D3">
        <w:rPr>
          <w:rFonts w:eastAsia="Times New Roman"/>
          <w:szCs w:val="24"/>
        </w:rPr>
        <w:t>practices</w:t>
      </w:r>
      <w:r w:rsidR="002875C0" w:rsidRPr="00EB11D3">
        <w:rPr>
          <w:rFonts w:eastAsia="Times New Roman"/>
          <w:szCs w:val="24"/>
        </w:rPr>
        <w:t xml:space="preserve"> rather than drastically modifying them or fully replacing them (</w:t>
      </w:r>
      <w:r w:rsidR="00D33567" w:rsidRPr="00EB11D3">
        <w:rPr>
          <w:rFonts w:eastAsia="Times New Roman"/>
          <w:bCs/>
          <w:szCs w:val="24"/>
        </w:rPr>
        <w:t>Gustafsson et al., 2020</w:t>
      </w:r>
      <w:r w:rsidR="002875C0" w:rsidRPr="00EB11D3">
        <w:rPr>
          <w:rFonts w:eastAsia="Times New Roman"/>
          <w:szCs w:val="24"/>
        </w:rPr>
        <w:t>).</w:t>
      </w:r>
    </w:p>
    <w:p w14:paraId="5A1A2D89" w14:textId="77777777" w:rsidR="00580FDF" w:rsidRPr="00EB11D3" w:rsidRDefault="00580FDF" w:rsidP="00414A6F">
      <w:pPr>
        <w:shd w:val="clear" w:color="auto" w:fill="FFFFFF"/>
        <w:spacing w:after="100" w:afterAutospacing="1" w:line="360" w:lineRule="auto"/>
        <w:contextualSpacing/>
        <w:rPr>
          <w:rFonts w:eastAsia="Times New Roman"/>
          <w:szCs w:val="24"/>
        </w:rPr>
      </w:pPr>
    </w:p>
    <w:p w14:paraId="3951C699" w14:textId="77777777" w:rsidR="000A77F0" w:rsidRPr="00EB11D3" w:rsidRDefault="004D178E" w:rsidP="00414A6F">
      <w:pPr>
        <w:shd w:val="clear" w:color="auto" w:fill="FFFFFF"/>
        <w:spacing w:after="100" w:afterAutospacing="1" w:line="360" w:lineRule="auto"/>
        <w:contextualSpacing/>
        <w:rPr>
          <w:rFonts w:eastAsia="Times New Roman"/>
          <w:bCs/>
          <w:szCs w:val="24"/>
        </w:rPr>
      </w:pPr>
      <w:r w:rsidRPr="00EB11D3">
        <w:rPr>
          <w:rFonts w:eastAsia="Times New Roman"/>
          <w:szCs w:val="24"/>
        </w:rPr>
        <w:t>Guarcello and de Vargas (2020) found a relationship between service innovation and performance in the health care industry.</w:t>
      </w:r>
      <w:r w:rsidR="0085394E" w:rsidRPr="00EB11D3">
        <w:rPr>
          <w:rFonts w:eastAsia="Times New Roman"/>
          <w:szCs w:val="24"/>
        </w:rPr>
        <w:t xml:space="preserve"> </w:t>
      </w:r>
      <w:r w:rsidR="00B96E96" w:rsidRPr="00EB11D3">
        <w:rPr>
          <w:rFonts w:eastAsia="Times New Roman"/>
          <w:szCs w:val="24"/>
        </w:rPr>
        <w:t xml:space="preserve">Similarly, Leedham-Green, Knight and Reedy (2021) study revealed a relationship between service innovation </w:t>
      </w:r>
      <w:r w:rsidR="003C5844" w:rsidRPr="00EB11D3">
        <w:rPr>
          <w:rFonts w:eastAsia="Times New Roman"/>
          <w:szCs w:val="24"/>
        </w:rPr>
        <w:t xml:space="preserve">indicators (expansion and value creation) </w:t>
      </w:r>
      <w:r w:rsidR="00B96E96" w:rsidRPr="00EB11D3">
        <w:rPr>
          <w:rFonts w:eastAsia="Times New Roman"/>
          <w:szCs w:val="24"/>
        </w:rPr>
        <w:t>and the performance of hospital projects.</w:t>
      </w:r>
      <w:r w:rsidR="00414A6F" w:rsidRPr="00EB11D3">
        <w:rPr>
          <w:rFonts w:eastAsia="Times New Roman"/>
          <w:szCs w:val="24"/>
        </w:rPr>
        <w:t xml:space="preserve"> </w:t>
      </w:r>
      <w:r w:rsidR="00A40B2F" w:rsidRPr="00EB11D3">
        <w:rPr>
          <w:rFonts w:eastAsia="Times New Roman"/>
          <w:bCs/>
          <w:szCs w:val="24"/>
        </w:rPr>
        <w:t xml:space="preserve">Client interface, where the service meets the client, service delivery systems </w:t>
      </w:r>
      <w:r w:rsidR="003F1E55" w:rsidRPr="00EB11D3">
        <w:rPr>
          <w:rFonts w:eastAsia="Times New Roman"/>
          <w:bCs/>
          <w:szCs w:val="24"/>
        </w:rPr>
        <w:t>-</w:t>
      </w:r>
      <w:r w:rsidR="00A40B2F" w:rsidRPr="00EB11D3">
        <w:rPr>
          <w:rFonts w:eastAsia="Times New Roman"/>
          <w:bCs/>
          <w:szCs w:val="24"/>
        </w:rPr>
        <w:t xml:space="preserve"> processes, people, </w:t>
      </w:r>
      <w:r w:rsidR="00813F2C" w:rsidRPr="00EB11D3">
        <w:rPr>
          <w:rFonts w:eastAsia="Times New Roman"/>
          <w:bCs/>
          <w:szCs w:val="24"/>
        </w:rPr>
        <w:t>organisat</w:t>
      </w:r>
      <w:r w:rsidR="00A40B2F" w:rsidRPr="00EB11D3">
        <w:rPr>
          <w:rFonts w:eastAsia="Times New Roman"/>
          <w:bCs/>
          <w:szCs w:val="24"/>
        </w:rPr>
        <w:t xml:space="preserve">ion, and technology alternatives </w:t>
      </w:r>
      <w:r w:rsidR="003F1E55" w:rsidRPr="00EB11D3">
        <w:rPr>
          <w:rFonts w:eastAsia="Times New Roman"/>
          <w:bCs/>
          <w:szCs w:val="24"/>
        </w:rPr>
        <w:t>-</w:t>
      </w:r>
      <w:r w:rsidR="00A40B2F" w:rsidRPr="00EB11D3">
        <w:rPr>
          <w:rFonts w:eastAsia="Times New Roman"/>
          <w:bCs/>
          <w:szCs w:val="24"/>
        </w:rPr>
        <w:t xml:space="preserve">are the four areas </w:t>
      </w:r>
      <w:r w:rsidR="00A40B2F" w:rsidRPr="00EB11D3">
        <w:rPr>
          <w:rFonts w:eastAsia="Times New Roman"/>
          <w:bCs/>
          <w:szCs w:val="24"/>
        </w:rPr>
        <w:lastRenderedPageBreak/>
        <w:t xml:space="preserve">where service innovation can occur. </w:t>
      </w:r>
      <w:r w:rsidR="0065251F" w:rsidRPr="00EB11D3">
        <w:rPr>
          <w:rFonts w:eastAsia="Times New Roman"/>
          <w:bCs/>
          <w:szCs w:val="24"/>
        </w:rPr>
        <w:t xml:space="preserve">Additionally, </w:t>
      </w:r>
      <w:r w:rsidR="00E3105D" w:rsidRPr="00EB11D3">
        <w:rPr>
          <w:rFonts w:eastAsia="Times New Roman"/>
          <w:bCs/>
          <w:szCs w:val="24"/>
        </w:rPr>
        <w:t>Samuelsson (2021) study indicated a nexus between service innovation and performance in healthcare</w:t>
      </w:r>
    </w:p>
    <w:p w14:paraId="113CAFA8" w14:textId="77777777" w:rsidR="0065251F" w:rsidRPr="00EB11D3" w:rsidRDefault="0065251F" w:rsidP="009670B7">
      <w:pPr>
        <w:spacing w:line="360" w:lineRule="auto"/>
        <w:contextualSpacing/>
        <w:rPr>
          <w:rFonts w:eastAsia="Times New Roman"/>
          <w:bCs/>
          <w:szCs w:val="24"/>
        </w:rPr>
      </w:pPr>
    </w:p>
    <w:p w14:paraId="602B6BDD" w14:textId="77777777" w:rsidR="00B528AC" w:rsidRPr="00EB11D3" w:rsidRDefault="002602B1" w:rsidP="009670B7">
      <w:pPr>
        <w:spacing w:line="360" w:lineRule="auto"/>
        <w:contextualSpacing/>
        <w:rPr>
          <w:rFonts w:eastAsia="Times New Roman"/>
          <w:bCs/>
          <w:szCs w:val="24"/>
        </w:rPr>
      </w:pPr>
      <w:r w:rsidRPr="00EB11D3">
        <w:rPr>
          <w:rFonts w:eastAsia="Times New Roman"/>
          <w:bCs/>
          <w:szCs w:val="24"/>
        </w:rPr>
        <w:t xml:space="preserve">Some studies </w:t>
      </w:r>
      <w:r w:rsidR="00121718" w:rsidRPr="00EB11D3">
        <w:rPr>
          <w:rFonts w:eastAsia="Times New Roman"/>
          <w:bCs/>
          <w:szCs w:val="24"/>
        </w:rPr>
        <w:t>have conceptualized service innovation</w:t>
      </w:r>
      <w:r w:rsidR="00414A6F" w:rsidRPr="00EB11D3">
        <w:rPr>
          <w:rFonts w:eastAsia="Times New Roman"/>
          <w:bCs/>
          <w:szCs w:val="24"/>
        </w:rPr>
        <w:t xml:space="preserve"> as a mediating variable</w:t>
      </w:r>
      <w:r w:rsidR="00D92708" w:rsidRPr="00EB11D3">
        <w:rPr>
          <w:rFonts w:eastAsia="Times New Roman"/>
          <w:bCs/>
          <w:szCs w:val="24"/>
        </w:rPr>
        <w:t>, f</w:t>
      </w:r>
      <w:r w:rsidR="00414A6F" w:rsidRPr="00EB11D3">
        <w:rPr>
          <w:rFonts w:eastAsia="Times New Roman"/>
          <w:bCs/>
          <w:szCs w:val="24"/>
        </w:rPr>
        <w:t>or instance, a</w:t>
      </w:r>
      <w:r w:rsidR="00861F66" w:rsidRPr="00EB11D3">
        <w:rPr>
          <w:rFonts w:eastAsia="Times New Roman"/>
          <w:bCs/>
          <w:szCs w:val="24"/>
        </w:rPr>
        <w:t xml:space="preserve"> study by </w:t>
      </w:r>
      <w:r w:rsidR="00212BDF" w:rsidRPr="00EB11D3">
        <w:rPr>
          <w:rFonts w:eastAsia="Times New Roman"/>
          <w:bCs/>
          <w:szCs w:val="24"/>
        </w:rPr>
        <w:t>Kankam-Kwarteng, Asante-Gyabaah and Ferkah (2022</w:t>
      </w:r>
      <w:r w:rsidR="00924DAA" w:rsidRPr="00EB11D3">
        <w:rPr>
          <w:rFonts w:eastAsia="Times New Roman"/>
          <w:bCs/>
          <w:szCs w:val="24"/>
        </w:rPr>
        <w:t xml:space="preserve">) indicated a mediating role of service innovations indicators (new services, new production processes, new marketing techniques, and new organizational or managerial structures) on the relationship between knowledge management on organizational outcomes. </w:t>
      </w:r>
      <w:r w:rsidR="009670B7" w:rsidRPr="00EB11D3">
        <w:rPr>
          <w:rFonts w:eastAsia="Times New Roman"/>
          <w:bCs/>
          <w:szCs w:val="24"/>
        </w:rPr>
        <w:t xml:space="preserve">The dimensions of service innovation manifest as new services, new production methods, new marketing strategies, and new </w:t>
      </w:r>
      <w:r w:rsidR="00813F2C" w:rsidRPr="00EB11D3">
        <w:rPr>
          <w:rFonts w:eastAsia="Times New Roman"/>
          <w:bCs/>
          <w:szCs w:val="24"/>
        </w:rPr>
        <w:t>organisat</w:t>
      </w:r>
      <w:r w:rsidR="009670B7" w:rsidRPr="00EB11D3">
        <w:rPr>
          <w:rFonts w:eastAsia="Times New Roman"/>
          <w:bCs/>
          <w:szCs w:val="24"/>
        </w:rPr>
        <w:t>ional or administrative structures</w:t>
      </w:r>
      <w:r w:rsidR="00B268CF" w:rsidRPr="00EB11D3">
        <w:rPr>
          <w:rFonts w:eastAsia="Times New Roman"/>
          <w:bCs/>
          <w:szCs w:val="24"/>
        </w:rPr>
        <w:t xml:space="preserve"> (Casidy et al., 2020)</w:t>
      </w:r>
      <w:r w:rsidR="009670B7" w:rsidRPr="00EB11D3">
        <w:rPr>
          <w:rFonts w:eastAsia="Times New Roman"/>
          <w:bCs/>
          <w:szCs w:val="24"/>
        </w:rPr>
        <w:t xml:space="preserve">. </w:t>
      </w:r>
      <w:r w:rsidR="00F6658D" w:rsidRPr="00EB11D3">
        <w:rPr>
          <w:rFonts w:eastAsia="Times New Roman"/>
          <w:bCs/>
          <w:szCs w:val="24"/>
        </w:rPr>
        <w:t xml:space="preserve">Healthcare service innovation </w:t>
      </w:r>
      <w:r w:rsidR="00E3105D" w:rsidRPr="00EB11D3">
        <w:rPr>
          <w:rFonts w:eastAsia="Times New Roman"/>
          <w:bCs/>
          <w:szCs w:val="24"/>
        </w:rPr>
        <w:t xml:space="preserve">has been linked to performance using parameters like outcomes, development processes, and social practices </w:t>
      </w:r>
      <w:r w:rsidR="007804CB" w:rsidRPr="00EB11D3">
        <w:rPr>
          <w:rFonts w:eastAsia="Times New Roman"/>
          <w:bCs/>
          <w:szCs w:val="24"/>
        </w:rPr>
        <w:t>(Gustafsson et al., 2020)</w:t>
      </w:r>
      <w:r w:rsidR="00CF7766" w:rsidRPr="00EB11D3">
        <w:rPr>
          <w:rFonts w:eastAsia="Times New Roman"/>
          <w:bCs/>
          <w:szCs w:val="24"/>
        </w:rPr>
        <w:t xml:space="preserve">. </w:t>
      </w:r>
      <w:r w:rsidR="00E917F2" w:rsidRPr="00EB11D3">
        <w:rPr>
          <w:rFonts w:eastAsia="Times New Roman"/>
          <w:bCs/>
          <w:szCs w:val="24"/>
        </w:rPr>
        <w:t xml:space="preserve">Nevertheless, most research is conceptual or descriptive in nature, and often only presents case studies as examples, lacking empirical </w:t>
      </w:r>
      <w:r w:rsidR="00D92708" w:rsidRPr="00EB11D3">
        <w:rPr>
          <w:rFonts w:eastAsia="Times New Roman"/>
          <w:bCs/>
          <w:szCs w:val="24"/>
        </w:rPr>
        <w:t xml:space="preserve">cross-sectional </w:t>
      </w:r>
      <w:r w:rsidR="00E917F2" w:rsidRPr="00EB11D3">
        <w:rPr>
          <w:rFonts w:eastAsia="Times New Roman"/>
          <w:bCs/>
          <w:szCs w:val="24"/>
        </w:rPr>
        <w:t>evidence</w:t>
      </w:r>
      <w:r w:rsidR="00D92708" w:rsidRPr="00EB11D3">
        <w:rPr>
          <w:rFonts w:eastAsia="Times New Roman"/>
          <w:bCs/>
          <w:szCs w:val="24"/>
        </w:rPr>
        <w:t xml:space="preserve"> </w:t>
      </w:r>
      <w:r w:rsidR="00B528AC" w:rsidRPr="00EB11D3">
        <w:rPr>
          <w:rFonts w:eastAsia="Times New Roman"/>
          <w:bCs/>
          <w:szCs w:val="24"/>
        </w:rPr>
        <w:t xml:space="preserve">which is </w:t>
      </w:r>
      <w:r w:rsidR="00D92708" w:rsidRPr="00EB11D3">
        <w:rPr>
          <w:rFonts w:eastAsia="Times New Roman"/>
          <w:bCs/>
          <w:szCs w:val="24"/>
        </w:rPr>
        <w:t xml:space="preserve">a prerequisite for inference of the findings to the </w:t>
      </w:r>
      <w:r w:rsidR="00B528AC" w:rsidRPr="00EB11D3">
        <w:rPr>
          <w:rFonts w:eastAsia="Times New Roman"/>
          <w:bCs/>
          <w:szCs w:val="24"/>
        </w:rPr>
        <w:t>sector. This gap therefore necessitates</w:t>
      </w:r>
      <w:r w:rsidR="009A1EEB" w:rsidRPr="00EB11D3">
        <w:rPr>
          <w:rFonts w:eastAsia="Times New Roman"/>
          <w:bCs/>
          <w:szCs w:val="24"/>
        </w:rPr>
        <w:t xml:space="preserve"> </w:t>
      </w:r>
      <w:r w:rsidR="00E917F2" w:rsidRPr="00EB11D3">
        <w:rPr>
          <w:rFonts w:eastAsia="Times New Roman"/>
          <w:bCs/>
          <w:szCs w:val="24"/>
        </w:rPr>
        <w:t>this study.</w:t>
      </w:r>
      <w:r w:rsidR="0001196C" w:rsidRPr="00EB11D3">
        <w:rPr>
          <w:rFonts w:eastAsia="Times New Roman"/>
          <w:bCs/>
          <w:szCs w:val="24"/>
        </w:rPr>
        <w:t xml:space="preserve"> </w:t>
      </w:r>
    </w:p>
    <w:p w14:paraId="7CD5E116" w14:textId="77777777" w:rsidR="00B528AC" w:rsidRPr="00EB11D3" w:rsidRDefault="00B528AC" w:rsidP="009670B7">
      <w:pPr>
        <w:spacing w:line="360" w:lineRule="auto"/>
        <w:contextualSpacing/>
        <w:rPr>
          <w:rFonts w:eastAsia="Times New Roman"/>
          <w:bCs/>
          <w:szCs w:val="24"/>
        </w:rPr>
      </w:pPr>
    </w:p>
    <w:p w14:paraId="34290719" w14:textId="77777777" w:rsidR="00DC0D7C" w:rsidRPr="00EB11D3" w:rsidRDefault="0001196C" w:rsidP="009670B7">
      <w:pPr>
        <w:spacing w:line="360" w:lineRule="auto"/>
        <w:contextualSpacing/>
        <w:rPr>
          <w:rFonts w:eastAsia="Times New Roman"/>
          <w:bCs/>
          <w:szCs w:val="24"/>
        </w:rPr>
      </w:pPr>
      <w:r w:rsidRPr="00EB11D3">
        <w:rPr>
          <w:rFonts w:eastAsia="Times New Roman"/>
          <w:bCs/>
          <w:szCs w:val="24"/>
        </w:rPr>
        <w:t>Service innovation has been conceptualized using parameters such as diversification of services, technological integration,</w:t>
      </w:r>
      <w:r w:rsidRPr="00EB11D3">
        <w:t xml:space="preserve"> </w:t>
      </w:r>
      <w:r w:rsidRPr="00EB11D3">
        <w:rPr>
          <w:rFonts w:eastAsia="Times New Roman"/>
          <w:bCs/>
          <w:szCs w:val="24"/>
        </w:rPr>
        <w:t>process improvement, and customer-centric services (Mahavarpour, Marvi, &amp; Foroudi, 2023; Samuelsson, 2023)</w:t>
      </w:r>
      <w:r w:rsidR="006D76CD" w:rsidRPr="00EB11D3">
        <w:rPr>
          <w:rFonts w:eastAsia="Times New Roman"/>
          <w:bCs/>
          <w:szCs w:val="24"/>
        </w:rPr>
        <w:t xml:space="preserve">. The definition by Samuelsson et al. (2019) </w:t>
      </w:r>
      <w:r w:rsidR="00DA46A9" w:rsidRPr="00EB11D3">
        <w:rPr>
          <w:rFonts w:eastAsia="Times New Roman"/>
          <w:bCs/>
          <w:szCs w:val="24"/>
        </w:rPr>
        <w:t>was</w:t>
      </w:r>
      <w:r w:rsidR="006D76CD" w:rsidRPr="00EB11D3">
        <w:rPr>
          <w:rFonts w:eastAsia="Times New Roman"/>
          <w:bCs/>
          <w:szCs w:val="24"/>
        </w:rPr>
        <w:t xml:space="preserve"> used since </w:t>
      </w:r>
      <w:r w:rsidR="00B528AC" w:rsidRPr="00EB11D3">
        <w:rPr>
          <w:rFonts w:eastAsia="Times New Roman"/>
          <w:bCs/>
          <w:szCs w:val="24"/>
        </w:rPr>
        <w:t xml:space="preserve">it encapsulates </w:t>
      </w:r>
      <w:r w:rsidR="006D76CD" w:rsidRPr="00EB11D3">
        <w:rPr>
          <w:rFonts w:eastAsia="Times New Roman"/>
          <w:bCs/>
          <w:szCs w:val="24"/>
        </w:rPr>
        <w:t xml:space="preserve">the processes of resource acquisition, (re)combining them and introduction of new services.  </w:t>
      </w:r>
      <w:r w:rsidR="008A7513" w:rsidRPr="00EB11D3">
        <w:rPr>
          <w:rFonts w:eastAsia="Times New Roman"/>
          <w:bCs/>
          <w:szCs w:val="24"/>
        </w:rPr>
        <w:t xml:space="preserve">Service innovation </w:t>
      </w:r>
      <w:r w:rsidR="00DA46A9" w:rsidRPr="00EB11D3">
        <w:rPr>
          <w:rFonts w:eastAsia="Times New Roman"/>
          <w:bCs/>
          <w:szCs w:val="24"/>
        </w:rPr>
        <w:t>was</w:t>
      </w:r>
      <w:r w:rsidR="008A7513" w:rsidRPr="00EB11D3">
        <w:rPr>
          <w:rFonts w:eastAsia="Times New Roman"/>
          <w:bCs/>
          <w:szCs w:val="24"/>
        </w:rPr>
        <w:t xml:space="preserve"> conceptualized in this study using; Diversification of services, Technological integration,</w:t>
      </w:r>
      <w:r w:rsidR="008A7513" w:rsidRPr="00EB11D3">
        <w:t xml:space="preserve"> </w:t>
      </w:r>
      <w:r w:rsidR="008A7513" w:rsidRPr="00EB11D3">
        <w:rPr>
          <w:rFonts w:eastAsia="Times New Roman"/>
          <w:bCs/>
          <w:szCs w:val="24"/>
        </w:rPr>
        <w:t xml:space="preserve">Process improvement, </w:t>
      </w:r>
      <w:r w:rsidR="007D3A53" w:rsidRPr="00EB11D3">
        <w:rPr>
          <w:rFonts w:eastAsia="Times New Roman"/>
          <w:bCs/>
          <w:szCs w:val="24"/>
        </w:rPr>
        <w:t xml:space="preserve">and </w:t>
      </w:r>
      <w:r w:rsidR="008A7513" w:rsidRPr="00EB11D3">
        <w:rPr>
          <w:rFonts w:eastAsia="Times New Roman"/>
          <w:bCs/>
          <w:szCs w:val="24"/>
        </w:rPr>
        <w:t>Customer-</w:t>
      </w:r>
      <w:r w:rsidR="00E3531E" w:rsidRPr="00EB11D3">
        <w:rPr>
          <w:rFonts w:eastAsia="Times New Roman"/>
          <w:bCs/>
          <w:szCs w:val="24"/>
        </w:rPr>
        <w:t>c</w:t>
      </w:r>
      <w:r w:rsidR="008A7513" w:rsidRPr="00EB11D3">
        <w:rPr>
          <w:rFonts w:eastAsia="Times New Roman"/>
          <w:bCs/>
          <w:szCs w:val="24"/>
        </w:rPr>
        <w:t>entric services</w:t>
      </w:r>
      <w:r w:rsidR="00CE6D17" w:rsidRPr="00EB11D3">
        <w:rPr>
          <w:rFonts w:eastAsia="Times New Roman"/>
          <w:bCs/>
          <w:szCs w:val="24"/>
        </w:rPr>
        <w:t>.</w:t>
      </w:r>
    </w:p>
    <w:p w14:paraId="25021889" w14:textId="77777777" w:rsidR="00DC0D7C" w:rsidRPr="00EB11D3" w:rsidRDefault="00212BDF" w:rsidP="00AD1CB7">
      <w:pPr>
        <w:pStyle w:val="Heading3"/>
      </w:pPr>
      <w:bookmarkStart w:id="66" w:name="_Toc132709299"/>
      <w:bookmarkStart w:id="67" w:name="_Toc132709903"/>
      <w:bookmarkStart w:id="68" w:name="_Toc132709376"/>
      <w:bookmarkStart w:id="69" w:name="_Toc134174626"/>
      <w:bookmarkStart w:id="70" w:name="_Toc135405662"/>
      <w:bookmarkStart w:id="71" w:name="_Toc135405768"/>
      <w:bookmarkStart w:id="72" w:name="_Toc135405845"/>
      <w:bookmarkStart w:id="73" w:name="_Toc135938058"/>
      <w:bookmarkStart w:id="74" w:name="_Toc135938264"/>
      <w:bookmarkStart w:id="75" w:name="_Toc140111827"/>
      <w:bookmarkStart w:id="76" w:name="_Toc153052054"/>
      <w:bookmarkStart w:id="77" w:name="_Toc164151192"/>
      <w:bookmarkStart w:id="78" w:name="_Toc168673384"/>
      <w:bookmarkStart w:id="79" w:name="_Toc168737826"/>
      <w:bookmarkStart w:id="80" w:name="_Toc171602578"/>
      <w:bookmarkStart w:id="81" w:name="_Toc171603405"/>
      <w:bookmarkStart w:id="82" w:name="_Toc177387810"/>
      <w:r w:rsidRPr="00EB11D3">
        <w:t xml:space="preserve">1.1.3 </w:t>
      </w:r>
      <w:bookmarkEnd w:id="63"/>
      <w:bookmarkEnd w:id="64"/>
      <w:bookmarkEnd w:id="65"/>
      <w:r w:rsidRPr="00EB11D3">
        <w:t>Government Regulations</w:t>
      </w:r>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p>
    <w:p w14:paraId="5C73FA10" w14:textId="77777777" w:rsidR="00CD4D32" w:rsidRPr="00EB11D3" w:rsidRDefault="00212BDF">
      <w:pPr>
        <w:widowControl w:val="0"/>
        <w:autoSpaceDE w:val="0"/>
        <w:autoSpaceDN w:val="0"/>
        <w:adjustRightInd w:val="0"/>
        <w:spacing w:line="360" w:lineRule="auto"/>
        <w:contextualSpacing/>
        <w:rPr>
          <w:szCs w:val="24"/>
        </w:rPr>
      </w:pPr>
      <w:r w:rsidRPr="00EB11D3">
        <w:rPr>
          <w:szCs w:val="24"/>
        </w:rPr>
        <w:t xml:space="preserve">Government regulation refers to the legal system, which includes the government's enforceable, laws, policies and regulations with which every institution and person must abide (Ali, &amp; Osmanaj, 2020). Government regulations </w:t>
      </w:r>
      <w:r w:rsidR="00BE0068" w:rsidRPr="00EB11D3">
        <w:rPr>
          <w:szCs w:val="24"/>
        </w:rPr>
        <w:t xml:space="preserve">include </w:t>
      </w:r>
      <w:r w:rsidRPr="00EB11D3">
        <w:rPr>
          <w:szCs w:val="24"/>
        </w:rPr>
        <w:t xml:space="preserve">laws, principles, and standards that direct economic activity and are typically upheld by enforcing violations with fines and other sanctions (Assbeihat, 2016). </w:t>
      </w:r>
      <w:r w:rsidR="00506205" w:rsidRPr="00EB11D3">
        <w:rPr>
          <w:szCs w:val="24"/>
        </w:rPr>
        <w:t xml:space="preserve">Government regulations </w:t>
      </w:r>
      <w:r w:rsidR="00BE0068" w:rsidRPr="00EB11D3">
        <w:rPr>
          <w:szCs w:val="24"/>
        </w:rPr>
        <w:t xml:space="preserve">also include </w:t>
      </w:r>
      <w:r w:rsidR="00506205" w:rsidRPr="00EB11D3">
        <w:rPr>
          <w:szCs w:val="24"/>
        </w:rPr>
        <w:t>sets of policies that govern the use of relevant information and procedures in order to provide criteria such as integrity, accountability, availability, and confidentiality while ensuring the security and privacy of all parties involved (Yimam &amp; Fernandez, 2016; Mohammed et al., 2016).</w:t>
      </w:r>
      <w:r w:rsidR="00EC09B2">
        <w:rPr>
          <w:szCs w:val="24"/>
        </w:rPr>
        <w:t xml:space="preserve"> </w:t>
      </w:r>
      <w:r w:rsidR="00CD4D32" w:rsidRPr="00EB11D3">
        <w:rPr>
          <w:szCs w:val="24"/>
        </w:rPr>
        <w:t xml:space="preserve">Government regulations is seen as set laws, principles, and standards governing an institution (Assbeihat, 2016). Scholars such as Kariuki and </w:t>
      </w:r>
      <w:r w:rsidR="00CD4D32" w:rsidRPr="00EB11D3">
        <w:rPr>
          <w:szCs w:val="24"/>
        </w:rPr>
        <w:lastRenderedPageBreak/>
        <w:t xml:space="preserve">Kariuki (2019) and Muturi (2019) used dimensions such as physical planning system, efficient legal system, monetary policy, risk assessment, control environment, communication, and monitoring of activities to operationalise government regulations as a moderating variable. </w:t>
      </w:r>
    </w:p>
    <w:p w14:paraId="684D1DCA" w14:textId="77777777" w:rsidR="00DC0D7C" w:rsidRPr="00EB11D3" w:rsidRDefault="00DC0D7C">
      <w:pPr>
        <w:widowControl w:val="0"/>
        <w:autoSpaceDE w:val="0"/>
        <w:autoSpaceDN w:val="0"/>
        <w:adjustRightInd w:val="0"/>
        <w:spacing w:line="360" w:lineRule="auto"/>
        <w:contextualSpacing/>
        <w:rPr>
          <w:szCs w:val="24"/>
        </w:rPr>
      </w:pPr>
    </w:p>
    <w:p w14:paraId="717CB063" w14:textId="77777777" w:rsidR="00AF2FBE" w:rsidRDefault="00212BDF" w:rsidP="009670B7">
      <w:pPr>
        <w:spacing w:after="0" w:line="360" w:lineRule="auto"/>
        <w:rPr>
          <w:szCs w:val="24"/>
        </w:rPr>
      </w:pPr>
      <w:r w:rsidRPr="00EB11D3">
        <w:rPr>
          <w:szCs w:val="24"/>
        </w:rPr>
        <w:t>Government regulation play a key role in the healthcare industry. Healthcare regulations are necessary to ensure compliance, provide safe health care to health care seekers (</w:t>
      </w:r>
      <w:r w:rsidR="00162E7C" w:rsidRPr="00EB11D3">
        <w:rPr>
          <w:szCs w:val="24"/>
        </w:rPr>
        <w:t>Mbindyo et al., 2020</w:t>
      </w:r>
      <w:r w:rsidRPr="00EB11D3">
        <w:rPr>
          <w:szCs w:val="24"/>
        </w:rPr>
        <w:t xml:space="preserve">). The government regulations help in promoting ethical practices through the regulatory agencies, in monitoring </w:t>
      </w:r>
      <w:r w:rsidR="003767C5" w:rsidRPr="00EB11D3">
        <w:rPr>
          <w:szCs w:val="24"/>
        </w:rPr>
        <w:t xml:space="preserve">health </w:t>
      </w:r>
      <w:r w:rsidRPr="00EB11D3">
        <w:rPr>
          <w:szCs w:val="24"/>
        </w:rPr>
        <w:t xml:space="preserve">practitioners and </w:t>
      </w:r>
      <w:r w:rsidR="007B0CEF" w:rsidRPr="00EB11D3">
        <w:rPr>
          <w:szCs w:val="24"/>
        </w:rPr>
        <w:t>providers</w:t>
      </w:r>
      <w:r w:rsidRPr="00EB11D3">
        <w:rPr>
          <w:szCs w:val="24"/>
        </w:rPr>
        <w:t xml:space="preserve">, providing information about industry new phenomenon, promoting safety and ensure legal compliance and quality </w:t>
      </w:r>
      <w:r w:rsidR="003767C5" w:rsidRPr="00EB11D3">
        <w:rPr>
          <w:szCs w:val="24"/>
        </w:rPr>
        <w:t xml:space="preserve">standards </w:t>
      </w:r>
      <w:r w:rsidRPr="00EB11D3">
        <w:rPr>
          <w:szCs w:val="24"/>
        </w:rPr>
        <w:t>(</w:t>
      </w:r>
      <w:r w:rsidR="00162E7C" w:rsidRPr="00EB11D3">
        <w:rPr>
          <w:szCs w:val="24"/>
        </w:rPr>
        <w:t>Mbindyo et al., 2020</w:t>
      </w:r>
      <w:r w:rsidR="00BA1F70" w:rsidRPr="00EB11D3">
        <w:rPr>
          <w:szCs w:val="24"/>
        </w:rPr>
        <w:t>)</w:t>
      </w:r>
      <w:r w:rsidRPr="00EB11D3">
        <w:rPr>
          <w:szCs w:val="24"/>
        </w:rPr>
        <w:t xml:space="preserve">.  </w:t>
      </w:r>
      <w:r w:rsidR="009670B7" w:rsidRPr="00EB11D3">
        <w:rPr>
          <w:szCs w:val="24"/>
        </w:rPr>
        <w:t xml:space="preserve">The Health Act </w:t>
      </w:r>
      <w:r w:rsidR="00962417">
        <w:rPr>
          <w:szCs w:val="24"/>
        </w:rPr>
        <w:t xml:space="preserve">Report </w:t>
      </w:r>
      <w:r w:rsidR="009670B7" w:rsidRPr="00EB11D3">
        <w:rPr>
          <w:szCs w:val="24"/>
        </w:rPr>
        <w:t xml:space="preserve">of 2017 established a single, integrated health system, </w:t>
      </w:r>
      <w:r w:rsidR="003767C5" w:rsidRPr="00EB11D3">
        <w:rPr>
          <w:szCs w:val="24"/>
        </w:rPr>
        <w:t>coordinating</w:t>
      </w:r>
      <w:r w:rsidR="005D04F1" w:rsidRPr="00EB11D3">
        <w:rPr>
          <w:szCs w:val="24"/>
        </w:rPr>
        <w:t xml:space="preserve"> </w:t>
      </w:r>
      <w:r w:rsidR="009670B7" w:rsidRPr="00EB11D3">
        <w:rPr>
          <w:szCs w:val="24"/>
        </w:rPr>
        <w:t>the relationships between the national and county governments' health systems, and provided for the regulation of health care services, providers of health services, health products, and health technologies, among other things</w:t>
      </w:r>
      <w:r w:rsidR="004537AA" w:rsidRPr="00EB11D3">
        <w:rPr>
          <w:szCs w:val="24"/>
        </w:rPr>
        <w:t xml:space="preserve"> (</w:t>
      </w:r>
      <w:r w:rsidR="000D3576" w:rsidRPr="00EB11D3">
        <w:rPr>
          <w:szCs w:val="24"/>
        </w:rPr>
        <w:t>The Health Act</w:t>
      </w:r>
      <w:r w:rsidR="00962417">
        <w:rPr>
          <w:szCs w:val="24"/>
        </w:rPr>
        <w:t xml:space="preserve"> Report</w:t>
      </w:r>
      <w:r w:rsidR="000D3576" w:rsidRPr="00EB11D3">
        <w:rPr>
          <w:szCs w:val="24"/>
        </w:rPr>
        <w:t>, 2017</w:t>
      </w:r>
      <w:r w:rsidR="004537AA" w:rsidRPr="00EB11D3">
        <w:rPr>
          <w:szCs w:val="24"/>
        </w:rPr>
        <w:t>)</w:t>
      </w:r>
      <w:r w:rsidR="009670B7" w:rsidRPr="00EB11D3">
        <w:rPr>
          <w:szCs w:val="24"/>
        </w:rPr>
        <w:t xml:space="preserve">. The government has implemented numerous policies and regulatory </w:t>
      </w:r>
      <w:r w:rsidR="00813F2C" w:rsidRPr="00EB11D3">
        <w:rPr>
          <w:szCs w:val="24"/>
        </w:rPr>
        <w:t>organisat</w:t>
      </w:r>
      <w:r w:rsidR="009670B7" w:rsidRPr="00EB11D3">
        <w:rPr>
          <w:szCs w:val="24"/>
        </w:rPr>
        <w:t xml:space="preserve">ions to operationalize the Health Act </w:t>
      </w:r>
      <w:r w:rsidR="00962417">
        <w:rPr>
          <w:szCs w:val="24"/>
        </w:rPr>
        <w:t xml:space="preserve">Report </w:t>
      </w:r>
      <w:r w:rsidR="009670B7" w:rsidRPr="00EB11D3">
        <w:rPr>
          <w:szCs w:val="24"/>
        </w:rPr>
        <w:t xml:space="preserve">of 2017 in order to effectively manage the health </w:t>
      </w:r>
      <w:r w:rsidR="00D34165" w:rsidRPr="00EB11D3">
        <w:rPr>
          <w:szCs w:val="24"/>
        </w:rPr>
        <w:t>sector</w:t>
      </w:r>
      <w:r w:rsidR="009670B7" w:rsidRPr="00EB11D3">
        <w:rPr>
          <w:szCs w:val="24"/>
        </w:rPr>
        <w:t xml:space="preserve">.  </w:t>
      </w:r>
      <w:r w:rsidR="00C008C7" w:rsidRPr="00EB11D3">
        <w:rPr>
          <w:szCs w:val="24"/>
        </w:rPr>
        <w:t xml:space="preserve">This Act acknowledges the function of health regulatory agencies established by written law and to differentiate the national government's policy-making role from the regulatory responsibility of these authorities. </w:t>
      </w:r>
    </w:p>
    <w:p w14:paraId="5787B648" w14:textId="77777777" w:rsidR="00DC0D7C" w:rsidRPr="00EB11D3" w:rsidRDefault="009670B7">
      <w:pPr>
        <w:spacing w:after="0" w:line="360" w:lineRule="auto"/>
        <w:rPr>
          <w:szCs w:val="24"/>
          <w:shd w:val="clear" w:color="auto" w:fill="FFFFFF"/>
        </w:rPr>
      </w:pPr>
      <w:r w:rsidRPr="00EB11D3">
        <w:rPr>
          <w:szCs w:val="24"/>
        </w:rPr>
        <w:t>The regulatory agencies maintain a safe working environment for healthcare professionals, safeguard the health and welfare of the public, and safeguard healthcare consumers from health risks (</w:t>
      </w:r>
      <w:r w:rsidR="002E716A" w:rsidRPr="00EB11D3">
        <w:rPr>
          <w:szCs w:val="24"/>
        </w:rPr>
        <w:t>The Health Act</w:t>
      </w:r>
      <w:r w:rsidR="00962417">
        <w:rPr>
          <w:szCs w:val="24"/>
        </w:rPr>
        <w:t xml:space="preserve"> Report</w:t>
      </w:r>
      <w:r w:rsidR="002E716A" w:rsidRPr="00EB11D3">
        <w:rPr>
          <w:szCs w:val="24"/>
        </w:rPr>
        <w:t>, 2017</w:t>
      </w:r>
      <w:r w:rsidRPr="00EB11D3">
        <w:rPr>
          <w:szCs w:val="24"/>
        </w:rPr>
        <w:t>).</w:t>
      </w:r>
      <w:r w:rsidR="00AF2FBE">
        <w:rPr>
          <w:szCs w:val="24"/>
        </w:rPr>
        <w:t xml:space="preserve"> </w:t>
      </w:r>
      <w:r w:rsidR="00212BDF" w:rsidRPr="00EB11D3">
        <w:rPr>
          <w:szCs w:val="24"/>
        </w:rPr>
        <w:t>On quality health care services, the Government of Kenya exercises its powers through regulatory bodies (</w:t>
      </w:r>
      <w:r w:rsidR="00903B40" w:rsidRPr="00EB11D3">
        <w:rPr>
          <w:szCs w:val="24"/>
        </w:rPr>
        <w:t>The Health Act</w:t>
      </w:r>
      <w:r w:rsidR="00962417">
        <w:rPr>
          <w:szCs w:val="24"/>
        </w:rPr>
        <w:t xml:space="preserve"> Report</w:t>
      </w:r>
      <w:r w:rsidR="00903B40" w:rsidRPr="00EB11D3">
        <w:rPr>
          <w:szCs w:val="24"/>
        </w:rPr>
        <w:t>, 2017</w:t>
      </w:r>
      <w:r w:rsidR="00212BDF" w:rsidRPr="00EB11D3">
        <w:rPr>
          <w:szCs w:val="24"/>
        </w:rPr>
        <w:t>). Health regulatory bodies in Kenya are expected to work in coordination with each other</w:t>
      </w:r>
      <w:r w:rsidR="004537AA" w:rsidRPr="00EB11D3">
        <w:rPr>
          <w:szCs w:val="24"/>
        </w:rPr>
        <w:t xml:space="preserve"> </w:t>
      </w:r>
      <w:r w:rsidR="002D0206" w:rsidRPr="00EB11D3">
        <w:rPr>
          <w:szCs w:val="24"/>
        </w:rPr>
        <w:t xml:space="preserve">such as </w:t>
      </w:r>
      <w:r w:rsidR="00212BDF" w:rsidRPr="00EB11D3">
        <w:rPr>
          <w:szCs w:val="24"/>
        </w:rPr>
        <w:t xml:space="preserve">Professional Health Regulatory Bodies, Service Health Regulatory Bodies and </w:t>
      </w:r>
      <w:r w:rsidR="00813F2C" w:rsidRPr="00EB11D3">
        <w:rPr>
          <w:szCs w:val="24"/>
        </w:rPr>
        <w:t>Organisat</w:t>
      </w:r>
      <w:r w:rsidR="00212BDF" w:rsidRPr="00EB11D3">
        <w:rPr>
          <w:szCs w:val="24"/>
        </w:rPr>
        <w:t>ions with regulatory influence in Kenya.</w:t>
      </w:r>
      <w:r w:rsidR="002602B1" w:rsidRPr="00EB11D3">
        <w:rPr>
          <w:szCs w:val="24"/>
        </w:rPr>
        <w:t xml:space="preserve"> </w:t>
      </w:r>
      <w:r w:rsidR="00280C07" w:rsidRPr="00EB11D3">
        <w:rPr>
          <w:szCs w:val="24"/>
        </w:rPr>
        <w:t>Government regulation has been conceptualized as a moderating variable by researchers like Kariuki and Kariuki (2019)</w:t>
      </w:r>
      <w:r w:rsidR="00CA2E33" w:rsidRPr="00EB11D3">
        <w:rPr>
          <w:szCs w:val="24"/>
        </w:rPr>
        <w:t>; Hussain, Ahmad, and Visvizi (2022)</w:t>
      </w:r>
      <w:r w:rsidR="002602B1" w:rsidRPr="00EB11D3">
        <w:rPr>
          <w:szCs w:val="24"/>
        </w:rPr>
        <w:t>.</w:t>
      </w:r>
      <w:r w:rsidR="00212BDF" w:rsidRPr="00EB11D3">
        <w:rPr>
          <w:szCs w:val="24"/>
        </w:rPr>
        <w:t xml:space="preserve"> In this study government regulations</w:t>
      </w:r>
      <w:r w:rsidR="00212BDF" w:rsidRPr="00EB11D3">
        <w:rPr>
          <w:szCs w:val="24"/>
          <w:shd w:val="clear" w:color="auto" w:fill="FFFFFF"/>
        </w:rPr>
        <w:t xml:space="preserve"> </w:t>
      </w:r>
      <w:r w:rsidR="00DA46A9" w:rsidRPr="00EB11D3">
        <w:rPr>
          <w:szCs w:val="24"/>
          <w:shd w:val="clear" w:color="auto" w:fill="FFFFFF"/>
        </w:rPr>
        <w:t>was</w:t>
      </w:r>
      <w:r w:rsidR="00212BDF" w:rsidRPr="00EB11D3">
        <w:rPr>
          <w:szCs w:val="24"/>
          <w:shd w:val="clear" w:color="auto" w:fill="FFFFFF"/>
        </w:rPr>
        <w:t xml:space="preserve"> operationalised using </w:t>
      </w:r>
      <w:r w:rsidR="007F2906" w:rsidRPr="00EB11D3">
        <w:rPr>
          <w:szCs w:val="24"/>
          <w:shd w:val="clear" w:color="auto" w:fill="FFFFFF"/>
        </w:rPr>
        <w:t xml:space="preserve">Law </w:t>
      </w:r>
      <w:r w:rsidR="004E07F9" w:rsidRPr="00EB11D3">
        <w:rPr>
          <w:szCs w:val="24"/>
          <w:shd w:val="clear" w:color="auto" w:fill="FFFFFF"/>
        </w:rPr>
        <w:t>&amp;</w:t>
      </w:r>
      <w:r w:rsidR="007F2906" w:rsidRPr="00EB11D3">
        <w:rPr>
          <w:szCs w:val="24"/>
          <w:shd w:val="clear" w:color="auto" w:fill="FFFFFF"/>
        </w:rPr>
        <w:t xml:space="preserve"> Regulations, Professional Ethics and Professional Standards</w:t>
      </w:r>
      <w:r w:rsidR="00212BDF" w:rsidRPr="00EB11D3">
        <w:rPr>
          <w:szCs w:val="24"/>
          <w:shd w:val="clear" w:color="auto" w:fill="FFFFFF"/>
        </w:rPr>
        <w:t>.</w:t>
      </w:r>
    </w:p>
    <w:p w14:paraId="0C68CCCA" w14:textId="77777777" w:rsidR="004537AA" w:rsidRPr="00EB11D3" w:rsidRDefault="004537AA">
      <w:pPr>
        <w:spacing w:after="0" w:line="360" w:lineRule="auto"/>
        <w:rPr>
          <w:szCs w:val="24"/>
          <w:shd w:val="clear" w:color="auto" w:fill="FFFFFF"/>
        </w:rPr>
      </w:pPr>
    </w:p>
    <w:p w14:paraId="2B8512B0" w14:textId="77777777" w:rsidR="00DC0D7C" w:rsidRPr="00EB11D3" w:rsidRDefault="00212BDF" w:rsidP="00AD1CB7">
      <w:pPr>
        <w:pStyle w:val="Heading3"/>
      </w:pPr>
      <w:bookmarkStart w:id="83" w:name="_Toc134174627"/>
      <w:bookmarkStart w:id="84" w:name="_Toc135405663"/>
      <w:bookmarkStart w:id="85" w:name="_Toc135405769"/>
      <w:bookmarkStart w:id="86" w:name="_Toc135405846"/>
      <w:bookmarkStart w:id="87" w:name="_Toc135938059"/>
      <w:bookmarkStart w:id="88" w:name="_Toc135938265"/>
      <w:bookmarkStart w:id="89" w:name="_Toc140111828"/>
      <w:bookmarkStart w:id="90" w:name="_Toc153052055"/>
      <w:bookmarkStart w:id="91" w:name="_Toc164151193"/>
      <w:bookmarkStart w:id="92" w:name="_Toc168673385"/>
      <w:bookmarkStart w:id="93" w:name="_Toc168737827"/>
      <w:bookmarkStart w:id="94" w:name="_Toc171602579"/>
      <w:bookmarkStart w:id="95" w:name="_Toc171603406"/>
      <w:bookmarkStart w:id="96" w:name="_Toc177387811"/>
      <w:bookmarkStart w:id="97" w:name="_Toc132709300"/>
      <w:bookmarkStart w:id="98" w:name="_Toc132709377"/>
      <w:bookmarkStart w:id="99" w:name="_Toc132709904"/>
      <w:r w:rsidRPr="00EB11D3">
        <w:t>1.1.4 Organisational Performance</w:t>
      </w:r>
      <w:bookmarkEnd w:id="83"/>
      <w:bookmarkEnd w:id="84"/>
      <w:bookmarkEnd w:id="85"/>
      <w:bookmarkEnd w:id="86"/>
      <w:bookmarkEnd w:id="87"/>
      <w:bookmarkEnd w:id="88"/>
      <w:bookmarkEnd w:id="89"/>
      <w:bookmarkEnd w:id="90"/>
      <w:bookmarkEnd w:id="91"/>
      <w:bookmarkEnd w:id="92"/>
      <w:bookmarkEnd w:id="93"/>
      <w:bookmarkEnd w:id="94"/>
      <w:bookmarkEnd w:id="95"/>
      <w:bookmarkEnd w:id="96"/>
      <w:r w:rsidRPr="00EB11D3">
        <w:t xml:space="preserve"> </w:t>
      </w:r>
      <w:bookmarkEnd w:id="97"/>
      <w:bookmarkEnd w:id="98"/>
      <w:bookmarkEnd w:id="99"/>
    </w:p>
    <w:p w14:paraId="2B2AB159" w14:textId="77777777" w:rsidR="00DC0D7C" w:rsidRPr="00EB11D3" w:rsidRDefault="00212BDF">
      <w:pPr>
        <w:spacing w:after="0" w:line="360" w:lineRule="auto"/>
        <w:contextualSpacing/>
        <w:rPr>
          <w:szCs w:val="24"/>
          <w:lang w:eastAsia="zh-CN"/>
        </w:rPr>
      </w:pPr>
      <w:r w:rsidRPr="00EB11D3">
        <w:rPr>
          <w:szCs w:val="24"/>
        </w:rPr>
        <w:t xml:space="preserve">Organisational performance refers to accomplishment of given tasks measured against set standards taking into consideration accuracy cost and </w:t>
      </w:r>
      <w:r w:rsidR="00CC46B1" w:rsidRPr="00EB11D3">
        <w:rPr>
          <w:szCs w:val="24"/>
        </w:rPr>
        <w:t xml:space="preserve">planned time frame </w:t>
      </w:r>
      <w:r w:rsidRPr="00EB11D3">
        <w:rPr>
          <w:szCs w:val="24"/>
        </w:rPr>
        <w:t xml:space="preserve">of accomplishment (Palaniappan, 2017). Organisational performance </w:t>
      </w:r>
      <w:r w:rsidR="00BE0068" w:rsidRPr="00EB11D3">
        <w:rPr>
          <w:szCs w:val="24"/>
        </w:rPr>
        <w:t>is the</w:t>
      </w:r>
      <w:r w:rsidRPr="00EB11D3">
        <w:rPr>
          <w:szCs w:val="24"/>
        </w:rPr>
        <w:t xml:space="preserve"> ultimate goal of all </w:t>
      </w:r>
      <w:r w:rsidR="00813F2C" w:rsidRPr="00EB11D3">
        <w:rPr>
          <w:szCs w:val="24"/>
        </w:rPr>
        <w:t>organisat</w:t>
      </w:r>
      <w:r w:rsidRPr="00EB11D3">
        <w:rPr>
          <w:szCs w:val="24"/>
        </w:rPr>
        <w:t xml:space="preserve">ions (Karisa </w:t>
      </w:r>
      <w:r w:rsidRPr="00EB11D3">
        <w:rPr>
          <w:szCs w:val="24"/>
        </w:rPr>
        <w:lastRenderedPageBreak/>
        <w:t xml:space="preserve">&amp; Wainaina, 2020). Organisational performance </w:t>
      </w:r>
      <w:r w:rsidR="00BE0068" w:rsidRPr="00EB11D3">
        <w:rPr>
          <w:szCs w:val="24"/>
        </w:rPr>
        <w:t>comprises</w:t>
      </w:r>
      <w:r w:rsidRPr="00EB11D3">
        <w:rPr>
          <w:szCs w:val="24"/>
        </w:rPr>
        <w:t xml:space="preserve"> both profit and non-profits achievement by an organisation over a period of time (Adam &amp;Kamase, 2019). Organisational performance is measured in terms of results that is output or outcomes competitiveness, financial performance or measure</w:t>
      </w:r>
      <w:r w:rsidR="002D0206" w:rsidRPr="00EB11D3">
        <w:rPr>
          <w:szCs w:val="24"/>
        </w:rPr>
        <w:t>s</w:t>
      </w:r>
      <w:r w:rsidRPr="00EB11D3">
        <w:rPr>
          <w:szCs w:val="24"/>
        </w:rPr>
        <w:t xml:space="preserve"> in terms of determinants of the results that is quality, flexibility, innovations and resource utilization of process and activities (Adam &amp;Kamase, 2019). </w:t>
      </w:r>
    </w:p>
    <w:p w14:paraId="1FE25AC8" w14:textId="77777777" w:rsidR="00DC0D7C" w:rsidRPr="00EB11D3" w:rsidRDefault="00DC0D7C">
      <w:pPr>
        <w:spacing w:after="0" w:line="360" w:lineRule="auto"/>
        <w:contextualSpacing/>
        <w:rPr>
          <w:szCs w:val="24"/>
          <w:lang w:eastAsia="zh-CN"/>
        </w:rPr>
      </w:pPr>
    </w:p>
    <w:p w14:paraId="49C16E04" w14:textId="77777777" w:rsidR="00DC0D7C" w:rsidRPr="00EB11D3" w:rsidRDefault="00910CD0" w:rsidP="00137CBE">
      <w:pPr>
        <w:spacing w:line="360" w:lineRule="auto"/>
        <w:rPr>
          <w:szCs w:val="24"/>
        </w:rPr>
      </w:pPr>
      <w:r w:rsidRPr="00EB11D3">
        <w:rPr>
          <w:szCs w:val="24"/>
        </w:rPr>
        <w:t xml:space="preserve">There are two types of organisational performance: financial and non-financial. To evaluate an </w:t>
      </w:r>
      <w:r w:rsidR="00813F2C" w:rsidRPr="00EB11D3">
        <w:rPr>
          <w:szCs w:val="24"/>
        </w:rPr>
        <w:t>organisat</w:t>
      </w:r>
      <w:r w:rsidRPr="00EB11D3">
        <w:rPr>
          <w:szCs w:val="24"/>
        </w:rPr>
        <w:t xml:space="preserve">ion's success, financial and non-financial perspectives are commonly employed (Eccles, Ioannou, &amp; Serafeim, 2014). Financial performance is considered as a clear indicator of a company's financial health from a variety of perspectives (Cegarra-Navarro et al., 2016). </w:t>
      </w:r>
      <w:r w:rsidR="00212BDF" w:rsidRPr="00EB11D3">
        <w:rPr>
          <w:szCs w:val="24"/>
        </w:rPr>
        <w:t xml:space="preserve">Non-financial performance measurements comprise elements that enhance </w:t>
      </w:r>
      <w:r w:rsidR="00813F2C" w:rsidRPr="00EB11D3">
        <w:rPr>
          <w:szCs w:val="24"/>
        </w:rPr>
        <w:t>organisat</w:t>
      </w:r>
      <w:r w:rsidR="00212BDF" w:rsidRPr="00EB11D3">
        <w:rPr>
          <w:szCs w:val="24"/>
        </w:rPr>
        <w:t xml:space="preserve">ional and financial performance with a focus on long-term success. These non-financial metrics include </w:t>
      </w:r>
      <w:r w:rsidR="00813F2C" w:rsidRPr="00EB11D3">
        <w:rPr>
          <w:szCs w:val="24"/>
        </w:rPr>
        <w:t>organisat</w:t>
      </w:r>
      <w:r w:rsidR="00212BDF" w:rsidRPr="00EB11D3">
        <w:rPr>
          <w:szCs w:val="24"/>
        </w:rPr>
        <w:t>ional commitment, employee satisfaction, internal business process efficiency, and consumer satisfaction (</w:t>
      </w:r>
      <w:r w:rsidR="00B12EFA" w:rsidRPr="00EB11D3">
        <w:rPr>
          <w:szCs w:val="24"/>
        </w:rPr>
        <w:t>Adam</w:t>
      </w:r>
      <w:r w:rsidR="00212BDF" w:rsidRPr="00EB11D3">
        <w:rPr>
          <w:szCs w:val="24"/>
        </w:rPr>
        <w:t>, 201</w:t>
      </w:r>
      <w:r w:rsidR="00B12EFA" w:rsidRPr="00EB11D3">
        <w:rPr>
          <w:szCs w:val="24"/>
        </w:rPr>
        <w:t>9</w:t>
      </w:r>
      <w:r w:rsidR="00212BDF" w:rsidRPr="00EB11D3">
        <w:rPr>
          <w:szCs w:val="24"/>
        </w:rPr>
        <w:t xml:space="preserve">). </w:t>
      </w:r>
      <w:r w:rsidR="007E41E1" w:rsidRPr="00EB11D3">
        <w:rPr>
          <w:szCs w:val="24"/>
        </w:rPr>
        <w:t>Additionally, non-financial metrics comprise of Effectiveness and Productivity (Elgazzar, Tipi, &amp; Jones, 2019).</w:t>
      </w:r>
      <w:r w:rsidR="0001196C" w:rsidRPr="00EB11D3">
        <w:rPr>
          <w:szCs w:val="24"/>
        </w:rPr>
        <w:t xml:space="preserve"> </w:t>
      </w:r>
      <w:r w:rsidR="00212BDF" w:rsidRPr="00EB11D3">
        <w:rPr>
          <w:szCs w:val="24"/>
        </w:rPr>
        <w:t>This study focu</w:t>
      </w:r>
      <w:r w:rsidR="00DA46A9" w:rsidRPr="00EB11D3">
        <w:rPr>
          <w:szCs w:val="24"/>
        </w:rPr>
        <w:t>sed</w:t>
      </w:r>
      <w:r w:rsidR="00212BDF" w:rsidRPr="00EB11D3">
        <w:rPr>
          <w:szCs w:val="24"/>
        </w:rPr>
        <w:t xml:space="preserve"> on non-financial parameters of organisational performance. In this study organisational performance </w:t>
      </w:r>
      <w:r w:rsidR="004A0818" w:rsidRPr="00EB11D3">
        <w:rPr>
          <w:szCs w:val="24"/>
        </w:rPr>
        <w:t>was</w:t>
      </w:r>
      <w:r w:rsidR="00212BDF" w:rsidRPr="00EB11D3">
        <w:rPr>
          <w:szCs w:val="24"/>
        </w:rPr>
        <w:t xml:space="preserve"> operationalised using; </w:t>
      </w:r>
      <w:r w:rsidR="00CC46B1" w:rsidRPr="00EB11D3">
        <w:rPr>
          <w:szCs w:val="24"/>
        </w:rPr>
        <w:t>Internal Business</w:t>
      </w:r>
      <w:r w:rsidR="003845AF" w:rsidRPr="00EB11D3">
        <w:rPr>
          <w:szCs w:val="24"/>
        </w:rPr>
        <w:t xml:space="preserve"> process</w:t>
      </w:r>
      <w:r w:rsidR="00CC46B1" w:rsidRPr="00EB11D3">
        <w:rPr>
          <w:szCs w:val="24"/>
        </w:rPr>
        <w:t xml:space="preserve"> </w:t>
      </w:r>
      <w:r w:rsidR="00212BDF" w:rsidRPr="00EB11D3">
        <w:rPr>
          <w:szCs w:val="24"/>
        </w:rPr>
        <w:t xml:space="preserve">efficiency, </w:t>
      </w:r>
      <w:r w:rsidR="00137CBE" w:rsidRPr="00EB11D3">
        <w:rPr>
          <w:szCs w:val="24"/>
        </w:rPr>
        <w:t>Customer satisfaction, Eff</w:t>
      </w:r>
      <w:r w:rsidR="006D6AF8" w:rsidRPr="00EB11D3">
        <w:rPr>
          <w:szCs w:val="24"/>
        </w:rPr>
        <w:t>ectivene</w:t>
      </w:r>
      <w:r w:rsidR="00F35F17" w:rsidRPr="00EB11D3">
        <w:rPr>
          <w:szCs w:val="24"/>
        </w:rPr>
        <w:t xml:space="preserve">ss and </w:t>
      </w:r>
      <w:r w:rsidR="00137CBE" w:rsidRPr="00EB11D3">
        <w:rPr>
          <w:szCs w:val="24"/>
        </w:rPr>
        <w:t>Productivity.</w:t>
      </w:r>
    </w:p>
    <w:p w14:paraId="1CA6749C" w14:textId="77777777" w:rsidR="00DC0D7C" w:rsidRPr="00EB11D3" w:rsidRDefault="00212BDF" w:rsidP="00AD1CB7">
      <w:pPr>
        <w:pStyle w:val="Heading3"/>
      </w:pPr>
      <w:bookmarkStart w:id="100" w:name="_Toc132709378"/>
      <w:bookmarkStart w:id="101" w:name="_Toc132709301"/>
      <w:bookmarkStart w:id="102" w:name="_Toc132709905"/>
      <w:bookmarkStart w:id="103" w:name="_Toc134174628"/>
      <w:bookmarkStart w:id="104" w:name="_Toc135405664"/>
      <w:bookmarkStart w:id="105" w:name="_Toc135405770"/>
      <w:bookmarkStart w:id="106" w:name="_Toc135405847"/>
      <w:bookmarkStart w:id="107" w:name="_Toc135938060"/>
      <w:bookmarkStart w:id="108" w:name="_Toc135938266"/>
      <w:bookmarkStart w:id="109" w:name="_Toc140111829"/>
      <w:bookmarkStart w:id="110" w:name="_Toc153052056"/>
      <w:bookmarkStart w:id="111" w:name="_Toc164151194"/>
      <w:bookmarkStart w:id="112" w:name="_Toc168673386"/>
      <w:bookmarkStart w:id="113" w:name="_Toc168737828"/>
      <w:bookmarkStart w:id="114" w:name="_Toc171602580"/>
      <w:bookmarkStart w:id="115" w:name="_Toc171603407"/>
      <w:bookmarkStart w:id="116" w:name="_Toc177387812"/>
      <w:r w:rsidRPr="00EB11D3">
        <w:t>1.1.5 Faith-Based Hospitals in Kenya</w:t>
      </w:r>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p>
    <w:p w14:paraId="38D44064" w14:textId="77777777" w:rsidR="00BF7C29" w:rsidRPr="00EB11D3" w:rsidRDefault="00212BDF" w:rsidP="00136F7F">
      <w:pPr>
        <w:spacing w:line="360" w:lineRule="auto"/>
        <w:contextualSpacing/>
        <w:rPr>
          <w:szCs w:val="24"/>
        </w:rPr>
      </w:pPr>
      <w:r w:rsidRPr="00EB11D3">
        <w:rPr>
          <w:szCs w:val="24"/>
        </w:rPr>
        <w:t xml:space="preserve">Faith-based hospitals are institutions established, managed, and </w:t>
      </w:r>
      <w:r w:rsidR="004900E5" w:rsidRPr="00EB11D3">
        <w:rPr>
          <w:szCs w:val="24"/>
        </w:rPr>
        <w:t xml:space="preserve">governed </w:t>
      </w:r>
      <w:r w:rsidRPr="00EB11D3">
        <w:rPr>
          <w:szCs w:val="24"/>
        </w:rPr>
        <w:t>by religious institutions mainly the church</w:t>
      </w:r>
      <w:r w:rsidR="002F2936" w:rsidRPr="00EB11D3">
        <w:rPr>
          <w:szCs w:val="24"/>
        </w:rPr>
        <w:t xml:space="preserve"> (Nondo, 2018)</w:t>
      </w:r>
      <w:r w:rsidRPr="00EB11D3">
        <w:rPr>
          <w:szCs w:val="24"/>
        </w:rPr>
        <w:t>. Faith-based Hospitals have been operating in Africa since the 1900s; their work leaned towards emergency healthcare (Christian Health Association of Kenya, 2016). This</w:t>
      </w:r>
      <w:r w:rsidR="003845AF" w:rsidRPr="00EB11D3">
        <w:rPr>
          <w:szCs w:val="24"/>
        </w:rPr>
        <w:t xml:space="preserve"> mandate has</w:t>
      </w:r>
      <w:r w:rsidRPr="00EB11D3">
        <w:rPr>
          <w:szCs w:val="24"/>
        </w:rPr>
        <w:t xml:space="preserve"> evolved to include both preventive and curative health care services. Despite improvement</w:t>
      </w:r>
      <w:r w:rsidR="0014460A" w:rsidRPr="00EB11D3">
        <w:rPr>
          <w:szCs w:val="24"/>
        </w:rPr>
        <w:t xml:space="preserve"> and growth in health care space</w:t>
      </w:r>
      <w:r w:rsidR="00F52F86" w:rsidRPr="00EB11D3">
        <w:rPr>
          <w:szCs w:val="24"/>
        </w:rPr>
        <w:t>,</w:t>
      </w:r>
      <w:r w:rsidR="0014460A" w:rsidRPr="00EB11D3">
        <w:rPr>
          <w:szCs w:val="24"/>
        </w:rPr>
        <w:t xml:space="preserve"> both</w:t>
      </w:r>
      <w:r w:rsidRPr="00EB11D3">
        <w:rPr>
          <w:szCs w:val="24"/>
        </w:rPr>
        <w:t xml:space="preserve"> public and private hospitals</w:t>
      </w:r>
      <w:r w:rsidR="0014460A" w:rsidRPr="00EB11D3">
        <w:rPr>
          <w:szCs w:val="24"/>
        </w:rPr>
        <w:t xml:space="preserve"> </w:t>
      </w:r>
      <w:r w:rsidR="00F52F86" w:rsidRPr="00EB11D3">
        <w:rPr>
          <w:szCs w:val="24"/>
        </w:rPr>
        <w:t>are challenged</w:t>
      </w:r>
      <w:r w:rsidRPr="00EB11D3">
        <w:rPr>
          <w:szCs w:val="24"/>
        </w:rPr>
        <w:t xml:space="preserve"> </w:t>
      </w:r>
      <w:r w:rsidR="00F52F86" w:rsidRPr="00EB11D3">
        <w:rPr>
          <w:szCs w:val="24"/>
        </w:rPr>
        <w:t xml:space="preserve">by </w:t>
      </w:r>
      <w:r w:rsidRPr="00EB11D3">
        <w:rPr>
          <w:szCs w:val="24"/>
        </w:rPr>
        <w:t>the continuously expanding patient populations in terms of fundamental healthcare services (</w:t>
      </w:r>
      <w:r w:rsidR="00DD612A" w:rsidRPr="00EB11D3">
        <w:rPr>
          <w:szCs w:val="24"/>
        </w:rPr>
        <w:t>Christian Health Association of Kenya, 2016</w:t>
      </w:r>
      <w:r w:rsidRPr="00EB11D3">
        <w:rPr>
          <w:szCs w:val="24"/>
        </w:rPr>
        <w:t xml:space="preserve">). </w:t>
      </w:r>
      <w:r w:rsidR="0038019E" w:rsidRPr="00EB11D3">
        <w:rPr>
          <w:szCs w:val="24"/>
        </w:rPr>
        <w:t>Faith-based</w:t>
      </w:r>
      <w:r w:rsidR="00DD612A" w:rsidRPr="00EB11D3">
        <w:rPr>
          <w:szCs w:val="24"/>
        </w:rPr>
        <w:t xml:space="preserve"> hospitals have</w:t>
      </w:r>
      <w:r w:rsidRPr="00EB11D3">
        <w:rPr>
          <w:szCs w:val="24"/>
        </w:rPr>
        <w:t xml:space="preserve"> </w:t>
      </w:r>
      <w:r w:rsidR="00312639" w:rsidRPr="00EB11D3">
        <w:rPr>
          <w:szCs w:val="24"/>
        </w:rPr>
        <w:t>become</w:t>
      </w:r>
      <w:r w:rsidRPr="00EB11D3">
        <w:rPr>
          <w:szCs w:val="24"/>
        </w:rPr>
        <w:t xml:space="preserve"> an indispensable force in the provision of quality healthcare services </w:t>
      </w:r>
      <w:r w:rsidR="00122C67" w:rsidRPr="00EB11D3">
        <w:rPr>
          <w:szCs w:val="24"/>
        </w:rPr>
        <w:t xml:space="preserve">in Kenya and beyond </w:t>
      </w:r>
      <w:r w:rsidRPr="00EB11D3">
        <w:rPr>
          <w:szCs w:val="24"/>
        </w:rPr>
        <w:t>(</w:t>
      </w:r>
      <w:r w:rsidR="00122C67" w:rsidRPr="00EB11D3">
        <w:rPr>
          <w:szCs w:val="24"/>
        </w:rPr>
        <w:t>Christian Health Association of Kenya, 2016</w:t>
      </w:r>
      <w:r w:rsidRPr="00EB11D3">
        <w:rPr>
          <w:szCs w:val="24"/>
        </w:rPr>
        <w:t>).</w:t>
      </w:r>
      <w:r w:rsidR="00613AC6" w:rsidRPr="00EB11D3">
        <w:rPr>
          <w:szCs w:val="24"/>
        </w:rPr>
        <w:t xml:space="preserve"> </w:t>
      </w:r>
      <w:r w:rsidR="00136F7F" w:rsidRPr="00EB11D3">
        <w:rPr>
          <w:szCs w:val="24"/>
        </w:rPr>
        <w:t>Hospitals</w:t>
      </w:r>
      <w:r w:rsidR="003845AF" w:rsidRPr="00EB11D3">
        <w:rPr>
          <w:szCs w:val="24"/>
        </w:rPr>
        <w:t xml:space="preserve"> in Kenya</w:t>
      </w:r>
      <w:r w:rsidR="00136F7F" w:rsidRPr="00EB11D3">
        <w:rPr>
          <w:szCs w:val="24"/>
        </w:rPr>
        <w:t xml:space="preserve"> are ranked in terms of level of services they offer</w:t>
      </w:r>
      <w:r w:rsidR="003845AF" w:rsidRPr="00EB11D3">
        <w:rPr>
          <w:szCs w:val="24"/>
        </w:rPr>
        <w:t>, and they are classified as</w:t>
      </w:r>
      <w:r w:rsidR="00136F7F" w:rsidRPr="00EB11D3">
        <w:rPr>
          <w:szCs w:val="24"/>
        </w:rPr>
        <w:t xml:space="preserve"> </w:t>
      </w:r>
      <w:r w:rsidR="00AA7ABA" w:rsidRPr="00EB11D3">
        <w:rPr>
          <w:szCs w:val="24"/>
        </w:rPr>
        <w:t xml:space="preserve">level 1, level 2, level 3, </w:t>
      </w:r>
      <w:r w:rsidR="00136F7F" w:rsidRPr="00EB11D3">
        <w:rPr>
          <w:szCs w:val="24"/>
        </w:rPr>
        <w:t>level 4, level 5 and level 6. According to Kenya master Facility list</w:t>
      </w:r>
      <w:r w:rsidR="003845AF" w:rsidRPr="00EB11D3">
        <w:rPr>
          <w:szCs w:val="24"/>
        </w:rPr>
        <w:t xml:space="preserve"> (</w:t>
      </w:r>
      <w:r w:rsidR="00136F7F" w:rsidRPr="00EB11D3">
        <w:rPr>
          <w:szCs w:val="24"/>
        </w:rPr>
        <w:t>2023</w:t>
      </w:r>
      <w:r w:rsidR="003845AF" w:rsidRPr="00EB11D3">
        <w:rPr>
          <w:szCs w:val="24"/>
        </w:rPr>
        <w:t>)</w:t>
      </w:r>
      <w:r w:rsidR="00136F7F" w:rsidRPr="00EB11D3">
        <w:rPr>
          <w:szCs w:val="24"/>
        </w:rPr>
        <w:t xml:space="preserve">, </w:t>
      </w:r>
      <w:r w:rsidR="003845AF" w:rsidRPr="00EB11D3">
        <w:rPr>
          <w:szCs w:val="24"/>
        </w:rPr>
        <w:t>t</w:t>
      </w:r>
      <w:r w:rsidR="00136F7F" w:rsidRPr="00EB11D3">
        <w:rPr>
          <w:szCs w:val="24"/>
        </w:rPr>
        <w:t>here are 971 level 4 and 5 hospitals in the country, with</w:t>
      </w:r>
      <w:r w:rsidR="003845AF" w:rsidRPr="00EB11D3">
        <w:rPr>
          <w:szCs w:val="24"/>
        </w:rPr>
        <w:t xml:space="preserve"> 115</w:t>
      </w:r>
      <w:r w:rsidR="00136F7F" w:rsidRPr="00EB11D3">
        <w:rPr>
          <w:szCs w:val="24"/>
        </w:rPr>
        <w:t xml:space="preserve"> </w:t>
      </w:r>
      <w:r w:rsidR="0038019E" w:rsidRPr="00EB11D3">
        <w:rPr>
          <w:szCs w:val="24"/>
        </w:rPr>
        <w:t>Faith-based</w:t>
      </w:r>
      <w:r w:rsidR="00136F7F" w:rsidRPr="00EB11D3">
        <w:rPr>
          <w:szCs w:val="24"/>
        </w:rPr>
        <w:t xml:space="preserve"> hospitals</w:t>
      </w:r>
      <w:r w:rsidR="003845AF" w:rsidRPr="00EB11D3">
        <w:rPr>
          <w:szCs w:val="24"/>
        </w:rPr>
        <w:t xml:space="preserve"> ranked as</w:t>
      </w:r>
      <w:r w:rsidR="00136F7F" w:rsidRPr="00EB11D3">
        <w:rPr>
          <w:szCs w:val="24"/>
        </w:rPr>
        <w:t xml:space="preserve"> level 4 (98) and level 5 (17) representing 12% of the total hospitals in Kenya. </w:t>
      </w:r>
    </w:p>
    <w:p w14:paraId="41B70D40" w14:textId="77777777" w:rsidR="00EB1AA1" w:rsidRDefault="00EB1AA1">
      <w:pPr>
        <w:spacing w:line="360" w:lineRule="auto"/>
        <w:contextualSpacing/>
        <w:rPr>
          <w:szCs w:val="24"/>
        </w:rPr>
      </w:pPr>
    </w:p>
    <w:p w14:paraId="268430AF" w14:textId="77777777" w:rsidR="00DC0D7C" w:rsidRPr="00EB11D3" w:rsidRDefault="00EB1AA1">
      <w:pPr>
        <w:spacing w:line="360" w:lineRule="auto"/>
        <w:contextualSpacing/>
        <w:rPr>
          <w:szCs w:val="24"/>
          <w:lang w:eastAsia="zh-CN"/>
        </w:rPr>
      </w:pPr>
      <w:r>
        <w:rPr>
          <w:szCs w:val="24"/>
        </w:rPr>
        <w:t>F</w:t>
      </w:r>
      <w:r w:rsidR="00212BDF" w:rsidRPr="00EB11D3">
        <w:rPr>
          <w:szCs w:val="24"/>
        </w:rPr>
        <w:t>aith-based hospitals’ contributions are immense in terms of health care development, compassionate care, and human capital development among other fields</w:t>
      </w:r>
      <w:r w:rsidR="00B12EFA" w:rsidRPr="00EB11D3">
        <w:rPr>
          <w:szCs w:val="24"/>
        </w:rPr>
        <w:t xml:space="preserve"> contributing </w:t>
      </w:r>
      <w:r w:rsidR="00ED305B" w:rsidRPr="00EB11D3">
        <w:rPr>
          <w:szCs w:val="24"/>
        </w:rPr>
        <w:t>3</w:t>
      </w:r>
      <w:r w:rsidR="00B12EFA" w:rsidRPr="00EB11D3">
        <w:rPr>
          <w:szCs w:val="24"/>
        </w:rPr>
        <w:t>5% of health care services in the country</w:t>
      </w:r>
      <w:r>
        <w:rPr>
          <w:szCs w:val="24"/>
        </w:rPr>
        <w:t xml:space="preserve"> (</w:t>
      </w:r>
      <w:r w:rsidRPr="00EB11D3">
        <w:rPr>
          <w:szCs w:val="24"/>
        </w:rPr>
        <w:t>Christian Health Association of Kenya (CHAK)</w:t>
      </w:r>
      <w:r>
        <w:rPr>
          <w:szCs w:val="24"/>
        </w:rPr>
        <w:t xml:space="preserve">, </w:t>
      </w:r>
      <w:r w:rsidRPr="00EB11D3">
        <w:rPr>
          <w:szCs w:val="24"/>
        </w:rPr>
        <w:t>2023)</w:t>
      </w:r>
      <w:r w:rsidR="00212BDF" w:rsidRPr="00EB11D3">
        <w:rPr>
          <w:szCs w:val="24"/>
        </w:rPr>
        <w:t xml:space="preserve">. </w:t>
      </w:r>
      <w:r w:rsidR="00944B16" w:rsidRPr="00944B16">
        <w:rPr>
          <w:szCs w:val="24"/>
        </w:rPr>
        <w:t>Challenges to service expansion included rising labour costs, stakeholder participation, government regulation compliance, quality care demand, and the development of a right-based society</w:t>
      </w:r>
      <w:r w:rsidR="00944B16">
        <w:rPr>
          <w:szCs w:val="24"/>
        </w:rPr>
        <w:t xml:space="preserve"> </w:t>
      </w:r>
      <w:r w:rsidR="00212BDF" w:rsidRPr="00EB11D3">
        <w:rPr>
          <w:szCs w:val="24"/>
        </w:rPr>
        <w:t>(</w:t>
      </w:r>
      <w:r w:rsidR="001D1337" w:rsidRPr="00EB11D3">
        <w:rPr>
          <w:szCs w:val="24"/>
        </w:rPr>
        <w:t>Oleribe</w:t>
      </w:r>
      <w:r w:rsidR="00212BDF" w:rsidRPr="00EB11D3">
        <w:rPr>
          <w:szCs w:val="24"/>
        </w:rPr>
        <w:t>, 201</w:t>
      </w:r>
      <w:r w:rsidR="001D1337" w:rsidRPr="00EB11D3">
        <w:rPr>
          <w:szCs w:val="24"/>
        </w:rPr>
        <w:t>9</w:t>
      </w:r>
      <w:r w:rsidR="00212BDF" w:rsidRPr="00EB11D3">
        <w:rPr>
          <w:szCs w:val="24"/>
        </w:rPr>
        <w:t xml:space="preserve">). </w:t>
      </w:r>
      <w:r w:rsidR="0038019E" w:rsidRPr="00EB11D3">
        <w:rPr>
          <w:szCs w:val="24"/>
        </w:rPr>
        <w:t>Faith-based</w:t>
      </w:r>
      <w:r w:rsidR="00037D8C" w:rsidRPr="00EB11D3">
        <w:rPr>
          <w:szCs w:val="24"/>
        </w:rPr>
        <w:t xml:space="preserve"> hospitals continue to experience </w:t>
      </w:r>
      <w:r w:rsidR="00037D8C" w:rsidRPr="00EB11D3">
        <w:rPr>
          <w:szCs w:val="24"/>
          <w:lang w:eastAsia="zh-CN"/>
        </w:rPr>
        <w:t xml:space="preserve">numerous cases of ineffective and inefficient health service delivery, inadequate health system strengthening measures, subpar reward system, subpar monitoring and evaluation of programs, inadequate healthcare financing and sustainability measures, and wanting grant management (Barasa et al., 2018). </w:t>
      </w:r>
    </w:p>
    <w:p w14:paraId="384C7AA6" w14:textId="77777777" w:rsidR="00AA7ABA" w:rsidRPr="00EB11D3" w:rsidRDefault="00EB1AA1" w:rsidP="00AA7ABA">
      <w:pPr>
        <w:spacing w:line="360" w:lineRule="auto"/>
      </w:pPr>
      <w:r>
        <w:rPr>
          <w:szCs w:val="24"/>
        </w:rPr>
        <w:br w:type="page"/>
      </w:r>
      <w:r w:rsidR="00AA7ABA" w:rsidRPr="00EB11D3">
        <w:rPr>
          <w:szCs w:val="24"/>
        </w:rPr>
        <w:lastRenderedPageBreak/>
        <w:t>The governance structure of faith-based hospitals is a crucial framework that defines the roles, responsibilities</w:t>
      </w:r>
      <w:r w:rsidR="00AA7ABA" w:rsidRPr="00EB11D3">
        <w:t>, and decision-making processes within the hospital. The top leadership roles are vested in the Board of Directors. The management structure, however vary from one hospital to another. The hospital’s Chief Executive Officer (CEO) is the top executive responsible for overseeing the hospital's overall operations. He/she works closely with the board to implement the hospital's strategic vision, manage financial performance, and ensure the delivery of high-quality patient care. He/she closely manages a team comprising Chief Operating Officer (COO), Chief Medical Officer (CMO) also known as Clinical Director, Chief Nursing Officer (CNO) also known as Nursing Director, Chief Financial Officer (CFO) also known as Finance Director, Chief Information Officer (CIO), Chief Quality Officer also known as Patient Safety Director, Human Resources Director, Facilities Management Director.</w:t>
      </w:r>
    </w:p>
    <w:p w14:paraId="6909FA4F" w14:textId="77777777" w:rsidR="00DC0D7C" w:rsidRPr="00EB11D3" w:rsidRDefault="00212BDF">
      <w:pPr>
        <w:pStyle w:val="Heading2"/>
        <w:spacing w:line="360" w:lineRule="auto"/>
        <w:jc w:val="both"/>
        <w:rPr>
          <w:szCs w:val="24"/>
        </w:rPr>
      </w:pPr>
      <w:bookmarkStart w:id="117" w:name="_Toc177387813"/>
      <w:r w:rsidRPr="00EB11D3">
        <w:rPr>
          <w:szCs w:val="24"/>
        </w:rPr>
        <w:t>1.2 Statement of the Problem</w:t>
      </w:r>
      <w:bookmarkEnd w:id="117"/>
    </w:p>
    <w:p w14:paraId="3ED497E5" w14:textId="77777777" w:rsidR="00DC0D7C" w:rsidRPr="00EB11D3" w:rsidRDefault="00212BDF">
      <w:pPr>
        <w:pStyle w:val="NormalWeb"/>
        <w:shd w:val="clear" w:color="auto" w:fill="FFFFFF"/>
        <w:spacing w:before="0" w:beforeAutospacing="0" w:line="360" w:lineRule="auto"/>
        <w:jc w:val="both"/>
        <w:rPr>
          <w:rFonts w:eastAsia="DengXian"/>
        </w:rPr>
      </w:pPr>
      <w:r w:rsidRPr="00EB11D3">
        <w:rPr>
          <w:rFonts w:eastAsia="DengXian"/>
        </w:rPr>
        <w:t xml:space="preserve">Corporate governance </w:t>
      </w:r>
      <w:r w:rsidR="00AE63C0" w:rsidRPr="00EB11D3">
        <w:rPr>
          <w:rFonts w:eastAsia="DengXian"/>
        </w:rPr>
        <w:t>is</w:t>
      </w:r>
      <w:r w:rsidRPr="00EB11D3">
        <w:rPr>
          <w:rFonts w:eastAsia="DengXian"/>
        </w:rPr>
        <w:t xml:space="preserve"> a key pillar for any </w:t>
      </w:r>
      <w:r w:rsidR="00813F2C" w:rsidRPr="00EB11D3">
        <w:rPr>
          <w:rFonts w:eastAsia="DengXian"/>
        </w:rPr>
        <w:t>organisat</w:t>
      </w:r>
      <w:r w:rsidRPr="00EB11D3">
        <w:rPr>
          <w:rFonts w:eastAsia="DengXian"/>
        </w:rPr>
        <w:t>ion (Hussain, Rigoni, &amp; Orij, 2018). Over the years, the need to examine corporate policies, strategies, and practices has grown as a result of international discourses and worries about corporate scandals (Hussain et al. 2018). There has been an increased outcry from the public over the poor management and eventual collapse of numerous hospitals (</w:t>
      </w:r>
      <w:r w:rsidR="00CA6F02" w:rsidRPr="00EB11D3">
        <w:rPr>
          <w:rFonts w:eastAsia="DengXian"/>
        </w:rPr>
        <w:t>Muthengi &amp; Ragui, 2023</w:t>
      </w:r>
      <w:r w:rsidRPr="00EB11D3">
        <w:rPr>
          <w:rFonts w:eastAsia="DengXian"/>
        </w:rPr>
        <w:t xml:space="preserve">). The majority of faith-based </w:t>
      </w:r>
      <w:r w:rsidR="00A729FB" w:rsidRPr="00EB11D3">
        <w:rPr>
          <w:rFonts w:eastAsia="DengXian"/>
        </w:rPr>
        <w:t>hospitals</w:t>
      </w:r>
      <w:r w:rsidRPr="00EB11D3">
        <w:rPr>
          <w:rFonts w:eastAsia="DengXian"/>
        </w:rPr>
        <w:t xml:space="preserve"> have not adopted sound corporate governance, putting the institutions at risk of</w:t>
      </w:r>
      <w:r w:rsidR="00A729FB" w:rsidRPr="00EB11D3">
        <w:rPr>
          <w:rFonts w:eastAsia="DengXian"/>
        </w:rPr>
        <w:t xml:space="preserve"> poor performance</w:t>
      </w:r>
      <w:r w:rsidR="00900447" w:rsidRPr="00EB11D3">
        <w:rPr>
          <w:rFonts w:eastAsia="DengXian"/>
        </w:rPr>
        <w:t xml:space="preserve"> resulting to </w:t>
      </w:r>
      <w:r w:rsidRPr="00EB11D3">
        <w:rPr>
          <w:rFonts w:eastAsia="DengXian"/>
        </w:rPr>
        <w:t xml:space="preserve">stranded growth, decline or eventual closure (Barasa et al., 2018; Lateef &amp; Akinsulore, 2021). </w:t>
      </w:r>
      <w:r w:rsidR="00CA6F02" w:rsidRPr="00EB11D3">
        <w:rPr>
          <w:rFonts w:eastAsia="DengXian"/>
        </w:rPr>
        <w:t>Consequently, questions have been raised about the role of auditors in such failed organisations</w:t>
      </w:r>
      <w:r w:rsidRPr="00EB11D3">
        <w:rPr>
          <w:rFonts w:eastAsia="DengXian"/>
        </w:rPr>
        <w:t xml:space="preserve"> (</w:t>
      </w:r>
      <w:r w:rsidR="00D74539" w:rsidRPr="00EB11D3">
        <w:rPr>
          <w:rFonts w:eastAsia="DengXian"/>
        </w:rPr>
        <w:t>Zahara</w:t>
      </w:r>
      <w:r w:rsidRPr="00EB11D3">
        <w:rPr>
          <w:rFonts w:eastAsia="DengXian"/>
        </w:rPr>
        <w:t xml:space="preserve">, 2018). Inadequate internal controls, flaws in superior and restrictive systems, questionable accountability, and conflicts of interest are some of the causes of past </w:t>
      </w:r>
      <w:r w:rsidR="00FB6DA5" w:rsidRPr="00EB11D3">
        <w:rPr>
          <w:rFonts w:eastAsia="DengXian"/>
        </w:rPr>
        <w:t>stranded growth, decline in</w:t>
      </w:r>
      <w:r w:rsidRPr="00EB11D3">
        <w:rPr>
          <w:rFonts w:eastAsia="DengXian"/>
        </w:rPr>
        <w:t xml:space="preserve"> performance and the eventual collapse of </w:t>
      </w:r>
      <w:r w:rsidR="00186623" w:rsidRPr="00EB11D3">
        <w:rPr>
          <w:rFonts w:eastAsia="DengXian"/>
        </w:rPr>
        <w:t>hospitals</w:t>
      </w:r>
      <w:r w:rsidRPr="00EB11D3">
        <w:rPr>
          <w:rFonts w:eastAsia="DengXian"/>
        </w:rPr>
        <w:t xml:space="preserve"> (</w:t>
      </w:r>
      <w:r w:rsidR="00982ACA" w:rsidRPr="00EB11D3">
        <w:rPr>
          <w:rFonts w:eastAsia="DengXian"/>
        </w:rPr>
        <w:t>Muthengi &amp; Ragui, 2023</w:t>
      </w:r>
      <w:r w:rsidRPr="00EB11D3">
        <w:rPr>
          <w:rFonts w:eastAsia="DengXian"/>
        </w:rPr>
        <w:t xml:space="preserve">). </w:t>
      </w:r>
    </w:p>
    <w:p w14:paraId="7CD3F4F2" w14:textId="77777777" w:rsidR="00DC0D7C" w:rsidRPr="00EB11D3" w:rsidRDefault="00212BDF" w:rsidP="00037D8C">
      <w:pPr>
        <w:spacing w:line="360" w:lineRule="auto"/>
        <w:contextualSpacing/>
        <w:rPr>
          <w:rFonts w:eastAsia="DengXian"/>
          <w:szCs w:val="24"/>
        </w:rPr>
      </w:pPr>
      <w:r w:rsidRPr="00EB11D3">
        <w:rPr>
          <w:szCs w:val="24"/>
          <w:lang w:eastAsia="zh-CN"/>
        </w:rPr>
        <w:t xml:space="preserve">The appointment of the board of </w:t>
      </w:r>
      <w:r w:rsidR="002740A2" w:rsidRPr="00EB11D3">
        <w:rPr>
          <w:szCs w:val="24"/>
          <w:lang w:eastAsia="zh-CN"/>
        </w:rPr>
        <w:t>g</w:t>
      </w:r>
      <w:r w:rsidRPr="00EB11D3">
        <w:rPr>
          <w:szCs w:val="24"/>
          <w:lang w:eastAsia="zh-CN"/>
        </w:rPr>
        <w:t xml:space="preserve">overnance of faith-based </w:t>
      </w:r>
      <w:r w:rsidR="00A729FB" w:rsidRPr="00EB11D3">
        <w:rPr>
          <w:szCs w:val="24"/>
          <w:lang w:eastAsia="zh-CN"/>
        </w:rPr>
        <w:t xml:space="preserve">hospitals </w:t>
      </w:r>
      <w:r w:rsidRPr="00EB11D3">
        <w:rPr>
          <w:szCs w:val="24"/>
          <w:lang w:eastAsia="zh-CN"/>
        </w:rPr>
        <w:t xml:space="preserve">is vested in the church leadership. This may pose a governance concern as no independent organ either within or without the church </w:t>
      </w:r>
      <w:r w:rsidR="006D606A" w:rsidRPr="00EB11D3">
        <w:rPr>
          <w:szCs w:val="24"/>
          <w:lang w:eastAsia="zh-CN"/>
        </w:rPr>
        <w:t xml:space="preserve">which does the </w:t>
      </w:r>
      <w:r w:rsidRPr="00EB11D3">
        <w:rPr>
          <w:szCs w:val="24"/>
          <w:lang w:eastAsia="zh-CN"/>
        </w:rPr>
        <w:t xml:space="preserve">vetting of the nominees (Lateef &amp; Akinsulore, 2021). </w:t>
      </w:r>
      <w:r w:rsidRPr="00EB11D3">
        <w:rPr>
          <w:rFonts w:eastAsia="DengXian"/>
          <w:szCs w:val="24"/>
        </w:rPr>
        <w:t xml:space="preserve">The government had adopted a conservative approach in regulating the religious sector in Kenya hence the frequent experience of periodic corporate glitches experienced in the faith-based </w:t>
      </w:r>
      <w:r w:rsidR="00FB6DA5" w:rsidRPr="00EB11D3">
        <w:rPr>
          <w:rFonts w:eastAsia="DengXian"/>
          <w:szCs w:val="24"/>
        </w:rPr>
        <w:t xml:space="preserve">hospitals </w:t>
      </w:r>
      <w:r w:rsidRPr="00EB11D3">
        <w:rPr>
          <w:rFonts w:eastAsia="DengXian"/>
          <w:szCs w:val="24"/>
        </w:rPr>
        <w:t>due to undetermined and unclear accountability mechanisms</w:t>
      </w:r>
      <w:r w:rsidR="00A729FB" w:rsidRPr="00EB11D3">
        <w:rPr>
          <w:rFonts w:eastAsia="DengXian"/>
          <w:szCs w:val="24"/>
        </w:rPr>
        <w:t>.</w:t>
      </w:r>
      <w:r w:rsidRPr="00EB11D3">
        <w:rPr>
          <w:rFonts w:eastAsia="DengXian"/>
          <w:szCs w:val="24"/>
        </w:rPr>
        <w:t xml:space="preserve"> Even though there is rapid growth in health care services within faith-based </w:t>
      </w:r>
      <w:r w:rsidR="00FB6DA5" w:rsidRPr="00EB11D3">
        <w:rPr>
          <w:rFonts w:eastAsia="DengXian"/>
          <w:szCs w:val="24"/>
        </w:rPr>
        <w:t>hospitals</w:t>
      </w:r>
      <w:r w:rsidRPr="00EB11D3">
        <w:rPr>
          <w:rFonts w:eastAsia="DengXian"/>
          <w:szCs w:val="24"/>
        </w:rPr>
        <w:t xml:space="preserve">, the same growth and </w:t>
      </w:r>
      <w:r w:rsidR="00677118" w:rsidRPr="00EB11D3">
        <w:rPr>
          <w:rFonts w:eastAsia="DengXian"/>
          <w:szCs w:val="24"/>
        </w:rPr>
        <w:t>adaptation</w:t>
      </w:r>
      <w:r w:rsidRPr="00EB11D3">
        <w:rPr>
          <w:rFonts w:eastAsia="DengXian"/>
          <w:szCs w:val="24"/>
        </w:rPr>
        <w:t xml:space="preserve"> to change are not </w:t>
      </w:r>
      <w:r w:rsidRPr="00EB11D3">
        <w:rPr>
          <w:rFonts w:eastAsia="DengXian"/>
          <w:szCs w:val="24"/>
        </w:rPr>
        <w:lastRenderedPageBreak/>
        <w:t>reflected in the governance level of these in</w:t>
      </w:r>
      <w:r w:rsidR="00677118" w:rsidRPr="00EB11D3">
        <w:rPr>
          <w:rFonts w:eastAsia="DengXian"/>
          <w:szCs w:val="24"/>
        </w:rPr>
        <w:t>s</w:t>
      </w:r>
      <w:r w:rsidRPr="00EB11D3">
        <w:rPr>
          <w:rFonts w:eastAsia="DengXian"/>
          <w:szCs w:val="24"/>
        </w:rPr>
        <w:t>tit</w:t>
      </w:r>
      <w:r w:rsidR="00677118" w:rsidRPr="00EB11D3">
        <w:rPr>
          <w:rFonts w:eastAsia="DengXian"/>
          <w:szCs w:val="24"/>
        </w:rPr>
        <w:t>ut</w:t>
      </w:r>
      <w:r w:rsidRPr="00EB11D3">
        <w:rPr>
          <w:rFonts w:eastAsia="DengXian"/>
          <w:szCs w:val="24"/>
        </w:rPr>
        <w:t xml:space="preserve">ions (Lateef &amp; Akinsulore, 2021). In the light of these observations from previous studies, there are obvious gaps in the existing knowledge on how sound corporate governance and impart on the management of healthcare </w:t>
      </w:r>
      <w:r w:rsidR="00FB6DA5" w:rsidRPr="00EB11D3">
        <w:rPr>
          <w:rFonts w:eastAsia="DengXian"/>
          <w:szCs w:val="24"/>
        </w:rPr>
        <w:t xml:space="preserve">institutions </w:t>
      </w:r>
      <w:r w:rsidRPr="00EB11D3">
        <w:rPr>
          <w:rFonts w:eastAsia="DengXian"/>
          <w:szCs w:val="24"/>
        </w:rPr>
        <w:t xml:space="preserve">affect the general performance of faith-based hospitals (Lateef &amp; Akinsulore, 2021).  </w:t>
      </w:r>
    </w:p>
    <w:p w14:paraId="6A68D010" w14:textId="77777777" w:rsidR="00DC0D7C" w:rsidRPr="00EB11D3" w:rsidRDefault="00212BDF">
      <w:pPr>
        <w:pStyle w:val="NormalWeb"/>
        <w:shd w:val="clear" w:color="auto" w:fill="FFFFFF"/>
        <w:spacing w:before="0" w:beforeAutospacing="0" w:line="360" w:lineRule="auto"/>
        <w:jc w:val="both"/>
        <w:rPr>
          <w:rFonts w:eastAsia="DengXian"/>
        </w:rPr>
      </w:pPr>
      <w:r w:rsidRPr="00EB11D3">
        <w:rPr>
          <w:rFonts w:eastAsia="DengXian"/>
        </w:rPr>
        <w:t xml:space="preserve">Extant studies have yielded mixed results and inconsistencies (Muriuki, Cheruiyot &amp; Komen, 2017; </w:t>
      </w:r>
      <w:r w:rsidR="00F6377D" w:rsidRPr="00EB11D3">
        <w:rPr>
          <w:rFonts w:eastAsia="DengXian"/>
        </w:rPr>
        <w:t xml:space="preserve">Kenga &amp; Nzulwa, </w:t>
      </w:r>
      <w:r w:rsidRPr="00EB11D3">
        <w:rPr>
          <w:rFonts w:eastAsia="DengXian"/>
        </w:rPr>
        <w:t xml:space="preserve">2018; Hussain et al. 2018). For instance, </w:t>
      </w:r>
      <w:r w:rsidR="007453A7" w:rsidRPr="00EB11D3">
        <w:rPr>
          <w:rFonts w:eastAsia="DengXian"/>
        </w:rPr>
        <w:t>studies</w:t>
      </w:r>
      <w:r w:rsidR="00982ACA" w:rsidRPr="00EB11D3">
        <w:rPr>
          <w:rFonts w:eastAsia="DengXian"/>
        </w:rPr>
        <w:t xml:space="preserve"> in health care industry</w:t>
      </w:r>
      <w:r w:rsidR="007453A7" w:rsidRPr="00EB11D3">
        <w:rPr>
          <w:rFonts w:eastAsia="DengXian"/>
        </w:rPr>
        <w:t xml:space="preserve"> have </w:t>
      </w:r>
      <w:r w:rsidR="00910CD0" w:rsidRPr="00EB11D3">
        <w:rPr>
          <w:rFonts w:eastAsia="DengXian"/>
        </w:rPr>
        <w:t>found a link between corporate governance and performance (Kinyeki, Amuhaya, Mwimali, and Orwa; 2018; Brown, 2019</w:t>
      </w:r>
      <w:r w:rsidR="00982ACA" w:rsidRPr="00EB11D3">
        <w:rPr>
          <w:rFonts w:eastAsia="DengXian"/>
        </w:rPr>
        <w:t>; Marques et al., 2020</w:t>
      </w:r>
      <w:r w:rsidR="00910CD0" w:rsidRPr="00EB11D3">
        <w:rPr>
          <w:rFonts w:eastAsia="DengXian"/>
        </w:rPr>
        <w:t>)</w:t>
      </w:r>
      <w:r w:rsidR="007453A7" w:rsidRPr="00EB11D3">
        <w:rPr>
          <w:rFonts w:eastAsia="DengXian"/>
        </w:rPr>
        <w:t xml:space="preserve"> while others studies </w:t>
      </w:r>
      <w:r w:rsidR="00910CD0" w:rsidRPr="00EB11D3">
        <w:rPr>
          <w:rFonts w:eastAsia="DengXian"/>
        </w:rPr>
        <w:t xml:space="preserve">have found a negative relationship between corporate governance and performance </w:t>
      </w:r>
      <w:r w:rsidR="006A4AE4" w:rsidRPr="00EB11D3">
        <w:rPr>
          <w:rFonts w:eastAsia="DengXian"/>
        </w:rPr>
        <w:t xml:space="preserve">of hospital </w:t>
      </w:r>
      <w:r w:rsidR="00910CD0" w:rsidRPr="00EB11D3">
        <w:rPr>
          <w:rFonts w:eastAsia="DengXian"/>
        </w:rPr>
        <w:t>(</w:t>
      </w:r>
      <w:r w:rsidR="006A4AE4" w:rsidRPr="00EB11D3">
        <w:rPr>
          <w:rFonts w:eastAsia="DengXian"/>
        </w:rPr>
        <w:t>Afriyie et al., 2020</w:t>
      </w:r>
      <w:r w:rsidR="00910CD0" w:rsidRPr="00EB11D3">
        <w:rPr>
          <w:rFonts w:eastAsia="DengXian"/>
        </w:rPr>
        <w:t xml:space="preserve">). </w:t>
      </w:r>
      <w:r w:rsidR="006B15D0" w:rsidRPr="00EB11D3">
        <w:rPr>
          <w:rFonts w:eastAsia="DengXian"/>
        </w:rPr>
        <w:t xml:space="preserve">This </w:t>
      </w:r>
      <w:r w:rsidR="002740A2" w:rsidRPr="00EB11D3">
        <w:rPr>
          <w:rFonts w:eastAsia="DengXian"/>
        </w:rPr>
        <w:t>points to a need</w:t>
      </w:r>
      <w:r w:rsidR="006B15D0" w:rsidRPr="00EB11D3">
        <w:rPr>
          <w:rFonts w:eastAsia="DengXian"/>
        </w:rPr>
        <w:t xml:space="preserve"> for further investigation</w:t>
      </w:r>
      <w:r w:rsidR="002740A2" w:rsidRPr="00EB11D3">
        <w:rPr>
          <w:rFonts w:eastAsia="DengXian"/>
        </w:rPr>
        <w:t>s</w:t>
      </w:r>
      <w:r w:rsidR="006B15D0" w:rsidRPr="00EB11D3">
        <w:rPr>
          <w:rFonts w:eastAsia="DengXian"/>
        </w:rPr>
        <w:t xml:space="preserve"> into the relationship between corporate governance and organizational performance in developing countries such as Kenya.</w:t>
      </w:r>
    </w:p>
    <w:p w14:paraId="5202E215" w14:textId="77777777" w:rsidR="006A4AE4" w:rsidRPr="00EB11D3" w:rsidRDefault="00471FFE">
      <w:pPr>
        <w:pStyle w:val="NormalWeb"/>
        <w:shd w:val="clear" w:color="auto" w:fill="FFFFFF"/>
        <w:spacing w:before="0" w:beforeAutospacing="0" w:line="360" w:lineRule="auto"/>
        <w:jc w:val="both"/>
        <w:rPr>
          <w:rFonts w:eastAsia="DengXian"/>
        </w:rPr>
      </w:pPr>
      <w:r w:rsidRPr="00471FFE">
        <w:rPr>
          <w:rFonts w:eastAsia="DengXian"/>
        </w:rPr>
        <w:t>Conceptually, the vast majority of the study investigated the direct impact that corporate governance has on performance, whereas just a few studies investigated the impact that service innovations and regulations have on mediating and moderating the relationship</w:t>
      </w:r>
      <w:r w:rsidR="00303AD1" w:rsidRPr="00EB11D3">
        <w:rPr>
          <w:rFonts w:eastAsia="DengXian"/>
        </w:rPr>
        <w:t xml:space="preserve">. The purpose of this research is to determine the mediating and moderating </w:t>
      </w:r>
      <w:r w:rsidR="007F19FE" w:rsidRPr="00EB11D3">
        <w:rPr>
          <w:rFonts w:eastAsia="DengXian"/>
        </w:rPr>
        <w:t>effect</w:t>
      </w:r>
      <w:r w:rsidR="00303AD1" w:rsidRPr="00EB11D3">
        <w:rPr>
          <w:rFonts w:eastAsia="DengXian"/>
        </w:rPr>
        <w:t xml:space="preserve"> of service innovation and government regulations. </w:t>
      </w:r>
      <w:r w:rsidR="00212BDF" w:rsidRPr="00EB11D3">
        <w:rPr>
          <w:rFonts w:eastAsia="DengXian"/>
        </w:rPr>
        <w:t>Contextually, numerous studies that have been done have concentrated on banking</w:t>
      </w:r>
      <w:r w:rsidR="000704D6" w:rsidRPr="00EB11D3">
        <w:rPr>
          <w:rFonts w:eastAsia="DengXian"/>
        </w:rPr>
        <w:t>,</w:t>
      </w:r>
      <w:r w:rsidR="00212BDF" w:rsidRPr="00EB11D3">
        <w:rPr>
          <w:rFonts w:eastAsia="DengXian"/>
        </w:rPr>
        <w:t xml:space="preserve"> manufacturing</w:t>
      </w:r>
      <w:r w:rsidR="000704D6" w:rsidRPr="00EB11D3">
        <w:rPr>
          <w:rFonts w:eastAsia="DengXian"/>
        </w:rPr>
        <w:t>,</w:t>
      </w:r>
      <w:r w:rsidR="00212BDF" w:rsidRPr="00EB11D3">
        <w:rPr>
          <w:rFonts w:eastAsia="DengXian"/>
        </w:rPr>
        <w:t xml:space="preserve"> </w:t>
      </w:r>
      <w:r w:rsidR="000704D6" w:rsidRPr="00EB11D3">
        <w:rPr>
          <w:rFonts w:eastAsia="DengXian"/>
        </w:rPr>
        <w:t xml:space="preserve">or </w:t>
      </w:r>
      <w:r w:rsidR="00212BDF" w:rsidRPr="00EB11D3">
        <w:rPr>
          <w:rFonts w:eastAsia="DengXian"/>
        </w:rPr>
        <w:t xml:space="preserve">service </w:t>
      </w:r>
      <w:r w:rsidR="00AA306A" w:rsidRPr="00EB11D3">
        <w:rPr>
          <w:rFonts w:eastAsia="DengXian"/>
        </w:rPr>
        <w:t>industries there</w:t>
      </w:r>
      <w:r w:rsidR="004537AA" w:rsidRPr="00EB11D3">
        <w:rPr>
          <w:rFonts w:eastAsia="DengXian"/>
        </w:rPr>
        <w:t xml:space="preserve"> are limited studies on </w:t>
      </w:r>
      <w:r w:rsidR="00212BDF" w:rsidRPr="00EB11D3">
        <w:rPr>
          <w:rFonts w:eastAsia="DengXian"/>
        </w:rPr>
        <w:t xml:space="preserve">corporate governance </w:t>
      </w:r>
      <w:r w:rsidR="00C977CE" w:rsidRPr="00EB11D3">
        <w:rPr>
          <w:rFonts w:eastAsia="DengXian"/>
        </w:rPr>
        <w:t>challenges</w:t>
      </w:r>
      <w:r w:rsidR="004537AA" w:rsidRPr="00EB11D3">
        <w:rPr>
          <w:rFonts w:eastAsia="DengXian"/>
        </w:rPr>
        <w:t xml:space="preserve"> in healthcare institutions (</w:t>
      </w:r>
      <w:r w:rsidR="00A87160" w:rsidRPr="00EB11D3">
        <w:rPr>
          <w:rFonts w:eastAsia="DengXian"/>
        </w:rPr>
        <w:t xml:space="preserve">Al-Ahdal et al., 2020; </w:t>
      </w:r>
      <w:r w:rsidR="00A234AC" w:rsidRPr="00EB11D3">
        <w:rPr>
          <w:rFonts w:eastAsia="DengXian"/>
        </w:rPr>
        <w:t xml:space="preserve">Kabeyi, 2020; </w:t>
      </w:r>
      <w:r w:rsidR="005B3E83" w:rsidRPr="00EB11D3">
        <w:rPr>
          <w:rFonts w:eastAsia="DengXian"/>
        </w:rPr>
        <w:t>Sarkar &amp; Spieler, 2020; Benedetti, Nikbakht, Sarkar &amp; Spieler, 2021;</w:t>
      </w:r>
      <w:r w:rsidR="005B3E83" w:rsidRPr="00EB11D3">
        <w:t xml:space="preserve"> </w:t>
      </w:r>
      <w:r w:rsidR="00A87160" w:rsidRPr="00EB11D3">
        <w:rPr>
          <w:rFonts w:eastAsia="DengXian"/>
        </w:rPr>
        <w:t>Afriyie et al., 2021</w:t>
      </w:r>
      <w:r w:rsidR="004537AA" w:rsidRPr="00EB11D3">
        <w:rPr>
          <w:rFonts w:eastAsia="DengXian"/>
        </w:rPr>
        <w:t>)</w:t>
      </w:r>
      <w:r w:rsidR="00212BDF" w:rsidRPr="00EB11D3">
        <w:rPr>
          <w:rFonts w:eastAsia="DengXian"/>
        </w:rPr>
        <w:t xml:space="preserve">. Furthermore, other studies have manifested methodological gaps. For instance, </w:t>
      </w:r>
      <w:r w:rsidR="00436596" w:rsidRPr="00EB11D3">
        <w:rPr>
          <w:rFonts w:eastAsia="DengXian"/>
        </w:rPr>
        <w:t xml:space="preserve">Sifiso and Pfano, (2022) used </w:t>
      </w:r>
      <w:r w:rsidR="00C500FE" w:rsidRPr="00EB11D3">
        <w:rPr>
          <w:rFonts w:eastAsia="DengXian"/>
        </w:rPr>
        <w:t>systematic literature</w:t>
      </w:r>
      <w:r w:rsidR="00436596" w:rsidRPr="00EB11D3">
        <w:rPr>
          <w:rFonts w:eastAsia="DengXian"/>
        </w:rPr>
        <w:t xml:space="preserve"> review</w:t>
      </w:r>
      <w:r w:rsidR="006976BC">
        <w:rPr>
          <w:rFonts w:eastAsia="DengXian"/>
        </w:rPr>
        <w:t xml:space="preserve"> to examine the nexus between corporate governance and organizational performance</w:t>
      </w:r>
      <w:r w:rsidR="00212BDF" w:rsidRPr="00EB11D3">
        <w:rPr>
          <w:rFonts w:eastAsia="DengXian"/>
        </w:rPr>
        <w:t xml:space="preserve">. </w:t>
      </w:r>
    </w:p>
    <w:p w14:paraId="53A82B86" w14:textId="77777777" w:rsidR="00DC0D7C" w:rsidRPr="00EB11D3" w:rsidRDefault="00212BDF">
      <w:pPr>
        <w:pStyle w:val="NormalWeb"/>
        <w:shd w:val="clear" w:color="auto" w:fill="FFFFFF"/>
        <w:spacing w:before="0" w:beforeAutospacing="0" w:line="360" w:lineRule="auto"/>
        <w:jc w:val="both"/>
        <w:rPr>
          <w:rFonts w:eastAsia="DengXian"/>
        </w:rPr>
      </w:pPr>
      <w:r w:rsidRPr="00EB11D3">
        <w:rPr>
          <w:rFonts w:eastAsia="DengXian"/>
        </w:rPr>
        <w:t xml:space="preserve">This study is motivated by the desire to restore reliability and confidence to both health seekers and health providers by mitigating the conflict of interest and enhancing the performance of hospitals. </w:t>
      </w:r>
      <w:r w:rsidR="000E4015" w:rsidRPr="00EB11D3">
        <w:rPr>
          <w:rFonts w:eastAsia="DengXian"/>
        </w:rPr>
        <w:t>There is also a need</w:t>
      </w:r>
      <w:r w:rsidRPr="00EB11D3">
        <w:rPr>
          <w:rFonts w:eastAsia="DengXian"/>
        </w:rPr>
        <w:t xml:space="preserve"> for a</w:t>
      </w:r>
      <w:r w:rsidR="006A4AE4" w:rsidRPr="00EB11D3">
        <w:rPr>
          <w:rFonts w:eastAsia="DengXian"/>
        </w:rPr>
        <w:t xml:space="preserve">n in-depth </w:t>
      </w:r>
      <w:r w:rsidR="000E4015" w:rsidRPr="00EB11D3">
        <w:rPr>
          <w:rFonts w:eastAsia="DengXian"/>
        </w:rPr>
        <w:t xml:space="preserve">review </w:t>
      </w:r>
      <w:r w:rsidR="006A4AE4" w:rsidRPr="00EB11D3">
        <w:rPr>
          <w:rFonts w:eastAsia="DengXian"/>
        </w:rPr>
        <w:t xml:space="preserve">on the </w:t>
      </w:r>
      <w:r w:rsidRPr="00EB11D3">
        <w:rPr>
          <w:rFonts w:eastAsia="DengXian"/>
        </w:rPr>
        <w:t xml:space="preserve">existing governance practices within faith-based </w:t>
      </w:r>
      <w:r w:rsidR="00122B09" w:rsidRPr="00EB11D3">
        <w:rPr>
          <w:rFonts w:eastAsia="DengXian"/>
        </w:rPr>
        <w:t>hospitals</w:t>
      </w:r>
      <w:r w:rsidRPr="00EB11D3">
        <w:rPr>
          <w:rFonts w:eastAsia="DengXian"/>
        </w:rPr>
        <w:t xml:space="preserve"> and suggests best practices in corporate governance, service innovation, government regulatory framework and organisational performance parameters.</w:t>
      </w:r>
      <w:r w:rsidR="000704D6" w:rsidRPr="00EB11D3">
        <w:rPr>
          <w:rFonts w:eastAsia="DengXian"/>
        </w:rPr>
        <w:t xml:space="preserve"> </w:t>
      </w:r>
      <w:r w:rsidR="009A1EEB" w:rsidRPr="00EB11D3">
        <w:rPr>
          <w:rFonts w:eastAsia="DengXian"/>
        </w:rPr>
        <w:t xml:space="preserve">The study </w:t>
      </w:r>
      <w:r w:rsidR="004A0818" w:rsidRPr="00EB11D3">
        <w:rPr>
          <w:rFonts w:eastAsia="DengXian"/>
        </w:rPr>
        <w:t>sought</w:t>
      </w:r>
      <w:r w:rsidR="009A1EEB" w:rsidRPr="00EB11D3">
        <w:rPr>
          <w:rFonts w:eastAsia="DengXian"/>
        </w:rPr>
        <w:t xml:space="preserve"> to answer the research question; what is the relationship between corporate governance, service innovation, government regulation and performance of </w:t>
      </w:r>
      <w:r w:rsidR="00A234AC" w:rsidRPr="00EB11D3">
        <w:rPr>
          <w:rFonts w:eastAsia="DengXian"/>
        </w:rPr>
        <w:t>faith-based</w:t>
      </w:r>
      <w:r w:rsidR="009A1EEB" w:rsidRPr="00EB11D3">
        <w:rPr>
          <w:rFonts w:eastAsia="DengXian"/>
        </w:rPr>
        <w:t xml:space="preserve"> hospitals in Kenya</w:t>
      </w:r>
      <w:r w:rsidR="00A234AC" w:rsidRPr="00EB11D3">
        <w:rPr>
          <w:rFonts w:eastAsia="DengXian"/>
        </w:rPr>
        <w:t>?</w:t>
      </w:r>
    </w:p>
    <w:p w14:paraId="759AA318" w14:textId="77777777" w:rsidR="00DC0D7C" w:rsidRPr="00EB11D3" w:rsidRDefault="00212BDF">
      <w:pPr>
        <w:pStyle w:val="Heading2"/>
        <w:spacing w:line="360" w:lineRule="auto"/>
        <w:rPr>
          <w:szCs w:val="24"/>
        </w:rPr>
      </w:pPr>
      <w:bookmarkStart w:id="118" w:name="_Toc177387814"/>
      <w:r w:rsidRPr="00EB11D3">
        <w:rPr>
          <w:szCs w:val="24"/>
        </w:rPr>
        <w:lastRenderedPageBreak/>
        <w:t>1.3 Objectives of the Study</w:t>
      </w:r>
      <w:bookmarkEnd w:id="118"/>
    </w:p>
    <w:p w14:paraId="486FD3BE" w14:textId="77777777" w:rsidR="00DC0D7C" w:rsidRPr="00EB11D3" w:rsidRDefault="00212BDF">
      <w:pPr>
        <w:widowControl w:val="0"/>
        <w:autoSpaceDE w:val="0"/>
        <w:autoSpaceDN w:val="0"/>
        <w:adjustRightInd w:val="0"/>
        <w:spacing w:line="360" w:lineRule="auto"/>
        <w:contextualSpacing/>
        <w:rPr>
          <w:szCs w:val="24"/>
          <w:lang w:eastAsia="zh-CN"/>
        </w:rPr>
      </w:pPr>
      <w:r w:rsidRPr="00EB11D3">
        <w:rPr>
          <w:szCs w:val="24"/>
          <w:lang w:val="en"/>
        </w:rPr>
        <w:t xml:space="preserve">The </w:t>
      </w:r>
      <w:r w:rsidR="008027B0" w:rsidRPr="00EB11D3">
        <w:rPr>
          <w:szCs w:val="24"/>
          <w:lang w:val="en"/>
        </w:rPr>
        <w:t>general</w:t>
      </w:r>
      <w:r w:rsidRPr="00EB11D3">
        <w:rPr>
          <w:szCs w:val="24"/>
          <w:lang w:val="en"/>
        </w:rPr>
        <w:t xml:space="preserve"> objective of this study is to </w:t>
      </w:r>
      <w:bookmarkStart w:id="119" w:name="_Hlk123897530"/>
      <w:r w:rsidR="000704D6" w:rsidRPr="00EB11D3">
        <w:rPr>
          <w:szCs w:val="24"/>
          <w:lang w:val="en"/>
        </w:rPr>
        <w:t>establish</w:t>
      </w:r>
      <w:r w:rsidRPr="00EB11D3">
        <w:rPr>
          <w:szCs w:val="24"/>
          <w:lang w:val="en"/>
        </w:rPr>
        <w:t xml:space="preserve"> the </w:t>
      </w:r>
      <w:r w:rsidR="004274C6" w:rsidRPr="00EB11D3">
        <w:rPr>
          <w:szCs w:val="24"/>
          <w:lang w:val="en"/>
        </w:rPr>
        <w:t>effect</w:t>
      </w:r>
      <w:r w:rsidRPr="00EB11D3">
        <w:rPr>
          <w:szCs w:val="24"/>
          <w:lang w:val="en"/>
        </w:rPr>
        <w:t xml:space="preserve"> of </w:t>
      </w:r>
      <w:bookmarkStart w:id="120" w:name="_Hlk122526067"/>
      <w:r w:rsidRPr="00EB11D3">
        <w:rPr>
          <w:szCs w:val="24"/>
          <w:lang w:val="en"/>
        </w:rPr>
        <w:t xml:space="preserve">corporate governance, service innovation, and government regulations on </w:t>
      </w:r>
      <w:bookmarkStart w:id="121" w:name="_Hlk125622532"/>
      <w:r w:rsidR="006D5C62" w:rsidRPr="00EB11D3">
        <w:rPr>
          <w:szCs w:val="24"/>
        </w:rPr>
        <w:t>organisational performance of Faith-Based Hospitals</w:t>
      </w:r>
      <w:r w:rsidRPr="00EB11D3">
        <w:rPr>
          <w:szCs w:val="24"/>
          <w:lang w:val="en"/>
        </w:rPr>
        <w:t xml:space="preserve"> in Kenya</w:t>
      </w:r>
      <w:bookmarkEnd w:id="121"/>
      <w:r w:rsidRPr="00EB11D3">
        <w:rPr>
          <w:szCs w:val="24"/>
          <w:lang w:val="en"/>
        </w:rPr>
        <w:t xml:space="preserve">.  </w:t>
      </w:r>
      <w:bookmarkEnd w:id="119"/>
      <w:bookmarkEnd w:id="120"/>
    </w:p>
    <w:p w14:paraId="051AFBD1" w14:textId="77777777" w:rsidR="007F19FE" w:rsidRPr="00EB11D3" w:rsidRDefault="007F19FE">
      <w:pPr>
        <w:spacing w:after="0" w:line="240" w:lineRule="auto"/>
        <w:jc w:val="left"/>
        <w:rPr>
          <w:rFonts w:eastAsia="DengXian Light"/>
          <w:b/>
          <w:szCs w:val="24"/>
        </w:rPr>
      </w:pPr>
      <w:bookmarkStart w:id="122" w:name="_Toc127537235"/>
      <w:bookmarkStart w:id="123" w:name="_Toc127539496"/>
      <w:bookmarkStart w:id="124" w:name="_Toc132709304"/>
      <w:bookmarkStart w:id="125" w:name="_Toc132709908"/>
      <w:bookmarkStart w:id="126" w:name="_Toc132031145"/>
      <w:bookmarkStart w:id="127" w:name="_Toc132709381"/>
      <w:bookmarkStart w:id="128" w:name="_Toc134174631"/>
      <w:bookmarkStart w:id="129" w:name="_Toc135405773"/>
      <w:bookmarkStart w:id="130" w:name="_Toc135405850"/>
      <w:bookmarkStart w:id="131" w:name="_Toc135938063"/>
      <w:bookmarkStart w:id="132" w:name="_Toc135938269"/>
      <w:bookmarkStart w:id="133" w:name="_Toc140111832"/>
    </w:p>
    <w:p w14:paraId="773B2197" w14:textId="77777777" w:rsidR="00DC0D7C" w:rsidRPr="00EB11D3" w:rsidRDefault="00212BDF" w:rsidP="00AD1CB7">
      <w:pPr>
        <w:pStyle w:val="Heading3"/>
      </w:pPr>
      <w:bookmarkStart w:id="134" w:name="_Toc153052059"/>
      <w:bookmarkStart w:id="135" w:name="_Toc164148936"/>
      <w:bookmarkStart w:id="136" w:name="_Toc164151197"/>
      <w:bookmarkStart w:id="137" w:name="_Toc168673389"/>
      <w:bookmarkStart w:id="138" w:name="_Toc168737831"/>
      <w:bookmarkStart w:id="139" w:name="_Toc171602583"/>
      <w:bookmarkStart w:id="140" w:name="_Toc171603410"/>
      <w:bookmarkStart w:id="141" w:name="_Toc177387815"/>
      <w:r w:rsidRPr="00EB11D3">
        <w:t>1.3.1 Specific Objectives</w:t>
      </w:r>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r w:rsidRPr="00EB11D3">
        <w:t xml:space="preserve"> </w:t>
      </w:r>
    </w:p>
    <w:p w14:paraId="3284A58D" w14:textId="77777777" w:rsidR="00DC0D7C" w:rsidRPr="00EB11D3" w:rsidRDefault="00212BDF">
      <w:pPr>
        <w:spacing w:line="360" w:lineRule="auto"/>
        <w:rPr>
          <w:szCs w:val="24"/>
          <w:lang w:val="en"/>
        </w:rPr>
      </w:pPr>
      <w:bookmarkStart w:id="142" w:name="_Toc17119430"/>
      <w:bookmarkStart w:id="143" w:name="_Toc9351238"/>
      <w:r w:rsidRPr="00EB11D3">
        <w:rPr>
          <w:szCs w:val="24"/>
          <w:lang w:val="en"/>
        </w:rPr>
        <w:t>The specific objectives of the study are:</w:t>
      </w:r>
    </w:p>
    <w:p w14:paraId="25CFEA44" w14:textId="77777777" w:rsidR="00DC0D7C" w:rsidRPr="00EB11D3" w:rsidRDefault="00212BDF">
      <w:pPr>
        <w:pStyle w:val="ListParagraph"/>
        <w:numPr>
          <w:ilvl w:val="0"/>
          <w:numId w:val="1"/>
        </w:numPr>
        <w:spacing w:line="360" w:lineRule="auto"/>
        <w:rPr>
          <w:szCs w:val="24"/>
          <w:lang w:val="en"/>
        </w:rPr>
      </w:pPr>
      <w:r w:rsidRPr="00EB11D3">
        <w:rPr>
          <w:szCs w:val="24"/>
          <w:lang w:val="en"/>
        </w:rPr>
        <w:t xml:space="preserve">To establish the </w:t>
      </w:r>
      <w:r w:rsidR="004274C6" w:rsidRPr="00EB11D3">
        <w:rPr>
          <w:szCs w:val="24"/>
          <w:lang w:val="en"/>
        </w:rPr>
        <w:t>effect</w:t>
      </w:r>
      <w:r w:rsidRPr="00EB11D3">
        <w:rPr>
          <w:szCs w:val="24"/>
          <w:lang w:val="en"/>
        </w:rPr>
        <w:t xml:space="preserve"> of </w:t>
      </w:r>
      <w:bookmarkStart w:id="144" w:name="_Hlk132181934"/>
      <w:r w:rsidRPr="00EB11D3">
        <w:rPr>
          <w:szCs w:val="24"/>
          <w:lang w:val="en"/>
        </w:rPr>
        <w:t xml:space="preserve">corporate governance </w:t>
      </w:r>
      <w:bookmarkEnd w:id="144"/>
      <w:r w:rsidRPr="00EB11D3">
        <w:rPr>
          <w:szCs w:val="24"/>
          <w:lang w:val="en"/>
        </w:rPr>
        <w:t xml:space="preserve">on </w:t>
      </w:r>
      <w:r w:rsidR="006D5C62" w:rsidRPr="00EB11D3">
        <w:rPr>
          <w:szCs w:val="24"/>
        </w:rPr>
        <w:t>organisational performance of Faith-Based Hospitals</w:t>
      </w:r>
      <w:bookmarkStart w:id="145" w:name="_Hlk123364988"/>
      <w:bookmarkStart w:id="146" w:name="_Hlk132181951"/>
      <w:r w:rsidRPr="00EB11D3">
        <w:rPr>
          <w:szCs w:val="24"/>
          <w:lang w:val="en"/>
        </w:rPr>
        <w:t xml:space="preserve"> in Kenya</w:t>
      </w:r>
      <w:bookmarkEnd w:id="145"/>
      <w:r w:rsidRPr="00EB11D3">
        <w:rPr>
          <w:szCs w:val="24"/>
          <w:lang w:val="en"/>
        </w:rPr>
        <w:t>.</w:t>
      </w:r>
      <w:bookmarkEnd w:id="146"/>
      <w:r w:rsidRPr="00EB11D3">
        <w:rPr>
          <w:szCs w:val="24"/>
          <w:lang w:val="en"/>
        </w:rPr>
        <w:t xml:space="preserve">  </w:t>
      </w:r>
    </w:p>
    <w:p w14:paraId="345AF697" w14:textId="77777777" w:rsidR="00DC0D7C" w:rsidRPr="00EB11D3" w:rsidRDefault="00212BDF">
      <w:pPr>
        <w:pStyle w:val="ListParagraph"/>
        <w:numPr>
          <w:ilvl w:val="0"/>
          <w:numId w:val="1"/>
        </w:numPr>
        <w:spacing w:line="360" w:lineRule="auto"/>
        <w:rPr>
          <w:szCs w:val="24"/>
          <w:lang w:val="en"/>
        </w:rPr>
      </w:pPr>
      <w:r w:rsidRPr="00EB11D3">
        <w:rPr>
          <w:szCs w:val="24"/>
          <w:lang w:val="en"/>
        </w:rPr>
        <w:t xml:space="preserve">To determine </w:t>
      </w:r>
      <w:bookmarkStart w:id="147" w:name="_Hlk121850131"/>
      <w:r w:rsidRPr="00EB11D3">
        <w:rPr>
          <w:szCs w:val="24"/>
          <w:lang w:val="en"/>
        </w:rPr>
        <w:t xml:space="preserve">the </w:t>
      </w:r>
      <w:bookmarkStart w:id="148" w:name="_Hlk123362482"/>
      <w:r w:rsidRPr="00EB11D3">
        <w:rPr>
          <w:szCs w:val="24"/>
          <w:lang w:val="en"/>
        </w:rPr>
        <w:t xml:space="preserve">mediating effect of </w:t>
      </w:r>
      <w:bookmarkStart w:id="149" w:name="_Hlk132181965"/>
      <w:r w:rsidRPr="00EB11D3">
        <w:rPr>
          <w:szCs w:val="24"/>
          <w:lang w:val="en"/>
        </w:rPr>
        <w:t xml:space="preserve">service innovation </w:t>
      </w:r>
      <w:bookmarkEnd w:id="149"/>
      <w:r w:rsidRPr="00EB11D3">
        <w:rPr>
          <w:szCs w:val="24"/>
          <w:lang w:val="en"/>
        </w:rPr>
        <w:t xml:space="preserve">on the relationship between corporate governance and </w:t>
      </w:r>
      <w:r w:rsidR="006D5C62" w:rsidRPr="00EB11D3">
        <w:rPr>
          <w:szCs w:val="24"/>
        </w:rPr>
        <w:t>organisational performance of Faith-Based Hospitals</w:t>
      </w:r>
      <w:r w:rsidRPr="00EB11D3">
        <w:rPr>
          <w:szCs w:val="24"/>
          <w:lang w:val="en"/>
        </w:rPr>
        <w:t xml:space="preserve"> in Kenya</w:t>
      </w:r>
      <w:bookmarkEnd w:id="147"/>
      <w:r w:rsidRPr="00EB11D3">
        <w:rPr>
          <w:szCs w:val="24"/>
          <w:lang w:val="en"/>
        </w:rPr>
        <w:t xml:space="preserve">.  </w:t>
      </w:r>
      <w:bookmarkEnd w:id="148"/>
    </w:p>
    <w:p w14:paraId="20B2C810" w14:textId="77777777" w:rsidR="00DC0D7C" w:rsidRPr="00EB11D3" w:rsidRDefault="00212BDF">
      <w:pPr>
        <w:pStyle w:val="ListParagraph"/>
        <w:numPr>
          <w:ilvl w:val="0"/>
          <w:numId w:val="1"/>
        </w:numPr>
        <w:spacing w:line="360" w:lineRule="auto"/>
        <w:rPr>
          <w:szCs w:val="24"/>
          <w:lang w:val="en"/>
        </w:rPr>
      </w:pPr>
      <w:bookmarkStart w:id="150" w:name="_Hlk123362223"/>
      <w:r w:rsidRPr="00EB11D3">
        <w:rPr>
          <w:szCs w:val="24"/>
          <w:lang w:val="en"/>
        </w:rPr>
        <w:t xml:space="preserve">To examine the </w:t>
      </w:r>
      <w:bookmarkStart w:id="151" w:name="_Hlk121850230"/>
      <w:r w:rsidRPr="00EB11D3">
        <w:rPr>
          <w:szCs w:val="24"/>
          <w:lang w:val="en"/>
        </w:rPr>
        <w:t xml:space="preserve">moderating effect of </w:t>
      </w:r>
      <w:bookmarkStart w:id="152" w:name="_Hlk132181989"/>
      <w:r w:rsidRPr="00EB11D3">
        <w:rPr>
          <w:szCs w:val="24"/>
          <w:lang w:val="en"/>
        </w:rPr>
        <w:t xml:space="preserve">government regulations </w:t>
      </w:r>
      <w:bookmarkEnd w:id="152"/>
      <w:r w:rsidRPr="00EB11D3">
        <w:rPr>
          <w:szCs w:val="24"/>
          <w:lang w:val="en"/>
        </w:rPr>
        <w:t xml:space="preserve">on the relationship between corporate governance and </w:t>
      </w:r>
      <w:r w:rsidR="006D5C62" w:rsidRPr="00EB11D3">
        <w:rPr>
          <w:szCs w:val="24"/>
        </w:rPr>
        <w:t>organisational performance of Faith-Based Hospitals</w:t>
      </w:r>
      <w:r w:rsidRPr="00EB11D3">
        <w:rPr>
          <w:szCs w:val="24"/>
          <w:lang w:val="en"/>
        </w:rPr>
        <w:t xml:space="preserve"> in Kenya</w:t>
      </w:r>
      <w:bookmarkEnd w:id="150"/>
      <w:bookmarkEnd w:id="151"/>
      <w:r w:rsidRPr="00EB11D3">
        <w:rPr>
          <w:szCs w:val="24"/>
          <w:lang w:val="en"/>
        </w:rPr>
        <w:t xml:space="preserve">.  </w:t>
      </w:r>
    </w:p>
    <w:p w14:paraId="05B1D30D" w14:textId="77777777" w:rsidR="00DC0D7C" w:rsidRPr="00EB11D3" w:rsidRDefault="006435C7">
      <w:pPr>
        <w:pStyle w:val="ListParagraph"/>
        <w:numPr>
          <w:ilvl w:val="0"/>
          <w:numId w:val="1"/>
        </w:numPr>
        <w:spacing w:line="360" w:lineRule="auto"/>
        <w:rPr>
          <w:szCs w:val="24"/>
          <w:lang w:val="en"/>
        </w:rPr>
      </w:pPr>
      <w:r w:rsidRPr="00EB11D3">
        <w:rPr>
          <w:szCs w:val="24"/>
          <w:lang w:val="en"/>
        </w:rPr>
        <w:t>To determine the</w:t>
      </w:r>
      <w:r w:rsidR="006B15D0" w:rsidRPr="00EB11D3">
        <w:rPr>
          <w:szCs w:val="24"/>
          <w:lang w:val="en"/>
        </w:rPr>
        <w:t xml:space="preserve"> </w:t>
      </w:r>
      <w:r w:rsidR="0013370F" w:rsidRPr="00EB11D3">
        <w:rPr>
          <w:szCs w:val="24"/>
          <w:lang w:val="en"/>
        </w:rPr>
        <w:t>mediated moderation</w:t>
      </w:r>
      <w:r w:rsidR="00A70884" w:rsidRPr="00EB11D3">
        <w:rPr>
          <w:szCs w:val="24"/>
          <w:lang w:val="en"/>
        </w:rPr>
        <w:t xml:space="preserve"> </w:t>
      </w:r>
      <w:r w:rsidRPr="00EB11D3">
        <w:rPr>
          <w:szCs w:val="24"/>
          <w:lang w:val="en"/>
        </w:rPr>
        <w:t xml:space="preserve">effect of </w:t>
      </w:r>
      <w:r w:rsidR="006A7649" w:rsidRPr="00EB11D3">
        <w:rPr>
          <w:szCs w:val="24"/>
          <w:lang w:val="en"/>
        </w:rPr>
        <w:t xml:space="preserve">service innovation and </w:t>
      </w:r>
      <w:r w:rsidRPr="00EB11D3">
        <w:rPr>
          <w:szCs w:val="24"/>
          <w:lang w:val="en"/>
        </w:rPr>
        <w:t xml:space="preserve">government regulation on the relationship between corporate governance and </w:t>
      </w:r>
      <w:r w:rsidR="006D5C62" w:rsidRPr="00EB11D3">
        <w:rPr>
          <w:szCs w:val="24"/>
          <w:lang w:val="en"/>
        </w:rPr>
        <w:t>organisational performance of Faith-Based Hospitals</w:t>
      </w:r>
      <w:bookmarkStart w:id="153" w:name="_Hlk123362961"/>
      <w:r w:rsidR="00212BDF" w:rsidRPr="00EB11D3">
        <w:rPr>
          <w:szCs w:val="24"/>
          <w:lang w:val="en"/>
        </w:rPr>
        <w:t xml:space="preserve"> in Kenya.</w:t>
      </w:r>
      <w:bookmarkEnd w:id="153"/>
    </w:p>
    <w:p w14:paraId="11FA46E8" w14:textId="77777777" w:rsidR="00DC0D7C" w:rsidRPr="00EB11D3" w:rsidRDefault="00212BDF">
      <w:pPr>
        <w:pStyle w:val="Heading2"/>
        <w:keepNext w:val="0"/>
        <w:keepLines w:val="0"/>
        <w:spacing w:before="100" w:beforeAutospacing="1" w:after="100" w:afterAutospacing="1" w:line="240" w:lineRule="auto"/>
        <w:jc w:val="both"/>
        <w:rPr>
          <w:szCs w:val="24"/>
        </w:rPr>
      </w:pPr>
      <w:bookmarkStart w:id="154" w:name="_Toc177387816"/>
      <w:r w:rsidRPr="00EB11D3">
        <w:rPr>
          <w:szCs w:val="24"/>
        </w:rPr>
        <w:t xml:space="preserve">1.4 </w:t>
      </w:r>
      <w:bookmarkEnd w:id="142"/>
      <w:bookmarkEnd w:id="143"/>
      <w:r w:rsidR="003C58AE">
        <w:rPr>
          <w:szCs w:val="24"/>
        </w:rPr>
        <w:t>Significance</w:t>
      </w:r>
      <w:r w:rsidRPr="00EB11D3">
        <w:rPr>
          <w:szCs w:val="24"/>
        </w:rPr>
        <w:t xml:space="preserve"> of the Study</w:t>
      </w:r>
      <w:bookmarkEnd w:id="154"/>
    </w:p>
    <w:p w14:paraId="497EFA10" w14:textId="77777777" w:rsidR="000704D6" w:rsidRPr="00EB11D3" w:rsidRDefault="0038019E">
      <w:pPr>
        <w:shd w:val="clear" w:color="auto" w:fill="FFFFFF"/>
        <w:autoSpaceDE w:val="0"/>
        <w:autoSpaceDN w:val="0"/>
        <w:adjustRightInd w:val="0"/>
        <w:spacing w:after="0" w:line="360" w:lineRule="auto"/>
        <w:rPr>
          <w:szCs w:val="24"/>
        </w:rPr>
      </w:pPr>
      <w:r w:rsidRPr="00EB11D3">
        <w:rPr>
          <w:szCs w:val="24"/>
        </w:rPr>
        <w:t>Faith-based</w:t>
      </w:r>
      <w:r w:rsidR="00212BDF" w:rsidRPr="00EB11D3">
        <w:rPr>
          <w:szCs w:val="24"/>
        </w:rPr>
        <w:t xml:space="preserve"> institutions </w:t>
      </w:r>
      <w:r w:rsidR="004E6C36" w:rsidRPr="00EB11D3">
        <w:rPr>
          <w:szCs w:val="24"/>
        </w:rPr>
        <w:t>contribute</w:t>
      </w:r>
      <w:r w:rsidR="00212BDF" w:rsidRPr="00EB11D3">
        <w:rPr>
          <w:szCs w:val="24"/>
        </w:rPr>
        <w:t xml:space="preserve"> a significant portion of health care </w:t>
      </w:r>
      <w:r w:rsidR="00762917" w:rsidRPr="00EB11D3">
        <w:rPr>
          <w:szCs w:val="24"/>
        </w:rPr>
        <w:t xml:space="preserve">service </w:t>
      </w:r>
      <w:r w:rsidR="00212BDF" w:rsidRPr="00EB11D3">
        <w:rPr>
          <w:szCs w:val="24"/>
        </w:rPr>
        <w:t xml:space="preserve">delivery in Kenya. </w:t>
      </w:r>
      <w:r w:rsidR="00333724" w:rsidRPr="00EB11D3">
        <w:rPr>
          <w:szCs w:val="24"/>
        </w:rPr>
        <w:t>However,</w:t>
      </w:r>
      <w:r w:rsidR="00212BDF" w:rsidRPr="00EB11D3">
        <w:rPr>
          <w:szCs w:val="24"/>
        </w:rPr>
        <w:t xml:space="preserve"> there is still need to justify their contribution by reviewing on their </w:t>
      </w:r>
      <w:r w:rsidR="00212BDF" w:rsidRPr="00EB11D3">
        <w:rPr>
          <w:szCs w:val="24"/>
          <w:shd w:val="clear" w:color="auto" w:fill="FFFFFF"/>
        </w:rPr>
        <w:t>adherence to laid down corporate governance, government policies and the service innovation strategies and evaluate general contributions to the performance of the hospitals</w:t>
      </w:r>
      <w:r w:rsidR="00212BDF" w:rsidRPr="00EB11D3">
        <w:rPr>
          <w:szCs w:val="24"/>
        </w:rPr>
        <w:t xml:space="preserve">.  </w:t>
      </w:r>
      <w:r w:rsidR="00AA7ABA" w:rsidRPr="00EB11D3">
        <w:rPr>
          <w:szCs w:val="24"/>
        </w:rPr>
        <w:t>The relevance of the study was examined in three folds; theory, policy and practice.</w:t>
      </w:r>
    </w:p>
    <w:p w14:paraId="274C121A" w14:textId="77777777" w:rsidR="000704D6" w:rsidRPr="00EB11D3" w:rsidRDefault="000704D6">
      <w:pPr>
        <w:shd w:val="clear" w:color="auto" w:fill="FFFFFF"/>
        <w:autoSpaceDE w:val="0"/>
        <w:autoSpaceDN w:val="0"/>
        <w:adjustRightInd w:val="0"/>
        <w:spacing w:after="0" w:line="360" w:lineRule="auto"/>
        <w:rPr>
          <w:szCs w:val="24"/>
        </w:rPr>
      </w:pPr>
    </w:p>
    <w:p w14:paraId="2C5F4491" w14:textId="77777777" w:rsidR="000704D6" w:rsidRPr="00EB11D3" w:rsidRDefault="00212BDF">
      <w:pPr>
        <w:shd w:val="clear" w:color="auto" w:fill="FFFFFF"/>
        <w:autoSpaceDE w:val="0"/>
        <w:autoSpaceDN w:val="0"/>
        <w:adjustRightInd w:val="0"/>
        <w:spacing w:after="0" w:line="360" w:lineRule="auto"/>
        <w:rPr>
          <w:szCs w:val="24"/>
          <w:lang w:eastAsia="zh-CN"/>
        </w:rPr>
      </w:pPr>
      <w:r w:rsidRPr="00EB11D3">
        <w:rPr>
          <w:szCs w:val="24"/>
        </w:rPr>
        <w:t xml:space="preserve">On theory, the researchers and academicians may find the </w:t>
      </w:r>
      <w:r w:rsidR="000E4015" w:rsidRPr="00EB11D3">
        <w:rPr>
          <w:szCs w:val="24"/>
        </w:rPr>
        <w:t xml:space="preserve">Resource Dependence Theory </w:t>
      </w:r>
      <w:r w:rsidRPr="00EB11D3">
        <w:rPr>
          <w:szCs w:val="24"/>
        </w:rPr>
        <w:t xml:space="preserve">in this study instrumental in highlighting how corporate governance can help firms accelerate and improve their performance and service delivery. </w:t>
      </w:r>
      <w:r w:rsidR="00D06BD6" w:rsidRPr="00EB11D3">
        <w:rPr>
          <w:szCs w:val="24"/>
        </w:rPr>
        <w:t xml:space="preserve">The study </w:t>
      </w:r>
      <w:r w:rsidR="004A0818" w:rsidRPr="00EB11D3">
        <w:rPr>
          <w:szCs w:val="24"/>
        </w:rPr>
        <w:t>may</w:t>
      </w:r>
      <w:r w:rsidR="00D06BD6" w:rsidRPr="00EB11D3">
        <w:rPr>
          <w:szCs w:val="24"/>
        </w:rPr>
        <w:t xml:space="preserve"> also </w:t>
      </w:r>
      <w:r w:rsidR="00A03D1E">
        <w:rPr>
          <w:szCs w:val="24"/>
        </w:rPr>
        <w:t xml:space="preserve">be used in </w:t>
      </w:r>
      <w:r w:rsidR="00D06BD6" w:rsidRPr="00EB11D3">
        <w:rPr>
          <w:szCs w:val="24"/>
        </w:rPr>
        <w:t>scal</w:t>
      </w:r>
      <w:r w:rsidR="00A03D1E">
        <w:rPr>
          <w:szCs w:val="24"/>
        </w:rPr>
        <w:t>ing</w:t>
      </w:r>
      <w:r w:rsidR="00D06BD6" w:rsidRPr="00EB11D3">
        <w:rPr>
          <w:szCs w:val="24"/>
        </w:rPr>
        <w:t xml:space="preserve"> </w:t>
      </w:r>
      <w:r w:rsidR="00A03D1E">
        <w:rPr>
          <w:szCs w:val="24"/>
        </w:rPr>
        <w:t xml:space="preserve">up </w:t>
      </w:r>
      <w:r w:rsidR="00D06BD6" w:rsidRPr="00EB11D3">
        <w:rPr>
          <w:szCs w:val="24"/>
        </w:rPr>
        <w:t xml:space="preserve">corporate governance </w:t>
      </w:r>
      <w:r w:rsidR="00A03D1E">
        <w:rPr>
          <w:szCs w:val="24"/>
        </w:rPr>
        <w:t>in</w:t>
      </w:r>
      <w:r w:rsidR="00D06BD6" w:rsidRPr="00EB11D3">
        <w:rPr>
          <w:szCs w:val="24"/>
        </w:rPr>
        <w:t xml:space="preserve"> </w:t>
      </w:r>
      <w:r w:rsidR="00813F2C" w:rsidRPr="00EB11D3">
        <w:rPr>
          <w:szCs w:val="24"/>
        </w:rPr>
        <w:t>organisat</w:t>
      </w:r>
      <w:r w:rsidR="00D06BD6" w:rsidRPr="00EB11D3">
        <w:rPr>
          <w:szCs w:val="24"/>
        </w:rPr>
        <w:t xml:space="preserve">ion </w:t>
      </w:r>
      <w:r w:rsidR="00A03D1E">
        <w:rPr>
          <w:szCs w:val="24"/>
        </w:rPr>
        <w:t xml:space="preserve">by </w:t>
      </w:r>
      <w:r w:rsidR="00D06BD6" w:rsidRPr="00EB11D3">
        <w:rPr>
          <w:szCs w:val="24"/>
        </w:rPr>
        <w:t>assign</w:t>
      </w:r>
      <w:r w:rsidR="00A03D1E">
        <w:rPr>
          <w:szCs w:val="24"/>
        </w:rPr>
        <w:t>ing</w:t>
      </w:r>
      <w:r w:rsidR="00D06BD6" w:rsidRPr="00EB11D3">
        <w:rPr>
          <w:szCs w:val="24"/>
        </w:rPr>
        <w:t xml:space="preserve"> a governance score to each firm, making it feasible to </w:t>
      </w:r>
      <w:r w:rsidR="00A03D1E">
        <w:rPr>
          <w:szCs w:val="24"/>
        </w:rPr>
        <w:t>evaluate</w:t>
      </w:r>
      <w:r w:rsidR="00D06BD6" w:rsidRPr="00EB11D3">
        <w:rPr>
          <w:szCs w:val="24"/>
        </w:rPr>
        <w:t xml:space="preserve"> </w:t>
      </w:r>
      <w:r w:rsidR="00851463">
        <w:rPr>
          <w:szCs w:val="24"/>
        </w:rPr>
        <w:t>non-</w:t>
      </w:r>
      <w:r w:rsidR="00851463" w:rsidRPr="00EB11D3">
        <w:rPr>
          <w:szCs w:val="24"/>
        </w:rPr>
        <w:t>financial</w:t>
      </w:r>
      <w:r w:rsidR="00D06BD6" w:rsidRPr="00EB11D3">
        <w:rPr>
          <w:szCs w:val="24"/>
        </w:rPr>
        <w:t xml:space="preserve"> and economic performance using the governance score </w:t>
      </w:r>
      <w:r w:rsidR="00A03D1E">
        <w:rPr>
          <w:szCs w:val="24"/>
        </w:rPr>
        <w:t>to</w:t>
      </w:r>
      <w:r w:rsidR="00D06BD6" w:rsidRPr="00EB11D3">
        <w:rPr>
          <w:szCs w:val="24"/>
        </w:rPr>
        <w:t xml:space="preserve"> assess its efficacy. </w:t>
      </w:r>
      <w:r w:rsidR="00AE6748" w:rsidRPr="00EB11D3">
        <w:rPr>
          <w:szCs w:val="24"/>
        </w:rPr>
        <w:t xml:space="preserve">This study </w:t>
      </w:r>
      <w:r w:rsidR="00C500FE" w:rsidRPr="00EB11D3">
        <w:rPr>
          <w:szCs w:val="24"/>
        </w:rPr>
        <w:t>also carried out a</w:t>
      </w:r>
      <w:r w:rsidR="00AE6748" w:rsidRPr="00EB11D3">
        <w:rPr>
          <w:szCs w:val="24"/>
        </w:rPr>
        <w:t xml:space="preserve"> cross-sectional analysis to assess how corporate governance and performance are related.</w:t>
      </w:r>
    </w:p>
    <w:p w14:paraId="5DD62F56" w14:textId="77777777" w:rsidR="00D66DCF" w:rsidRPr="00EB11D3" w:rsidRDefault="00D66DCF" w:rsidP="00333724">
      <w:pPr>
        <w:widowControl w:val="0"/>
        <w:autoSpaceDE w:val="0"/>
        <w:autoSpaceDN w:val="0"/>
        <w:adjustRightInd w:val="0"/>
        <w:spacing w:line="360" w:lineRule="auto"/>
        <w:contextualSpacing/>
        <w:rPr>
          <w:szCs w:val="24"/>
        </w:rPr>
      </w:pPr>
      <w:bookmarkStart w:id="155" w:name="_Hlk132181101"/>
    </w:p>
    <w:p w14:paraId="7CE2ED13" w14:textId="77777777" w:rsidR="004300E8" w:rsidRPr="00EB11D3" w:rsidRDefault="00A2481A" w:rsidP="00333724">
      <w:pPr>
        <w:widowControl w:val="0"/>
        <w:autoSpaceDE w:val="0"/>
        <w:autoSpaceDN w:val="0"/>
        <w:adjustRightInd w:val="0"/>
        <w:spacing w:line="360" w:lineRule="auto"/>
        <w:contextualSpacing/>
        <w:rPr>
          <w:szCs w:val="24"/>
        </w:rPr>
      </w:pPr>
      <w:r w:rsidRPr="00EB11D3">
        <w:rPr>
          <w:szCs w:val="24"/>
        </w:rPr>
        <w:t>On policy, t</w:t>
      </w:r>
      <w:r w:rsidR="00984B5E" w:rsidRPr="00EB11D3">
        <w:rPr>
          <w:szCs w:val="24"/>
        </w:rPr>
        <w:t>he findings</w:t>
      </w:r>
      <w:r w:rsidR="0023764D" w:rsidRPr="00EB11D3">
        <w:rPr>
          <w:szCs w:val="24"/>
        </w:rPr>
        <w:t xml:space="preserve"> </w:t>
      </w:r>
      <w:r w:rsidR="004A0818" w:rsidRPr="00EB11D3">
        <w:rPr>
          <w:szCs w:val="24"/>
        </w:rPr>
        <w:t xml:space="preserve">may </w:t>
      </w:r>
      <w:r w:rsidR="0023764D" w:rsidRPr="00EB11D3">
        <w:rPr>
          <w:szCs w:val="24"/>
        </w:rPr>
        <w:t xml:space="preserve">enable </w:t>
      </w:r>
      <w:r w:rsidR="00212BDF" w:rsidRPr="00EB11D3">
        <w:rPr>
          <w:szCs w:val="24"/>
        </w:rPr>
        <w:t xml:space="preserve">policy makers and </w:t>
      </w:r>
      <w:r w:rsidR="0023764D" w:rsidRPr="00EB11D3">
        <w:rPr>
          <w:szCs w:val="24"/>
        </w:rPr>
        <w:t xml:space="preserve">quality assurance managers to enact </w:t>
      </w:r>
      <w:r w:rsidR="00212BDF" w:rsidRPr="00EB11D3">
        <w:rPr>
          <w:szCs w:val="24"/>
        </w:rPr>
        <w:t xml:space="preserve">highly modified policies as well as the measures to improve corporate governance, </w:t>
      </w:r>
      <w:r w:rsidR="007A29E6" w:rsidRPr="00EB11D3">
        <w:rPr>
          <w:szCs w:val="24"/>
        </w:rPr>
        <w:t xml:space="preserve">service </w:t>
      </w:r>
      <w:r w:rsidR="00212BDF" w:rsidRPr="00EB11D3">
        <w:rPr>
          <w:szCs w:val="24"/>
        </w:rPr>
        <w:t xml:space="preserve">innovation in </w:t>
      </w:r>
      <w:r w:rsidR="0038019E" w:rsidRPr="00EB11D3">
        <w:rPr>
          <w:szCs w:val="24"/>
        </w:rPr>
        <w:t>Faith-based</w:t>
      </w:r>
      <w:r w:rsidR="00212BDF" w:rsidRPr="00EB11D3">
        <w:rPr>
          <w:szCs w:val="24"/>
        </w:rPr>
        <w:t xml:space="preserve"> Hospitals </w:t>
      </w:r>
      <w:r w:rsidR="007A29E6" w:rsidRPr="00EB11D3">
        <w:rPr>
          <w:szCs w:val="24"/>
        </w:rPr>
        <w:t>that would lead to competitive advantage</w:t>
      </w:r>
      <w:r w:rsidR="00212BDF" w:rsidRPr="00EB11D3">
        <w:rPr>
          <w:szCs w:val="24"/>
        </w:rPr>
        <w:t xml:space="preserve"> hence attracting</w:t>
      </w:r>
      <w:r w:rsidR="003A0374" w:rsidRPr="00EB11D3">
        <w:rPr>
          <w:szCs w:val="24"/>
        </w:rPr>
        <w:t xml:space="preserve"> and retaining </w:t>
      </w:r>
      <w:r w:rsidR="00212BDF" w:rsidRPr="00EB11D3">
        <w:rPr>
          <w:szCs w:val="24"/>
        </w:rPr>
        <w:t xml:space="preserve">more clients. </w:t>
      </w:r>
      <w:bookmarkEnd w:id="155"/>
      <w:r w:rsidR="00212BDF" w:rsidRPr="00EB11D3">
        <w:rPr>
          <w:szCs w:val="24"/>
        </w:rPr>
        <w:t xml:space="preserve">The detailed research findings </w:t>
      </w:r>
      <w:r w:rsidR="004A0818" w:rsidRPr="00EB11D3">
        <w:rPr>
          <w:szCs w:val="24"/>
        </w:rPr>
        <w:t>may</w:t>
      </w:r>
      <w:r w:rsidR="00212BDF" w:rsidRPr="00EB11D3">
        <w:rPr>
          <w:szCs w:val="24"/>
        </w:rPr>
        <w:t xml:space="preserve"> be helpful to the strategic management policy makers in modifying their structures so as to enhance their medical services in their facilities. This study </w:t>
      </w:r>
      <w:r w:rsidR="00EA418F" w:rsidRPr="00EB11D3">
        <w:rPr>
          <w:szCs w:val="24"/>
        </w:rPr>
        <w:t xml:space="preserve">may </w:t>
      </w:r>
      <w:r w:rsidR="00D55989" w:rsidRPr="00EB11D3">
        <w:rPr>
          <w:szCs w:val="24"/>
        </w:rPr>
        <w:t>contribute t</w:t>
      </w:r>
      <w:r w:rsidR="00EA418F" w:rsidRPr="00EB11D3">
        <w:rPr>
          <w:szCs w:val="24"/>
        </w:rPr>
        <w:t>o</w:t>
      </w:r>
      <w:r w:rsidR="00212BDF" w:rsidRPr="00EB11D3">
        <w:rPr>
          <w:szCs w:val="24"/>
        </w:rPr>
        <w:t xml:space="preserve"> best service innovation strategies and how they </w:t>
      </w:r>
      <w:r w:rsidR="00EA418F" w:rsidRPr="00EB11D3">
        <w:rPr>
          <w:szCs w:val="24"/>
        </w:rPr>
        <w:t xml:space="preserve">may </w:t>
      </w:r>
      <w:r w:rsidR="00212BDF" w:rsidRPr="00EB11D3">
        <w:rPr>
          <w:szCs w:val="24"/>
        </w:rPr>
        <w:t xml:space="preserve">play a vital role on the both stakeholders and in managing the medical facility and performance there hitherto. </w:t>
      </w:r>
      <w:r w:rsidR="00CC473C" w:rsidRPr="00EB11D3">
        <w:rPr>
          <w:szCs w:val="24"/>
        </w:rPr>
        <w:t xml:space="preserve">Through this study, </w:t>
      </w:r>
      <w:r w:rsidR="0038019E" w:rsidRPr="00EB11D3">
        <w:rPr>
          <w:szCs w:val="24"/>
        </w:rPr>
        <w:t>Faith-based</w:t>
      </w:r>
      <w:r w:rsidR="00CC473C" w:rsidRPr="00EB11D3">
        <w:rPr>
          <w:szCs w:val="24"/>
        </w:rPr>
        <w:t xml:space="preserve"> hospital in Kenya may be encouraged to comply with tax laws by adopting corporate governance standards. </w:t>
      </w:r>
      <w:r w:rsidR="00D55989" w:rsidRPr="00EB11D3">
        <w:rPr>
          <w:szCs w:val="24"/>
        </w:rPr>
        <w:t>The</w:t>
      </w:r>
      <w:r w:rsidR="00CC473C" w:rsidRPr="00EB11D3">
        <w:rPr>
          <w:szCs w:val="24"/>
        </w:rPr>
        <w:t xml:space="preserve"> study may also be instrumental in assisting stakeholders in different sectors to </w:t>
      </w:r>
      <w:r w:rsidR="00D55989" w:rsidRPr="00EB11D3">
        <w:rPr>
          <w:szCs w:val="24"/>
        </w:rPr>
        <w:t>craft</w:t>
      </w:r>
      <w:r w:rsidR="00CC473C" w:rsidRPr="00EB11D3">
        <w:rPr>
          <w:szCs w:val="24"/>
        </w:rPr>
        <w:t xml:space="preserve"> policies that would ensure transparency, responsibility, accountability and corporate governance are observed.</w:t>
      </w:r>
    </w:p>
    <w:p w14:paraId="28ADF541" w14:textId="77777777" w:rsidR="000704D6" w:rsidRPr="00EB11D3" w:rsidRDefault="000704D6" w:rsidP="00333724">
      <w:pPr>
        <w:widowControl w:val="0"/>
        <w:autoSpaceDE w:val="0"/>
        <w:autoSpaceDN w:val="0"/>
        <w:adjustRightInd w:val="0"/>
        <w:spacing w:line="360" w:lineRule="auto"/>
        <w:contextualSpacing/>
        <w:rPr>
          <w:szCs w:val="24"/>
          <w:lang w:eastAsia="zh-CN"/>
        </w:rPr>
      </w:pPr>
    </w:p>
    <w:p w14:paraId="34A68220" w14:textId="77777777" w:rsidR="00333724" w:rsidRPr="00EB11D3" w:rsidRDefault="00AE6748" w:rsidP="00333724">
      <w:pPr>
        <w:widowControl w:val="0"/>
        <w:autoSpaceDE w:val="0"/>
        <w:autoSpaceDN w:val="0"/>
        <w:adjustRightInd w:val="0"/>
        <w:spacing w:line="360" w:lineRule="auto"/>
        <w:contextualSpacing/>
        <w:rPr>
          <w:szCs w:val="24"/>
          <w:lang w:eastAsia="zh-CN"/>
        </w:rPr>
      </w:pPr>
      <w:r w:rsidRPr="00EB11D3">
        <w:rPr>
          <w:szCs w:val="24"/>
        </w:rPr>
        <w:t xml:space="preserve">Finally, the study </w:t>
      </w:r>
      <w:r w:rsidR="004A0818" w:rsidRPr="00EB11D3">
        <w:rPr>
          <w:szCs w:val="24"/>
        </w:rPr>
        <w:t>sought</w:t>
      </w:r>
      <w:r w:rsidR="000E4015" w:rsidRPr="00EB11D3">
        <w:rPr>
          <w:szCs w:val="24"/>
        </w:rPr>
        <w:t xml:space="preserve"> to </w:t>
      </w:r>
      <w:r w:rsidRPr="00EB11D3">
        <w:rPr>
          <w:szCs w:val="24"/>
        </w:rPr>
        <w:t>fill a</w:t>
      </w:r>
      <w:r w:rsidR="000E4015" w:rsidRPr="00EB11D3">
        <w:rPr>
          <w:szCs w:val="24"/>
        </w:rPr>
        <w:t>n</w:t>
      </w:r>
      <w:r w:rsidRPr="00EB11D3">
        <w:rPr>
          <w:szCs w:val="24"/>
        </w:rPr>
        <w:t xml:space="preserve"> </w:t>
      </w:r>
      <w:r w:rsidR="000E4015" w:rsidRPr="00EB11D3">
        <w:rPr>
          <w:szCs w:val="24"/>
        </w:rPr>
        <w:t xml:space="preserve">existing </w:t>
      </w:r>
      <w:r w:rsidRPr="00EB11D3">
        <w:rPr>
          <w:szCs w:val="24"/>
        </w:rPr>
        <w:t xml:space="preserve">gap </w:t>
      </w:r>
      <w:r w:rsidR="000E4015" w:rsidRPr="00EB11D3">
        <w:rPr>
          <w:szCs w:val="24"/>
        </w:rPr>
        <w:t>on the available literature</w:t>
      </w:r>
      <w:r w:rsidRPr="00EB11D3">
        <w:rPr>
          <w:szCs w:val="24"/>
        </w:rPr>
        <w:t xml:space="preserve"> on the relationship between corporate governance and </w:t>
      </w:r>
      <w:r w:rsidR="006D5C62" w:rsidRPr="00EB11D3">
        <w:rPr>
          <w:szCs w:val="24"/>
        </w:rPr>
        <w:t>organisational performance of Faith-Based Hospitals</w:t>
      </w:r>
      <w:r w:rsidRPr="00EB11D3">
        <w:rPr>
          <w:szCs w:val="24"/>
        </w:rPr>
        <w:t xml:space="preserve">, which may be useful to future researchers. </w:t>
      </w:r>
      <w:r w:rsidR="00212BDF" w:rsidRPr="00EB11D3">
        <w:rPr>
          <w:szCs w:val="24"/>
        </w:rPr>
        <w:t xml:space="preserve">This research may also be useful to future researchers because it gives them a chance to examine prior research and identify any gaps that need to be investigated. </w:t>
      </w:r>
      <w:r w:rsidR="00F16C88" w:rsidRPr="00F16C88">
        <w:rPr>
          <w:szCs w:val="24"/>
        </w:rPr>
        <w:t>Given the paucity of empirical research on corporate governance in Kenya, it is possible that the findings of the study will contribute to and advance the body of academic knowledge in the field of strategic management and leadership. Additionally, it is possible that the findings will increase academic literacy on effective corporate governance and provide guidance for the development of a corporate governance model that is workable. This is especially important in the context of a developing economy like Kenya</w:t>
      </w:r>
      <w:r w:rsidRPr="00EB11D3">
        <w:rPr>
          <w:szCs w:val="24"/>
        </w:rPr>
        <w:t>.</w:t>
      </w:r>
      <w:r w:rsidR="00212BDF" w:rsidRPr="00EB11D3">
        <w:rPr>
          <w:szCs w:val="24"/>
        </w:rPr>
        <w:t xml:space="preserve"> </w:t>
      </w:r>
      <w:r w:rsidR="00333724" w:rsidRPr="00EB11D3">
        <w:rPr>
          <w:szCs w:val="24"/>
        </w:rPr>
        <w:t xml:space="preserve">This research may create awareness in </w:t>
      </w:r>
      <w:r w:rsidR="0038019E" w:rsidRPr="00EB11D3">
        <w:rPr>
          <w:szCs w:val="24"/>
        </w:rPr>
        <w:t>Faith-based</w:t>
      </w:r>
      <w:r w:rsidR="00333724" w:rsidRPr="00EB11D3">
        <w:rPr>
          <w:szCs w:val="24"/>
        </w:rPr>
        <w:t xml:space="preserve"> </w:t>
      </w:r>
      <w:r w:rsidR="002E5F85" w:rsidRPr="00EB11D3">
        <w:rPr>
          <w:szCs w:val="24"/>
        </w:rPr>
        <w:t>h</w:t>
      </w:r>
      <w:r w:rsidR="00333724" w:rsidRPr="00EB11D3">
        <w:rPr>
          <w:szCs w:val="24"/>
        </w:rPr>
        <w:t xml:space="preserve">ospitals striving to improve service delivery and governance to boost demand from general populace. </w:t>
      </w:r>
      <w:r w:rsidR="0098088F" w:rsidRPr="00EB11D3">
        <w:rPr>
          <w:szCs w:val="24"/>
        </w:rPr>
        <w:t xml:space="preserve">The study may also help faith-based healthcare facilities vividly understand the relationship between corporate governance, service innovation, government regulations, and organisational performance, which is critical to having an unrivalled service delivery team that </w:t>
      </w:r>
      <w:r w:rsidR="005F23E2" w:rsidRPr="00EB11D3">
        <w:rPr>
          <w:szCs w:val="24"/>
        </w:rPr>
        <w:t xml:space="preserve">may </w:t>
      </w:r>
      <w:r w:rsidR="0098088F" w:rsidRPr="00EB11D3">
        <w:rPr>
          <w:szCs w:val="24"/>
        </w:rPr>
        <w:t>enable them win the trust of stakeholders.</w:t>
      </w:r>
      <w:r w:rsidR="00333724" w:rsidRPr="00EB11D3">
        <w:rPr>
          <w:szCs w:val="24"/>
        </w:rPr>
        <w:t xml:space="preserve">  The study outcomes may also be beneficial the researchers and add knowledge to the existing field of academia by providing new insights for reference in future research.</w:t>
      </w:r>
    </w:p>
    <w:p w14:paraId="72DAD259" w14:textId="77777777" w:rsidR="00DC0D7C" w:rsidRPr="00EB11D3" w:rsidRDefault="00212BDF">
      <w:pPr>
        <w:pStyle w:val="Heading2"/>
        <w:keepNext w:val="0"/>
        <w:keepLines w:val="0"/>
        <w:spacing w:before="100" w:beforeAutospacing="1" w:after="100" w:afterAutospacing="1" w:line="240" w:lineRule="auto"/>
        <w:jc w:val="both"/>
        <w:rPr>
          <w:szCs w:val="24"/>
        </w:rPr>
      </w:pPr>
      <w:bookmarkStart w:id="156" w:name="_Toc177387817"/>
      <w:r w:rsidRPr="00EB11D3">
        <w:rPr>
          <w:szCs w:val="24"/>
        </w:rPr>
        <w:t>1.</w:t>
      </w:r>
      <w:r w:rsidR="009A4F40" w:rsidRPr="00EB11D3">
        <w:rPr>
          <w:szCs w:val="24"/>
        </w:rPr>
        <w:t>5</w:t>
      </w:r>
      <w:r w:rsidRPr="00EB11D3">
        <w:rPr>
          <w:szCs w:val="24"/>
        </w:rPr>
        <w:t xml:space="preserve"> Scope of the Study</w:t>
      </w:r>
      <w:bookmarkEnd w:id="156"/>
    </w:p>
    <w:p w14:paraId="4FC4A089" w14:textId="77777777" w:rsidR="00DC0D7C" w:rsidRPr="00EB11D3" w:rsidRDefault="004661E1">
      <w:pPr>
        <w:spacing w:after="0" w:line="360" w:lineRule="auto"/>
        <w:contextualSpacing/>
        <w:rPr>
          <w:szCs w:val="24"/>
          <w:lang w:eastAsia="zh-CN"/>
        </w:rPr>
      </w:pPr>
      <w:r w:rsidRPr="004661E1">
        <w:rPr>
          <w:rFonts w:eastAsia="Times New Roman"/>
          <w:szCs w:val="24"/>
        </w:rPr>
        <w:lastRenderedPageBreak/>
        <w:t>The purpose of the study was to ascertain how Kenyan faith-based hospitals performed in relation to corporate governance, service innovation, and government regulations.</w:t>
      </w:r>
      <w:r w:rsidR="001F3D16" w:rsidRPr="00EB11D3">
        <w:rPr>
          <w:rFonts w:eastAsia="Times New Roman"/>
          <w:szCs w:val="24"/>
        </w:rPr>
        <w:t xml:space="preserve"> The research focus</w:t>
      </w:r>
      <w:r w:rsidR="00E83C89" w:rsidRPr="00EB11D3">
        <w:rPr>
          <w:rFonts w:eastAsia="Times New Roman"/>
          <w:szCs w:val="24"/>
        </w:rPr>
        <w:t>ed</w:t>
      </w:r>
      <w:r w:rsidR="001F3D16" w:rsidRPr="00EB11D3">
        <w:rPr>
          <w:rFonts w:eastAsia="Times New Roman"/>
          <w:szCs w:val="24"/>
        </w:rPr>
        <w:t xml:space="preserve"> on 115 faith-based hospitals in Kenya. This study </w:t>
      </w:r>
      <w:r w:rsidR="00F92AFB" w:rsidRPr="00EB11D3">
        <w:rPr>
          <w:rFonts w:eastAsia="Times New Roman"/>
          <w:szCs w:val="24"/>
        </w:rPr>
        <w:t>investigate</w:t>
      </w:r>
      <w:r w:rsidR="00E83C89" w:rsidRPr="00EB11D3">
        <w:rPr>
          <w:rFonts w:eastAsia="Times New Roman"/>
          <w:szCs w:val="24"/>
        </w:rPr>
        <w:t>d</w:t>
      </w:r>
      <w:r w:rsidR="001F3D16" w:rsidRPr="00EB11D3">
        <w:rPr>
          <w:rFonts w:eastAsia="Times New Roman"/>
          <w:szCs w:val="24"/>
        </w:rPr>
        <w:t xml:space="preserve"> on non-financial aspects of </w:t>
      </w:r>
      <w:r w:rsidR="00290ED4">
        <w:rPr>
          <w:rFonts w:eastAsia="Times New Roman"/>
          <w:szCs w:val="24"/>
        </w:rPr>
        <w:t xml:space="preserve">organisational performance of </w:t>
      </w:r>
      <w:r w:rsidR="003054A8">
        <w:rPr>
          <w:rFonts w:eastAsia="Times New Roman"/>
          <w:szCs w:val="24"/>
        </w:rPr>
        <w:t>faith-based</w:t>
      </w:r>
      <w:r w:rsidR="00290ED4">
        <w:rPr>
          <w:rFonts w:eastAsia="Times New Roman"/>
          <w:szCs w:val="24"/>
        </w:rPr>
        <w:t xml:space="preserve"> hospitals in Kenya</w:t>
      </w:r>
      <w:r w:rsidR="001F3D16" w:rsidRPr="00EB11D3">
        <w:rPr>
          <w:rFonts w:eastAsia="Times New Roman"/>
          <w:szCs w:val="24"/>
        </w:rPr>
        <w:t xml:space="preserve">. </w:t>
      </w:r>
      <w:r w:rsidR="00212BDF" w:rsidRPr="00EB11D3">
        <w:rPr>
          <w:rFonts w:eastAsia="Times New Roman"/>
          <w:szCs w:val="24"/>
        </w:rPr>
        <w:t>In this study</w:t>
      </w:r>
      <w:r w:rsidR="00D11793" w:rsidRPr="00EB11D3">
        <w:rPr>
          <w:rFonts w:eastAsia="Times New Roman"/>
          <w:szCs w:val="24"/>
        </w:rPr>
        <w:t>,</w:t>
      </w:r>
      <w:r w:rsidR="00212BDF" w:rsidRPr="00EB11D3">
        <w:rPr>
          <w:rFonts w:eastAsia="Times New Roman"/>
          <w:szCs w:val="24"/>
        </w:rPr>
        <w:t xml:space="preserve"> organisational performance </w:t>
      </w:r>
      <w:r w:rsidR="003835F1">
        <w:rPr>
          <w:rFonts w:eastAsia="Times New Roman"/>
          <w:szCs w:val="24"/>
        </w:rPr>
        <w:t>was tested using</w:t>
      </w:r>
      <w:r w:rsidR="00212BDF" w:rsidRPr="00EB11D3">
        <w:rPr>
          <w:rFonts w:eastAsia="Times New Roman"/>
          <w:szCs w:val="24"/>
        </w:rPr>
        <w:t xml:space="preserve"> customer </w:t>
      </w:r>
      <w:r w:rsidR="00212BDF" w:rsidRPr="00EB11D3">
        <w:rPr>
          <w:szCs w:val="24"/>
        </w:rPr>
        <w:t>satisfaction, efficiency, productivity</w:t>
      </w:r>
      <w:r w:rsidR="006A7E84" w:rsidRPr="00EB11D3">
        <w:rPr>
          <w:szCs w:val="24"/>
        </w:rPr>
        <w:t xml:space="preserve"> </w:t>
      </w:r>
      <w:r w:rsidR="00212BDF" w:rsidRPr="00EB11D3">
        <w:rPr>
          <w:szCs w:val="24"/>
        </w:rPr>
        <w:t>and growth trends</w:t>
      </w:r>
      <w:r w:rsidR="003711EE">
        <w:rPr>
          <w:szCs w:val="24"/>
        </w:rPr>
        <w:t xml:space="preserve"> as the indicators</w:t>
      </w:r>
      <w:r w:rsidR="00212BDF" w:rsidRPr="00EB11D3">
        <w:rPr>
          <w:szCs w:val="24"/>
        </w:rPr>
        <w:t xml:space="preserve">. </w:t>
      </w:r>
      <w:r w:rsidR="00B619C0" w:rsidRPr="00EB11D3">
        <w:rPr>
          <w:szCs w:val="24"/>
        </w:rPr>
        <w:t xml:space="preserve">The study population were level 4 and 5 Faith-based Hospitals (FBHs) in Kenya. According to Kenya Master Health Facility List 2023 statistics, there are 115 level 4 and 5 Faith-Based Hospitals in Kenya. The units of analysis comprised the 115 Level 4 and 5 Faith-Based Hospitals in Kenya. </w:t>
      </w:r>
      <w:r w:rsidR="00CA0DEA" w:rsidRPr="00EB11D3">
        <w:rPr>
          <w:szCs w:val="24"/>
        </w:rPr>
        <w:t>The study respondents include</w:t>
      </w:r>
      <w:r w:rsidR="00E83C89" w:rsidRPr="00EB11D3">
        <w:rPr>
          <w:szCs w:val="24"/>
        </w:rPr>
        <w:t>d</w:t>
      </w:r>
      <w:r w:rsidR="00CA0DEA" w:rsidRPr="00EB11D3">
        <w:rPr>
          <w:szCs w:val="24"/>
        </w:rPr>
        <w:t xml:space="preserve"> </w:t>
      </w:r>
      <w:r w:rsidR="00F92AFB" w:rsidRPr="00EB11D3">
        <w:rPr>
          <w:szCs w:val="24"/>
        </w:rPr>
        <w:t>one departmental head</w:t>
      </w:r>
      <w:r w:rsidR="00CA0DEA" w:rsidRPr="00EB11D3">
        <w:rPr>
          <w:szCs w:val="24"/>
        </w:rPr>
        <w:t xml:space="preserve"> from Administration, Finance and Clinical services departments of each Faith-based hospital. </w:t>
      </w:r>
      <w:r w:rsidR="00212BDF" w:rsidRPr="00EB11D3">
        <w:rPr>
          <w:szCs w:val="24"/>
        </w:rPr>
        <w:t xml:space="preserve">This study </w:t>
      </w:r>
      <w:r w:rsidR="00E83C89" w:rsidRPr="00EB11D3">
        <w:rPr>
          <w:szCs w:val="24"/>
        </w:rPr>
        <w:t>was</w:t>
      </w:r>
      <w:r w:rsidR="00212BDF" w:rsidRPr="00EB11D3">
        <w:rPr>
          <w:szCs w:val="24"/>
        </w:rPr>
        <w:t xml:space="preserve"> conducted between</w:t>
      </w:r>
      <w:r w:rsidR="00212BDF" w:rsidRPr="00EB11D3">
        <w:rPr>
          <w:rFonts w:eastAsia="Times New Roman"/>
          <w:szCs w:val="24"/>
        </w:rPr>
        <w:t xml:space="preserve"> January 2023 and November 202</w:t>
      </w:r>
      <w:r w:rsidR="00D66DCF" w:rsidRPr="00EB11D3">
        <w:rPr>
          <w:rFonts w:eastAsia="Times New Roman"/>
          <w:szCs w:val="24"/>
        </w:rPr>
        <w:t>4</w:t>
      </w:r>
      <w:r w:rsidR="00212BDF" w:rsidRPr="00EB11D3">
        <w:rPr>
          <w:rFonts w:eastAsia="Times New Roman"/>
          <w:szCs w:val="24"/>
        </w:rPr>
        <w:t>.</w:t>
      </w:r>
    </w:p>
    <w:p w14:paraId="454F7984" w14:textId="77777777" w:rsidR="00DC0D7C" w:rsidRPr="00EB11D3" w:rsidRDefault="00212BDF">
      <w:pPr>
        <w:pStyle w:val="Heading2"/>
        <w:keepNext w:val="0"/>
        <w:keepLines w:val="0"/>
        <w:spacing w:before="100" w:beforeAutospacing="1" w:after="100" w:afterAutospacing="1" w:line="240" w:lineRule="auto"/>
        <w:jc w:val="both"/>
        <w:rPr>
          <w:szCs w:val="24"/>
        </w:rPr>
      </w:pPr>
      <w:bookmarkStart w:id="157" w:name="_Toc177387818"/>
      <w:r w:rsidRPr="00EB11D3">
        <w:rPr>
          <w:szCs w:val="24"/>
        </w:rPr>
        <w:t>1.</w:t>
      </w:r>
      <w:r w:rsidR="009A4F40" w:rsidRPr="00EB11D3">
        <w:rPr>
          <w:szCs w:val="24"/>
        </w:rPr>
        <w:t>6</w:t>
      </w:r>
      <w:r w:rsidRPr="00EB11D3">
        <w:rPr>
          <w:szCs w:val="24"/>
        </w:rPr>
        <w:t xml:space="preserve"> Limitations of the Study</w:t>
      </w:r>
      <w:bookmarkEnd w:id="157"/>
    </w:p>
    <w:p w14:paraId="14F59D50" w14:textId="77777777" w:rsidR="002455B9" w:rsidRDefault="00FF0F57" w:rsidP="002455B9">
      <w:pPr>
        <w:widowControl w:val="0"/>
        <w:autoSpaceDE w:val="0"/>
        <w:autoSpaceDN w:val="0"/>
        <w:adjustRightInd w:val="0"/>
        <w:spacing w:before="240" w:line="360" w:lineRule="auto"/>
        <w:contextualSpacing/>
        <w:rPr>
          <w:szCs w:val="24"/>
        </w:rPr>
      </w:pPr>
      <w:r w:rsidRPr="00EB11D3">
        <w:rPr>
          <w:szCs w:val="24"/>
        </w:rPr>
        <w:t>This study experience</w:t>
      </w:r>
      <w:r w:rsidR="00EA418F" w:rsidRPr="00EB11D3">
        <w:rPr>
          <w:szCs w:val="24"/>
        </w:rPr>
        <w:t>d</w:t>
      </w:r>
      <w:r w:rsidRPr="00EB11D3">
        <w:rPr>
          <w:szCs w:val="24"/>
        </w:rPr>
        <w:t xml:space="preserve"> several drawbacks.</w:t>
      </w:r>
      <w:r w:rsidR="00CD16AE" w:rsidRPr="00EB11D3">
        <w:t xml:space="preserve"> </w:t>
      </w:r>
      <w:r w:rsidR="00F92AFB" w:rsidRPr="00EB11D3">
        <w:t>The response rate may be affected due to the busy schedule of the respondents</w:t>
      </w:r>
      <w:r w:rsidR="00CD16AE" w:rsidRPr="00EB11D3">
        <w:rPr>
          <w:szCs w:val="24"/>
        </w:rPr>
        <w:t xml:space="preserve">. </w:t>
      </w:r>
      <w:r w:rsidR="00F92AFB" w:rsidRPr="00EB11D3">
        <w:rPr>
          <w:szCs w:val="24"/>
        </w:rPr>
        <w:t xml:space="preserve">The researcher </w:t>
      </w:r>
      <w:r w:rsidR="002458AE" w:rsidRPr="00EB11D3">
        <w:rPr>
          <w:szCs w:val="24"/>
        </w:rPr>
        <w:t xml:space="preserve">agreed </w:t>
      </w:r>
      <w:r w:rsidR="00F92AFB" w:rsidRPr="00EB11D3">
        <w:rPr>
          <w:szCs w:val="24"/>
        </w:rPr>
        <w:t xml:space="preserve">with the respondents on their availability and a day of convenience. </w:t>
      </w:r>
      <w:r w:rsidR="00EA418F" w:rsidRPr="00EB11D3">
        <w:rPr>
          <w:szCs w:val="24"/>
        </w:rPr>
        <w:t xml:space="preserve">The researcher also arranged </w:t>
      </w:r>
      <w:r w:rsidR="00EA418F" w:rsidRPr="00EB11D3">
        <w:t>sessions with governing bodies of the respective FBH to help triangulate response from the management as well as help overcome this limitation.</w:t>
      </w:r>
      <w:r w:rsidR="00A83712">
        <w:t xml:space="preserve"> </w:t>
      </w:r>
      <w:r w:rsidR="00A83712" w:rsidRPr="00EB11D3">
        <w:rPr>
          <w:szCs w:val="24"/>
        </w:rPr>
        <w:t>Instead of external causes, the internal operations of hospitals are the main focus of this study.</w:t>
      </w:r>
      <w:r w:rsidR="003054A8">
        <w:rPr>
          <w:szCs w:val="24"/>
        </w:rPr>
        <w:t xml:space="preserve"> </w:t>
      </w:r>
      <w:r w:rsidR="00F92AFB" w:rsidRPr="00EB11D3">
        <w:rPr>
          <w:szCs w:val="24"/>
        </w:rPr>
        <w:t xml:space="preserve">The questionnaires </w:t>
      </w:r>
      <w:r w:rsidR="00EA418F" w:rsidRPr="00EB11D3">
        <w:rPr>
          <w:szCs w:val="24"/>
        </w:rPr>
        <w:t xml:space="preserve">were </w:t>
      </w:r>
      <w:r w:rsidR="00F92AFB" w:rsidRPr="00EB11D3">
        <w:rPr>
          <w:szCs w:val="24"/>
        </w:rPr>
        <w:t>also left with the respondents and collected at a later day so as to improve the response rate. Some of the respondents may shy away from giving very pertinent information due to sensitive nature.</w:t>
      </w:r>
      <w:r w:rsidR="00F92AFB" w:rsidRPr="00EB11D3">
        <w:rPr>
          <w:rStyle w:val="CommentReference"/>
        </w:rPr>
        <w:t xml:space="preserve"> </w:t>
      </w:r>
      <w:r w:rsidR="00F92AFB" w:rsidRPr="00EB11D3">
        <w:rPr>
          <w:szCs w:val="24"/>
        </w:rPr>
        <w:t xml:space="preserve">The researcher </w:t>
      </w:r>
      <w:r w:rsidR="00CA5B47" w:rsidRPr="00EB11D3">
        <w:rPr>
          <w:szCs w:val="24"/>
        </w:rPr>
        <w:t xml:space="preserve">overcame </w:t>
      </w:r>
      <w:r w:rsidR="00F92AFB" w:rsidRPr="00EB11D3">
        <w:rPr>
          <w:szCs w:val="24"/>
        </w:rPr>
        <w:t xml:space="preserve">this limitation by assuring the respondents of anonymity and </w:t>
      </w:r>
      <w:r w:rsidR="00F36FF1" w:rsidRPr="00EB11D3">
        <w:rPr>
          <w:szCs w:val="24"/>
        </w:rPr>
        <w:t xml:space="preserve">confidentiality. The respondents </w:t>
      </w:r>
      <w:r w:rsidR="00CA5B47" w:rsidRPr="00EB11D3">
        <w:rPr>
          <w:szCs w:val="24"/>
        </w:rPr>
        <w:t xml:space="preserve">were </w:t>
      </w:r>
      <w:r w:rsidR="00F36FF1" w:rsidRPr="00EB11D3">
        <w:rPr>
          <w:szCs w:val="24"/>
        </w:rPr>
        <w:t>informed that the study is purely for academic purpose.</w:t>
      </w:r>
      <w:r w:rsidR="00EA418F" w:rsidRPr="00EB11D3">
        <w:rPr>
          <w:szCs w:val="24"/>
        </w:rPr>
        <w:t xml:space="preserve"> </w:t>
      </w:r>
      <w:r w:rsidR="002455B9">
        <w:rPr>
          <w:szCs w:val="24"/>
        </w:rPr>
        <w:t xml:space="preserve">This study was founded on </w:t>
      </w:r>
      <w:r w:rsidR="002455B9" w:rsidRPr="00EB11D3">
        <w:rPr>
          <w:szCs w:val="24"/>
          <w:shd w:val="clear" w:color="auto" w:fill="FFFFFF"/>
        </w:rPr>
        <w:t>positivism philosophy</w:t>
      </w:r>
      <w:r w:rsidR="002455B9">
        <w:rPr>
          <w:szCs w:val="24"/>
          <w:shd w:val="clear" w:color="auto" w:fill="FFFFFF"/>
        </w:rPr>
        <w:t xml:space="preserve"> and guided by the </w:t>
      </w:r>
      <w:r w:rsidR="002455B9" w:rsidRPr="00EB11D3">
        <w:rPr>
          <w:szCs w:val="24"/>
        </w:rPr>
        <w:t>cross-sequential study</w:t>
      </w:r>
      <w:r w:rsidR="002455B9">
        <w:rPr>
          <w:szCs w:val="24"/>
        </w:rPr>
        <w:t xml:space="preserve"> which was complicated since in involved combining the </w:t>
      </w:r>
      <w:r w:rsidR="002455B9" w:rsidRPr="00EB11D3">
        <w:rPr>
          <w:szCs w:val="24"/>
        </w:rPr>
        <w:t>longitudinal and cross-sectional research designs</w:t>
      </w:r>
      <w:r w:rsidR="002455B9">
        <w:rPr>
          <w:szCs w:val="24"/>
        </w:rPr>
        <w:t>.</w:t>
      </w:r>
      <w:bookmarkStart w:id="158" w:name="_Toc177387819"/>
    </w:p>
    <w:p w14:paraId="2DA0D02B" w14:textId="77777777" w:rsidR="00DC0D7C" w:rsidRPr="00EB11D3" w:rsidRDefault="00212BDF" w:rsidP="002455B9">
      <w:pPr>
        <w:pStyle w:val="Heading2"/>
        <w:keepNext w:val="0"/>
        <w:keepLines w:val="0"/>
        <w:spacing w:before="100" w:beforeAutospacing="1" w:after="100" w:afterAutospacing="1" w:line="240" w:lineRule="auto"/>
        <w:jc w:val="both"/>
        <w:rPr>
          <w:szCs w:val="24"/>
        </w:rPr>
      </w:pPr>
      <w:r w:rsidRPr="00EB11D3">
        <w:rPr>
          <w:szCs w:val="24"/>
        </w:rPr>
        <w:t>1.</w:t>
      </w:r>
      <w:r w:rsidR="009A4F40" w:rsidRPr="00EB11D3">
        <w:rPr>
          <w:szCs w:val="24"/>
        </w:rPr>
        <w:t>7</w:t>
      </w:r>
      <w:r w:rsidRPr="00EB11D3">
        <w:rPr>
          <w:szCs w:val="24"/>
        </w:rPr>
        <w:t xml:space="preserve"> Delimitation of the Study</w:t>
      </w:r>
      <w:bookmarkEnd w:id="158"/>
    </w:p>
    <w:p w14:paraId="0D5ECDC0" w14:textId="77777777" w:rsidR="00DC0D7C" w:rsidRPr="00EB11D3" w:rsidRDefault="002353FB">
      <w:pPr>
        <w:widowControl w:val="0"/>
        <w:autoSpaceDE w:val="0"/>
        <w:autoSpaceDN w:val="0"/>
        <w:adjustRightInd w:val="0"/>
        <w:spacing w:line="360" w:lineRule="auto"/>
        <w:contextualSpacing/>
        <w:rPr>
          <w:szCs w:val="24"/>
        </w:rPr>
      </w:pPr>
      <w:r w:rsidRPr="00EB11D3">
        <w:rPr>
          <w:szCs w:val="24"/>
        </w:rPr>
        <w:t>This study aim</w:t>
      </w:r>
      <w:r w:rsidR="0007742A" w:rsidRPr="00EB11D3">
        <w:rPr>
          <w:szCs w:val="24"/>
        </w:rPr>
        <w:t>ed</w:t>
      </w:r>
      <w:r w:rsidRPr="00EB11D3">
        <w:rPr>
          <w:szCs w:val="24"/>
        </w:rPr>
        <w:t xml:space="preserve"> </w:t>
      </w:r>
      <w:r w:rsidR="0007742A" w:rsidRPr="00EB11D3">
        <w:rPr>
          <w:szCs w:val="24"/>
        </w:rPr>
        <w:t xml:space="preserve">at </w:t>
      </w:r>
      <w:r w:rsidRPr="00EB11D3">
        <w:rPr>
          <w:szCs w:val="24"/>
        </w:rPr>
        <w:t>ascertain</w:t>
      </w:r>
      <w:r w:rsidR="0007742A" w:rsidRPr="00EB11D3">
        <w:rPr>
          <w:szCs w:val="24"/>
        </w:rPr>
        <w:t>ing</w:t>
      </w:r>
      <w:r w:rsidRPr="00EB11D3">
        <w:rPr>
          <w:szCs w:val="24"/>
        </w:rPr>
        <w:t xml:space="preserve"> how corporate governance, service innovation, and government regulations affect the performance of faith-based hospitals in Kenya. </w:t>
      </w:r>
      <w:r w:rsidR="00DA0162" w:rsidRPr="00EB11D3">
        <w:rPr>
          <w:szCs w:val="24"/>
          <w:lang w:eastAsia="en-GB"/>
        </w:rPr>
        <w:t>P</w:t>
      </w:r>
      <w:r w:rsidR="00212BDF" w:rsidRPr="00EB11D3">
        <w:rPr>
          <w:szCs w:val="24"/>
          <w:lang w:eastAsia="en-GB"/>
        </w:rPr>
        <w:t xml:space="preserve">rior call to the target respondents </w:t>
      </w:r>
      <w:r w:rsidR="004E2277" w:rsidRPr="00EB11D3">
        <w:rPr>
          <w:szCs w:val="24"/>
          <w:lang w:eastAsia="en-GB"/>
        </w:rPr>
        <w:t>were</w:t>
      </w:r>
      <w:r w:rsidR="00DA0162" w:rsidRPr="00EB11D3">
        <w:rPr>
          <w:szCs w:val="24"/>
          <w:lang w:eastAsia="en-GB"/>
        </w:rPr>
        <w:t xml:space="preserve"> made to </w:t>
      </w:r>
      <w:r w:rsidR="00212BDF" w:rsidRPr="00EB11D3">
        <w:rPr>
          <w:szCs w:val="24"/>
          <w:lang w:eastAsia="en-GB"/>
        </w:rPr>
        <w:t>arrange for a day of convenience for them</w:t>
      </w:r>
      <w:r w:rsidR="00DA0162" w:rsidRPr="00EB11D3">
        <w:rPr>
          <w:szCs w:val="24"/>
          <w:lang w:eastAsia="en-GB"/>
        </w:rPr>
        <w:t xml:space="preserve"> to participate in the exercise.</w:t>
      </w:r>
      <w:r w:rsidR="00212BDF" w:rsidRPr="00EB11D3">
        <w:rPr>
          <w:szCs w:val="24"/>
          <w:lang w:eastAsia="en-GB"/>
        </w:rPr>
        <w:t xml:space="preserve">  </w:t>
      </w:r>
      <w:r w:rsidR="00983387" w:rsidRPr="00EB11D3">
        <w:rPr>
          <w:szCs w:val="24"/>
        </w:rPr>
        <w:t>To enter the hospitals, a letter of authorization from the Management University of Africa and a research permi</w:t>
      </w:r>
      <w:r w:rsidR="00A83712">
        <w:rPr>
          <w:szCs w:val="24"/>
        </w:rPr>
        <w:t>t were used</w:t>
      </w:r>
      <w:r w:rsidR="00983387" w:rsidRPr="00EB11D3">
        <w:rPr>
          <w:szCs w:val="24"/>
        </w:rPr>
        <w:t xml:space="preserve">. </w:t>
      </w:r>
      <w:r w:rsidR="00212BDF" w:rsidRPr="00EB11D3">
        <w:rPr>
          <w:szCs w:val="24"/>
        </w:rPr>
        <w:t>The researcher also s</w:t>
      </w:r>
      <w:r w:rsidR="004E2277" w:rsidRPr="00EB11D3">
        <w:rPr>
          <w:szCs w:val="24"/>
        </w:rPr>
        <w:t>ought</w:t>
      </w:r>
      <w:r w:rsidR="00212BDF" w:rsidRPr="00EB11D3">
        <w:rPr>
          <w:szCs w:val="24"/>
        </w:rPr>
        <w:t xml:space="preserve"> official authorization from the selected Faith- Based Hospitals to collect data from their institutions. </w:t>
      </w:r>
    </w:p>
    <w:p w14:paraId="09080736" w14:textId="77777777" w:rsidR="00A234AC" w:rsidRPr="00EB11D3" w:rsidRDefault="00A234AC">
      <w:pPr>
        <w:widowControl w:val="0"/>
        <w:autoSpaceDE w:val="0"/>
        <w:autoSpaceDN w:val="0"/>
        <w:adjustRightInd w:val="0"/>
        <w:spacing w:line="360" w:lineRule="auto"/>
        <w:contextualSpacing/>
        <w:rPr>
          <w:szCs w:val="24"/>
        </w:rPr>
      </w:pPr>
    </w:p>
    <w:p w14:paraId="14094889" w14:textId="77777777" w:rsidR="00A234AC" w:rsidRPr="00EB11D3" w:rsidRDefault="00A234AC">
      <w:pPr>
        <w:widowControl w:val="0"/>
        <w:autoSpaceDE w:val="0"/>
        <w:autoSpaceDN w:val="0"/>
        <w:adjustRightInd w:val="0"/>
        <w:spacing w:line="360" w:lineRule="auto"/>
        <w:contextualSpacing/>
        <w:rPr>
          <w:szCs w:val="24"/>
        </w:rPr>
      </w:pPr>
      <w:r w:rsidRPr="00EB11D3">
        <w:rPr>
          <w:szCs w:val="24"/>
        </w:rPr>
        <w:t xml:space="preserve">Performance is significantly influenced by external influences in addition to internal factors. Patient records, </w:t>
      </w:r>
      <w:r w:rsidR="004963A9" w:rsidRPr="00EB11D3">
        <w:rPr>
          <w:szCs w:val="24"/>
        </w:rPr>
        <w:t>d</w:t>
      </w:r>
      <w:r w:rsidRPr="00EB11D3">
        <w:rPr>
          <w:szCs w:val="24"/>
        </w:rPr>
        <w:t xml:space="preserve">rug records, </w:t>
      </w:r>
      <w:r w:rsidR="004963A9" w:rsidRPr="00EB11D3">
        <w:rPr>
          <w:szCs w:val="24"/>
        </w:rPr>
        <w:t>s</w:t>
      </w:r>
      <w:r w:rsidRPr="00EB11D3">
        <w:rPr>
          <w:szCs w:val="24"/>
        </w:rPr>
        <w:t>taff retention list, archive and retrieval policies, and economic inflation may have a more significant impact on performance than on how hospitals are regulated and monitored internally. The study focus</w:t>
      </w:r>
      <w:r w:rsidR="004E2277" w:rsidRPr="00EB11D3">
        <w:rPr>
          <w:szCs w:val="24"/>
        </w:rPr>
        <w:t>ed</w:t>
      </w:r>
      <w:r w:rsidRPr="00EB11D3">
        <w:rPr>
          <w:szCs w:val="24"/>
        </w:rPr>
        <w:t xml:space="preserve"> only on faith-based hospitals in Kenya; hence the general analysis and interventions of other hospitals may present a completely different picture thus, conclusions made from this study may not necessarily apply to the </w:t>
      </w:r>
      <w:r w:rsidR="00DA2D46">
        <w:rPr>
          <w:szCs w:val="24"/>
        </w:rPr>
        <w:t xml:space="preserve">public and </w:t>
      </w:r>
      <w:r w:rsidRPr="00EB11D3">
        <w:rPr>
          <w:szCs w:val="24"/>
        </w:rPr>
        <w:t>private hospitals.</w:t>
      </w:r>
    </w:p>
    <w:p w14:paraId="43305FCC" w14:textId="77777777" w:rsidR="00DC0D7C" w:rsidRPr="00EB11D3" w:rsidRDefault="00212BDF">
      <w:pPr>
        <w:pStyle w:val="Heading2"/>
        <w:keepNext w:val="0"/>
        <w:keepLines w:val="0"/>
        <w:spacing w:before="100" w:beforeAutospacing="1" w:after="100" w:afterAutospacing="1" w:line="240" w:lineRule="auto"/>
        <w:jc w:val="both"/>
        <w:rPr>
          <w:szCs w:val="24"/>
        </w:rPr>
      </w:pPr>
      <w:bookmarkStart w:id="159" w:name="_Toc177387820"/>
      <w:r w:rsidRPr="00EB11D3">
        <w:rPr>
          <w:szCs w:val="24"/>
        </w:rPr>
        <w:t>1.</w:t>
      </w:r>
      <w:r w:rsidR="009A4F40" w:rsidRPr="00EB11D3">
        <w:rPr>
          <w:szCs w:val="24"/>
        </w:rPr>
        <w:t>8</w:t>
      </w:r>
      <w:r w:rsidRPr="00EB11D3">
        <w:rPr>
          <w:szCs w:val="24"/>
        </w:rPr>
        <w:t xml:space="preserve"> Chapter Summary</w:t>
      </w:r>
      <w:bookmarkEnd w:id="159"/>
    </w:p>
    <w:p w14:paraId="31D7FF82" w14:textId="77777777" w:rsidR="00DC0D7C" w:rsidRPr="00EB11D3" w:rsidRDefault="00AF4252">
      <w:pPr>
        <w:spacing w:after="0" w:line="360" w:lineRule="auto"/>
        <w:rPr>
          <w:szCs w:val="24"/>
        </w:rPr>
      </w:pPr>
      <w:r w:rsidRPr="00EB11D3">
        <w:rPr>
          <w:szCs w:val="24"/>
        </w:rPr>
        <w:t>This chapter discusse</w:t>
      </w:r>
      <w:r w:rsidR="006B15D0" w:rsidRPr="00EB11D3">
        <w:rPr>
          <w:szCs w:val="24"/>
        </w:rPr>
        <w:t>d</w:t>
      </w:r>
      <w:r w:rsidRPr="00EB11D3">
        <w:rPr>
          <w:szCs w:val="24"/>
        </w:rPr>
        <w:t xml:space="preserve"> the study's dimensions, background, problem statements, objectives and highlights the study's scope, significance, limitations, and delimitations.</w:t>
      </w:r>
      <w:r w:rsidR="00D37C2B" w:rsidRPr="00EB11D3">
        <w:rPr>
          <w:szCs w:val="24"/>
        </w:rPr>
        <w:t xml:space="preserve"> The background of the study </w:t>
      </w:r>
      <w:r w:rsidR="003556B7" w:rsidRPr="00EB11D3">
        <w:rPr>
          <w:szCs w:val="24"/>
        </w:rPr>
        <w:t xml:space="preserve">gives a funnel foundation to the research problem highlighting the </w:t>
      </w:r>
      <w:r w:rsidR="00C15A04" w:rsidRPr="00EB11D3">
        <w:rPr>
          <w:szCs w:val="24"/>
        </w:rPr>
        <w:t xml:space="preserve">extant findings on the interactions between the variables. </w:t>
      </w:r>
      <w:r w:rsidR="00907443" w:rsidRPr="00EB11D3">
        <w:rPr>
          <w:szCs w:val="24"/>
        </w:rPr>
        <w:t>The problem statement highlights the need for the study giving a course of action for solving the problem.</w:t>
      </w:r>
    </w:p>
    <w:p w14:paraId="4671F55E" w14:textId="77777777" w:rsidR="00B957D3" w:rsidRPr="00EB11D3" w:rsidRDefault="00B957D3">
      <w:pPr>
        <w:spacing w:after="0" w:line="240" w:lineRule="auto"/>
        <w:jc w:val="left"/>
        <w:rPr>
          <w:rFonts w:eastAsia="DengXian Light"/>
          <w:b/>
          <w:szCs w:val="24"/>
        </w:rPr>
      </w:pPr>
      <w:r w:rsidRPr="00EB11D3">
        <w:rPr>
          <w:szCs w:val="24"/>
        </w:rPr>
        <w:br w:type="page"/>
      </w:r>
    </w:p>
    <w:p w14:paraId="1CDEFA81" w14:textId="77777777" w:rsidR="00DC0D7C" w:rsidRPr="00EB11D3" w:rsidRDefault="00212BDF" w:rsidP="004F2FB6">
      <w:pPr>
        <w:pStyle w:val="Heading1"/>
        <w:spacing w:before="0" w:line="360" w:lineRule="auto"/>
        <w:rPr>
          <w:szCs w:val="24"/>
        </w:rPr>
      </w:pPr>
      <w:bookmarkStart w:id="160" w:name="_Toc177387821"/>
      <w:r w:rsidRPr="00EB11D3">
        <w:rPr>
          <w:szCs w:val="24"/>
        </w:rPr>
        <w:t>CHAPTER TWO</w:t>
      </w:r>
      <w:bookmarkEnd w:id="160"/>
    </w:p>
    <w:p w14:paraId="313CFB29" w14:textId="77777777" w:rsidR="00DC0D7C" w:rsidRPr="00EB11D3" w:rsidRDefault="00212BDF" w:rsidP="004F2FB6">
      <w:pPr>
        <w:pStyle w:val="Heading1"/>
        <w:spacing w:before="0" w:line="360" w:lineRule="auto"/>
        <w:rPr>
          <w:szCs w:val="24"/>
        </w:rPr>
      </w:pPr>
      <w:bookmarkStart w:id="161" w:name="_Toc177387822"/>
      <w:r w:rsidRPr="00EB11D3">
        <w:rPr>
          <w:szCs w:val="24"/>
        </w:rPr>
        <w:t>LITERATURE REVIEW</w:t>
      </w:r>
      <w:bookmarkEnd w:id="161"/>
    </w:p>
    <w:p w14:paraId="0B7C14A3" w14:textId="77777777" w:rsidR="00DC0D7C" w:rsidRPr="00EB11D3" w:rsidRDefault="00212BDF">
      <w:pPr>
        <w:pStyle w:val="Heading2"/>
        <w:keepNext w:val="0"/>
        <w:keepLines w:val="0"/>
        <w:spacing w:before="100" w:beforeAutospacing="1" w:after="100" w:afterAutospacing="1" w:line="240" w:lineRule="auto"/>
        <w:jc w:val="both"/>
        <w:rPr>
          <w:bCs/>
          <w:szCs w:val="24"/>
        </w:rPr>
      </w:pPr>
      <w:bookmarkStart w:id="162" w:name="_Toc177387823"/>
      <w:r w:rsidRPr="00EB11D3">
        <w:rPr>
          <w:szCs w:val="24"/>
        </w:rPr>
        <w:t xml:space="preserve">2.0 </w:t>
      </w:r>
      <w:bookmarkStart w:id="163" w:name="_Toc517877108"/>
      <w:r w:rsidRPr="00EB11D3">
        <w:rPr>
          <w:bCs/>
          <w:szCs w:val="24"/>
        </w:rPr>
        <w:t>Introduction</w:t>
      </w:r>
      <w:bookmarkEnd w:id="162"/>
    </w:p>
    <w:p w14:paraId="3230624B" w14:textId="77777777" w:rsidR="00DC0D7C" w:rsidRPr="00EB11D3" w:rsidRDefault="00212BDF">
      <w:pPr>
        <w:spacing w:line="360" w:lineRule="auto"/>
        <w:rPr>
          <w:szCs w:val="24"/>
        </w:rPr>
      </w:pPr>
      <w:r w:rsidRPr="00EB11D3">
        <w:rPr>
          <w:szCs w:val="24"/>
        </w:rPr>
        <w:t xml:space="preserve">The chapter reviews relevant literature for this study with a more integrative focus.  </w:t>
      </w:r>
      <w:r w:rsidR="00B957D3" w:rsidRPr="00EB11D3">
        <w:rPr>
          <w:szCs w:val="24"/>
        </w:rPr>
        <w:t>The</w:t>
      </w:r>
      <w:r w:rsidRPr="00EB11D3">
        <w:rPr>
          <w:szCs w:val="24"/>
        </w:rPr>
        <w:t xml:space="preserve"> chapter </w:t>
      </w:r>
      <w:r w:rsidR="00804C3A" w:rsidRPr="00EB11D3">
        <w:rPr>
          <w:szCs w:val="24"/>
        </w:rPr>
        <w:t xml:space="preserve">highlights theories that guide the study and </w:t>
      </w:r>
      <w:r w:rsidRPr="00EB11D3">
        <w:rPr>
          <w:szCs w:val="24"/>
        </w:rPr>
        <w:t xml:space="preserve">the </w:t>
      </w:r>
      <w:r w:rsidR="00B957D3" w:rsidRPr="00EB11D3">
        <w:rPr>
          <w:szCs w:val="24"/>
        </w:rPr>
        <w:t>empirical</w:t>
      </w:r>
      <w:r w:rsidRPr="00EB11D3">
        <w:rPr>
          <w:szCs w:val="24"/>
        </w:rPr>
        <w:t xml:space="preserve"> review </w:t>
      </w:r>
      <w:r w:rsidR="008D5243" w:rsidRPr="00EB11D3">
        <w:rPr>
          <w:szCs w:val="24"/>
        </w:rPr>
        <w:t>giving</w:t>
      </w:r>
      <w:r w:rsidRPr="00EB11D3">
        <w:rPr>
          <w:szCs w:val="24"/>
        </w:rPr>
        <w:t xml:space="preserve"> dimensions of corporate governance, service innovation, government regulations and their relation to organisational performance.</w:t>
      </w:r>
      <w:r w:rsidR="00221996" w:rsidRPr="00EB11D3">
        <w:rPr>
          <w:szCs w:val="24"/>
        </w:rPr>
        <w:t xml:space="preserve"> It also emphasises the conceptual framework and operationalization of research variables. The summary of the literature review, knowledge gaps, and study hypotheses are also presented.</w:t>
      </w:r>
      <w:r w:rsidRPr="00EB11D3">
        <w:rPr>
          <w:szCs w:val="24"/>
        </w:rPr>
        <w:t xml:space="preserve"> </w:t>
      </w:r>
    </w:p>
    <w:p w14:paraId="0537B01D" w14:textId="77777777" w:rsidR="00DC0D7C" w:rsidRPr="00EB11D3" w:rsidRDefault="00212BDF" w:rsidP="004E005E">
      <w:pPr>
        <w:pStyle w:val="Heading2"/>
        <w:keepNext w:val="0"/>
        <w:keepLines w:val="0"/>
        <w:spacing w:before="100" w:beforeAutospacing="1" w:after="100" w:afterAutospacing="1" w:line="360" w:lineRule="auto"/>
        <w:contextualSpacing/>
        <w:jc w:val="both"/>
        <w:rPr>
          <w:bCs/>
          <w:szCs w:val="24"/>
        </w:rPr>
      </w:pPr>
      <w:bookmarkStart w:id="164" w:name="_Toc177387824"/>
      <w:r w:rsidRPr="00EB11D3">
        <w:rPr>
          <w:szCs w:val="24"/>
        </w:rPr>
        <w:t xml:space="preserve">2.1 </w:t>
      </w:r>
      <w:bookmarkStart w:id="165" w:name="_Toc132031155"/>
      <w:bookmarkStart w:id="166" w:name="_Toc127539506"/>
      <w:bookmarkStart w:id="167" w:name="_Toc517877111"/>
      <w:bookmarkEnd w:id="163"/>
      <w:r w:rsidRPr="00EB11D3">
        <w:rPr>
          <w:bCs/>
          <w:szCs w:val="24"/>
        </w:rPr>
        <w:t>Theoretical Literature Review</w:t>
      </w:r>
      <w:bookmarkEnd w:id="164"/>
    </w:p>
    <w:p w14:paraId="446C0C58" w14:textId="77777777" w:rsidR="00DC0D7C" w:rsidRPr="00EB11D3" w:rsidRDefault="00212BDF" w:rsidP="004E005E">
      <w:pPr>
        <w:pStyle w:val="ListParagraph"/>
        <w:spacing w:after="0" w:line="360" w:lineRule="auto"/>
        <w:ind w:left="0"/>
        <w:rPr>
          <w:szCs w:val="24"/>
        </w:rPr>
      </w:pPr>
      <w:r w:rsidRPr="00EB11D3">
        <w:rPr>
          <w:szCs w:val="24"/>
        </w:rPr>
        <w:t xml:space="preserve">The study </w:t>
      </w:r>
      <w:r w:rsidR="004E2277" w:rsidRPr="00EB11D3">
        <w:rPr>
          <w:szCs w:val="24"/>
        </w:rPr>
        <w:t>was</w:t>
      </w:r>
      <w:r w:rsidRPr="00EB11D3">
        <w:rPr>
          <w:szCs w:val="24"/>
        </w:rPr>
        <w:t xml:space="preserve"> anchored on the Resource Dependence Theory</w:t>
      </w:r>
      <w:r w:rsidR="00405139">
        <w:rPr>
          <w:szCs w:val="24"/>
        </w:rPr>
        <w:t xml:space="preserve"> </w:t>
      </w:r>
      <w:r w:rsidR="00405139" w:rsidRPr="00EB11D3">
        <w:rPr>
          <w:szCs w:val="24"/>
          <w:lang w:eastAsia="zh-CN"/>
        </w:rPr>
        <w:t>(RDT)</w:t>
      </w:r>
      <w:r w:rsidR="00F11220" w:rsidRPr="00EB11D3">
        <w:rPr>
          <w:szCs w:val="24"/>
        </w:rPr>
        <w:t xml:space="preserve">. </w:t>
      </w:r>
      <w:r w:rsidR="001B09F1" w:rsidRPr="00EB11D3">
        <w:rPr>
          <w:szCs w:val="24"/>
          <w:lang w:eastAsia="zh-CN"/>
        </w:rPr>
        <w:t xml:space="preserve">This theory </w:t>
      </w:r>
      <w:r w:rsidR="004E2277" w:rsidRPr="00EB11D3">
        <w:rPr>
          <w:szCs w:val="24"/>
          <w:lang w:eastAsia="zh-CN"/>
        </w:rPr>
        <w:t>was</w:t>
      </w:r>
      <w:r w:rsidR="001B09F1" w:rsidRPr="00EB11D3">
        <w:rPr>
          <w:szCs w:val="24"/>
          <w:lang w:eastAsia="zh-CN"/>
        </w:rPr>
        <w:t xml:space="preserve"> considered as an anchor since it explains most of the study variables. An anchor theory needs to explain at least two variables. </w:t>
      </w:r>
      <w:r w:rsidR="00F11220" w:rsidRPr="00EB11D3">
        <w:rPr>
          <w:szCs w:val="24"/>
        </w:rPr>
        <w:t>Th</w:t>
      </w:r>
      <w:r w:rsidR="00405139">
        <w:rPr>
          <w:szCs w:val="24"/>
        </w:rPr>
        <w:t>e RDT</w:t>
      </w:r>
      <w:r w:rsidR="00F11220" w:rsidRPr="00EB11D3">
        <w:rPr>
          <w:szCs w:val="24"/>
        </w:rPr>
        <w:t xml:space="preserve"> theory</w:t>
      </w:r>
      <w:r w:rsidRPr="00EB11D3">
        <w:rPr>
          <w:szCs w:val="24"/>
        </w:rPr>
        <w:t xml:space="preserve"> </w:t>
      </w:r>
      <w:r w:rsidR="00405139">
        <w:rPr>
          <w:szCs w:val="24"/>
        </w:rPr>
        <w:t>was used to explain</w:t>
      </w:r>
      <w:r w:rsidRPr="00EB11D3">
        <w:rPr>
          <w:szCs w:val="24"/>
        </w:rPr>
        <w:t xml:space="preserve"> organisational performance and </w:t>
      </w:r>
      <w:r w:rsidR="004E2277" w:rsidRPr="00EB11D3">
        <w:rPr>
          <w:szCs w:val="24"/>
        </w:rPr>
        <w:t>was</w:t>
      </w:r>
      <w:r w:rsidRPr="00EB11D3">
        <w:rPr>
          <w:szCs w:val="24"/>
        </w:rPr>
        <w:t xml:space="preserve"> complimented by the Agency theory, public interest theory and disruptive innovation theory. Corporate governance </w:t>
      </w:r>
      <w:r w:rsidR="002C632D" w:rsidRPr="00EB11D3">
        <w:rPr>
          <w:szCs w:val="24"/>
        </w:rPr>
        <w:t>was</w:t>
      </w:r>
      <w:r w:rsidRPr="00EB11D3">
        <w:rPr>
          <w:szCs w:val="24"/>
        </w:rPr>
        <w:t xml:space="preserve"> </w:t>
      </w:r>
      <w:r w:rsidR="00405139">
        <w:rPr>
          <w:szCs w:val="24"/>
        </w:rPr>
        <w:t>explained</w:t>
      </w:r>
      <w:r w:rsidRPr="00EB11D3">
        <w:rPr>
          <w:szCs w:val="24"/>
        </w:rPr>
        <w:t xml:space="preserve"> by the Agency theory. The </w:t>
      </w:r>
      <w:r w:rsidR="000B1367" w:rsidRPr="00EB11D3">
        <w:rPr>
          <w:szCs w:val="24"/>
          <w:lang w:eastAsia="zh-CN"/>
        </w:rPr>
        <w:t xml:space="preserve">theory of disruptive innovation </w:t>
      </w:r>
      <w:r w:rsidR="00405139">
        <w:rPr>
          <w:szCs w:val="24"/>
        </w:rPr>
        <w:t>explained</w:t>
      </w:r>
      <w:r w:rsidRPr="00EB11D3">
        <w:rPr>
          <w:szCs w:val="24"/>
        </w:rPr>
        <w:t xml:space="preserve"> the </w:t>
      </w:r>
      <w:r w:rsidR="00405139">
        <w:rPr>
          <w:szCs w:val="24"/>
        </w:rPr>
        <w:t xml:space="preserve">concept of </w:t>
      </w:r>
      <w:r w:rsidRPr="00EB11D3">
        <w:rPr>
          <w:szCs w:val="24"/>
        </w:rPr>
        <w:t xml:space="preserve">service innovation, while public interest theory </w:t>
      </w:r>
      <w:r w:rsidR="00405139">
        <w:rPr>
          <w:szCs w:val="24"/>
        </w:rPr>
        <w:t xml:space="preserve">explained </w:t>
      </w:r>
      <w:r w:rsidRPr="00EB11D3">
        <w:rPr>
          <w:szCs w:val="24"/>
        </w:rPr>
        <w:t xml:space="preserve">government regulations. The anchor theory </w:t>
      </w:r>
      <w:r w:rsidR="002C632D" w:rsidRPr="00EB11D3">
        <w:rPr>
          <w:szCs w:val="24"/>
        </w:rPr>
        <w:t>was</w:t>
      </w:r>
      <w:r w:rsidRPr="00EB11D3">
        <w:rPr>
          <w:szCs w:val="24"/>
        </w:rPr>
        <w:t xml:space="preserve"> complimented by the support theories, the assumptions and limitations of one theory </w:t>
      </w:r>
      <w:r w:rsidR="002C632D" w:rsidRPr="00EB11D3">
        <w:rPr>
          <w:szCs w:val="24"/>
        </w:rPr>
        <w:t>was</w:t>
      </w:r>
      <w:r w:rsidRPr="00EB11D3">
        <w:rPr>
          <w:szCs w:val="24"/>
        </w:rPr>
        <w:t xml:space="preserve"> complemented by the other theories.</w:t>
      </w:r>
    </w:p>
    <w:p w14:paraId="00227493" w14:textId="77777777" w:rsidR="006B15D0" w:rsidRPr="00EB11D3" w:rsidRDefault="006B15D0" w:rsidP="004E005E">
      <w:pPr>
        <w:pStyle w:val="ListParagraph"/>
        <w:spacing w:after="0" w:line="360" w:lineRule="auto"/>
        <w:ind w:left="0"/>
        <w:rPr>
          <w:szCs w:val="24"/>
        </w:rPr>
      </w:pPr>
    </w:p>
    <w:p w14:paraId="44DECE65" w14:textId="77777777" w:rsidR="00773150" w:rsidRPr="00EB11D3" w:rsidRDefault="00212BDF" w:rsidP="00AD1CB7">
      <w:pPr>
        <w:pStyle w:val="Heading3"/>
      </w:pPr>
      <w:bookmarkStart w:id="168" w:name="_Toc134174642"/>
      <w:bookmarkStart w:id="169" w:name="_Toc135405678"/>
      <w:bookmarkStart w:id="170" w:name="_Toc135405784"/>
      <w:bookmarkStart w:id="171" w:name="_Toc135405861"/>
      <w:bookmarkStart w:id="172" w:name="_Toc135938073"/>
      <w:bookmarkStart w:id="173" w:name="_Toc135938279"/>
      <w:bookmarkStart w:id="174" w:name="_Toc140111842"/>
      <w:bookmarkStart w:id="175" w:name="_Toc153052069"/>
      <w:bookmarkStart w:id="176" w:name="_Toc164148946"/>
      <w:bookmarkStart w:id="177" w:name="_Toc164151207"/>
      <w:bookmarkStart w:id="178" w:name="_Toc168673399"/>
      <w:bookmarkStart w:id="179" w:name="_Toc168737841"/>
      <w:bookmarkStart w:id="180" w:name="_Toc171602593"/>
      <w:bookmarkStart w:id="181" w:name="_Toc171603420"/>
      <w:bookmarkStart w:id="182" w:name="_Toc177387825"/>
      <w:bookmarkStart w:id="183" w:name="_Toc132709392"/>
      <w:bookmarkStart w:id="184" w:name="_Toc132709919"/>
      <w:r w:rsidRPr="00EB11D3">
        <w:t xml:space="preserve">2.1.1 </w:t>
      </w:r>
      <w:bookmarkEnd w:id="165"/>
      <w:bookmarkEnd w:id="166"/>
      <w:r w:rsidR="00773150" w:rsidRPr="00EB11D3">
        <w:t>Resource Dependence Theory</w:t>
      </w:r>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14:paraId="32A0CBDD" w14:textId="77777777" w:rsidR="00773150" w:rsidRPr="00EB11D3" w:rsidRDefault="00DA2D46" w:rsidP="00773150">
      <w:pPr>
        <w:spacing w:after="0" w:line="360" w:lineRule="auto"/>
        <w:rPr>
          <w:szCs w:val="24"/>
          <w:lang w:eastAsia="zh-CN"/>
        </w:rPr>
      </w:pPr>
      <w:r>
        <w:rPr>
          <w:szCs w:val="24"/>
          <w:lang w:eastAsia="zh-CN"/>
        </w:rPr>
        <w:t xml:space="preserve">The resource dependence theory was coined by </w:t>
      </w:r>
      <w:r w:rsidR="009C5121" w:rsidRPr="00EB11D3">
        <w:rPr>
          <w:szCs w:val="24"/>
          <w:lang w:eastAsia="zh-CN"/>
        </w:rPr>
        <w:t xml:space="preserve">Pfeffer and Salancik </w:t>
      </w:r>
      <w:r w:rsidR="00345E05">
        <w:rPr>
          <w:szCs w:val="24"/>
          <w:lang w:eastAsia="zh-CN"/>
        </w:rPr>
        <w:t>(</w:t>
      </w:r>
      <w:r w:rsidR="009C5121" w:rsidRPr="00EB11D3">
        <w:rPr>
          <w:szCs w:val="24"/>
          <w:lang w:eastAsia="zh-CN"/>
        </w:rPr>
        <w:t>1978</w:t>
      </w:r>
      <w:r w:rsidR="00345E05">
        <w:rPr>
          <w:szCs w:val="24"/>
          <w:lang w:eastAsia="zh-CN"/>
        </w:rPr>
        <w:t>)</w:t>
      </w:r>
      <w:r w:rsidR="00D11793" w:rsidRPr="00EB11D3">
        <w:rPr>
          <w:szCs w:val="24"/>
          <w:lang w:eastAsia="zh-CN"/>
        </w:rPr>
        <w:t xml:space="preserve">. The theory </w:t>
      </w:r>
      <w:r w:rsidR="00773150" w:rsidRPr="00EB11D3">
        <w:rPr>
          <w:szCs w:val="24"/>
          <w:lang w:eastAsia="zh-CN"/>
        </w:rPr>
        <w:t xml:space="preserve">describes how outside resources influence </w:t>
      </w:r>
      <w:r w:rsidR="00813F2C" w:rsidRPr="00EB11D3">
        <w:rPr>
          <w:szCs w:val="24"/>
          <w:lang w:eastAsia="zh-CN"/>
        </w:rPr>
        <w:t>organisat</w:t>
      </w:r>
      <w:r w:rsidR="00773150" w:rsidRPr="00EB11D3">
        <w:rPr>
          <w:szCs w:val="24"/>
          <w:lang w:eastAsia="zh-CN"/>
        </w:rPr>
        <w:t xml:space="preserve">ional behavior. </w:t>
      </w:r>
      <w:r w:rsidR="0063741F" w:rsidRPr="00EB11D3">
        <w:rPr>
          <w:szCs w:val="24"/>
          <w:lang w:eastAsia="zh-CN"/>
        </w:rPr>
        <w:t xml:space="preserve">The core principle behind </w:t>
      </w:r>
      <w:r w:rsidR="006E0E04" w:rsidRPr="00EB11D3">
        <w:rPr>
          <w:szCs w:val="24"/>
          <w:lang w:eastAsia="zh-CN"/>
        </w:rPr>
        <w:t>Resource Dependence Theory (</w:t>
      </w:r>
      <w:r w:rsidR="0063741F" w:rsidRPr="00EB11D3">
        <w:rPr>
          <w:szCs w:val="24"/>
          <w:lang w:eastAsia="zh-CN"/>
        </w:rPr>
        <w:t>RDT</w:t>
      </w:r>
      <w:r w:rsidR="006E0E04" w:rsidRPr="00EB11D3">
        <w:rPr>
          <w:szCs w:val="24"/>
          <w:lang w:eastAsia="zh-CN"/>
        </w:rPr>
        <w:t>)</w:t>
      </w:r>
      <w:r w:rsidR="0063741F" w:rsidRPr="00EB11D3">
        <w:rPr>
          <w:szCs w:val="24"/>
          <w:lang w:eastAsia="zh-CN"/>
        </w:rPr>
        <w:t xml:space="preserve"> is that, while constrained by their circumstances, managers can take action to reduce environmental unpredictability and reliance. </w:t>
      </w:r>
      <w:r w:rsidR="00825BE1" w:rsidRPr="00EB11D3">
        <w:rPr>
          <w:szCs w:val="24"/>
          <w:lang w:eastAsia="zh-CN"/>
        </w:rPr>
        <w:t xml:space="preserve">The theory is predicated on the idea that interactions with other people and </w:t>
      </w:r>
      <w:r w:rsidR="00813F2C" w:rsidRPr="00EB11D3">
        <w:rPr>
          <w:szCs w:val="24"/>
          <w:lang w:eastAsia="zh-CN"/>
        </w:rPr>
        <w:t>organisat</w:t>
      </w:r>
      <w:r w:rsidR="00825BE1" w:rsidRPr="00EB11D3">
        <w:rPr>
          <w:szCs w:val="24"/>
          <w:lang w:eastAsia="zh-CN"/>
        </w:rPr>
        <w:t xml:space="preserve">ions within an environment are necessary for an </w:t>
      </w:r>
      <w:r w:rsidR="00813F2C" w:rsidRPr="00EB11D3">
        <w:rPr>
          <w:szCs w:val="24"/>
          <w:lang w:eastAsia="zh-CN"/>
        </w:rPr>
        <w:t>organisat</w:t>
      </w:r>
      <w:r w:rsidR="00825BE1" w:rsidRPr="00EB11D3">
        <w:rPr>
          <w:szCs w:val="24"/>
          <w:lang w:eastAsia="zh-CN"/>
        </w:rPr>
        <w:t xml:space="preserve">ion, such a commercial firm, to obtain resources. Based on the idea that </w:t>
      </w:r>
      <w:r w:rsidR="00813F2C" w:rsidRPr="00EB11D3">
        <w:rPr>
          <w:szCs w:val="24"/>
          <w:lang w:eastAsia="zh-CN"/>
        </w:rPr>
        <w:t>organisat</w:t>
      </w:r>
      <w:r w:rsidR="00825BE1" w:rsidRPr="00EB11D3">
        <w:rPr>
          <w:szCs w:val="24"/>
          <w:lang w:eastAsia="zh-CN"/>
        </w:rPr>
        <w:t xml:space="preserve">ions are not autonomous and are </w:t>
      </w:r>
      <w:r w:rsidR="00220FB5" w:rsidRPr="00EB11D3">
        <w:rPr>
          <w:szCs w:val="24"/>
          <w:lang w:eastAsia="zh-CN"/>
        </w:rPr>
        <w:t>dependent on others</w:t>
      </w:r>
      <w:r w:rsidR="00825BE1" w:rsidRPr="00EB11D3">
        <w:rPr>
          <w:szCs w:val="24"/>
          <w:lang w:eastAsia="zh-CN"/>
        </w:rPr>
        <w:t xml:space="preserve"> for the provision of essential resources, Resource Dependency theory, which draws from </w:t>
      </w:r>
      <w:r w:rsidR="00813F2C" w:rsidRPr="00EB11D3">
        <w:rPr>
          <w:szCs w:val="24"/>
          <w:lang w:eastAsia="zh-CN"/>
        </w:rPr>
        <w:t>organisat</w:t>
      </w:r>
      <w:r w:rsidR="00825BE1" w:rsidRPr="00EB11D3">
        <w:rPr>
          <w:szCs w:val="24"/>
          <w:lang w:eastAsia="zh-CN"/>
        </w:rPr>
        <w:t xml:space="preserve">ional theory, characterizes the </w:t>
      </w:r>
      <w:r w:rsidR="00813F2C" w:rsidRPr="00EB11D3">
        <w:rPr>
          <w:szCs w:val="24"/>
          <w:lang w:eastAsia="zh-CN"/>
        </w:rPr>
        <w:t>organisat</w:t>
      </w:r>
      <w:r w:rsidR="00825BE1" w:rsidRPr="00EB11D3">
        <w:rPr>
          <w:szCs w:val="24"/>
          <w:lang w:eastAsia="zh-CN"/>
        </w:rPr>
        <w:t xml:space="preserve">ion as an open system (Drees &amp; Heugens, 2013; DiMaggio, 2013; Spaulding, Zhao, Haley, Liu, Xu, &amp; Homier, 2018). </w:t>
      </w:r>
      <w:r w:rsidR="008C73DE" w:rsidRPr="00EB11D3">
        <w:rPr>
          <w:szCs w:val="24"/>
          <w:lang w:eastAsia="zh-CN"/>
        </w:rPr>
        <w:t>Supremacy and resource reliance are mutually exclusive in the Resource Dependency theory since resources are viewed as the foundation of positional authority (Davis &amp; Cobb, 2010). According to the Resource Dependency Theory, companies engage in inter-</w:t>
      </w:r>
      <w:r w:rsidR="00813F2C" w:rsidRPr="00EB11D3">
        <w:rPr>
          <w:szCs w:val="24"/>
          <w:lang w:eastAsia="zh-CN"/>
        </w:rPr>
        <w:t>organisat</w:t>
      </w:r>
      <w:r w:rsidR="008C73DE" w:rsidRPr="00EB11D3">
        <w:rPr>
          <w:szCs w:val="24"/>
          <w:lang w:eastAsia="zh-CN"/>
        </w:rPr>
        <w:t xml:space="preserve">ional connections to regulate their environments and lessen their reliance on others, uncertainty, and power over others. </w:t>
      </w:r>
      <w:r w:rsidR="00773150" w:rsidRPr="00EB11D3">
        <w:rPr>
          <w:szCs w:val="24"/>
          <w:lang w:eastAsia="zh-CN"/>
        </w:rPr>
        <w:t xml:space="preserve">The </w:t>
      </w:r>
      <w:r w:rsidR="00813F2C" w:rsidRPr="00EB11D3">
        <w:rPr>
          <w:szCs w:val="24"/>
          <w:lang w:eastAsia="zh-CN"/>
        </w:rPr>
        <w:t>organisat</w:t>
      </w:r>
      <w:r w:rsidR="00773150" w:rsidRPr="00EB11D3">
        <w:rPr>
          <w:szCs w:val="24"/>
          <w:lang w:eastAsia="zh-CN"/>
        </w:rPr>
        <w:t>ions must consistently align its internal elements with the environmental pressures.</w:t>
      </w:r>
    </w:p>
    <w:p w14:paraId="5DB9B6F9" w14:textId="77777777" w:rsidR="00773150" w:rsidRPr="00EB11D3" w:rsidRDefault="00773150" w:rsidP="00773150">
      <w:pPr>
        <w:spacing w:after="0" w:line="360" w:lineRule="auto"/>
        <w:rPr>
          <w:szCs w:val="24"/>
          <w:lang w:eastAsia="zh-CN"/>
        </w:rPr>
      </w:pPr>
    </w:p>
    <w:p w14:paraId="38AD588E" w14:textId="77777777" w:rsidR="00773150" w:rsidRPr="00EB11D3" w:rsidRDefault="000F3778" w:rsidP="00773150">
      <w:pPr>
        <w:spacing w:after="0" w:line="360" w:lineRule="auto"/>
        <w:rPr>
          <w:szCs w:val="24"/>
          <w:lang w:eastAsia="zh-CN"/>
        </w:rPr>
      </w:pPr>
      <w:r w:rsidRPr="00EB11D3">
        <w:rPr>
          <w:szCs w:val="24"/>
          <w:lang w:eastAsia="zh-CN"/>
        </w:rPr>
        <w:t xml:space="preserve">In accordance with the Resource Dependency Theory, </w:t>
      </w:r>
      <w:r w:rsidR="00813F2C" w:rsidRPr="00EB11D3">
        <w:rPr>
          <w:szCs w:val="24"/>
          <w:lang w:eastAsia="zh-CN"/>
        </w:rPr>
        <w:t>organisat</w:t>
      </w:r>
      <w:r w:rsidRPr="00EB11D3">
        <w:rPr>
          <w:szCs w:val="24"/>
          <w:lang w:eastAsia="zh-CN"/>
        </w:rPr>
        <w:t>ions form inter-</w:t>
      </w:r>
      <w:r w:rsidR="00813F2C" w:rsidRPr="00EB11D3">
        <w:rPr>
          <w:szCs w:val="24"/>
          <w:lang w:eastAsia="zh-CN"/>
        </w:rPr>
        <w:t>organisat</w:t>
      </w:r>
      <w:r w:rsidRPr="00EB11D3">
        <w:rPr>
          <w:szCs w:val="24"/>
          <w:lang w:eastAsia="zh-CN"/>
        </w:rPr>
        <w:t>ional alliances to manage interdependencies, bolster their legitimacy, and regain some measure of control or autonomy over their environments (Davis &amp; Cobb, 2010; Drees &amp; Heugens, 2013; Vicnente-Ramos et al., 2020). By putting such agreements into place, companies are able to define their boundaries at a location where they can exert the most strategic control over important external forces (Drees et al., 2013). Projects can be significantly impacted during the planning and execution phases thanks to control over critical resources and the political and financial advantages that come with it (Jiang et al.</w:t>
      </w:r>
      <w:r w:rsidR="00844DBC" w:rsidRPr="00EB11D3">
        <w:rPr>
          <w:szCs w:val="24"/>
          <w:lang w:eastAsia="zh-CN"/>
        </w:rPr>
        <w:t>,</w:t>
      </w:r>
      <w:r w:rsidRPr="00EB11D3">
        <w:rPr>
          <w:szCs w:val="24"/>
          <w:lang w:eastAsia="zh-CN"/>
        </w:rPr>
        <w:t xml:space="preserve"> 2023).  </w:t>
      </w:r>
    </w:p>
    <w:p w14:paraId="6D2B2137" w14:textId="77777777" w:rsidR="0019359D" w:rsidRPr="00EB11D3" w:rsidRDefault="0019359D" w:rsidP="00735CD4">
      <w:pPr>
        <w:spacing w:after="0" w:line="360" w:lineRule="auto"/>
        <w:rPr>
          <w:szCs w:val="24"/>
          <w:lang w:eastAsia="zh-CN"/>
        </w:rPr>
      </w:pPr>
    </w:p>
    <w:p w14:paraId="2AA62ED2" w14:textId="77777777" w:rsidR="00773150" w:rsidRPr="00EB11D3" w:rsidRDefault="0019359D" w:rsidP="00735CD4">
      <w:pPr>
        <w:spacing w:after="0" w:line="360" w:lineRule="auto"/>
        <w:rPr>
          <w:szCs w:val="24"/>
          <w:lang w:eastAsia="zh-CN"/>
        </w:rPr>
      </w:pPr>
      <w:r w:rsidRPr="00EB11D3">
        <w:rPr>
          <w:szCs w:val="24"/>
          <w:lang w:eastAsia="zh-CN"/>
        </w:rPr>
        <w:t xml:space="preserve">According to Brettel and Voss (2013), the focus of resource dependency theory is on managing environmental dependencies and external resources. The effectiveness of a strategy is in its alignment to operational tactics, and vice versa, even though the theory's operational focus still supports a strategic aim that will help planning at the strategic level (Spaulding, et al., 2018). </w:t>
      </w:r>
      <w:r w:rsidR="00773150" w:rsidRPr="00EB11D3">
        <w:rPr>
          <w:szCs w:val="24"/>
          <w:lang w:eastAsia="zh-CN"/>
        </w:rPr>
        <w:t xml:space="preserve">The theory has however been faulted of being weak for not explaining the direct link between the deemed necessary resources and the performance or how the resources depend on the environmental factors. </w:t>
      </w:r>
      <w:r w:rsidR="00D45F38" w:rsidRPr="00D45F38">
        <w:rPr>
          <w:szCs w:val="24"/>
          <w:lang w:eastAsia="zh-CN"/>
        </w:rPr>
        <w:t>The theory merely makes the assumption that important actors and the environment work together to accomplish the organization's goals.</w:t>
      </w:r>
      <w:r w:rsidR="00773150" w:rsidRPr="00EB11D3">
        <w:rPr>
          <w:szCs w:val="24"/>
          <w:lang w:eastAsia="zh-CN"/>
        </w:rPr>
        <w:t xml:space="preserve"> </w:t>
      </w:r>
      <w:r w:rsidRPr="00EB11D3">
        <w:rPr>
          <w:szCs w:val="24"/>
          <w:lang w:eastAsia="zh-CN"/>
        </w:rPr>
        <w:t xml:space="preserve">The theory addresses these flaws by helping enterprises manage the internal and external obstacles that limit their projects, build their </w:t>
      </w:r>
      <w:r w:rsidR="00813F2C" w:rsidRPr="00EB11D3">
        <w:rPr>
          <w:szCs w:val="24"/>
          <w:lang w:eastAsia="zh-CN"/>
        </w:rPr>
        <w:t>organisat</w:t>
      </w:r>
      <w:r w:rsidRPr="00EB11D3">
        <w:rPr>
          <w:szCs w:val="24"/>
          <w:lang w:eastAsia="zh-CN"/>
        </w:rPr>
        <w:t xml:space="preserve">ional capacities, increase the capabilities of their individual managers, and form alliances with other businesses to strengthen their results. Resource Dependency Theory discusses how resources shape power relationships within the context of opportunities and needs throughout economic transformation in its dimension of technological uncertainty. The technological uncertainty of a product is a reflection of the inadequacy of foreseeing changes to the product's technical features, the clients' technical requirements, and the changes in the future. </w:t>
      </w:r>
      <w:r w:rsidR="00610928">
        <w:rPr>
          <w:szCs w:val="24"/>
          <w:lang w:eastAsia="zh-CN"/>
        </w:rPr>
        <w:t xml:space="preserve">The </w:t>
      </w:r>
      <w:r w:rsidRPr="00EB11D3">
        <w:rPr>
          <w:szCs w:val="24"/>
          <w:lang w:eastAsia="zh-CN"/>
        </w:rPr>
        <w:t>RDT views executive succession as a firm-level decision that helps it better adapt to the environment.</w:t>
      </w:r>
      <w:r w:rsidR="00E83936" w:rsidRPr="00EB11D3">
        <w:rPr>
          <w:szCs w:val="24"/>
          <w:lang w:eastAsia="zh-CN"/>
        </w:rPr>
        <w:t xml:space="preserve"> </w:t>
      </w:r>
      <w:r w:rsidR="002E202B" w:rsidRPr="00EB11D3">
        <w:rPr>
          <w:szCs w:val="24"/>
          <w:lang w:eastAsia="zh-CN"/>
        </w:rPr>
        <w:t xml:space="preserve">Resource Dependence Theory provides a lens through which one can understand how organizations strategically manage their external dependencies to enhance performance. The application of RDT to corporate governance highlights the importance of governance structures, decision-making processes, and interorganizational relationships in managing resource dependencies and ultimately influencing organizational performance. </w:t>
      </w:r>
      <w:r w:rsidR="00E83936" w:rsidRPr="00EB11D3">
        <w:rPr>
          <w:szCs w:val="24"/>
          <w:lang w:eastAsia="zh-CN"/>
        </w:rPr>
        <w:t>This theory explain</w:t>
      </w:r>
      <w:r w:rsidR="00844DBC" w:rsidRPr="00EB11D3">
        <w:rPr>
          <w:szCs w:val="24"/>
          <w:lang w:eastAsia="zh-CN"/>
        </w:rPr>
        <w:t>ed</w:t>
      </w:r>
      <w:r w:rsidR="00E83936" w:rsidRPr="00EB11D3">
        <w:rPr>
          <w:szCs w:val="24"/>
          <w:lang w:eastAsia="zh-CN"/>
        </w:rPr>
        <w:t xml:space="preserve"> how performance </w:t>
      </w:r>
      <w:r w:rsidR="001F4732" w:rsidRPr="00EB11D3">
        <w:rPr>
          <w:szCs w:val="24"/>
          <w:lang w:eastAsia="zh-CN"/>
        </w:rPr>
        <w:t xml:space="preserve">in </w:t>
      </w:r>
      <w:r w:rsidR="00F34256" w:rsidRPr="00EB11D3">
        <w:rPr>
          <w:szCs w:val="24"/>
          <w:lang w:eastAsia="zh-CN"/>
        </w:rPr>
        <w:t>faith-based</w:t>
      </w:r>
      <w:r w:rsidR="00E83936" w:rsidRPr="00EB11D3">
        <w:rPr>
          <w:szCs w:val="24"/>
          <w:lang w:eastAsia="zh-CN"/>
        </w:rPr>
        <w:t xml:space="preserve"> hospitals in Kenya can be enhanced by harmonizing their limited resources.</w:t>
      </w:r>
      <w:r w:rsidR="00F34256" w:rsidRPr="00EB11D3">
        <w:rPr>
          <w:szCs w:val="24"/>
          <w:lang w:eastAsia="zh-CN"/>
        </w:rPr>
        <w:t xml:space="preserve"> </w:t>
      </w:r>
    </w:p>
    <w:p w14:paraId="445F0116" w14:textId="77777777" w:rsidR="00A93BA2" w:rsidRPr="00EB11D3" w:rsidRDefault="00A93BA2" w:rsidP="00735CD4">
      <w:pPr>
        <w:spacing w:after="0" w:line="360" w:lineRule="auto"/>
        <w:rPr>
          <w:szCs w:val="24"/>
          <w:lang w:eastAsia="zh-CN"/>
        </w:rPr>
      </w:pPr>
    </w:p>
    <w:p w14:paraId="0BB977D2" w14:textId="77777777" w:rsidR="00DC0D7C" w:rsidRPr="00EB11D3" w:rsidRDefault="00773150" w:rsidP="00AD1CB7">
      <w:pPr>
        <w:pStyle w:val="Heading3"/>
      </w:pPr>
      <w:bookmarkStart w:id="185" w:name="_Toc134174643"/>
      <w:bookmarkStart w:id="186" w:name="_Toc135405679"/>
      <w:bookmarkStart w:id="187" w:name="_Toc135405785"/>
      <w:bookmarkStart w:id="188" w:name="_Toc135405862"/>
      <w:bookmarkStart w:id="189" w:name="_Toc135938074"/>
      <w:bookmarkStart w:id="190" w:name="_Toc135938280"/>
      <w:bookmarkStart w:id="191" w:name="_Toc140111843"/>
      <w:bookmarkStart w:id="192" w:name="_Toc153052070"/>
      <w:bookmarkStart w:id="193" w:name="_Toc164148947"/>
      <w:bookmarkStart w:id="194" w:name="_Toc164151208"/>
      <w:bookmarkStart w:id="195" w:name="_Toc168673400"/>
      <w:bookmarkStart w:id="196" w:name="_Toc168737842"/>
      <w:bookmarkStart w:id="197" w:name="_Toc171602594"/>
      <w:bookmarkStart w:id="198" w:name="_Toc171603421"/>
      <w:bookmarkStart w:id="199" w:name="_Toc177387826"/>
      <w:r w:rsidRPr="00EB11D3">
        <w:t xml:space="preserve">2.1.2 </w:t>
      </w:r>
      <w:r w:rsidR="00212BDF" w:rsidRPr="00EB11D3">
        <w:t>The Agency Theory</w:t>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r w:rsidR="00212BDF" w:rsidRPr="00EB11D3">
        <w:t xml:space="preserve"> </w:t>
      </w:r>
    </w:p>
    <w:p w14:paraId="65366A0F" w14:textId="77777777" w:rsidR="00DC0D7C" w:rsidRPr="00EB11D3" w:rsidRDefault="00B71095">
      <w:pPr>
        <w:spacing w:line="360" w:lineRule="auto"/>
        <w:rPr>
          <w:szCs w:val="24"/>
        </w:rPr>
      </w:pPr>
      <w:r w:rsidRPr="00B71095">
        <w:rPr>
          <w:szCs w:val="24"/>
        </w:rPr>
        <w:t xml:space="preserve">Agency theory, often </w:t>
      </w:r>
      <w:r w:rsidR="00345E05">
        <w:rPr>
          <w:szCs w:val="24"/>
        </w:rPr>
        <w:t>referred to</w:t>
      </w:r>
      <w:r w:rsidRPr="00B71095">
        <w:rPr>
          <w:szCs w:val="24"/>
        </w:rPr>
        <w:t xml:space="preserve"> as the Principal-Agency </w:t>
      </w:r>
      <w:r w:rsidR="00572164">
        <w:rPr>
          <w:szCs w:val="24"/>
        </w:rPr>
        <w:t>theory</w:t>
      </w:r>
      <w:r w:rsidR="00345E05">
        <w:rPr>
          <w:szCs w:val="24"/>
        </w:rPr>
        <w:t xml:space="preserve"> was incepted by</w:t>
      </w:r>
      <w:r w:rsidRPr="00B71095">
        <w:rPr>
          <w:szCs w:val="24"/>
        </w:rPr>
        <w:t xml:space="preserve"> </w:t>
      </w:r>
      <w:r w:rsidR="00345E05" w:rsidRPr="00B71095">
        <w:rPr>
          <w:szCs w:val="24"/>
        </w:rPr>
        <w:t xml:space="preserve">Jensen and Meckling </w:t>
      </w:r>
      <w:r w:rsidR="00345E05">
        <w:rPr>
          <w:szCs w:val="24"/>
        </w:rPr>
        <w:t>(</w:t>
      </w:r>
      <w:r w:rsidRPr="00B71095">
        <w:rPr>
          <w:szCs w:val="24"/>
        </w:rPr>
        <w:t>1976</w:t>
      </w:r>
      <w:r w:rsidR="00345E05">
        <w:rPr>
          <w:szCs w:val="24"/>
        </w:rPr>
        <w:t>)</w:t>
      </w:r>
      <w:r w:rsidRPr="00B71095">
        <w:rPr>
          <w:szCs w:val="24"/>
        </w:rPr>
        <w:t>. This hypothesis suggests that managers' goals may be to maximise their own financial incentives rather than to follow "principals."</w:t>
      </w:r>
      <w:r w:rsidR="00844643" w:rsidRPr="00EB11D3">
        <w:rPr>
          <w:szCs w:val="24"/>
        </w:rPr>
        <w:t xml:space="preserve"> As a result of the agency theory, there is a link between the principal and the agency. A principal establishes an agency relationship when he hires an agent to provide a service or act on his behalf (Jensen &amp; Meckling, 1976). </w:t>
      </w:r>
    </w:p>
    <w:p w14:paraId="738FB92F" w14:textId="77777777" w:rsidR="00DC0D7C" w:rsidRPr="00EB11D3" w:rsidRDefault="006F29C1">
      <w:pPr>
        <w:spacing w:line="360" w:lineRule="auto"/>
        <w:rPr>
          <w:szCs w:val="24"/>
        </w:rPr>
      </w:pPr>
      <w:r w:rsidRPr="00EB11D3">
        <w:rPr>
          <w:szCs w:val="24"/>
        </w:rPr>
        <w:t xml:space="preserve">Agency theory clarifies the link between principals, such as shareholders, and agents, such as the company's executives and managers (Vitolla, Raimo, &amp; Rubino, 2020). Businesses may benefit from adequate monitoring or control methods (Dang, Houanti, &amp; Vu, 2018). </w:t>
      </w:r>
      <w:r w:rsidR="00263823" w:rsidRPr="00263823">
        <w:rPr>
          <w:szCs w:val="24"/>
        </w:rPr>
        <w:t>The agency</w:t>
      </w:r>
      <w:r w:rsidR="00263823">
        <w:rPr>
          <w:szCs w:val="24"/>
        </w:rPr>
        <w:t xml:space="preserve"> theory</w:t>
      </w:r>
      <w:r w:rsidR="00263823" w:rsidRPr="00263823">
        <w:rPr>
          <w:szCs w:val="24"/>
        </w:rPr>
        <w:t xml:space="preserve"> concept emphasises the custodian role as the daily administration of the company on behalf of the owners.</w:t>
      </w:r>
      <w:r w:rsidRPr="00EB11D3">
        <w:rPr>
          <w:szCs w:val="24"/>
        </w:rPr>
        <w:t xml:space="preserve"> Furthermore, the concept argues that the audit committee's job is to supervise management and auditors in order to protect shareholders' interests (Wasdani, Vijaygopal, Manimala, &amp; Verghese, 2021). </w:t>
      </w:r>
      <w:r w:rsidR="00212BDF" w:rsidRPr="00EB11D3">
        <w:rPr>
          <w:szCs w:val="24"/>
        </w:rPr>
        <w:t xml:space="preserve">The agency theory underlies the shareholders' model of </w:t>
      </w:r>
      <w:r w:rsidR="00215117" w:rsidRPr="00EB11D3">
        <w:rPr>
          <w:szCs w:val="24"/>
        </w:rPr>
        <w:t>corporate governance (</w:t>
      </w:r>
      <w:r w:rsidR="00212BDF" w:rsidRPr="00EB11D3">
        <w:rPr>
          <w:szCs w:val="24"/>
        </w:rPr>
        <w:t>CG</w:t>
      </w:r>
      <w:r w:rsidR="00215117" w:rsidRPr="00EB11D3">
        <w:rPr>
          <w:szCs w:val="24"/>
        </w:rPr>
        <w:t>)</w:t>
      </w:r>
      <w:r w:rsidR="00212BDF" w:rsidRPr="00EB11D3">
        <w:rPr>
          <w:szCs w:val="24"/>
        </w:rPr>
        <w:t xml:space="preserve">, which is in favor of maximizing shareholders' wealth. </w:t>
      </w:r>
      <w:r w:rsidR="000D4B40" w:rsidRPr="00EB11D3">
        <w:rPr>
          <w:szCs w:val="24"/>
        </w:rPr>
        <w:t xml:space="preserve">This model prioritises the interests of the company's shareholders over the interests of all other stakeholders due to their ownership rights (Chijoke-Mgbame, Mgbame, Akintoye, &amp; Ohalehi, 2020). </w:t>
      </w:r>
      <w:r w:rsidR="00212BDF" w:rsidRPr="00EB11D3">
        <w:rPr>
          <w:szCs w:val="24"/>
        </w:rPr>
        <w:t xml:space="preserve"> </w:t>
      </w:r>
    </w:p>
    <w:p w14:paraId="6BC023F4" w14:textId="77777777" w:rsidR="003054A8" w:rsidRDefault="00212BDF" w:rsidP="00A13118">
      <w:pPr>
        <w:spacing w:after="0" w:line="360" w:lineRule="auto"/>
        <w:rPr>
          <w:szCs w:val="24"/>
        </w:rPr>
      </w:pPr>
      <w:r w:rsidRPr="00EB11D3">
        <w:rPr>
          <w:szCs w:val="24"/>
        </w:rPr>
        <w:t>According to Agency theory, a connection exists when one party, the principle, assigns labor to a different party, the agent (</w:t>
      </w:r>
      <w:r w:rsidR="00B5127D" w:rsidRPr="00EB11D3">
        <w:rPr>
          <w:szCs w:val="24"/>
        </w:rPr>
        <w:t>Zona, Gomez-Mejia, &amp; Withers, 2018</w:t>
      </w:r>
      <w:r w:rsidR="008456DA" w:rsidRPr="00EB11D3">
        <w:rPr>
          <w:szCs w:val="24"/>
        </w:rPr>
        <w:t>; Herndon, 2020</w:t>
      </w:r>
      <w:r w:rsidRPr="00EB11D3">
        <w:rPr>
          <w:szCs w:val="24"/>
        </w:rPr>
        <w:t>).</w:t>
      </w:r>
      <w:r w:rsidR="00C544C5" w:rsidRPr="00EB11D3">
        <w:rPr>
          <w:szCs w:val="24"/>
        </w:rPr>
        <w:t xml:space="preserve"> </w:t>
      </w:r>
      <w:r w:rsidR="005C4849" w:rsidRPr="00EB11D3">
        <w:rPr>
          <w:szCs w:val="24"/>
        </w:rPr>
        <w:t xml:space="preserve">Agency theory provides a framework for linking corporate governance </w:t>
      </w:r>
      <w:r w:rsidR="00A63C75" w:rsidRPr="00EB11D3">
        <w:rPr>
          <w:szCs w:val="24"/>
        </w:rPr>
        <w:t>practices</w:t>
      </w:r>
      <w:r w:rsidR="005C4849" w:rsidRPr="00EB11D3">
        <w:rPr>
          <w:szCs w:val="24"/>
        </w:rPr>
        <w:t xml:space="preserve"> to business success (Zona et al., 2018; Wasdani et al., 2021). </w:t>
      </w:r>
      <w:r w:rsidR="00C544C5" w:rsidRPr="00EB11D3">
        <w:rPr>
          <w:szCs w:val="24"/>
        </w:rPr>
        <w:t xml:space="preserve">A study by </w:t>
      </w:r>
      <w:r w:rsidR="0018617E" w:rsidRPr="00EB11D3">
        <w:rPr>
          <w:szCs w:val="24"/>
        </w:rPr>
        <w:t>Afriyie, Aidoo and Agboga (2021</w:t>
      </w:r>
      <w:r w:rsidRPr="00EB11D3">
        <w:rPr>
          <w:szCs w:val="24"/>
        </w:rPr>
        <w:t xml:space="preserve">) indicate that business performance is more likely to decline if agency costs rise and vice versa. </w:t>
      </w:r>
      <w:r w:rsidR="00643E65" w:rsidRPr="00EB11D3">
        <w:rPr>
          <w:szCs w:val="24"/>
        </w:rPr>
        <w:t>As a result of the separation, there may be a conflict of interest between management and ownership (Salehi &amp; Moghadam, 2019; Schillemans &amp; Bjurstrm, 2020).</w:t>
      </w:r>
      <w:r w:rsidRPr="00EB11D3">
        <w:rPr>
          <w:szCs w:val="24"/>
        </w:rPr>
        <w:t xml:space="preserve"> </w:t>
      </w:r>
      <w:r w:rsidR="00D41B11" w:rsidRPr="00EB11D3">
        <w:rPr>
          <w:szCs w:val="24"/>
        </w:rPr>
        <w:t xml:space="preserve">According to Sulistiyo, Wardayati, Hidayatullah, and Riesky (2020), CG has the ability to either maximise or minimise the total agency costs of an organisation. Agency theory states that the main goal of CG is to reduce the possibility of agency conflicts between the people in charge of the organisation and the people who have rights inside it. Agents can operate in their own interests and create agency issues inside the organisation; acting in the best interests of the principles is not a requirement. Moral hazard and opportunity seeking are two factors that impact corporate performance and can lead to agency difficulties. </w:t>
      </w:r>
    </w:p>
    <w:p w14:paraId="4530266D" w14:textId="77777777" w:rsidR="003054A8" w:rsidRDefault="003054A8" w:rsidP="00A13118">
      <w:pPr>
        <w:spacing w:after="0" w:line="360" w:lineRule="auto"/>
        <w:rPr>
          <w:szCs w:val="24"/>
        </w:rPr>
      </w:pPr>
    </w:p>
    <w:p w14:paraId="633EF4E5" w14:textId="77777777" w:rsidR="00D41B11" w:rsidRPr="00EB11D3" w:rsidRDefault="00FB1A9A" w:rsidP="00A13118">
      <w:pPr>
        <w:spacing w:after="0" w:line="360" w:lineRule="auto"/>
        <w:rPr>
          <w:szCs w:val="24"/>
        </w:rPr>
      </w:pPr>
      <w:r w:rsidRPr="00EB11D3">
        <w:rPr>
          <w:szCs w:val="24"/>
        </w:rPr>
        <w:t xml:space="preserve">The </w:t>
      </w:r>
      <w:r w:rsidR="00D41B11" w:rsidRPr="00EB11D3">
        <w:rPr>
          <w:szCs w:val="24"/>
        </w:rPr>
        <w:t>CG serves as a tool for improving performance by coordinating management objectives with stakeholders.</w:t>
      </w:r>
      <w:r w:rsidR="003054A8">
        <w:rPr>
          <w:szCs w:val="24"/>
        </w:rPr>
        <w:t xml:space="preserve"> </w:t>
      </w:r>
      <w:r w:rsidR="00215117" w:rsidRPr="00EB11D3">
        <w:rPr>
          <w:szCs w:val="24"/>
        </w:rPr>
        <w:t>It is possible to view CG as a phenomena that significantly affects predictions of economic development (Al Maqtari, Farhan, Al-Hattami &amp; Khalid, 2020). A minority of commercial organisations in developing nations use effective corporate governance practices, which means that most do not realise how important it is to integrate CG into their work procedures and policies. Businesses that use CG may see an increase in stakeholder confidence and corporate image. For these reasons, some companies view corporate social responsibility as a fad and strive to follow it by using ethical business methods. It is important to emphasise that corporates who fully adopt and use CG are more likely to see improved key performance indicators (KPIs) for their particular organisation. Currently, corporate integrated annual reports must include CG disclosure. As per Caraiman (2020), CG functions as an internal control mechanism within a changing business environment. At the level of each activity, specific and participatory governance is required for successful CG, depending on the needs of the company.</w:t>
      </w:r>
    </w:p>
    <w:p w14:paraId="0145D21B" w14:textId="77777777" w:rsidR="00215117" w:rsidRPr="00EB11D3" w:rsidRDefault="00215117" w:rsidP="00A13118">
      <w:pPr>
        <w:spacing w:after="0" w:line="360" w:lineRule="auto"/>
        <w:rPr>
          <w:szCs w:val="24"/>
        </w:rPr>
      </w:pPr>
    </w:p>
    <w:p w14:paraId="6E9A1246" w14:textId="77777777" w:rsidR="00DC0D7C" w:rsidRPr="00EB11D3" w:rsidRDefault="00EB6F24">
      <w:pPr>
        <w:spacing w:line="360" w:lineRule="auto"/>
        <w:rPr>
          <w:szCs w:val="24"/>
        </w:rPr>
      </w:pPr>
      <w:r w:rsidRPr="00EB6F24">
        <w:rPr>
          <w:szCs w:val="24"/>
        </w:rPr>
        <w:t>The Corporate Governance strategy is advised by the agency theory to prevent or lessen conflict between the principal and the agent. In order to balance the interests of principals and agents, corporate governance structures and procedures are designed with agency theory in mind.</w:t>
      </w:r>
      <w:r w:rsidR="002E202B" w:rsidRPr="00EB11D3">
        <w:rPr>
          <w:szCs w:val="24"/>
        </w:rPr>
        <w:t xml:space="preserve"> By addressing agency problems, corporations can enhance performance and create value for shareholders. Corporate governance mechanisms, such as board oversight, executive compensation, transparency, and risk management, play critical roles in mitigating agency conflicts and promoting the efficient use of resources. </w:t>
      </w:r>
      <w:r w:rsidR="001F4732" w:rsidRPr="00EB11D3">
        <w:rPr>
          <w:szCs w:val="24"/>
          <w:lang w:eastAsia="zh-CN"/>
        </w:rPr>
        <w:t>This theory explain</w:t>
      </w:r>
      <w:r w:rsidR="00C82FAD" w:rsidRPr="00EB11D3">
        <w:rPr>
          <w:szCs w:val="24"/>
          <w:lang w:eastAsia="zh-CN"/>
        </w:rPr>
        <w:t>ed</w:t>
      </w:r>
      <w:r w:rsidR="001F4732" w:rsidRPr="00EB11D3">
        <w:rPr>
          <w:szCs w:val="24"/>
          <w:lang w:eastAsia="zh-CN"/>
        </w:rPr>
        <w:t xml:space="preserve"> how corporate governance enhances </w:t>
      </w:r>
      <w:r w:rsidR="00813F2C" w:rsidRPr="00EB11D3">
        <w:rPr>
          <w:szCs w:val="24"/>
          <w:lang w:eastAsia="zh-CN"/>
        </w:rPr>
        <w:t>organisat</w:t>
      </w:r>
      <w:r w:rsidR="001F4732" w:rsidRPr="00EB11D3">
        <w:rPr>
          <w:szCs w:val="24"/>
          <w:lang w:eastAsia="zh-CN"/>
        </w:rPr>
        <w:t xml:space="preserve">ional performance through effective management and shareholder relationship in context of competing </w:t>
      </w:r>
      <w:r w:rsidR="00510FD9" w:rsidRPr="00EB11D3">
        <w:rPr>
          <w:szCs w:val="24"/>
          <w:lang w:eastAsia="zh-CN"/>
        </w:rPr>
        <w:t>interest and</w:t>
      </w:r>
      <w:r w:rsidR="001F4732" w:rsidRPr="00EB11D3">
        <w:rPr>
          <w:szCs w:val="24"/>
          <w:lang w:eastAsia="zh-CN"/>
        </w:rPr>
        <w:t xml:space="preserve"> limited resources. </w:t>
      </w:r>
    </w:p>
    <w:p w14:paraId="27BBF7AD" w14:textId="77777777" w:rsidR="00DC0D7C" w:rsidRPr="00EB11D3" w:rsidRDefault="00212BDF" w:rsidP="00AD1CB7">
      <w:pPr>
        <w:pStyle w:val="Heading3"/>
      </w:pPr>
      <w:bookmarkStart w:id="200" w:name="_Toc127539507"/>
      <w:bookmarkStart w:id="201" w:name="_Toc132031156"/>
      <w:bookmarkStart w:id="202" w:name="_Toc132709393"/>
      <w:bookmarkStart w:id="203" w:name="_Toc132709920"/>
      <w:bookmarkStart w:id="204" w:name="_Toc134174644"/>
      <w:bookmarkStart w:id="205" w:name="_Toc135405680"/>
      <w:bookmarkStart w:id="206" w:name="_Toc135405786"/>
      <w:bookmarkStart w:id="207" w:name="_Toc135405863"/>
      <w:bookmarkStart w:id="208" w:name="_Toc135938075"/>
      <w:bookmarkStart w:id="209" w:name="_Toc135938281"/>
      <w:bookmarkStart w:id="210" w:name="_Toc140111844"/>
      <w:bookmarkStart w:id="211" w:name="_Toc153052071"/>
      <w:bookmarkStart w:id="212" w:name="_Toc164148948"/>
      <w:bookmarkStart w:id="213" w:name="_Toc164151209"/>
      <w:bookmarkStart w:id="214" w:name="_Toc168673401"/>
      <w:bookmarkStart w:id="215" w:name="_Toc168737843"/>
      <w:bookmarkStart w:id="216" w:name="_Toc171602595"/>
      <w:bookmarkStart w:id="217" w:name="_Toc171603422"/>
      <w:bookmarkStart w:id="218" w:name="_Toc177387827"/>
      <w:r w:rsidRPr="00EB11D3">
        <w:t>2.1.</w:t>
      </w:r>
      <w:r w:rsidR="005F5A3E" w:rsidRPr="00EB11D3">
        <w:t>3</w:t>
      </w:r>
      <w:r w:rsidRPr="00EB11D3">
        <w:t xml:space="preserve"> </w:t>
      </w:r>
      <w:bookmarkEnd w:id="200"/>
      <w:bookmarkEnd w:id="201"/>
      <w:r w:rsidRPr="00EB11D3">
        <w:t>Public Interest Theory</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p>
    <w:p w14:paraId="71196A9B" w14:textId="77777777" w:rsidR="00DC0D7C" w:rsidRPr="00EB11D3" w:rsidRDefault="00212BDF">
      <w:pPr>
        <w:spacing w:line="360" w:lineRule="auto"/>
        <w:rPr>
          <w:szCs w:val="24"/>
          <w:lang w:eastAsia="zh-CN"/>
        </w:rPr>
      </w:pPr>
      <w:r w:rsidRPr="00EB11D3">
        <w:rPr>
          <w:szCs w:val="24"/>
        </w:rPr>
        <w:t xml:space="preserve">Public Interest theory also known as the theory of regulation was developed by Becker </w:t>
      </w:r>
      <w:r w:rsidR="00345E05">
        <w:rPr>
          <w:szCs w:val="24"/>
        </w:rPr>
        <w:t>(</w:t>
      </w:r>
      <w:r w:rsidRPr="00EB11D3">
        <w:rPr>
          <w:szCs w:val="24"/>
        </w:rPr>
        <w:t>1986</w:t>
      </w:r>
      <w:r w:rsidR="00345E05">
        <w:rPr>
          <w:szCs w:val="24"/>
        </w:rPr>
        <w:t>)</w:t>
      </w:r>
      <w:r w:rsidRPr="00EB11D3">
        <w:rPr>
          <w:szCs w:val="24"/>
        </w:rPr>
        <w:t>. Public Interest theory assumes that government, as the regulator, has an independent role to play in the creation of regulations (Hashed &amp; Almaqtari, 2021). According to the public interest theory, regulations are developed in response to social concerns about ineffective or unfair market activities (Hashed &amp; Almaqtari, 2021). The market system makes up a significant portion of the allocation of scarce assets in a wide range of countries, especially developed ones. In some cases, it can even be demonstrated that the assignment of assets using the market system is optimum, at least in theory (</w:t>
      </w:r>
      <w:r w:rsidR="00C5198E" w:rsidRPr="00EB11D3">
        <w:rPr>
          <w:szCs w:val="24"/>
        </w:rPr>
        <w:t>Wilson, 2021</w:t>
      </w:r>
      <w:r w:rsidRPr="00EB11D3">
        <w:rPr>
          <w:szCs w:val="24"/>
        </w:rPr>
        <w:t xml:space="preserve">). </w:t>
      </w:r>
    </w:p>
    <w:p w14:paraId="771BB670" w14:textId="77777777" w:rsidR="00C31B79" w:rsidRDefault="00212BDF">
      <w:pPr>
        <w:spacing w:line="360" w:lineRule="auto"/>
        <w:rPr>
          <w:szCs w:val="24"/>
          <w:lang w:eastAsia="zh-CN"/>
        </w:rPr>
      </w:pPr>
      <w:r w:rsidRPr="00EB11D3">
        <w:rPr>
          <w:szCs w:val="24"/>
        </w:rPr>
        <w:t xml:space="preserve">According to the public interest theory, regulatory laws and government market intervention are remedies to market flaws and failures. </w:t>
      </w:r>
      <w:r w:rsidRPr="00EB11D3">
        <w:rPr>
          <w:szCs w:val="24"/>
          <w:lang w:eastAsia="zh-CN"/>
        </w:rPr>
        <w:t>The government implements regulations to regulate and keep an eye on business public interests (</w:t>
      </w:r>
      <w:r w:rsidR="00885D46" w:rsidRPr="00EB11D3">
        <w:rPr>
          <w:szCs w:val="24"/>
          <w:lang w:eastAsia="zh-CN"/>
        </w:rPr>
        <w:t>van der Heijden, 2022</w:t>
      </w:r>
      <w:r w:rsidRPr="00EB11D3">
        <w:rPr>
          <w:szCs w:val="24"/>
          <w:lang w:eastAsia="zh-CN"/>
        </w:rPr>
        <w:t xml:space="preserve">). When government regulations are put in place, citizens frequently stand to gain from business interests. When project implementer </w:t>
      </w:r>
      <w:r w:rsidR="00B43DB8" w:rsidRPr="00EB11D3">
        <w:rPr>
          <w:szCs w:val="24"/>
          <w:lang w:eastAsia="zh-CN"/>
        </w:rPr>
        <w:t>convinces</w:t>
      </w:r>
      <w:r w:rsidRPr="00EB11D3">
        <w:rPr>
          <w:szCs w:val="24"/>
          <w:lang w:eastAsia="zh-CN"/>
        </w:rPr>
        <w:t xml:space="preserve"> regulators to maximize profits, the public interest is frequently disregarded (</w:t>
      </w:r>
      <w:r w:rsidR="00C5198E" w:rsidRPr="00EB11D3">
        <w:rPr>
          <w:szCs w:val="24"/>
        </w:rPr>
        <w:t>Wilson, 2021</w:t>
      </w:r>
      <w:r w:rsidRPr="00EB11D3">
        <w:rPr>
          <w:szCs w:val="24"/>
          <w:lang w:eastAsia="zh-CN"/>
        </w:rPr>
        <w:t>). The Public Interest Theory's drawback is that it prioritizes the interests of the public over those of project creators. When the interests of the project developers and the general public are not matched, this could result in losses (</w:t>
      </w:r>
      <w:r w:rsidR="005B0CFA" w:rsidRPr="00EB11D3">
        <w:rPr>
          <w:szCs w:val="24"/>
          <w:lang w:eastAsia="zh-CN"/>
        </w:rPr>
        <w:t xml:space="preserve">Wilson, 2021; </w:t>
      </w:r>
      <w:r w:rsidR="00330362" w:rsidRPr="00EB11D3">
        <w:rPr>
          <w:szCs w:val="24"/>
          <w:lang w:eastAsia="zh-CN"/>
        </w:rPr>
        <w:t>van der Heijden, 2022</w:t>
      </w:r>
      <w:r w:rsidRPr="00EB11D3">
        <w:rPr>
          <w:szCs w:val="24"/>
          <w:lang w:eastAsia="zh-CN"/>
        </w:rPr>
        <w:t xml:space="preserve">). </w:t>
      </w:r>
    </w:p>
    <w:p w14:paraId="7D32E9BC" w14:textId="77777777" w:rsidR="00DC0D7C" w:rsidRPr="00EB11D3" w:rsidRDefault="00C31B79">
      <w:pPr>
        <w:spacing w:line="360" w:lineRule="auto"/>
        <w:rPr>
          <w:szCs w:val="24"/>
          <w:lang w:eastAsia="zh-CN"/>
        </w:rPr>
      </w:pPr>
      <w:r>
        <w:rPr>
          <w:szCs w:val="24"/>
          <w:lang w:eastAsia="zh-CN"/>
        </w:rPr>
        <w:br w:type="page"/>
      </w:r>
      <w:r w:rsidR="002E202B" w:rsidRPr="00EB11D3">
        <w:rPr>
          <w:szCs w:val="24"/>
          <w:lang w:eastAsia="zh-CN"/>
        </w:rPr>
        <w:t>Government regulations can contribute to positive performance outcomes, overly burdensome or poorly designed regulations may have unintended consequences. Balancing the interests of various stakeholders and promoting an environment that encourages responsible business practices are key considerations in the application of Public Interest Theory to government regulation and corporate performance</w:t>
      </w:r>
      <w:r w:rsidR="00A70884" w:rsidRPr="00EB11D3">
        <w:rPr>
          <w:szCs w:val="24"/>
          <w:lang w:eastAsia="zh-CN"/>
        </w:rPr>
        <w:t>.</w:t>
      </w:r>
      <w:r w:rsidR="002E202B" w:rsidRPr="00EB11D3">
        <w:rPr>
          <w:szCs w:val="24"/>
          <w:lang w:eastAsia="zh-CN"/>
        </w:rPr>
        <w:t xml:space="preserve"> </w:t>
      </w:r>
      <w:r w:rsidR="00E15ED5" w:rsidRPr="00E15ED5">
        <w:rPr>
          <w:szCs w:val="24"/>
          <w:lang w:eastAsia="zh-CN"/>
        </w:rPr>
        <w:t>The association between government regulations and organisational performance as a moderating variable of the relationship between corporate governance and performance was explained by this theory.</w:t>
      </w:r>
    </w:p>
    <w:p w14:paraId="253DC5AA" w14:textId="77777777" w:rsidR="00DC0D7C" w:rsidRPr="00EB11D3" w:rsidRDefault="00212BDF" w:rsidP="00AD1CB7">
      <w:pPr>
        <w:pStyle w:val="Heading3"/>
      </w:pPr>
      <w:bookmarkStart w:id="219" w:name="_Toc127539508"/>
      <w:bookmarkStart w:id="220" w:name="_Toc132031157"/>
      <w:bookmarkStart w:id="221" w:name="_Toc132709394"/>
      <w:bookmarkStart w:id="222" w:name="_Toc132709921"/>
      <w:bookmarkStart w:id="223" w:name="_Toc134174645"/>
      <w:bookmarkStart w:id="224" w:name="_Toc135405681"/>
      <w:bookmarkStart w:id="225" w:name="_Toc135405787"/>
      <w:bookmarkStart w:id="226" w:name="_Toc135405864"/>
      <w:bookmarkStart w:id="227" w:name="_Toc135938076"/>
      <w:bookmarkStart w:id="228" w:name="_Toc135938282"/>
      <w:bookmarkStart w:id="229" w:name="_Toc140111845"/>
      <w:bookmarkStart w:id="230" w:name="_Toc153052072"/>
      <w:bookmarkStart w:id="231" w:name="_Toc164148949"/>
      <w:bookmarkStart w:id="232" w:name="_Toc164151210"/>
      <w:bookmarkStart w:id="233" w:name="_Toc168673402"/>
      <w:bookmarkStart w:id="234" w:name="_Toc168737844"/>
      <w:bookmarkStart w:id="235" w:name="_Toc171602596"/>
      <w:bookmarkStart w:id="236" w:name="_Toc171603423"/>
      <w:bookmarkStart w:id="237" w:name="_Toc177387828"/>
      <w:r w:rsidRPr="00EB11D3">
        <w:t>2.1.</w:t>
      </w:r>
      <w:r w:rsidR="005F5A3E" w:rsidRPr="00EB11D3">
        <w:t>4</w:t>
      </w:r>
      <w:r w:rsidRPr="00EB11D3">
        <w:t xml:space="preserve"> </w:t>
      </w:r>
      <w:bookmarkEnd w:id="219"/>
      <w:bookmarkEnd w:id="220"/>
      <w:r w:rsidRPr="00EB11D3">
        <w:t>Theory of Disruptive Innovation</w:t>
      </w:r>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p>
    <w:p w14:paraId="4DD4C1AE" w14:textId="77777777" w:rsidR="00DC0D7C" w:rsidRPr="00EB11D3" w:rsidRDefault="00B447BF">
      <w:pPr>
        <w:spacing w:line="360" w:lineRule="auto"/>
        <w:rPr>
          <w:szCs w:val="24"/>
          <w:lang w:eastAsia="zh-CN"/>
        </w:rPr>
      </w:pPr>
      <w:r w:rsidRPr="00EB11D3">
        <w:rPr>
          <w:szCs w:val="24"/>
          <w:lang w:eastAsia="zh-CN"/>
        </w:rPr>
        <w:t xml:space="preserve">A disruptive innovation theory promoted by Christensen (1997) proposes there are two types of innovation that occur in any industry, based on market segmentation and technology </w:t>
      </w:r>
      <w:r w:rsidR="00312639" w:rsidRPr="00EB11D3">
        <w:rPr>
          <w:szCs w:val="24"/>
          <w:lang w:eastAsia="zh-CN"/>
        </w:rPr>
        <w:t>performance.</w:t>
      </w:r>
      <w:r w:rsidR="00D03093" w:rsidRPr="00EB11D3">
        <w:rPr>
          <w:szCs w:val="24"/>
          <w:lang w:eastAsia="zh-CN"/>
        </w:rPr>
        <w:t xml:space="preserve"> Innovations can be either disruptive or long-term. Sustainability innovations aim to improve the performance of existing goods or services (</w:t>
      </w:r>
      <w:r w:rsidR="001D6AA7" w:rsidRPr="00CF4A9D">
        <w:rPr>
          <w:lang w:eastAsia="zh-CN"/>
        </w:rPr>
        <w:t>Christensen, McDonald, Altman</w:t>
      </w:r>
      <w:r w:rsidR="001D6AA7">
        <w:rPr>
          <w:lang w:eastAsia="zh-CN"/>
        </w:rPr>
        <w:t xml:space="preserve"> </w:t>
      </w:r>
      <w:r w:rsidR="001D6AA7" w:rsidRPr="00CF4A9D">
        <w:rPr>
          <w:lang w:eastAsia="zh-CN"/>
        </w:rPr>
        <w:t>&amp; Palmer, 2018</w:t>
      </w:r>
      <w:r w:rsidR="00D03093" w:rsidRPr="00EB11D3">
        <w:rPr>
          <w:szCs w:val="24"/>
          <w:lang w:eastAsia="zh-CN"/>
        </w:rPr>
        <w:t xml:space="preserve">; Sousa &amp; Rocha, 2019). </w:t>
      </w:r>
      <w:r w:rsidR="00212BDF" w:rsidRPr="00EB11D3">
        <w:rPr>
          <w:szCs w:val="24"/>
          <w:lang w:eastAsia="zh-CN"/>
        </w:rPr>
        <w:t xml:space="preserve">The theory is significant only when technology is applied appropriately (Christensen, </w:t>
      </w:r>
      <w:r w:rsidR="0027444D">
        <w:rPr>
          <w:szCs w:val="24"/>
          <w:lang w:eastAsia="zh-CN"/>
        </w:rPr>
        <w:t>et al.</w:t>
      </w:r>
      <w:r w:rsidR="00212BDF" w:rsidRPr="00EB11D3">
        <w:rPr>
          <w:szCs w:val="24"/>
          <w:lang w:eastAsia="zh-CN"/>
        </w:rPr>
        <w:t>, 2018). The disruptive innovations is usually initiated by one or multiple firms (Skog, Wimelius &amp; Sandberg, 2018). The loss of market leadership in a variety of industries is explained by the disruptive innovation theory. Hardware, software, networks, and combination technologies are all affected by disruptive technology (</w:t>
      </w:r>
      <w:r w:rsidR="005F2D49" w:rsidRPr="00EB11D3">
        <w:rPr>
          <w:szCs w:val="24"/>
          <w:lang w:eastAsia="zh-CN"/>
        </w:rPr>
        <w:t>Dastane, 2020</w:t>
      </w:r>
      <w:r w:rsidR="00212BDF" w:rsidRPr="00EB11D3">
        <w:rPr>
          <w:szCs w:val="24"/>
          <w:lang w:eastAsia="zh-CN"/>
        </w:rPr>
        <w:t xml:space="preserve">). Businesses might choose to either adopt new technology or bring on more staff. In an </w:t>
      </w:r>
      <w:r w:rsidR="00813F2C" w:rsidRPr="00EB11D3">
        <w:rPr>
          <w:szCs w:val="24"/>
          <w:lang w:eastAsia="zh-CN"/>
        </w:rPr>
        <w:t>organisat</w:t>
      </w:r>
      <w:r w:rsidR="00212BDF" w:rsidRPr="00EB11D3">
        <w:rPr>
          <w:szCs w:val="24"/>
          <w:lang w:eastAsia="zh-CN"/>
        </w:rPr>
        <w:t>ion, fewer labor-related problems encourage the adoption of innovative technologies in the workplace (</w:t>
      </w:r>
      <w:r w:rsidR="000169ED" w:rsidRPr="00EB11D3">
        <w:rPr>
          <w:szCs w:val="24"/>
          <w:lang w:eastAsia="zh-CN"/>
        </w:rPr>
        <w:t xml:space="preserve">Millar, Lockett, &amp; Ladd, 2018; </w:t>
      </w:r>
      <w:r w:rsidR="005F2D49" w:rsidRPr="00EB11D3">
        <w:rPr>
          <w:szCs w:val="24"/>
          <w:lang w:eastAsia="zh-CN"/>
        </w:rPr>
        <w:t>Mansour &amp; Nogues, 2022</w:t>
      </w:r>
      <w:r w:rsidR="00212BDF" w:rsidRPr="00EB11D3">
        <w:rPr>
          <w:szCs w:val="24"/>
          <w:lang w:eastAsia="zh-CN"/>
        </w:rPr>
        <w:t>).</w:t>
      </w:r>
    </w:p>
    <w:p w14:paraId="76170F84" w14:textId="77777777" w:rsidR="008E6E27" w:rsidRDefault="00212BDF">
      <w:pPr>
        <w:spacing w:line="360" w:lineRule="auto"/>
        <w:rPr>
          <w:szCs w:val="24"/>
          <w:lang w:eastAsia="zh-CN"/>
        </w:rPr>
      </w:pPr>
      <w:r w:rsidRPr="00EB11D3">
        <w:rPr>
          <w:szCs w:val="24"/>
          <w:lang w:eastAsia="zh-CN"/>
        </w:rPr>
        <w:t xml:space="preserve">Disruptive innovation </w:t>
      </w:r>
      <w:r w:rsidR="009B14D7" w:rsidRPr="00EB11D3">
        <w:rPr>
          <w:szCs w:val="24"/>
          <w:lang w:eastAsia="zh-CN"/>
        </w:rPr>
        <w:t xml:space="preserve">theory </w:t>
      </w:r>
      <w:r w:rsidRPr="00EB11D3">
        <w:rPr>
          <w:szCs w:val="24"/>
          <w:lang w:eastAsia="zh-CN"/>
        </w:rPr>
        <w:t xml:space="preserve">has faced some criticism despite having a significant impact on business. The theory's drawback is that disruptive innovation might, regrettably for workers, result in layoffs. </w:t>
      </w:r>
      <w:r w:rsidR="00B447BF" w:rsidRPr="00EB11D3">
        <w:rPr>
          <w:szCs w:val="24"/>
          <w:lang w:eastAsia="zh-CN"/>
        </w:rPr>
        <w:t xml:space="preserve">Si and Chen (2020) questioned the validity and generalizability of the theory of disruptive innovation in the business setting, emphasising the importance of specifying the boundary conditions for the theory of disruption. </w:t>
      </w:r>
      <w:r w:rsidRPr="00EB11D3">
        <w:rPr>
          <w:szCs w:val="24"/>
          <w:lang w:eastAsia="zh-CN"/>
        </w:rPr>
        <w:t xml:space="preserve">In response to earlier criticisms of the disruptive technology / innovation proposals, </w:t>
      </w:r>
      <w:r w:rsidR="000169ED" w:rsidRPr="00EB11D3">
        <w:rPr>
          <w:szCs w:val="24"/>
          <w:lang w:eastAsia="zh-CN"/>
        </w:rPr>
        <w:t>Millar</w:t>
      </w:r>
      <w:r w:rsidR="00224FCE" w:rsidRPr="00EB11D3">
        <w:rPr>
          <w:szCs w:val="24"/>
          <w:lang w:eastAsia="zh-CN"/>
        </w:rPr>
        <w:t xml:space="preserve"> et al.</w:t>
      </w:r>
      <w:r w:rsidR="000169ED" w:rsidRPr="00EB11D3">
        <w:rPr>
          <w:szCs w:val="24"/>
          <w:lang w:eastAsia="zh-CN"/>
        </w:rPr>
        <w:t xml:space="preserve"> </w:t>
      </w:r>
      <w:r w:rsidR="00224FCE" w:rsidRPr="00EB11D3">
        <w:rPr>
          <w:szCs w:val="24"/>
          <w:lang w:eastAsia="zh-CN"/>
        </w:rPr>
        <w:t>(</w:t>
      </w:r>
      <w:r w:rsidR="000169ED" w:rsidRPr="00EB11D3">
        <w:rPr>
          <w:szCs w:val="24"/>
          <w:lang w:eastAsia="zh-CN"/>
        </w:rPr>
        <w:t>2018</w:t>
      </w:r>
      <w:r w:rsidRPr="00EB11D3">
        <w:rPr>
          <w:szCs w:val="24"/>
          <w:lang w:eastAsia="zh-CN"/>
        </w:rPr>
        <w:t xml:space="preserve">) acknowledged that there are many other "influencers" that go into the prediction of future success and that the theory of disruption does not fully explain everything that is known about business success. </w:t>
      </w:r>
    </w:p>
    <w:p w14:paraId="6DBB3CF4" w14:textId="77777777" w:rsidR="00DC0D7C" w:rsidRPr="00EB11D3" w:rsidRDefault="008E6E27">
      <w:pPr>
        <w:spacing w:line="360" w:lineRule="auto"/>
        <w:rPr>
          <w:szCs w:val="24"/>
          <w:lang w:eastAsia="zh-CN"/>
        </w:rPr>
      </w:pPr>
      <w:r>
        <w:rPr>
          <w:szCs w:val="24"/>
          <w:lang w:eastAsia="zh-CN"/>
        </w:rPr>
        <w:br w:type="page"/>
      </w:r>
      <w:r w:rsidR="006C1626" w:rsidRPr="006C1626">
        <w:rPr>
          <w:szCs w:val="24"/>
          <w:lang w:eastAsia="zh-CN"/>
        </w:rPr>
        <w:t>Disruptive innovation theory is still one of the greatest tools for comprehending the dynamics of service innovation and the long-term viability of faith-based hospitals</w:t>
      </w:r>
      <w:r w:rsidR="00EA0577">
        <w:rPr>
          <w:szCs w:val="24"/>
          <w:lang w:eastAsia="zh-CN"/>
        </w:rPr>
        <w:t xml:space="preserve"> in Kenya</w:t>
      </w:r>
      <w:r w:rsidR="006C1626" w:rsidRPr="006C1626">
        <w:rPr>
          <w:szCs w:val="24"/>
          <w:lang w:eastAsia="zh-CN"/>
        </w:rPr>
        <w:t>, notwithstanding these criticisms. In light of technology and commercial disruptions, organisations must be flexible, inventive, and agile, according to the Theory of Disruptive Innovation. The organisational culture, strategy, and decision-making procedures that dictate how businesses react to disruptive influences are greatly influenced by corporate governance.</w:t>
      </w:r>
      <w:r w:rsidR="00A70884" w:rsidRPr="00EB11D3">
        <w:rPr>
          <w:szCs w:val="24"/>
          <w:lang w:eastAsia="zh-CN"/>
        </w:rPr>
        <w:t xml:space="preserve"> Governance practices that foster a long-term orientation, alignment of incentives, expertise, and a culture of innovation contribute to improved corporate performance in the context of disruptive innovation. </w:t>
      </w:r>
      <w:r w:rsidR="00B447BF" w:rsidRPr="00EB11D3">
        <w:rPr>
          <w:szCs w:val="24"/>
          <w:lang w:eastAsia="zh-CN"/>
        </w:rPr>
        <w:t xml:space="preserve">This theory </w:t>
      </w:r>
      <w:r w:rsidR="003624CA" w:rsidRPr="00EB11D3">
        <w:rPr>
          <w:szCs w:val="24"/>
          <w:lang w:eastAsia="zh-CN"/>
        </w:rPr>
        <w:t>was</w:t>
      </w:r>
      <w:r w:rsidR="00B447BF" w:rsidRPr="00EB11D3">
        <w:rPr>
          <w:szCs w:val="24"/>
          <w:lang w:eastAsia="zh-CN"/>
        </w:rPr>
        <w:t xml:space="preserve"> applied to explain the</w:t>
      </w:r>
      <w:r w:rsidR="00961829" w:rsidRPr="00EB11D3">
        <w:rPr>
          <w:szCs w:val="24"/>
          <w:lang w:eastAsia="zh-CN"/>
        </w:rPr>
        <w:t xml:space="preserve"> role of </w:t>
      </w:r>
      <w:r w:rsidR="00B447BF" w:rsidRPr="00EB11D3">
        <w:rPr>
          <w:szCs w:val="24"/>
          <w:lang w:eastAsia="zh-CN"/>
        </w:rPr>
        <w:t xml:space="preserve">service innovation </w:t>
      </w:r>
      <w:r w:rsidR="00CB3B1B">
        <w:rPr>
          <w:szCs w:val="24"/>
          <w:lang w:eastAsia="zh-CN"/>
        </w:rPr>
        <w:t>in the relationship</w:t>
      </w:r>
      <w:r w:rsidR="00B447BF" w:rsidRPr="00EB11D3">
        <w:rPr>
          <w:szCs w:val="24"/>
          <w:lang w:eastAsia="zh-CN"/>
        </w:rPr>
        <w:t>.</w:t>
      </w:r>
    </w:p>
    <w:p w14:paraId="431E3C2D" w14:textId="77777777" w:rsidR="00DC0D7C" w:rsidRPr="00EB11D3" w:rsidRDefault="00212BDF">
      <w:pPr>
        <w:pStyle w:val="Heading2"/>
        <w:keepNext w:val="0"/>
        <w:keepLines w:val="0"/>
        <w:spacing w:before="100" w:beforeAutospacing="1" w:after="100" w:afterAutospacing="1" w:line="240" w:lineRule="auto"/>
        <w:jc w:val="both"/>
        <w:rPr>
          <w:bCs/>
          <w:szCs w:val="24"/>
        </w:rPr>
      </w:pPr>
      <w:bookmarkStart w:id="238" w:name="_Toc177387829"/>
      <w:r w:rsidRPr="00EB11D3">
        <w:rPr>
          <w:szCs w:val="24"/>
        </w:rPr>
        <w:t xml:space="preserve">2.2 </w:t>
      </w:r>
      <w:bookmarkStart w:id="239" w:name="_Toc127539510"/>
      <w:bookmarkStart w:id="240" w:name="_Toc132031159"/>
      <w:bookmarkEnd w:id="167"/>
      <w:r w:rsidRPr="00EB11D3">
        <w:rPr>
          <w:bCs/>
          <w:szCs w:val="24"/>
        </w:rPr>
        <w:t>Empirical Literature Review</w:t>
      </w:r>
      <w:bookmarkEnd w:id="238"/>
    </w:p>
    <w:p w14:paraId="79F75499" w14:textId="77777777" w:rsidR="00DC0D7C" w:rsidRPr="00EB11D3" w:rsidRDefault="003C2EB8">
      <w:pPr>
        <w:spacing w:line="360" w:lineRule="auto"/>
        <w:rPr>
          <w:szCs w:val="24"/>
          <w:lang w:eastAsia="zh-CN"/>
        </w:rPr>
      </w:pPr>
      <w:r w:rsidRPr="003C2EB8">
        <w:rPr>
          <w:szCs w:val="24"/>
          <w:lang w:eastAsia="zh-CN"/>
        </w:rPr>
        <w:t>The literature review discusses the elements influencing the organisational performance of faith-based hospitals</w:t>
      </w:r>
      <w:r w:rsidR="00EA0577">
        <w:rPr>
          <w:szCs w:val="24"/>
          <w:lang w:eastAsia="zh-CN"/>
        </w:rPr>
        <w:t xml:space="preserve"> in Kenya</w:t>
      </w:r>
      <w:r w:rsidRPr="003C2EB8">
        <w:rPr>
          <w:szCs w:val="24"/>
          <w:lang w:eastAsia="zh-CN"/>
        </w:rPr>
        <w:t>, highlighting and justifying the research study. There is a discussion of the relationship between corporate governance, service innovation, government regulations, and organisational performance.</w:t>
      </w:r>
    </w:p>
    <w:p w14:paraId="20757203" w14:textId="77777777" w:rsidR="00DC0D7C" w:rsidRPr="00EB11D3" w:rsidRDefault="00212BDF" w:rsidP="00AD1CB7">
      <w:pPr>
        <w:pStyle w:val="Heading3"/>
      </w:pPr>
      <w:bookmarkStart w:id="241" w:name="_Toc132709924"/>
      <w:bookmarkStart w:id="242" w:name="_Toc134174647"/>
      <w:bookmarkStart w:id="243" w:name="_Toc135405683"/>
      <w:bookmarkStart w:id="244" w:name="_Toc135405789"/>
      <w:bookmarkStart w:id="245" w:name="_Toc135405866"/>
      <w:bookmarkStart w:id="246" w:name="_Toc135938078"/>
      <w:bookmarkStart w:id="247" w:name="_Toc135938284"/>
      <w:bookmarkStart w:id="248" w:name="_Toc140111847"/>
      <w:bookmarkStart w:id="249" w:name="_Toc153052074"/>
      <w:bookmarkStart w:id="250" w:name="_Toc164148951"/>
      <w:bookmarkStart w:id="251" w:name="_Toc164151212"/>
      <w:bookmarkStart w:id="252" w:name="_Toc168673404"/>
      <w:bookmarkStart w:id="253" w:name="_Toc168737846"/>
      <w:bookmarkStart w:id="254" w:name="_Toc171602598"/>
      <w:bookmarkStart w:id="255" w:name="_Toc171603425"/>
      <w:bookmarkStart w:id="256" w:name="_Toc177387830"/>
      <w:r w:rsidRPr="00EB11D3">
        <w:t xml:space="preserve">2.2.1 </w:t>
      </w:r>
      <w:bookmarkStart w:id="257" w:name="_Toc517181475"/>
      <w:bookmarkEnd w:id="239"/>
      <w:bookmarkEnd w:id="240"/>
      <w:r w:rsidRPr="00EB11D3">
        <w:t xml:space="preserve">Corporate Governance and Organisational </w:t>
      </w:r>
      <w:bookmarkEnd w:id="241"/>
      <w:bookmarkEnd w:id="242"/>
      <w:bookmarkEnd w:id="243"/>
      <w:bookmarkEnd w:id="244"/>
      <w:bookmarkEnd w:id="245"/>
      <w:bookmarkEnd w:id="246"/>
      <w:bookmarkEnd w:id="247"/>
      <w:bookmarkEnd w:id="248"/>
      <w:r w:rsidR="000347DC" w:rsidRPr="00EB11D3">
        <w:t>Performance</w:t>
      </w:r>
      <w:bookmarkEnd w:id="249"/>
      <w:bookmarkEnd w:id="250"/>
      <w:bookmarkEnd w:id="251"/>
      <w:bookmarkEnd w:id="252"/>
      <w:bookmarkEnd w:id="253"/>
      <w:bookmarkEnd w:id="254"/>
      <w:bookmarkEnd w:id="255"/>
      <w:bookmarkEnd w:id="256"/>
      <w:r w:rsidR="000347DC" w:rsidRPr="00EB11D3">
        <w:t xml:space="preserve"> </w:t>
      </w:r>
    </w:p>
    <w:p w14:paraId="54A39D4D" w14:textId="77777777" w:rsidR="00A1533F" w:rsidRPr="00EB11D3" w:rsidRDefault="00A1533F" w:rsidP="00EA62CC">
      <w:pPr>
        <w:spacing w:before="240" w:line="360" w:lineRule="auto"/>
        <w:rPr>
          <w:szCs w:val="24"/>
          <w:lang w:eastAsia="zh-CN"/>
        </w:rPr>
      </w:pPr>
      <w:r w:rsidRPr="00EB11D3">
        <w:rPr>
          <w:szCs w:val="24"/>
          <w:lang w:eastAsia="zh-CN"/>
        </w:rPr>
        <w:t>Corporate governance has garnered significant attention in academic and corporate circles as a crucial component of contemporary business management (Nasrallah &amp; El Khoury, 202</w:t>
      </w:r>
      <w:r w:rsidR="000436E0" w:rsidRPr="00EB11D3">
        <w:rPr>
          <w:szCs w:val="24"/>
          <w:lang w:eastAsia="zh-CN"/>
        </w:rPr>
        <w:t>2</w:t>
      </w:r>
      <w:r w:rsidRPr="00EB11D3">
        <w:rPr>
          <w:szCs w:val="24"/>
          <w:lang w:eastAsia="zh-CN"/>
        </w:rPr>
        <w:t>). It is commonly known that a company's financial success and general sustainability are significantly influenced by the efficacy of its corporate governance processes (Nasrallah &amp; El Khoury, 202</w:t>
      </w:r>
      <w:r w:rsidR="00CB7C04">
        <w:rPr>
          <w:szCs w:val="24"/>
          <w:lang w:eastAsia="zh-CN"/>
        </w:rPr>
        <w:t>2</w:t>
      </w:r>
      <w:r w:rsidRPr="00EB11D3">
        <w:rPr>
          <w:szCs w:val="24"/>
          <w:lang w:eastAsia="zh-CN"/>
        </w:rPr>
        <w:t xml:space="preserve">). Ensuring that companies are managed effectively, morally, and in a way that serves the interests of stakeholders and shareholders is crucial. Although this relationship has been studied in great detail in rich economies, there is a rising interest in learning how it plays out in developing countries like </w:t>
      </w:r>
      <w:r w:rsidR="00F811F0" w:rsidRPr="00EB11D3">
        <w:rPr>
          <w:szCs w:val="24"/>
          <w:lang w:eastAsia="zh-CN"/>
        </w:rPr>
        <w:t>Kenya</w:t>
      </w:r>
      <w:r w:rsidRPr="00EB11D3">
        <w:rPr>
          <w:szCs w:val="24"/>
          <w:lang w:eastAsia="zh-CN"/>
        </w:rPr>
        <w:t>.</w:t>
      </w:r>
    </w:p>
    <w:p w14:paraId="23D6865D" w14:textId="77777777" w:rsidR="00B1535C" w:rsidRPr="00EB11D3" w:rsidRDefault="0000641A" w:rsidP="00EA62CC">
      <w:pPr>
        <w:spacing w:before="240" w:line="360" w:lineRule="auto"/>
        <w:rPr>
          <w:szCs w:val="24"/>
          <w:lang w:eastAsia="zh-CN"/>
        </w:rPr>
      </w:pPr>
      <w:r w:rsidRPr="00EB11D3">
        <w:rPr>
          <w:szCs w:val="24"/>
          <w:lang w:eastAsia="zh-CN"/>
        </w:rPr>
        <w:t xml:space="preserve">Brown (2019) discovered a statistically significant association between corporate governance and healthcare quality among eight public hospitals in Australia using a comparative case study. Data were gathered through hospital governance records as well as semi-structured interviews. Thematic research revealed that board composition had a strong association with healthcare quality. However, the study had a contextual gap because it focused on a public hospital with different governance </w:t>
      </w:r>
      <w:r w:rsidR="0052221D" w:rsidRPr="00EB11D3">
        <w:rPr>
          <w:szCs w:val="24"/>
          <w:lang w:eastAsia="zh-CN"/>
        </w:rPr>
        <w:t>from</w:t>
      </w:r>
      <w:r w:rsidRPr="00EB11D3">
        <w:rPr>
          <w:szCs w:val="24"/>
          <w:lang w:eastAsia="zh-CN"/>
        </w:rPr>
        <w:t xml:space="preserve"> faith-based hospital, which reduces the generalizability of the findings. Th</w:t>
      </w:r>
      <w:r w:rsidR="005261F2">
        <w:rPr>
          <w:szCs w:val="24"/>
          <w:lang w:eastAsia="zh-CN"/>
        </w:rPr>
        <w:t xml:space="preserve">is study focused on </w:t>
      </w:r>
      <w:r w:rsidR="006D5C62" w:rsidRPr="00EB11D3">
        <w:rPr>
          <w:szCs w:val="24"/>
          <w:lang w:eastAsia="zh-CN"/>
        </w:rPr>
        <w:t>organisational performance of Faith-Based Hospitals</w:t>
      </w:r>
      <w:r w:rsidRPr="00EB11D3">
        <w:rPr>
          <w:szCs w:val="24"/>
          <w:lang w:eastAsia="zh-CN"/>
        </w:rPr>
        <w:t xml:space="preserve"> in Kenya.</w:t>
      </w:r>
    </w:p>
    <w:p w14:paraId="77ED6D22" w14:textId="77777777" w:rsidR="007606C0" w:rsidRPr="00EB11D3" w:rsidRDefault="00CA0258">
      <w:pPr>
        <w:spacing w:line="360" w:lineRule="auto"/>
        <w:rPr>
          <w:szCs w:val="24"/>
          <w:lang w:eastAsia="zh-CN"/>
        </w:rPr>
      </w:pPr>
      <w:r w:rsidRPr="00CA0258">
        <w:rPr>
          <w:szCs w:val="24"/>
          <w:shd w:val="clear" w:color="auto" w:fill="FFFFFF"/>
        </w:rPr>
        <w:t xml:space="preserve">Afriyie (2020) discovered a statistically significant relationship between corporate governance dimensions and hospital financial performance. The study looked at the association between corporate governance metrics (gender diversity, board relationships, and governance dynamics) and financial success. Data sources, both primary and secondary, were employed. Structured and unstructured questionnaires were used to gather primary data, while financial information from 125 hospitals was used to get secondary data. Additionally, the study found a negative correlation between CEO duality, board size, and financial success. Nevertheless, because financial performance was regarded as a dependent variable in the study, it brought to light a conceptual gap. </w:t>
      </w:r>
      <w:r w:rsidR="00447992" w:rsidRPr="00EB11D3">
        <w:rPr>
          <w:szCs w:val="24"/>
          <w:shd w:val="clear" w:color="auto" w:fill="FFFFFF"/>
        </w:rPr>
        <w:t xml:space="preserve">This study </w:t>
      </w:r>
      <w:r w:rsidR="00C42E72" w:rsidRPr="00EB11D3">
        <w:rPr>
          <w:szCs w:val="24"/>
          <w:shd w:val="clear" w:color="auto" w:fill="FFFFFF"/>
        </w:rPr>
        <w:t>took</w:t>
      </w:r>
      <w:r w:rsidR="00447992" w:rsidRPr="00EB11D3">
        <w:rPr>
          <w:szCs w:val="24"/>
          <w:shd w:val="clear" w:color="auto" w:fill="FFFFFF"/>
        </w:rPr>
        <w:t xml:space="preserve"> into account both financial and non-financial performance criteria.</w:t>
      </w:r>
    </w:p>
    <w:p w14:paraId="6A8098E6" w14:textId="77777777" w:rsidR="00DF3EE9" w:rsidRPr="00EB11D3" w:rsidRDefault="00DF3EE9" w:rsidP="00DF3EE9">
      <w:pPr>
        <w:spacing w:line="360" w:lineRule="auto"/>
        <w:rPr>
          <w:szCs w:val="24"/>
          <w:shd w:val="clear" w:color="auto" w:fill="FFFFFF"/>
        </w:rPr>
      </w:pPr>
      <w:r w:rsidRPr="00EB11D3">
        <w:rPr>
          <w:szCs w:val="24"/>
          <w:lang w:eastAsia="zh-CN"/>
        </w:rPr>
        <w:t xml:space="preserve">A systemic review by Ndege, Mwaura-Tenambergen and Njoroge (2022) revealed a statistically significant relationship between corporate </w:t>
      </w:r>
      <w:r w:rsidR="00DB502E" w:rsidRPr="00EB11D3">
        <w:rPr>
          <w:szCs w:val="24"/>
          <w:lang w:eastAsia="zh-CN"/>
        </w:rPr>
        <w:t>governance and</w:t>
      </w:r>
      <w:r w:rsidRPr="00EB11D3">
        <w:rPr>
          <w:szCs w:val="24"/>
          <w:lang w:eastAsia="zh-CN"/>
        </w:rPr>
        <w:t xml:space="preserve"> performance in public hospitals. Panel data was obtained from PubMed databases from the period between January 2017 and February 2022. Data was obtained through inclusion of ten (10) public hospitals and exclusion of private hospitals. The study findings also indicated that accountability and shared strategic direction was also influenced by the corporate governance practices within the public hospitals. The study however manifested contextual gap as it focused on public hospital hence cannot be generalized to </w:t>
      </w:r>
      <w:r w:rsidR="0038019E" w:rsidRPr="00EB11D3">
        <w:rPr>
          <w:szCs w:val="24"/>
          <w:lang w:eastAsia="zh-CN"/>
        </w:rPr>
        <w:t>Faith-based</w:t>
      </w:r>
      <w:r w:rsidRPr="00EB11D3">
        <w:rPr>
          <w:szCs w:val="24"/>
          <w:lang w:eastAsia="zh-CN"/>
        </w:rPr>
        <w:t xml:space="preserve"> hospital. </w:t>
      </w:r>
      <w:r w:rsidR="00CA0258" w:rsidRPr="00CA0258">
        <w:rPr>
          <w:szCs w:val="24"/>
          <w:lang w:eastAsia="zh-CN"/>
        </w:rPr>
        <w:t>In order to understand the relationship between corporate governance and organisational performance of faith-based hospitals in Kenya, this study assessed the effects of service innovation and government regulations as mediating and moderating variables.</w:t>
      </w:r>
    </w:p>
    <w:p w14:paraId="6276B0CE" w14:textId="77777777" w:rsidR="00362193" w:rsidRPr="00EB11D3" w:rsidRDefault="00581F53">
      <w:pPr>
        <w:spacing w:line="360" w:lineRule="auto"/>
        <w:rPr>
          <w:szCs w:val="24"/>
        </w:rPr>
      </w:pPr>
      <w:r w:rsidRPr="00EB11D3">
        <w:rPr>
          <w:szCs w:val="24"/>
        </w:rPr>
        <w:t xml:space="preserve">Marques, da Silva, Teixeira, and Nogueira (2020) discovered a link between corporate governance and the environment in the health industry using a systematic literature review. The study reviewed 167 studies and used time series data from 2015 to 2019. </w:t>
      </w:r>
      <w:r w:rsidR="008F2E03" w:rsidRPr="00EB11D3">
        <w:rPr>
          <w:szCs w:val="24"/>
        </w:rPr>
        <w:t xml:space="preserve">The obtained data was analysed using PRISMA analysis. </w:t>
      </w:r>
      <w:r w:rsidRPr="00EB11D3">
        <w:rPr>
          <w:szCs w:val="24"/>
        </w:rPr>
        <w:t xml:space="preserve">However, the analysis revealed a methodological deficit because it solely employed secondary qualitative data. </w:t>
      </w:r>
      <w:r w:rsidR="00971B74" w:rsidRPr="00EB11D3">
        <w:rPr>
          <w:szCs w:val="24"/>
        </w:rPr>
        <w:t xml:space="preserve">This study </w:t>
      </w:r>
      <w:r w:rsidR="00C42E72" w:rsidRPr="00EB11D3">
        <w:rPr>
          <w:szCs w:val="24"/>
        </w:rPr>
        <w:t>was</w:t>
      </w:r>
      <w:r w:rsidR="00F36FF1" w:rsidRPr="00EB11D3">
        <w:rPr>
          <w:szCs w:val="24"/>
        </w:rPr>
        <w:t xml:space="preserve"> </w:t>
      </w:r>
      <w:r w:rsidR="000C509A" w:rsidRPr="00EB11D3">
        <w:rPr>
          <w:szCs w:val="24"/>
        </w:rPr>
        <w:t xml:space="preserve">quantitative </w:t>
      </w:r>
      <w:r w:rsidR="00643BCE" w:rsidRPr="00EB11D3">
        <w:rPr>
          <w:szCs w:val="24"/>
        </w:rPr>
        <w:t>as it employ</w:t>
      </w:r>
      <w:r w:rsidR="00C42E72" w:rsidRPr="00EB11D3">
        <w:rPr>
          <w:szCs w:val="24"/>
        </w:rPr>
        <w:t>ed</w:t>
      </w:r>
      <w:r w:rsidR="00643BCE" w:rsidRPr="00EB11D3">
        <w:rPr>
          <w:szCs w:val="24"/>
        </w:rPr>
        <w:t xml:space="preserve"> primary data</w:t>
      </w:r>
      <w:r w:rsidR="000C509A" w:rsidRPr="00EB11D3">
        <w:rPr>
          <w:szCs w:val="24"/>
        </w:rPr>
        <w:t>.</w:t>
      </w:r>
      <w:r w:rsidR="00110F0D" w:rsidRPr="00EB11D3">
        <w:rPr>
          <w:szCs w:val="24"/>
        </w:rPr>
        <w:t xml:space="preserve"> </w:t>
      </w:r>
      <w:r w:rsidR="00527704" w:rsidRPr="00EB11D3">
        <w:rPr>
          <w:szCs w:val="24"/>
        </w:rPr>
        <w:t xml:space="preserve">This study used cross-sectional survey approach </w:t>
      </w:r>
      <w:r w:rsidR="008F2E03" w:rsidRPr="00EB11D3">
        <w:rPr>
          <w:szCs w:val="24"/>
        </w:rPr>
        <w:t>to obtain</w:t>
      </w:r>
      <w:r w:rsidR="00527704" w:rsidRPr="00EB11D3">
        <w:rPr>
          <w:szCs w:val="24"/>
        </w:rPr>
        <w:t xml:space="preserve"> primary data</w:t>
      </w:r>
      <w:r w:rsidR="008F2E03" w:rsidRPr="00EB11D3">
        <w:rPr>
          <w:szCs w:val="24"/>
        </w:rPr>
        <w:t xml:space="preserve"> which was then analysed using </w:t>
      </w:r>
      <w:r w:rsidR="008F2E03" w:rsidRPr="00EB11D3">
        <w:rPr>
          <w:szCs w:val="24"/>
          <w:lang w:val="en"/>
        </w:rPr>
        <w:t>SPSS version 27.</w:t>
      </w:r>
    </w:p>
    <w:p w14:paraId="7E69B556" w14:textId="77777777" w:rsidR="003E1ADD" w:rsidRDefault="003E1ADD" w:rsidP="003E1ADD">
      <w:pPr>
        <w:spacing w:after="0" w:line="360" w:lineRule="auto"/>
        <w:rPr>
          <w:szCs w:val="24"/>
          <w:shd w:val="clear" w:color="auto" w:fill="FFFFFF"/>
        </w:rPr>
      </w:pPr>
      <w:r w:rsidRPr="00EB11D3">
        <w:rPr>
          <w:szCs w:val="24"/>
          <w:shd w:val="clear" w:color="auto" w:fill="FFFFFF"/>
        </w:rPr>
        <w:t>The study by Agnihotri and Arora (2021) indicated that the stakeholders in the government hospitals had a major role in corporate governance of the hospitals. The study focused on the processes and procedures as key elements of corporate governance. The study sought opinions and views of Management, Healthcare workers and the patients as the key hospital stakeholders from three government Hospitals. The objective of the study was to establish indicators of effective governance in a highly regulated health care system in an emerging country like India. The study received 582 respondents which were analyzed using logit regression. The study established that the comfort level of patients with the doctor, the ability of the doctors to address.</w:t>
      </w:r>
      <w:r w:rsidR="00CB7C04">
        <w:rPr>
          <w:szCs w:val="24"/>
          <w:shd w:val="clear" w:color="auto" w:fill="FFFFFF"/>
        </w:rPr>
        <w:t xml:space="preserve"> </w:t>
      </w:r>
      <w:r w:rsidRPr="00EB11D3">
        <w:rPr>
          <w:szCs w:val="24"/>
          <w:shd w:val="clear" w:color="auto" w:fill="FFFFFF"/>
        </w:rPr>
        <w:t xml:space="preserve">The concern of patience, registration time in the hospital, and easy availability of the medicine improves the corporate governance of the hospital. The main contribution of the research is analyzing the health care system in an emerging market like India which is characterized by the complexity of interaction between the environment and policies related to health care. The study further recommends that the management should focus on good quality doctors and ethical issues like ease of access of services and service flow within the hospitals. </w:t>
      </w:r>
      <w:r w:rsidR="00710FF0" w:rsidRPr="00710FF0">
        <w:rPr>
          <w:szCs w:val="24"/>
          <w:shd w:val="clear" w:color="auto" w:fill="FFFFFF"/>
        </w:rPr>
        <w:t>The study, however, shows a contextual gap because it was conducted in just three government hospitals in India, excluding private and faith-based institutions. As a result, the findings cannot be applied to faith-based hospitals</w:t>
      </w:r>
      <w:r w:rsidR="00EA0577">
        <w:rPr>
          <w:szCs w:val="24"/>
          <w:shd w:val="clear" w:color="auto" w:fill="FFFFFF"/>
        </w:rPr>
        <w:t xml:space="preserve"> in Kenya</w:t>
      </w:r>
      <w:r w:rsidR="00710FF0" w:rsidRPr="00710FF0">
        <w:rPr>
          <w:szCs w:val="24"/>
          <w:shd w:val="clear" w:color="auto" w:fill="FFFFFF"/>
        </w:rPr>
        <w:t>.</w:t>
      </w:r>
    </w:p>
    <w:p w14:paraId="385E90AA" w14:textId="77777777" w:rsidR="00710FF0" w:rsidRPr="00EB11D3" w:rsidRDefault="00710FF0" w:rsidP="003E1ADD">
      <w:pPr>
        <w:spacing w:after="0" w:line="360" w:lineRule="auto"/>
        <w:rPr>
          <w:szCs w:val="24"/>
        </w:rPr>
      </w:pPr>
    </w:p>
    <w:p w14:paraId="1EE09D4E" w14:textId="77777777" w:rsidR="00C23216" w:rsidRPr="00EB11D3" w:rsidRDefault="00C23216" w:rsidP="00C23216">
      <w:pPr>
        <w:spacing w:line="360" w:lineRule="auto"/>
        <w:rPr>
          <w:szCs w:val="24"/>
          <w:lang w:eastAsia="zh-CN"/>
        </w:rPr>
      </w:pPr>
      <w:r w:rsidRPr="00EB11D3">
        <w:rPr>
          <w:szCs w:val="24"/>
          <w:lang w:eastAsia="zh-CN"/>
        </w:rPr>
        <w:t xml:space="preserve">According to a study by Amara (2021), corporate governance in the companies under investigation were found to be inconsistent with some OECD principles of corporate governance and to fit with them in others. The companies under investigation were listed on the Libyan stock market. A closed-ended survey was used to get the data. </w:t>
      </w:r>
      <w:r w:rsidR="00710FF0" w:rsidRPr="00710FF0">
        <w:rPr>
          <w:szCs w:val="24"/>
          <w:lang w:eastAsia="zh-CN"/>
        </w:rPr>
        <w:t xml:space="preserve">Due to the fact that the mediating and moderating variables were overlooked while evaluating the relationship between the independent and dependent variables, the study has a conceptual gap. </w:t>
      </w:r>
      <w:r w:rsidR="00581F53" w:rsidRPr="00EB11D3">
        <w:rPr>
          <w:szCs w:val="24"/>
          <w:lang w:eastAsia="zh-CN"/>
        </w:rPr>
        <w:t>This study look</w:t>
      </w:r>
      <w:r w:rsidR="00BE3A5D" w:rsidRPr="00EB11D3">
        <w:rPr>
          <w:szCs w:val="24"/>
          <w:lang w:eastAsia="zh-CN"/>
        </w:rPr>
        <w:t>ed</w:t>
      </w:r>
      <w:r w:rsidR="00581F53" w:rsidRPr="00EB11D3">
        <w:rPr>
          <w:szCs w:val="24"/>
          <w:lang w:eastAsia="zh-CN"/>
        </w:rPr>
        <w:t xml:space="preserve"> at service innovation and government regulations as moderating and mediating variables.</w:t>
      </w:r>
    </w:p>
    <w:p w14:paraId="29FF811E" w14:textId="77777777" w:rsidR="00C23216" w:rsidRPr="00EB11D3" w:rsidRDefault="00710FF0" w:rsidP="00C23216">
      <w:pPr>
        <w:spacing w:line="360" w:lineRule="auto"/>
        <w:rPr>
          <w:szCs w:val="24"/>
          <w:lang w:eastAsia="zh-CN"/>
        </w:rPr>
      </w:pPr>
      <w:r w:rsidRPr="00710FF0">
        <w:rPr>
          <w:szCs w:val="24"/>
          <w:lang w:eastAsia="zh-CN"/>
        </w:rPr>
        <w:t xml:space="preserve">Zaid, Wang, and Abuhijleh (2019) assessed the relationship between corporate social responsibility disclosure and corporate governance practices using panel data. 33 businesses that are listed on the Palestine Stock Exchange provided the data. This longitudinal study used OLS regression to investigate the relationship between CG and the level of CSR disclosure. While board size and independence had a favourable but statistically less significant influence on the quantity of CSR disclosure, gender diversity had a positive but less significant effect. Content analysis was used to examine the data. Additionally, a statistically significant negative association with CEO dualism and CSR disclosures was seen in the study's findings. The study revealed a contextual gap because it focused on firms listed on the Palestine Stock Exchange and not </w:t>
      </w:r>
      <w:r w:rsidR="00B81493" w:rsidRPr="00710FF0">
        <w:rPr>
          <w:szCs w:val="24"/>
          <w:lang w:eastAsia="zh-CN"/>
        </w:rPr>
        <w:t>faith-based</w:t>
      </w:r>
      <w:r w:rsidRPr="00710FF0">
        <w:rPr>
          <w:szCs w:val="24"/>
          <w:lang w:eastAsia="zh-CN"/>
        </w:rPr>
        <w:t xml:space="preserve"> hospitals.</w:t>
      </w:r>
      <w:r w:rsidR="0051044B" w:rsidRPr="00EB11D3">
        <w:rPr>
          <w:szCs w:val="24"/>
          <w:lang w:eastAsia="zh-CN"/>
        </w:rPr>
        <w:t xml:space="preserve"> </w:t>
      </w:r>
    </w:p>
    <w:p w14:paraId="4A093630" w14:textId="77777777" w:rsidR="0051044B" w:rsidRPr="00EB11D3" w:rsidRDefault="00870B05" w:rsidP="0051044B">
      <w:pPr>
        <w:spacing w:line="360" w:lineRule="auto"/>
        <w:rPr>
          <w:szCs w:val="24"/>
          <w:lang w:eastAsia="zh-CN"/>
        </w:rPr>
      </w:pPr>
      <w:r w:rsidRPr="00EB11D3">
        <w:rPr>
          <w:szCs w:val="24"/>
          <w:lang w:eastAsia="zh-CN"/>
        </w:rPr>
        <w:t xml:space="preserve">Using a cross-sectional survey, </w:t>
      </w:r>
      <w:r w:rsidR="001903B2" w:rsidRPr="00EB11D3">
        <w:rPr>
          <w:szCs w:val="24"/>
          <w:lang w:eastAsia="zh-CN"/>
        </w:rPr>
        <w:t xml:space="preserve">Muthengi and Ragui (2023) discovered a significant connection between corporate governance components and performance. </w:t>
      </w:r>
      <w:r w:rsidR="00B81493" w:rsidRPr="00B81493">
        <w:rPr>
          <w:szCs w:val="24"/>
          <w:lang w:eastAsia="zh-CN"/>
        </w:rPr>
        <w:t xml:space="preserve">Both qualitative and quantitative data were gathered for the study using the descriptive research approach. </w:t>
      </w:r>
      <w:r w:rsidR="001903B2" w:rsidRPr="00EB11D3">
        <w:rPr>
          <w:szCs w:val="24"/>
          <w:lang w:eastAsia="zh-CN"/>
        </w:rPr>
        <w:t>Primary and secondary data were collected from 248 Kenyatta National Hospital employees</w:t>
      </w:r>
      <w:r w:rsidRPr="00EB11D3">
        <w:rPr>
          <w:szCs w:val="24"/>
          <w:lang w:eastAsia="zh-CN"/>
        </w:rPr>
        <w:t xml:space="preserve"> using a census approach to select the respondents</w:t>
      </w:r>
      <w:r w:rsidR="001903B2" w:rsidRPr="00EB11D3">
        <w:rPr>
          <w:szCs w:val="24"/>
          <w:lang w:eastAsia="zh-CN"/>
        </w:rPr>
        <w:t xml:space="preserve">. </w:t>
      </w:r>
      <w:r w:rsidR="00896900" w:rsidRPr="00EB11D3">
        <w:rPr>
          <w:szCs w:val="24"/>
          <w:lang w:eastAsia="zh-CN"/>
        </w:rPr>
        <w:t xml:space="preserve">The study </w:t>
      </w:r>
      <w:r w:rsidR="00446CD7" w:rsidRPr="00EB11D3">
        <w:rPr>
          <w:szCs w:val="24"/>
          <w:lang w:eastAsia="zh-CN"/>
        </w:rPr>
        <w:t xml:space="preserve">obtained the questionnaire from statements from </w:t>
      </w:r>
      <w:r w:rsidR="00896900" w:rsidRPr="00EB11D3">
        <w:rPr>
          <w:szCs w:val="24"/>
          <w:lang w:eastAsia="zh-CN"/>
        </w:rPr>
        <w:t>e</w:t>
      </w:r>
      <w:r w:rsidR="00446CD7" w:rsidRPr="00EB11D3">
        <w:rPr>
          <w:szCs w:val="24"/>
          <w:lang w:eastAsia="zh-CN"/>
        </w:rPr>
        <w:t>mpirical reviews</w:t>
      </w:r>
      <w:r w:rsidR="002A0E92" w:rsidRPr="00EB11D3">
        <w:rPr>
          <w:szCs w:val="24"/>
          <w:lang w:eastAsia="zh-CN"/>
        </w:rPr>
        <w:t xml:space="preserve"> which was then used to collect primary data.</w:t>
      </w:r>
      <w:r w:rsidR="00896900" w:rsidRPr="00EB11D3">
        <w:rPr>
          <w:szCs w:val="24"/>
          <w:lang w:eastAsia="zh-CN"/>
        </w:rPr>
        <w:t xml:space="preserve"> </w:t>
      </w:r>
      <w:r w:rsidR="001903B2" w:rsidRPr="00EB11D3">
        <w:rPr>
          <w:szCs w:val="24"/>
          <w:lang w:eastAsia="zh-CN"/>
        </w:rPr>
        <w:t>Because the research was conducted at a public hospital, there was a contextual gap. This research focus</w:t>
      </w:r>
      <w:r w:rsidR="00BE3A5D" w:rsidRPr="00EB11D3">
        <w:rPr>
          <w:szCs w:val="24"/>
          <w:lang w:eastAsia="zh-CN"/>
        </w:rPr>
        <w:t>ed</w:t>
      </w:r>
      <w:r w:rsidR="001903B2" w:rsidRPr="00EB11D3">
        <w:rPr>
          <w:szCs w:val="24"/>
          <w:lang w:eastAsia="zh-CN"/>
        </w:rPr>
        <w:t xml:space="preserve"> on faith-based hospitals in Kenya.</w:t>
      </w:r>
      <w:r w:rsidR="0051044B" w:rsidRPr="00EB11D3">
        <w:rPr>
          <w:szCs w:val="24"/>
          <w:lang w:eastAsia="zh-CN"/>
        </w:rPr>
        <w:t xml:space="preserve"> The study was a case study while this study was a survey of all level 4 and 5 faith-based hospitals in Kenya.</w:t>
      </w:r>
    </w:p>
    <w:p w14:paraId="5E70A48E" w14:textId="77777777" w:rsidR="00DC0D7C" w:rsidRPr="00EB11D3" w:rsidRDefault="00212BDF" w:rsidP="00BE0F99">
      <w:pPr>
        <w:pStyle w:val="Heading3"/>
        <w:spacing w:after="240"/>
      </w:pPr>
      <w:bookmarkStart w:id="258" w:name="_Toc132031160"/>
      <w:bookmarkStart w:id="259" w:name="_Toc127539511"/>
      <w:bookmarkStart w:id="260" w:name="_Toc132709925"/>
      <w:bookmarkStart w:id="261" w:name="_Toc134174648"/>
      <w:bookmarkStart w:id="262" w:name="_Toc135405684"/>
      <w:bookmarkStart w:id="263" w:name="_Toc135405790"/>
      <w:bookmarkStart w:id="264" w:name="_Toc135405867"/>
      <w:bookmarkStart w:id="265" w:name="_Toc135938079"/>
      <w:bookmarkStart w:id="266" w:name="_Toc135938285"/>
      <w:bookmarkStart w:id="267" w:name="_Toc140111848"/>
      <w:bookmarkStart w:id="268" w:name="_Toc153052075"/>
      <w:bookmarkStart w:id="269" w:name="_Toc164148952"/>
      <w:bookmarkStart w:id="270" w:name="_Toc164151213"/>
      <w:bookmarkStart w:id="271" w:name="_Toc168673405"/>
      <w:bookmarkStart w:id="272" w:name="_Toc168737847"/>
      <w:bookmarkStart w:id="273" w:name="_Toc171602599"/>
      <w:bookmarkStart w:id="274" w:name="_Toc171603426"/>
      <w:bookmarkStart w:id="275" w:name="_Toc177387831"/>
      <w:r w:rsidRPr="00EB11D3">
        <w:t xml:space="preserve">2.2.2 </w:t>
      </w:r>
      <w:bookmarkEnd w:id="258"/>
      <w:bookmarkEnd w:id="259"/>
      <w:r w:rsidRPr="00EB11D3">
        <w:t>Corporate Governance</w:t>
      </w:r>
      <w:r w:rsidR="00166211" w:rsidRPr="00EB11D3">
        <w:t xml:space="preserve">, Service Innovation </w:t>
      </w:r>
      <w:r w:rsidRPr="00EB11D3">
        <w:t xml:space="preserve">and </w:t>
      </w:r>
      <w:r w:rsidR="00813F2C" w:rsidRPr="00EB11D3">
        <w:t>Organisat</w:t>
      </w:r>
      <w:r w:rsidRPr="00EB11D3">
        <w:t>ional Performance</w:t>
      </w:r>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p>
    <w:p w14:paraId="2265C29D" w14:textId="77777777" w:rsidR="00871000" w:rsidRPr="00EB11D3" w:rsidRDefault="00722AAB" w:rsidP="00BE0F99">
      <w:pPr>
        <w:spacing w:after="240" w:line="360" w:lineRule="auto"/>
        <w:rPr>
          <w:rFonts w:eastAsia="Times New Roman"/>
          <w:szCs w:val="24"/>
        </w:rPr>
      </w:pPr>
      <w:r w:rsidRPr="00722AAB">
        <w:rPr>
          <w:rFonts w:eastAsia="Times New Roman"/>
          <w:szCs w:val="24"/>
        </w:rPr>
        <w:t xml:space="preserve">Service innovation encompasses several endeavours that have the potential to enhance corporate operations and services while producing novel value propositions (Ndubisi, Dayan, Yeniaras, &amp; Al-hawari, 2020). </w:t>
      </w:r>
      <w:r w:rsidR="00871000" w:rsidRPr="00EB11D3">
        <w:rPr>
          <w:rFonts w:eastAsia="Times New Roman"/>
          <w:szCs w:val="24"/>
        </w:rPr>
        <w:t>Service innovation typically takes the form of new services and integrated product-service packages and works as a component of a larger solution (YuSheng &amp; Ibrahim, 2019). Products and services need to be continuously innovated; rather, they need to be created incrementally and supportively using innovative concepts. Since meeting client expectations, creating answers to their issues, and offering services that improve their quality of life are all considered aspects of service innovation (YuSheng &amp; Ibrahim, 2019). Large organisations that recognise the value of innovation engage in more intensive innovation-related activities. Innovativeness has been found to enhance company success in several research that have looked at the link between innovation and firm performance (Khan &amp; Naeem, 2018; Ibrahim &amp; Yusheng, 2020). Thus, in order for service organisations to have a competitive edge, service innovation is critical (Seta, 2019). Consequently, the influence of service innovation on strategic orientation, strategic analysis, finance, and market performance is covered by the study model.</w:t>
      </w:r>
    </w:p>
    <w:p w14:paraId="34E7D182" w14:textId="77777777" w:rsidR="00E42E8D" w:rsidRPr="00EB11D3" w:rsidRDefault="00E42E8D" w:rsidP="00BE0F99">
      <w:pPr>
        <w:spacing w:after="240" w:line="360" w:lineRule="auto"/>
        <w:rPr>
          <w:rFonts w:eastAsia="Times New Roman"/>
          <w:szCs w:val="24"/>
        </w:rPr>
      </w:pPr>
      <w:r w:rsidRPr="00EB11D3">
        <w:rPr>
          <w:rFonts w:eastAsia="Times New Roman"/>
          <w:szCs w:val="24"/>
        </w:rPr>
        <w:t>A shift in the characteristics of the service and/or in the skills of the service provider or the clients (co-creation) is referred to as service innovation (</w:t>
      </w:r>
      <w:r w:rsidR="00953B2B" w:rsidRPr="00EB11D3">
        <w:rPr>
          <w:color w:val="222222"/>
          <w:szCs w:val="24"/>
          <w:shd w:val="clear" w:color="auto" w:fill="FFFFFF"/>
        </w:rPr>
        <w:t>Salunke, Weerawardena, &amp; McColl-Kennedy</w:t>
      </w:r>
      <w:r w:rsidRPr="00EB11D3">
        <w:rPr>
          <w:rFonts w:eastAsia="Times New Roman"/>
          <w:szCs w:val="24"/>
        </w:rPr>
        <w:t xml:space="preserve">, 2019). Furthermore, service innovation includes a variety of forms and approaches (e.g., in the service's content, delivery procedures, or other associated activities). In order to create value from novel configurations of actors and resources, service innovation may also be seen as a change in the environment of services and as a reorganisation of the players and resources involved (Edvardsson et al., 2018; Joly et al., 2019). </w:t>
      </w:r>
      <w:r w:rsidR="0028379D" w:rsidRPr="00EB11D3">
        <w:rPr>
          <w:rFonts w:eastAsia="Times New Roman"/>
          <w:szCs w:val="24"/>
        </w:rPr>
        <w:t>B</w:t>
      </w:r>
      <w:r w:rsidRPr="00EB11D3">
        <w:rPr>
          <w:rFonts w:eastAsia="Times New Roman"/>
          <w:szCs w:val="24"/>
        </w:rPr>
        <w:t>usinesses can profit greatly from service innovation in terms of both financial and product competitiveness (</w:t>
      </w:r>
      <w:r w:rsidR="00953B2B" w:rsidRPr="00EB11D3">
        <w:rPr>
          <w:rFonts w:eastAsia="Times New Roman"/>
          <w:szCs w:val="24"/>
        </w:rPr>
        <w:t xml:space="preserve">Sjödin, Parida, Kohtamäki &amp; Wincent, </w:t>
      </w:r>
      <w:r w:rsidRPr="00EB11D3">
        <w:rPr>
          <w:rFonts w:eastAsia="Times New Roman"/>
          <w:szCs w:val="24"/>
        </w:rPr>
        <w:t>2020).</w:t>
      </w:r>
    </w:p>
    <w:p w14:paraId="3C5D4537" w14:textId="77777777" w:rsidR="00CF662B" w:rsidRPr="00EB11D3" w:rsidRDefault="0028379D" w:rsidP="0028379D">
      <w:pPr>
        <w:spacing w:after="240" w:line="360" w:lineRule="auto"/>
        <w:rPr>
          <w:rFonts w:eastAsia="Times New Roman"/>
          <w:szCs w:val="24"/>
        </w:rPr>
      </w:pPr>
      <w:r w:rsidRPr="00EB11D3">
        <w:rPr>
          <w:rFonts w:eastAsia="Times New Roman"/>
          <w:szCs w:val="24"/>
        </w:rPr>
        <w:t xml:space="preserve">Innovation in services is constantly made possible by technological advancements. For this reason, technology has been emphasised as being essential to service innovation, particularly information and communication technology (Divisekera &amp; Nguyen, 2018; </w:t>
      </w:r>
      <w:r w:rsidR="004D5D21" w:rsidRPr="00EB11D3">
        <w:rPr>
          <w:rFonts w:eastAsia="Times New Roman"/>
          <w:szCs w:val="24"/>
        </w:rPr>
        <w:t>Kroh, Luetjen, Globocnik, &amp; Schultz</w:t>
      </w:r>
      <w:r w:rsidRPr="00EB11D3">
        <w:rPr>
          <w:rFonts w:eastAsia="Times New Roman"/>
          <w:szCs w:val="24"/>
        </w:rPr>
        <w:t>, 2018). New technology-based services have the potential to benefit both service providers and consumers.</w:t>
      </w:r>
      <w:r w:rsidR="00CF662B" w:rsidRPr="00EB11D3">
        <w:rPr>
          <w:rFonts w:eastAsia="Times New Roman"/>
          <w:szCs w:val="24"/>
        </w:rPr>
        <w:t xml:space="preserve"> </w:t>
      </w:r>
      <w:r w:rsidRPr="00EB11D3">
        <w:rPr>
          <w:rFonts w:eastAsia="Times New Roman"/>
          <w:szCs w:val="24"/>
        </w:rPr>
        <w:t xml:space="preserve">Information may be shared more easily thanks to technology when it comes to internal and external knowledge (Divisekera &amp; Nguyen, 2018; Kroh et al., 2018). Additionally, a lot of service innovations - whether explicit or implicit - require more information than product innovations do. As a result, even though the complexity of the services also raises the degree to which these technologies are implemented, there is a greater need for intensive use of information technology as service complexity rises (Kroh et al., 2018). </w:t>
      </w:r>
    </w:p>
    <w:p w14:paraId="6135126A" w14:textId="77777777" w:rsidR="00AA47F7" w:rsidRPr="00EB11D3" w:rsidRDefault="0028379D" w:rsidP="00CF662B">
      <w:pPr>
        <w:spacing w:after="240" w:line="360" w:lineRule="auto"/>
        <w:rPr>
          <w:rFonts w:eastAsia="Times New Roman"/>
          <w:szCs w:val="24"/>
        </w:rPr>
      </w:pPr>
      <w:r w:rsidRPr="00EB11D3">
        <w:rPr>
          <w:rFonts w:eastAsia="Times New Roman"/>
          <w:szCs w:val="24"/>
        </w:rPr>
        <w:t>New technologies have an impact on both the industrial and service sectors. Artificial intelligence, robotics, augmented reality, and other forms of digital technology are major sources of service innovation because they foster changes in service content and related procedures. As a result, technology plays a key role in facilitating service innovation</w:t>
      </w:r>
      <w:r w:rsidR="00CF662B" w:rsidRPr="00EB11D3">
        <w:rPr>
          <w:rFonts w:eastAsia="Times New Roman"/>
          <w:szCs w:val="24"/>
        </w:rPr>
        <w:t xml:space="preserve"> (</w:t>
      </w:r>
      <w:r w:rsidR="00CF662B" w:rsidRPr="00CF662B">
        <w:rPr>
          <w:rFonts w:eastAsia="Times New Roman"/>
          <w:szCs w:val="24"/>
        </w:rPr>
        <w:t>Engen &amp; Magnusson, 2018</w:t>
      </w:r>
      <w:r w:rsidR="00CF662B" w:rsidRPr="00EB11D3">
        <w:rPr>
          <w:rFonts w:eastAsia="Times New Roman"/>
          <w:szCs w:val="24"/>
        </w:rPr>
        <w:t>)</w:t>
      </w:r>
      <w:r w:rsidRPr="00EB11D3">
        <w:rPr>
          <w:rFonts w:eastAsia="Times New Roman"/>
          <w:szCs w:val="24"/>
        </w:rPr>
        <w:t>.</w:t>
      </w:r>
      <w:r w:rsidR="00CF662B" w:rsidRPr="00EB11D3">
        <w:rPr>
          <w:rFonts w:eastAsia="Times New Roman"/>
          <w:szCs w:val="24"/>
        </w:rPr>
        <w:t xml:space="preserve"> </w:t>
      </w:r>
      <w:r w:rsidR="00CF662B" w:rsidRPr="00CF662B">
        <w:rPr>
          <w:rFonts w:eastAsia="Times New Roman"/>
          <w:szCs w:val="24"/>
        </w:rPr>
        <w:t>There are two ways that front-line staff members can get involved in service innovation. They may, first and foremost, take an active role in the development and application of concepts. Secondly, they have the ability to serve as intermediaries, offering assistance to those who lack the expertise to manage an innovation operation successfully (Engen &amp; Magnusson, 2018). Front-line staff are able to recognise requirements and preferences since they interact with clients on a regular basis (Siahtiri, 2018). They can come up with solutions to issues brought up by clients since they are proactive agents (</w:t>
      </w:r>
      <w:r w:rsidR="004D5D21" w:rsidRPr="00EB11D3">
        <w:rPr>
          <w:rFonts w:eastAsia="Times New Roman"/>
          <w:szCs w:val="24"/>
        </w:rPr>
        <w:t xml:space="preserve">Mu, Bossink, &amp; Vinig, </w:t>
      </w:r>
      <w:r w:rsidR="00CF662B" w:rsidRPr="00CF662B">
        <w:rPr>
          <w:rFonts w:eastAsia="Times New Roman"/>
          <w:szCs w:val="24"/>
        </w:rPr>
        <w:t xml:space="preserve">2018; Siahtiri, 2018). According to Mu et al. (2018), front-line staff members have a bigger impact on the degree of innovation, meaning they are better able to come up with entirely original ideas for services. But beyond only changing front-line staff, Nieves </w:t>
      </w:r>
      <w:r w:rsidR="004D5D21" w:rsidRPr="00EB11D3">
        <w:rPr>
          <w:rFonts w:eastAsia="Times New Roman"/>
          <w:szCs w:val="24"/>
        </w:rPr>
        <w:t>and</w:t>
      </w:r>
      <w:r w:rsidR="00CF662B" w:rsidRPr="00CF662B">
        <w:rPr>
          <w:rFonts w:eastAsia="Times New Roman"/>
          <w:szCs w:val="24"/>
        </w:rPr>
        <w:t xml:space="preserve"> Diaz-Meneses (2018) claim that radical innovation depends on outside variables. Consumers are a company's greatest source of ideas as they offer comments and recommendations for creating new services (</w:t>
      </w:r>
      <w:r w:rsidR="005C51E4" w:rsidRPr="00EB11D3">
        <w:rPr>
          <w:rFonts w:eastAsia="Times New Roman"/>
          <w:szCs w:val="24"/>
        </w:rPr>
        <w:t>Chen, Weng, &amp; Huang</w:t>
      </w:r>
      <w:r w:rsidR="00CF662B" w:rsidRPr="00CF662B">
        <w:rPr>
          <w:rFonts w:eastAsia="Times New Roman"/>
          <w:szCs w:val="24"/>
        </w:rPr>
        <w:t xml:space="preserve">, 2018). </w:t>
      </w:r>
    </w:p>
    <w:p w14:paraId="4C1058A1" w14:textId="77777777" w:rsidR="00F9435D" w:rsidRPr="00F9435D" w:rsidRDefault="00CF662B" w:rsidP="0050560F">
      <w:pPr>
        <w:spacing w:after="0" w:line="360" w:lineRule="auto"/>
        <w:rPr>
          <w:rFonts w:eastAsia="Times New Roman"/>
          <w:szCs w:val="24"/>
        </w:rPr>
      </w:pPr>
      <w:r w:rsidRPr="00CF662B">
        <w:rPr>
          <w:rFonts w:eastAsia="Times New Roman"/>
          <w:szCs w:val="24"/>
        </w:rPr>
        <w:t>Customer involvement in the innovation process is advantageous to the business in terms of customer happiness, loyalty, and image, as well as the financial gains made from this interaction (</w:t>
      </w:r>
      <w:r w:rsidR="00077DC8" w:rsidRPr="00EB11D3">
        <w:rPr>
          <w:rFonts w:eastAsia="Times New Roman"/>
          <w:szCs w:val="24"/>
        </w:rPr>
        <w:t>Diffley, McCole, &amp; Carvajal-Trujillo, 2018</w:t>
      </w:r>
      <w:r w:rsidRPr="00CF662B">
        <w:rPr>
          <w:rFonts w:eastAsia="Times New Roman"/>
          <w:szCs w:val="24"/>
        </w:rPr>
        <w:t xml:space="preserve">; </w:t>
      </w:r>
      <w:r w:rsidR="005C51E4" w:rsidRPr="00EB11D3">
        <w:rPr>
          <w:rFonts w:eastAsia="Times New Roman"/>
          <w:szCs w:val="24"/>
        </w:rPr>
        <w:t>Santos-Vijande, López-Sánchez, &amp; Pascual-Fernandez</w:t>
      </w:r>
      <w:r w:rsidRPr="00CF662B">
        <w:rPr>
          <w:rFonts w:eastAsia="Times New Roman"/>
          <w:szCs w:val="24"/>
        </w:rPr>
        <w:t>, 2018). The degree of innovation determines the impact of consumer interaction. Incremental innovation success is the consequence of democratic communication and frequent contact with customers. It's critical for radical innovation to anticipate client demands before they are made explicitly clear.</w:t>
      </w:r>
      <w:r w:rsidR="00AA47F7" w:rsidRPr="00EB11D3">
        <w:rPr>
          <w:rFonts w:eastAsia="Times New Roman"/>
          <w:szCs w:val="24"/>
        </w:rPr>
        <w:t xml:space="preserve"> </w:t>
      </w:r>
      <w:r w:rsidR="00F9435D" w:rsidRPr="00F9435D">
        <w:rPr>
          <w:rFonts w:eastAsia="Times New Roman"/>
          <w:szCs w:val="24"/>
        </w:rPr>
        <w:t xml:space="preserve">Makgopa (2021) made hints about the importance of service innovation in businesses and highlighted the necessity for them to develop creative service offerings and integrate the market idea into their operations. </w:t>
      </w:r>
      <w:r w:rsidR="0052212B" w:rsidRPr="00F9435D">
        <w:rPr>
          <w:rFonts w:eastAsia="Times New Roman"/>
          <w:szCs w:val="24"/>
        </w:rPr>
        <w:t>Zhang, Zhao, Voss, and Zhu (2016)</w:t>
      </w:r>
      <w:r w:rsidR="00F9435D" w:rsidRPr="00F9435D">
        <w:rPr>
          <w:rFonts w:eastAsia="Times New Roman"/>
          <w:szCs w:val="24"/>
        </w:rPr>
        <w:t xml:space="preserve"> also hinted that in an environment where companies are becoming more and more service-oriented, service innovation is essential for those looking to preserve and grow their competitive edge. </w:t>
      </w:r>
      <w:r w:rsidR="0052212B" w:rsidRPr="00EB11D3">
        <w:rPr>
          <w:rFonts w:eastAsia="Times New Roman"/>
          <w:szCs w:val="24"/>
        </w:rPr>
        <w:t>T</w:t>
      </w:r>
      <w:r w:rsidR="00F9435D" w:rsidRPr="00F9435D">
        <w:rPr>
          <w:rFonts w:eastAsia="Times New Roman"/>
          <w:szCs w:val="24"/>
        </w:rPr>
        <w:t>he production of value, which comes from innovation and boosts corporate performance, is mostly attributed to the service sector, which is seen as significant to global economic activity. Furthermore, Zhang et al. (2016) hinted that in order to produce service innovations that would meet consumers' wants and provide solutions, suppliers, workers, and customers must collaborate.</w:t>
      </w:r>
    </w:p>
    <w:p w14:paraId="2A24F673" w14:textId="77777777" w:rsidR="00871000" w:rsidRPr="00EB11D3" w:rsidRDefault="00871000" w:rsidP="00722AAB">
      <w:pPr>
        <w:spacing w:after="0" w:line="360" w:lineRule="auto"/>
        <w:rPr>
          <w:rFonts w:eastAsia="Times New Roman"/>
          <w:szCs w:val="24"/>
        </w:rPr>
      </w:pPr>
    </w:p>
    <w:p w14:paraId="670F6B13" w14:textId="77777777" w:rsidR="00C838C9" w:rsidRPr="00EB11D3" w:rsidRDefault="00C838C9" w:rsidP="00722AAB">
      <w:pPr>
        <w:spacing w:after="0" w:line="360" w:lineRule="auto"/>
        <w:rPr>
          <w:szCs w:val="24"/>
          <w:shd w:val="clear" w:color="auto" w:fill="FFFFFF"/>
        </w:rPr>
      </w:pPr>
      <w:r w:rsidRPr="00EB11D3">
        <w:rPr>
          <w:szCs w:val="24"/>
          <w:lang w:val="en"/>
        </w:rPr>
        <w:t xml:space="preserve">Using secondary data Samuelsson (2021) study indicated that there was a statistically significance between service innovation and internal efficiency in healthcare. The empirical review sought to identify how internal and external effectiveness of healthcare performance are impacted by </w:t>
      </w:r>
      <w:r w:rsidRPr="00EB11D3">
        <w:rPr>
          <w:szCs w:val="24"/>
          <w:shd w:val="clear" w:color="auto" w:fill="FFFFFF"/>
        </w:rPr>
        <w:t xml:space="preserve">technical and non-technical service innovation. </w:t>
      </w:r>
      <w:r w:rsidR="00D428EC" w:rsidRPr="00D428EC">
        <w:rPr>
          <w:szCs w:val="24"/>
          <w:shd w:val="clear" w:color="auto" w:fill="FFFFFF"/>
        </w:rPr>
        <w:t>The results of the study also showed a strong correlation, through consumer interaction, link between service innovation and efficiency.</w:t>
      </w:r>
      <w:r w:rsidR="00A220D9" w:rsidRPr="00EB11D3">
        <w:rPr>
          <w:szCs w:val="24"/>
          <w:shd w:val="clear" w:color="auto" w:fill="FFFFFF"/>
        </w:rPr>
        <w:t xml:space="preserve"> The studies also revealed that non-technical service innovation mediates the effect of technological innovation on organisational performance.</w:t>
      </w:r>
      <w:r w:rsidRPr="00EB11D3">
        <w:rPr>
          <w:szCs w:val="24"/>
          <w:shd w:val="clear" w:color="auto" w:fill="FFFFFF"/>
        </w:rPr>
        <w:t xml:space="preserve"> A methodological gap was however evident in this study since the study relied on empirical reviews from extant literatures. </w:t>
      </w:r>
      <w:r w:rsidR="00B25FE3" w:rsidRPr="00B25FE3">
        <w:rPr>
          <w:szCs w:val="24"/>
          <w:shd w:val="clear" w:color="auto" w:fill="FFFFFF"/>
        </w:rPr>
        <w:t xml:space="preserve">In order to examine how service innovation influences the link between corporate governance and organisational performance in Kenyan faith-based hospitals, a quantitative </w:t>
      </w:r>
      <w:r w:rsidR="00B25FE3">
        <w:rPr>
          <w:szCs w:val="24"/>
          <w:shd w:val="clear" w:color="auto" w:fill="FFFFFF"/>
        </w:rPr>
        <w:t>approach</w:t>
      </w:r>
      <w:r w:rsidR="00B25FE3" w:rsidRPr="00B25FE3">
        <w:rPr>
          <w:szCs w:val="24"/>
          <w:shd w:val="clear" w:color="auto" w:fill="FFFFFF"/>
        </w:rPr>
        <w:t xml:space="preserve"> was used</w:t>
      </w:r>
      <w:r w:rsidR="006A1A0F" w:rsidRPr="00EB11D3">
        <w:rPr>
          <w:szCs w:val="24"/>
          <w:shd w:val="clear" w:color="auto" w:fill="FFFFFF"/>
        </w:rPr>
        <w:t>.</w:t>
      </w:r>
    </w:p>
    <w:p w14:paraId="558B94D0" w14:textId="77777777" w:rsidR="00B25FE3" w:rsidRDefault="00B25FE3" w:rsidP="00B25FE3">
      <w:pPr>
        <w:spacing w:after="0" w:line="360" w:lineRule="auto"/>
        <w:rPr>
          <w:szCs w:val="24"/>
          <w:shd w:val="clear" w:color="auto" w:fill="FFFFFF"/>
        </w:rPr>
      </w:pPr>
    </w:p>
    <w:p w14:paraId="66D8D264" w14:textId="77777777" w:rsidR="00186623" w:rsidRPr="00EB11D3" w:rsidRDefault="00B25FE3" w:rsidP="00BE5575">
      <w:pPr>
        <w:spacing w:line="360" w:lineRule="auto"/>
        <w:rPr>
          <w:szCs w:val="24"/>
          <w:shd w:val="clear" w:color="auto" w:fill="FFFFFF"/>
        </w:rPr>
      </w:pPr>
      <w:r w:rsidRPr="00B25FE3">
        <w:rPr>
          <w:szCs w:val="24"/>
          <w:shd w:val="clear" w:color="auto" w:fill="FFFFFF"/>
        </w:rPr>
        <w:t xml:space="preserve">The study conducted </w:t>
      </w:r>
      <w:bookmarkStart w:id="276" w:name="_Hlk171087458"/>
      <w:r w:rsidRPr="00B25FE3">
        <w:rPr>
          <w:szCs w:val="24"/>
          <w:shd w:val="clear" w:color="auto" w:fill="FFFFFF"/>
        </w:rPr>
        <w:t xml:space="preserve">by Asensio-López, Cabeza-García, and González-Álvarez (2018) </w:t>
      </w:r>
      <w:bookmarkEnd w:id="276"/>
      <w:r w:rsidRPr="00B25FE3">
        <w:rPr>
          <w:szCs w:val="24"/>
          <w:shd w:val="clear" w:color="auto" w:fill="FFFFFF"/>
        </w:rPr>
        <w:t xml:space="preserve">utilised an empirical review to demonstrate a noteworthy correlation between corporate governance and innovation. However, the findings were inconclusive. The ownership structure, the ownership structure, and the board of directors were examined in the study as corporate governance indicators. Due to its examination of corporate innovation as a dependent variable, the study revealed a conceptual gap. The mediating variable in this study between corporate governance and organisational </w:t>
      </w:r>
      <w:r w:rsidR="009F4C62">
        <w:rPr>
          <w:szCs w:val="24"/>
          <w:shd w:val="clear" w:color="auto" w:fill="FFFFFF"/>
        </w:rPr>
        <w:t>performance</w:t>
      </w:r>
      <w:r w:rsidRPr="00B25FE3">
        <w:rPr>
          <w:szCs w:val="24"/>
          <w:shd w:val="clear" w:color="auto" w:fill="FFFFFF"/>
        </w:rPr>
        <w:t xml:space="preserve"> was thought to be service innovation. </w:t>
      </w:r>
      <w:r>
        <w:rPr>
          <w:szCs w:val="24"/>
          <w:shd w:val="clear" w:color="auto" w:fill="FFFFFF"/>
        </w:rPr>
        <w:t xml:space="preserve">A </w:t>
      </w:r>
      <w:r w:rsidRPr="00B25FE3">
        <w:rPr>
          <w:szCs w:val="24"/>
          <w:shd w:val="clear" w:color="auto" w:fill="FFFFFF"/>
        </w:rPr>
        <w:t xml:space="preserve">methodological gap </w:t>
      </w:r>
      <w:r>
        <w:rPr>
          <w:szCs w:val="24"/>
          <w:shd w:val="clear" w:color="auto" w:fill="FFFFFF"/>
        </w:rPr>
        <w:t>was evident s</w:t>
      </w:r>
      <w:r w:rsidRPr="00B25FE3">
        <w:rPr>
          <w:szCs w:val="24"/>
          <w:shd w:val="clear" w:color="auto" w:fill="FFFFFF"/>
        </w:rPr>
        <w:t>ince the present study used both qualitative and quantitative data, while the previous study used empirical review, the study also highlighted.</w:t>
      </w:r>
      <w:r w:rsidR="00DB21FB" w:rsidRPr="00EB11D3">
        <w:rPr>
          <w:szCs w:val="24"/>
          <w:shd w:val="clear" w:color="auto" w:fill="FFFFFF"/>
        </w:rPr>
        <w:t xml:space="preserve"> </w:t>
      </w:r>
    </w:p>
    <w:p w14:paraId="270C3693" w14:textId="77777777" w:rsidR="00E676CF" w:rsidRPr="00EB11D3" w:rsidRDefault="00E676CF" w:rsidP="00BE5575">
      <w:pPr>
        <w:spacing w:line="360" w:lineRule="auto"/>
        <w:rPr>
          <w:szCs w:val="24"/>
          <w:shd w:val="clear" w:color="auto" w:fill="FFFFFF"/>
        </w:rPr>
      </w:pPr>
      <w:r w:rsidRPr="00EB11D3">
        <w:rPr>
          <w:szCs w:val="24"/>
          <w:shd w:val="clear" w:color="auto" w:fill="FFFFFF"/>
        </w:rPr>
        <w:t xml:space="preserve">Wang and Cao (2022) study indicated </w:t>
      </w:r>
      <w:r w:rsidR="000A7DB4" w:rsidRPr="00EB11D3">
        <w:rPr>
          <w:szCs w:val="24"/>
          <w:shd w:val="clear" w:color="auto" w:fill="FFFFFF"/>
        </w:rPr>
        <w:t>a statistically significant relationship between c</w:t>
      </w:r>
      <w:r w:rsidRPr="00EB11D3">
        <w:rPr>
          <w:szCs w:val="24"/>
          <w:shd w:val="clear" w:color="auto" w:fill="FFFFFF"/>
        </w:rPr>
        <w:t>orporate governance, financial innovation and performance</w:t>
      </w:r>
      <w:r w:rsidR="000A7DB4" w:rsidRPr="00EB11D3">
        <w:rPr>
          <w:szCs w:val="24"/>
          <w:shd w:val="clear" w:color="auto" w:fill="FFFFFF"/>
        </w:rPr>
        <w:t xml:space="preserve"> in Taiwan’s</w:t>
      </w:r>
      <w:r w:rsidRPr="00EB11D3">
        <w:rPr>
          <w:szCs w:val="24"/>
          <w:shd w:val="clear" w:color="auto" w:fill="FFFFFF"/>
        </w:rPr>
        <w:t xml:space="preserve"> </w:t>
      </w:r>
      <w:r w:rsidR="00C94274" w:rsidRPr="00EB11D3">
        <w:rPr>
          <w:szCs w:val="24"/>
          <w:shd w:val="clear" w:color="auto" w:fill="FFFFFF"/>
        </w:rPr>
        <w:t>b</w:t>
      </w:r>
      <w:r w:rsidRPr="00EB11D3">
        <w:rPr>
          <w:szCs w:val="24"/>
          <w:shd w:val="clear" w:color="auto" w:fill="FFFFFF"/>
        </w:rPr>
        <w:t xml:space="preserve">anking </w:t>
      </w:r>
      <w:r w:rsidR="00C94274" w:rsidRPr="00EB11D3">
        <w:rPr>
          <w:szCs w:val="24"/>
          <w:shd w:val="clear" w:color="auto" w:fill="FFFFFF"/>
        </w:rPr>
        <w:t>i</w:t>
      </w:r>
      <w:r w:rsidRPr="00EB11D3">
        <w:rPr>
          <w:szCs w:val="24"/>
          <w:shd w:val="clear" w:color="auto" w:fill="FFFFFF"/>
        </w:rPr>
        <w:t>ndustry</w:t>
      </w:r>
      <w:r w:rsidR="000A7DB4" w:rsidRPr="00EB11D3">
        <w:rPr>
          <w:szCs w:val="24"/>
          <w:shd w:val="clear" w:color="auto" w:fill="FFFFFF"/>
        </w:rPr>
        <w:t>.</w:t>
      </w:r>
      <w:r w:rsidR="00C94274" w:rsidRPr="00EB11D3">
        <w:rPr>
          <w:szCs w:val="24"/>
          <w:shd w:val="clear" w:color="auto" w:fill="FFFFFF"/>
        </w:rPr>
        <w:t xml:space="preserve"> </w:t>
      </w:r>
      <w:r w:rsidR="00147158" w:rsidRPr="00EB11D3">
        <w:rPr>
          <w:szCs w:val="24"/>
          <w:shd w:val="clear" w:color="auto" w:fill="FFFFFF"/>
        </w:rPr>
        <w:t xml:space="preserve">The study used time series and cross-sectional data sets. </w:t>
      </w:r>
      <w:r w:rsidR="00C94274" w:rsidRPr="00EB11D3">
        <w:rPr>
          <w:szCs w:val="24"/>
          <w:shd w:val="clear" w:color="auto" w:fill="FFFFFF"/>
        </w:rPr>
        <w:t xml:space="preserve">Data was obtained </w:t>
      </w:r>
      <w:r w:rsidR="009836C7" w:rsidRPr="00EB11D3">
        <w:rPr>
          <w:szCs w:val="24"/>
          <w:shd w:val="clear" w:color="auto" w:fill="FFFFFF"/>
        </w:rPr>
        <w:t xml:space="preserve">from panel data set from year 2011 to 2019. </w:t>
      </w:r>
      <w:r w:rsidR="00147158" w:rsidRPr="00EB11D3">
        <w:rPr>
          <w:szCs w:val="24"/>
          <w:shd w:val="clear" w:color="auto" w:fill="FFFFFF"/>
        </w:rPr>
        <w:t xml:space="preserve">The obtained data was analyzed using descriptive and inferential methods. </w:t>
      </w:r>
      <w:r w:rsidR="009836C7" w:rsidRPr="00EB11D3">
        <w:rPr>
          <w:szCs w:val="24"/>
          <w:shd w:val="clear" w:color="auto" w:fill="FFFFFF"/>
        </w:rPr>
        <w:t xml:space="preserve">The study indicated a conceptual gap since innovation was considered as an independent variable. In this study, service innovation </w:t>
      </w:r>
      <w:r w:rsidR="004754FC" w:rsidRPr="00EB11D3">
        <w:rPr>
          <w:szCs w:val="24"/>
          <w:shd w:val="clear" w:color="auto" w:fill="FFFFFF"/>
        </w:rPr>
        <w:t xml:space="preserve">was </w:t>
      </w:r>
      <w:r w:rsidR="009836C7" w:rsidRPr="00EB11D3">
        <w:rPr>
          <w:szCs w:val="24"/>
          <w:shd w:val="clear" w:color="auto" w:fill="FFFFFF"/>
        </w:rPr>
        <w:t xml:space="preserve">conceptualized as a mediating variable. </w:t>
      </w:r>
      <w:r w:rsidR="00B019E7" w:rsidRPr="00EB11D3">
        <w:rPr>
          <w:szCs w:val="24"/>
          <w:shd w:val="clear" w:color="auto" w:fill="FFFFFF"/>
        </w:rPr>
        <w:t>Contextual gap was also evident since the study was done among banks while t</w:t>
      </w:r>
      <w:r w:rsidR="009836C7" w:rsidRPr="00EB11D3">
        <w:rPr>
          <w:szCs w:val="24"/>
          <w:shd w:val="clear" w:color="auto" w:fill="FFFFFF"/>
        </w:rPr>
        <w:t>h</w:t>
      </w:r>
      <w:r w:rsidR="00B019E7" w:rsidRPr="00EB11D3">
        <w:rPr>
          <w:szCs w:val="24"/>
          <w:shd w:val="clear" w:color="auto" w:fill="FFFFFF"/>
        </w:rPr>
        <w:t>is</w:t>
      </w:r>
      <w:r w:rsidR="009836C7" w:rsidRPr="00EB11D3">
        <w:rPr>
          <w:szCs w:val="24"/>
          <w:shd w:val="clear" w:color="auto" w:fill="FFFFFF"/>
        </w:rPr>
        <w:t xml:space="preserve"> study </w:t>
      </w:r>
      <w:r w:rsidR="00C42E72" w:rsidRPr="00EB11D3">
        <w:rPr>
          <w:szCs w:val="24"/>
          <w:shd w:val="clear" w:color="auto" w:fill="FFFFFF"/>
        </w:rPr>
        <w:t xml:space="preserve">was </w:t>
      </w:r>
      <w:r w:rsidR="009836C7" w:rsidRPr="00EB11D3">
        <w:rPr>
          <w:szCs w:val="24"/>
          <w:shd w:val="clear" w:color="auto" w:fill="FFFFFF"/>
        </w:rPr>
        <w:t xml:space="preserve">done among </w:t>
      </w:r>
      <w:r w:rsidR="00BE3A5D" w:rsidRPr="00EB11D3">
        <w:rPr>
          <w:szCs w:val="24"/>
          <w:shd w:val="clear" w:color="auto" w:fill="FFFFFF"/>
        </w:rPr>
        <w:t>faith-based</w:t>
      </w:r>
      <w:r w:rsidR="009836C7" w:rsidRPr="00EB11D3">
        <w:rPr>
          <w:szCs w:val="24"/>
          <w:shd w:val="clear" w:color="auto" w:fill="FFFFFF"/>
        </w:rPr>
        <w:t xml:space="preserve"> hospitals.</w:t>
      </w:r>
      <w:r w:rsidR="00147158" w:rsidRPr="00EB11D3">
        <w:rPr>
          <w:szCs w:val="24"/>
          <w:shd w:val="clear" w:color="auto" w:fill="FFFFFF"/>
        </w:rPr>
        <w:t xml:space="preserve"> </w:t>
      </w:r>
      <w:r w:rsidR="00DB08A6" w:rsidRPr="00EB11D3">
        <w:rPr>
          <w:szCs w:val="24"/>
          <w:shd w:val="clear" w:color="auto" w:fill="FFFFFF"/>
        </w:rPr>
        <w:t>Methodological gap was also evident since the study used both time series and cross-sectional data sets while this study used cross-sectional data type.</w:t>
      </w:r>
    </w:p>
    <w:p w14:paraId="1A965CA1" w14:textId="77777777" w:rsidR="00C838C9" w:rsidRPr="00EB11D3" w:rsidRDefault="00F24455" w:rsidP="00C838C9">
      <w:pPr>
        <w:spacing w:line="360" w:lineRule="auto"/>
        <w:rPr>
          <w:szCs w:val="24"/>
          <w:shd w:val="clear" w:color="auto" w:fill="FFFFFF"/>
        </w:rPr>
      </w:pPr>
      <w:r w:rsidRPr="00EB11D3">
        <w:rPr>
          <w:szCs w:val="24"/>
          <w:shd w:val="clear" w:color="auto" w:fill="FFFFFF"/>
        </w:rPr>
        <w:t xml:space="preserve">The study by Khan, Ahmad, Abdul Halim, and Ahmad (2022) discovered a significant link between service innovation orientation and the performance of 73 private hospitals in India. The link between service innovation and performance was mediated through open innovation. It was discovered that open innovation has a good link with service innovation. </w:t>
      </w:r>
      <w:r w:rsidR="00C838C9" w:rsidRPr="00EB11D3">
        <w:rPr>
          <w:szCs w:val="24"/>
          <w:shd w:val="clear" w:color="auto" w:fill="FFFFFF"/>
        </w:rPr>
        <w:t>The study however reveal</w:t>
      </w:r>
      <w:r w:rsidR="00306A32" w:rsidRPr="00EB11D3">
        <w:rPr>
          <w:szCs w:val="24"/>
          <w:shd w:val="clear" w:color="auto" w:fill="FFFFFF"/>
        </w:rPr>
        <w:t>ed</w:t>
      </w:r>
      <w:r w:rsidR="00C838C9" w:rsidRPr="00EB11D3">
        <w:rPr>
          <w:szCs w:val="24"/>
          <w:shd w:val="clear" w:color="auto" w:fill="FFFFFF"/>
        </w:rPr>
        <w:t xml:space="preserve"> a contextual gap since it was done among medium and small private hospitals in India hence the results cannot be replicated to the faith-based hospitals in Kenya.</w:t>
      </w:r>
    </w:p>
    <w:p w14:paraId="156C3AF2" w14:textId="77777777" w:rsidR="00C23216" w:rsidRPr="00EB11D3" w:rsidRDefault="00884EB0" w:rsidP="00C23216">
      <w:pPr>
        <w:spacing w:line="360" w:lineRule="auto"/>
        <w:rPr>
          <w:szCs w:val="24"/>
          <w:lang w:eastAsia="zh-CN"/>
        </w:rPr>
      </w:pPr>
      <w:r w:rsidRPr="00EB11D3">
        <w:rPr>
          <w:szCs w:val="24"/>
          <w:lang w:eastAsia="zh-CN"/>
        </w:rPr>
        <w:t>Kankam-Kwarteng, Osei, Asante-Gyabaah, and Ferkah (2022) discovered that service innovation mediates the correlation between knowledge creation and marketing performance of restaurants in Kumasi, Metropolis, using a structured questionnaire.</w:t>
      </w:r>
      <w:r w:rsidR="00C23216" w:rsidRPr="00EB11D3">
        <w:rPr>
          <w:szCs w:val="24"/>
          <w:lang w:eastAsia="zh-CN"/>
        </w:rPr>
        <w:t xml:space="preserve"> A positive mediating effect of service innovation </w:t>
      </w:r>
      <w:r w:rsidR="00231FBE" w:rsidRPr="00EB11D3">
        <w:rPr>
          <w:szCs w:val="24"/>
          <w:lang w:eastAsia="zh-CN"/>
        </w:rPr>
        <w:t>indicators (</w:t>
      </w:r>
      <w:r w:rsidR="00231FBE" w:rsidRPr="00EB11D3">
        <w:rPr>
          <w:rFonts w:eastAsia="Times New Roman"/>
          <w:bCs/>
          <w:szCs w:val="24"/>
        </w:rPr>
        <w:t>new services, new production processes, new marketing techniques, and new organizational or managerial structures</w:t>
      </w:r>
      <w:r w:rsidR="00231FBE" w:rsidRPr="00EB11D3">
        <w:rPr>
          <w:szCs w:val="24"/>
          <w:lang w:eastAsia="zh-CN"/>
        </w:rPr>
        <w:t xml:space="preserve">) </w:t>
      </w:r>
      <w:r w:rsidR="00C23216" w:rsidRPr="00EB11D3">
        <w:rPr>
          <w:szCs w:val="24"/>
          <w:lang w:eastAsia="zh-CN"/>
        </w:rPr>
        <w:t xml:space="preserve">on performance was revealed. Mediating effect of service innovation was tested using multiple linear regression technique. The study had contextual gap since it was done in Metropolis. </w:t>
      </w:r>
      <w:r w:rsidR="003A7F2E" w:rsidRPr="00EB11D3">
        <w:rPr>
          <w:szCs w:val="24"/>
          <w:lang w:eastAsia="zh-CN"/>
        </w:rPr>
        <w:t>This study examine</w:t>
      </w:r>
      <w:r w:rsidR="00BE3A5D" w:rsidRPr="00EB11D3">
        <w:rPr>
          <w:szCs w:val="24"/>
          <w:lang w:eastAsia="zh-CN"/>
        </w:rPr>
        <w:t>d</w:t>
      </w:r>
      <w:r w:rsidR="003A7F2E" w:rsidRPr="00EB11D3">
        <w:rPr>
          <w:szCs w:val="24"/>
          <w:lang w:eastAsia="zh-CN"/>
        </w:rPr>
        <w:t xml:space="preserve"> the role of service innovation </w:t>
      </w:r>
      <w:r w:rsidR="008656C0">
        <w:rPr>
          <w:szCs w:val="24"/>
          <w:lang w:eastAsia="zh-CN"/>
        </w:rPr>
        <w:t xml:space="preserve">as a </w:t>
      </w:r>
      <w:r w:rsidR="003A7F2E" w:rsidRPr="00EB11D3">
        <w:rPr>
          <w:szCs w:val="24"/>
          <w:lang w:eastAsia="zh-CN"/>
        </w:rPr>
        <w:t xml:space="preserve">mediating </w:t>
      </w:r>
      <w:r w:rsidR="008656C0">
        <w:rPr>
          <w:szCs w:val="24"/>
          <w:lang w:eastAsia="zh-CN"/>
        </w:rPr>
        <w:t>variable</w:t>
      </w:r>
      <w:r w:rsidR="003A7F2E" w:rsidRPr="00EB11D3">
        <w:rPr>
          <w:szCs w:val="24"/>
          <w:lang w:eastAsia="zh-CN"/>
        </w:rPr>
        <w:t>.</w:t>
      </w:r>
    </w:p>
    <w:p w14:paraId="741E2110" w14:textId="77777777" w:rsidR="00C23216" w:rsidRPr="00EB11D3" w:rsidRDefault="00C23216" w:rsidP="00C23216">
      <w:pPr>
        <w:spacing w:line="360" w:lineRule="auto"/>
        <w:rPr>
          <w:szCs w:val="24"/>
          <w:lang w:val="en"/>
        </w:rPr>
      </w:pPr>
      <w:r w:rsidRPr="00EB11D3">
        <w:rPr>
          <w:szCs w:val="24"/>
          <w:lang w:val="en"/>
        </w:rPr>
        <w:t xml:space="preserve">A longitudinal mixed methods study by Eide, Gullslett, Eide, Dugstad, McCormack and Nilsen (2022) showed a significant relationship between support trust-based service innovation and efficiency in the homecare. Using exploratory research design, both qualitative and quantitative data was from three city districts, three teams and 80 patients in Scandinavia. Trust-based service innovation was found to be effective and feasible. Methodological gap was evident since the study used longitudinal research methods. </w:t>
      </w:r>
      <w:r w:rsidR="00E43E0F" w:rsidRPr="00EB11D3">
        <w:rPr>
          <w:szCs w:val="24"/>
          <w:lang w:val="en"/>
        </w:rPr>
        <w:t xml:space="preserve">This </w:t>
      </w:r>
      <w:r w:rsidR="005A4B2F" w:rsidRPr="00EB11D3">
        <w:rPr>
          <w:szCs w:val="24"/>
          <w:lang w:val="en"/>
        </w:rPr>
        <w:t>study employed</w:t>
      </w:r>
      <w:r w:rsidR="00E43E0F" w:rsidRPr="00EB11D3">
        <w:rPr>
          <w:szCs w:val="24"/>
          <w:lang w:val="en"/>
        </w:rPr>
        <w:t xml:space="preserve"> cross-sectional research method</w:t>
      </w:r>
      <w:r w:rsidR="00713A4B">
        <w:rPr>
          <w:szCs w:val="24"/>
          <w:lang w:val="en"/>
        </w:rPr>
        <w:t>.</w:t>
      </w:r>
    </w:p>
    <w:p w14:paraId="42E76A22" w14:textId="77777777" w:rsidR="00C23216" w:rsidRPr="00EB11D3" w:rsidRDefault="004C1AC0" w:rsidP="00C23216">
      <w:pPr>
        <w:spacing w:line="360" w:lineRule="auto"/>
        <w:rPr>
          <w:szCs w:val="24"/>
          <w:lang w:eastAsia="zh-CN"/>
        </w:rPr>
      </w:pPr>
      <w:r w:rsidRPr="00EB11D3">
        <w:rPr>
          <w:szCs w:val="24"/>
          <w:lang w:eastAsia="zh-CN"/>
        </w:rPr>
        <w:t xml:space="preserve">A study by Al Mamun et al. (2022) </w:t>
      </w:r>
      <w:r w:rsidR="004E559C" w:rsidRPr="00EB11D3">
        <w:rPr>
          <w:szCs w:val="24"/>
          <w:lang w:eastAsia="zh-CN"/>
        </w:rPr>
        <w:t>indicated process</w:t>
      </w:r>
      <w:r w:rsidRPr="00EB11D3">
        <w:rPr>
          <w:szCs w:val="24"/>
          <w:lang w:eastAsia="zh-CN"/>
        </w:rPr>
        <w:t xml:space="preserve"> and product innovation can significantly influence strategic orientation and the performance of manufacturing SMEs. </w:t>
      </w:r>
      <w:r w:rsidR="00BC28E3">
        <w:rPr>
          <w:szCs w:val="24"/>
          <w:lang w:eastAsia="zh-CN"/>
        </w:rPr>
        <w:t>T</w:t>
      </w:r>
      <w:r w:rsidRPr="00EB11D3">
        <w:rPr>
          <w:szCs w:val="24"/>
          <w:lang w:eastAsia="zh-CN"/>
        </w:rPr>
        <w:t xml:space="preserve">he study conducted among manufacturing enterprises found that process innovation significantly mediated the relationship between market, customer, and entrepreneurial strategy and SMEs success. The study, however, revealed a conceptual gap because it solely focused on process and product innovation. </w:t>
      </w:r>
      <w:r w:rsidR="00A8700C">
        <w:rPr>
          <w:szCs w:val="24"/>
          <w:lang w:eastAsia="zh-CN"/>
        </w:rPr>
        <w:t>T</w:t>
      </w:r>
      <w:r w:rsidRPr="00EB11D3">
        <w:rPr>
          <w:szCs w:val="24"/>
          <w:lang w:eastAsia="zh-CN"/>
        </w:rPr>
        <w:t>his study explore</w:t>
      </w:r>
      <w:r w:rsidR="00BE3A5D" w:rsidRPr="00EB11D3">
        <w:rPr>
          <w:szCs w:val="24"/>
          <w:lang w:eastAsia="zh-CN"/>
        </w:rPr>
        <w:t>d</w:t>
      </w:r>
      <w:r w:rsidRPr="00EB11D3">
        <w:rPr>
          <w:szCs w:val="24"/>
          <w:lang w:eastAsia="zh-CN"/>
        </w:rPr>
        <w:t xml:space="preserve"> various dimensions of service innovation, including radical and incremental service innovations.</w:t>
      </w:r>
    </w:p>
    <w:p w14:paraId="42DF75D7" w14:textId="77777777" w:rsidR="00EB6639" w:rsidRPr="00EB11D3" w:rsidRDefault="00E83AC5" w:rsidP="00EB6639">
      <w:pPr>
        <w:spacing w:line="360" w:lineRule="auto"/>
        <w:rPr>
          <w:b/>
          <w:bCs/>
          <w:szCs w:val="24"/>
          <w:shd w:val="clear" w:color="auto" w:fill="FFFFFF"/>
        </w:rPr>
      </w:pPr>
      <w:r w:rsidRPr="00EB11D3">
        <w:rPr>
          <w:szCs w:val="24"/>
          <w:shd w:val="clear" w:color="auto" w:fill="FFFFFF"/>
        </w:rPr>
        <w:t xml:space="preserve">Using mixed methods approach, Joensuu-Salo, Kangas and Mäkipelkola (2021) study indicated a positively significant relationship between service innovation capability of the health care SMEs, technology orientation and market orientation. </w:t>
      </w:r>
      <w:r w:rsidR="00994FDB" w:rsidRPr="00EB11D3">
        <w:rPr>
          <w:szCs w:val="24"/>
          <w:shd w:val="clear" w:color="auto" w:fill="FFFFFF"/>
        </w:rPr>
        <w:t xml:space="preserve">The research included both qualitative and quantitative data. This study revealed a conceptual gap since service innovation was considered a dependent variable. </w:t>
      </w:r>
      <w:r w:rsidR="00A8700C">
        <w:rPr>
          <w:szCs w:val="24"/>
          <w:shd w:val="clear" w:color="auto" w:fill="FFFFFF"/>
        </w:rPr>
        <w:t>Service innovation was considered as a mediator in this study</w:t>
      </w:r>
      <w:r w:rsidR="00994FDB" w:rsidRPr="00EB11D3">
        <w:rPr>
          <w:szCs w:val="24"/>
          <w:shd w:val="clear" w:color="auto" w:fill="FFFFFF"/>
        </w:rPr>
        <w:t>.</w:t>
      </w:r>
      <w:r w:rsidRPr="00EB11D3">
        <w:rPr>
          <w:szCs w:val="24"/>
          <w:shd w:val="clear" w:color="auto" w:fill="FFFFFF"/>
        </w:rPr>
        <w:t xml:space="preserve"> </w:t>
      </w:r>
      <w:r w:rsidR="00EB6639" w:rsidRPr="00EB11D3">
        <w:rPr>
          <w:szCs w:val="24"/>
          <w:shd w:val="clear" w:color="auto" w:fill="FFFFFF"/>
        </w:rPr>
        <w:t xml:space="preserve">The study was also revealed a contextual gap since the study was done among health care SMEs while this study was done among level 4 and 5 </w:t>
      </w:r>
      <w:r w:rsidR="00E540F7" w:rsidRPr="00EB11D3">
        <w:rPr>
          <w:szCs w:val="24"/>
          <w:shd w:val="clear" w:color="auto" w:fill="FFFFFF"/>
        </w:rPr>
        <w:t>faith-based</w:t>
      </w:r>
      <w:r w:rsidR="00EB6639" w:rsidRPr="00EB11D3">
        <w:rPr>
          <w:szCs w:val="24"/>
          <w:shd w:val="clear" w:color="auto" w:fill="FFFFFF"/>
        </w:rPr>
        <w:t xml:space="preserve"> hospitals.</w:t>
      </w:r>
    </w:p>
    <w:p w14:paraId="11B88AA1" w14:textId="77777777" w:rsidR="00BA0CC1" w:rsidRPr="00EB11D3" w:rsidRDefault="00F551CF">
      <w:pPr>
        <w:spacing w:line="360" w:lineRule="auto"/>
        <w:rPr>
          <w:szCs w:val="24"/>
          <w:lang w:eastAsia="zh-CN"/>
        </w:rPr>
      </w:pPr>
      <w:r w:rsidRPr="00EB11D3">
        <w:rPr>
          <w:szCs w:val="24"/>
          <w:shd w:val="clear" w:color="auto" w:fill="FFFFFF"/>
        </w:rPr>
        <w:t>YuSheng and Ibrahim (2019) conducted research on the relationship between service innovation, service delivery, customer happiness, and loyalty in Ghana's banking sector. The study discovered that service innovation has a direct impact on non-financial aspects of performance</w:t>
      </w:r>
      <w:r w:rsidRPr="00EB11D3">
        <w:rPr>
          <w:szCs w:val="24"/>
          <w:lang w:eastAsia="zh-CN"/>
        </w:rPr>
        <w:t xml:space="preserve"> using partial least squares structural equation modelling.</w:t>
      </w:r>
      <w:r w:rsidR="00212BDF" w:rsidRPr="00EB11D3">
        <w:rPr>
          <w:szCs w:val="24"/>
          <w:lang w:eastAsia="zh-CN"/>
        </w:rPr>
        <w:t xml:space="preserve"> </w:t>
      </w:r>
      <w:r w:rsidR="003025FF" w:rsidRPr="00EB11D3">
        <w:rPr>
          <w:szCs w:val="24"/>
          <w:lang w:eastAsia="zh-CN"/>
        </w:rPr>
        <w:t xml:space="preserve">The data was obtained from 450 sampled customers of commercial banks. </w:t>
      </w:r>
      <w:r w:rsidR="00CA39DE" w:rsidRPr="00EB11D3">
        <w:rPr>
          <w:szCs w:val="24"/>
          <w:lang w:eastAsia="zh-CN"/>
        </w:rPr>
        <w:t xml:space="preserve">The study was done in the banking sector in </w:t>
      </w:r>
      <w:r w:rsidR="00312639" w:rsidRPr="00EB11D3">
        <w:rPr>
          <w:szCs w:val="24"/>
          <w:lang w:eastAsia="zh-CN"/>
        </w:rPr>
        <w:t>Ghana;</w:t>
      </w:r>
      <w:r w:rsidR="00CA39DE" w:rsidRPr="00EB11D3">
        <w:rPr>
          <w:szCs w:val="24"/>
          <w:lang w:eastAsia="zh-CN"/>
        </w:rPr>
        <w:t xml:space="preserve"> </w:t>
      </w:r>
      <w:r w:rsidR="00312639" w:rsidRPr="00EB11D3">
        <w:rPr>
          <w:szCs w:val="24"/>
          <w:lang w:eastAsia="zh-CN"/>
        </w:rPr>
        <w:t>thus,</w:t>
      </w:r>
      <w:r w:rsidR="00CA39DE" w:rsidRPr="00EB11D3">
        <w:rPr>
          <w:szCs w:val="24"/>
          <w:lang w:eastAsia="zh-CN"/>
        </w:rPr>
        <w:t xml:space="preserve"> its findings cannot be extrapolated to faith-based hospitals in Kenya. </w:t>
      </w:r>
      <w:r w:rsidR="008A4C56" w:rsidRPr="00EB11D3">
        <w:rPr>
          <w:szCs w:val="24"/>
          <w:lang w:eastAsia="zh-CN"/>
        </w:rPr>
        <w:t xml:space="preserve"> </w:t>
      </w:r>
    </w:p>
    <w:p w14:paraId="6FAB0DF0" w14:textId="77777777" w:rsidR="00DC0D7C" w:rsidRPr="00EB11D3" w:rsidRDefault="003E6338">
      <w:pPr>
        <w:spacing w:line="360" w:lineRule="auto"/>
        <w:rPr>
          <w:szCs w:val="24"/>
          <w:lang w:eastAsia="zh-CN"/>
        </w:rPr>
      </w:pPr>
      <w:r w:rsidRPr="00EB11D3">
        <w:rPr>
          <w:szCs w:val="24"/>
          <w:lang w:eastAsia="zh-CN"/>
        </w:rPr>
        <w:t xml:space="preserve">Vuorio, Torkkeli, and Sainio (2020) examined the relationship between service innovation and internationalisation in SMEs using structural equation modelling and discovered a statistically significant relationship between service innovation and internationalisation and the antecedents and profitability outcomes. </w:t>
      </w:r>
      <w:r w:rsidR="00D03AD3" w:rsidRPr="00EB11D3">
        <w:rPr>
          <w:szCs w:val="24"/>
          <w:lang w:eastAsia="zh-CN"/>
        </w:rPr>
        <w:t xml:space="preserve">The study exhibited also methodological gap as data </w:t>
      </w:r>
      <w:r w:rsidR="00212BDF" w:rsidRPr="00EB11D3">
        <w:rPr>
          <w:szCs w:val="24"/>
          <w:lang w:eastAsia="zh-CN"/>
        </w:rPr>
        <w:t>which was collected using online survey.</w:t>
      </w:r>
      <w:r w:rsidR="00D03AD3" w:rsidRPr="00EB11D3">
        <w:rPr>
          <w:szCs w:val="24"/>
          <w:lang w:eastAsia="zh-CN"/>
        </w:rPr>
        <w:t xml:space="preserve"> </w:t>
      </w:r>
      <w:r w:rsidR="00E3320E" w:rsidRPr="00E3320E">
        <w:rPr>
          <w:szCs w:val="24"/>
          <w:lang w:eastAsia="zh-CN"/>
        </w:rPr>
        <w:t>Data for this study were gathered using a structured questionnaire.</w:t>
      </w:r>
      <w:r w:rsidRPr="00EB11D3">
        <w:rPr>
          <w:szCs w:val="24"/>
          <w:lang w:eastAsia="zh-CN"/>
        </w:rPr>
        <w:t xml:space="preserve"> </w:t>
      </w:r>
      <w:r w:rsidR="00D03AD3" w:rsidRPr="00EB11D3">
        <w:rPr>
          <w:szCs w:val="24"/>
          <w:lang w:eastAsia="zh-CN"/>
        </w:rPr>
        <w:t xml:space="preserve"> </w:t>
      </w:r>
    </w:p>
    <w:p w14:paraId="1042AD05" w14:textId="77777777" w:rsidR="00DC0D7C" w:rsidRPr="00EB11D3" w:rsidRDefault="00A87FAE">
      <w:pPr>
        <w:spacing w:line="360" w:lineRule="auto"/>
        <w:rPr>
          <w:szCs w:val="24"/>
          <w:lang w:eastAsia="zh-CN"/>
        </w:rPr>
      </w:pPr>
      <w:r w:rsidRPr="00EB11D3">
        <w:rPr>
          <w:szCs w:val="24"/>
          <w:lang w:eastAsia="zh-CN"/>
        </w:rPr>
        <w:t xml:space="preserve">According to Hanif and Asgher's (2018) study, multi-dimensional service innovation has a significant impact on service innovation performance.  </w:t>
      </w:r>
      <w:r w:rsidR="003E6338" w:rsidRPr="00EB11D3">
        <w:rPr>
          <w:szCs w:val="24"/>
          <w:lang w:eastAsia="zh-CN"/>
        </w:rPr>
        <w:t xml:space="preserve">The data obtained from 35 State Bank of Pakistan (SBP) branches was analysed using bivariate correlation and regression. Data was acquired using a cross-sectional approach and a self-administered survey questionnaire. </w:t>
      </w:r>
      <w:r w:rsidR="00212BDF" w:rsidRPr="00EB11D3">
        <w:rPr>
          <w:szCs w:val="24"/>
          <w:lang w:eastAsia="zh-CN"/>
        </w:rPr>
        <w:t>Each dimension of service innovation was found to significantly predict service innovation performance. The study</w:t>
      </w:r>
      <w:r w:rsidR="00D03AD3" w:rsidRPr="00EB11D3">
        <w:rPr>
          <w:szCs w:val="24"/>
          <w:lang w:eastAsia="zh-CN"/>
        </w:rPr>
        <w:t xml:space="preserve"> exhibited contextual gap as </w:t>
      </w:r>
      <w:r w:rsidR="00A00206" w:rsidRPr="00EB11D3">
        <w:rPr>
          <w:szCs w:val="24"/>
          <w:lang w:eastAsia="zh-CN"/>
        </w:rPr>
        <w:t>it was</w:t>
      </w:r>
      <w:r w:rsidR="00212BDF" w:rsidRPr="00EB11D3">
        <w:rPr>
          <w:szCs w:val="24"/>
          <w:lang w:eastAsia="zh-CN"/>
        </w:rPr>
        <w:t xml:space="preserve"> carried out among banking industries hence the results cannot be </w:t>
      </w:r>
      <w:r w:rsidR="00D03AD3" w:rsidRPr="00EB11D3">
        <w:rPr>
          <w:szCs w:val="24"/>
          <w:lang w:eastAsia="zh-CN"/>
        </w:rPr>
        <w:t xml:space="preserve">generalized to </w:t>
      </w:r>
      <w:r w:rsidR="00A00206" w:rsidRPr="00EB11D3">
        <w:rPr>
          <w:szCs w:val="24"/>
          <w:lang w:eastAsia="zh-CN"/>
        </w:rPr>
        <w:t>faith-based</w:t>
      </w:r>
      <w:r w:rsidR="00D03AD3" w:rsidRPr="00EB11D3">
        <w:rPr>
          <w:szCs w:val="24"/>
          <w:lang w:eastAsia="zh-CN"/>
        </w:rPr>
        <w:t xml:space="preserve"> hospitals</w:t>
      </w:r>
      <w:r w:rsidR="00212BDF" w:rsidRPr="00EB11D3">
        <w:rPr>
          <w:szCs w:val="24"/>
          <w:lang w:eastAsia="zh-CN"/>
        </w:rPr>
        <w:t xml:space="preserve">. This study </w:t>
      </w:r>
      <w:r w:rsidR="00BE3A5D" w:rsidRPr="00EB11D3">
        <w:rPr>
          <w:szCs w:val="24"/>
          <w:lang w:eastAsia="zh-CN"/>
        </w:rPr>
        <w:t>was</w:t>
      </w:r>
      <w:r w:rsidR="00212BDF" w:rsidRPr="00EB11D3">
        <w:rPr>
          <w:szCs w:val="24"/>
          <w:lang w:eastAsia="zh-CN"/>
        </w:rPr>
        <w:t xml:space="preserve"> carried out among faith-based hospitals.</w:t>
      </w:r>
    </w:p>
    <w:p w14:paraId="68F463D1" w14:textId="77777777" w:rsidR="00DC0D7C" w:rsidRPr="00EB11D3" w:rsidRDefault="00212BDF" w:rsidP="00AD1CB7">
      <w:pPr>
        <w:pStyle w:val="Heading3"/>
      </w:pPr>
      <w:bookmarkStart w:id="277" w:name="_Toc127539512"/>
      <w:bookmarkStart w:id="278" w:name="_Toc132031161"/>
      <w:bookmarkStart w:id="279" w:name="_Toc132709926"/>
      <w:bookmarkStart w:id="280" w:name="_Toc134174649"/>
      <w:bookmarkStart w:id="281" w:name="_Toc135938080"/>
      <w:bookmarkStart w:id="282" w:name="_Toc135938286"/>
      <w:bookmarkStart w:id="283" w:name="_Toc140111849"/>
      <w:bookmarkStart w:id="284" w:name="_Toc164148953"/>
      <w:bookmarkStart w:id="285" w:name="_Toc164151214"/>
      <w:bookmarkStart w:id="286" w:name="_Toc168673406"/>
      <w:bookmarkStart w:id="287" w:name="_Toc168737848"/>
      <w:bookmarkStart w:id="288" w:name="_Toc171602600"/>
      <w:bookmarkStart w:id="289" w:name="_Toc171603427"/>
      <w:bookmarkStart w:id="290" w:name="_Toc177387832"/>
      <w:bookmarkStart w:id="291" w:name="_Toc135405685"/>
      <w:bookmarkStart w:id="292" w:name="_Toc135405791"/>
      <w:bookmarkStart w:id="293" w:name="_Toc135405868"/>
      <w:bookmarkStart w:id="294" w:name="_Toc153052076"/>
      <w:r w:rsidRPr="00EB11D3">
        <w:t xml:space="preserve">2.2.3 </w:t>
      </w:r>
      <w:bookmarkEnd w:id="277"/>
      <w:bookmarkEnd w:id="278"/>
      <w:r w:rsidRPr="00EB11D3">
        <w:t>Corporate Governance</w:t>
      </w:r>
      <w:r w:rsidR="008F1B12" w:rsidRPr="00EB11D3">
        <w:t>, Government Regulations</w:t>
      </w:r>
      <w:r w:rsidRPr="00EB11D3">
        <w:t xml:space="preserve"> and </w:t>
      </w:r>
      <w:r w:rsidR="00813F2C" w:rsidRPr="00EB11D3">
        <w:t>Organisat</w:t>
      </w:r>
      <w:r w:rsidRPr="00EB11D3">
        <w:t>ional Performance</w:t>
      </w:r>
      <w:bookmarkEnd w:id="279"/>
      <w:bookmarkEnd w:id="280"/>
      <w:bookmarkEnd w:id="281"/>
      <w:bookmarkEnd w:id="282"/>
      <w:bookmarkEnd w:id="283"/>
      <w:bookmarkEnd w:id="284"/>
      <w:bookmarkEnd w:id="285"/>
      <w:bookmarkEnd w:id="286"/>
      <w:bookmarkEnd w:id="287"/>
      <w:bookmarkEnd w:id="288"/>
      <w:bookmarkEnd w:id="289"/>
      <w:bookmarkEnd w:id="290"/>
      <w:r w:rsidR="00B534E9" w:rsidRPr="00EB11D3">
        <w:t xml:space="preserve"> </w:t>
      </w:r>
      <w:bookmarkEnd w:id="291"/>
      <w:bookmarkEnd w:id="292"/>
      <w:bookmarkEnd w:id="293"/>
      <w:bookmarkEnd w:id="294"/>
    </w:p>
    <w:p w14:paraId="02A64250" w14:textId="77777777" w:rsidR="00C838C9" w:rsidRPr="00EB11D3" w:rsidRDefault="00C838C9" w:rsidP="00C838C9">
      <w:pPr>
        <w:spacing w:line="360" w:lineRule="auto"/>
        <w:rPr>
          <w:szCs w:val="24"/>
        </w:rPr>
      </w:pPr>
      <w:r w:rsidRPr="00EB11D3">
        <w:rPr>
          <w:szCs w:val="24"/>
          <w:shd w:val="clear" w:color="auto" w:fill="FFFFFF"/>
          <w:lang w:eastAsia="zh-CN"/>
        </w:rPr>
        <w:t>Dewi, Kasali, Balqiah and Widjaja, (2018) studied the role of government regulations and stakeholders’ entrepreneurial orientation in achieving organisational performance</w:t>
      </w:r>
      <w:r w:rsidR="001A3FC5" w:rsidRPr="00EB11D3">
        <w:rPr>
          <w:szCs w:val="24"/>
          <w:shd w:val="clear" w:color="auto" w:fill="FFFFFF"/>
          <w:lang w:eastAsia="zh-CN"/>
        </w:rPr>
        <w:t xml:space="preserve"> </w:t>
      </w:r>
      <w:r w:rsidR="00E92614" w:rsidRPr="00EB11D3">
        <w:rPr>
          <w:szCs w:val="24"/>
          <w:shd w:val="clear" w:color="auto" w:fill="FFFFFF"/>
          <w:lang w:eastAsia="zh-CN"/>
        </w:rPr>
        <w:t>of small</w:t>
      </w:r>
      <w:r w:rsidR="001A3FC5" w:rsidRPr="00EB11D3">
        <w:rPr>
          <w:szCs w:val="24"/>
          <w:shd w:val="clear" w:color="auto" w:fill="FFFFFF"/>
          <w:lang w:eastAsia="zh-CN"/>
        </w:rPr>
        <w:t xml:space="preserve"> and medium sized private hospitals in Indonesia</w:t>
      </w:r>
      <w:r w:rsidRPr="00EB11D3">
        <w:rPr>
          <w:szCs w:val="24"/>
          <w:shd w:val="clear" w:color="auto" w:fill="FFFFFF"/>
          <w:lang w:eastAsia="zh-CN"/>
        </w:rPr>
        <w:t xml:space="preserve">. </w:t>
      </w:r>
      <w:r w:rsidR="00E3320E" w:rsidRPr="00E3320E">
        <w:rPr>
          <w:szCs w:val="24"/>
          <w:shd w:val="clear" w:color="auto" w:fill="FFFFFF"/>
          <w:lang w:eastAsia="zh-CN"/>
        </w:rPr>
        <w:t xml:space="preserve">The study discovered that the hospital's entrepreneurial orientation was significantly influenced by the regulatory clarity and bureaucratic attitudes that support the execution of regulations. </w:t>
      </w:r>
      <w:r w:rsidRPr="00EB11D3">
        <w:rPr>
          <w:szCs w:val="24"/>
          <w:shd w:val="clear" w:color="auto" w:fill="FFFFFF"/>
          <w:lang w:eastAsia="zh-CN"/>
        </w:rPr>
        <w:t xml:space="preserve">In Indonesia, information was gathered from 105 small and medium-sized private hospitals. The hospital's performance was considerably impacted both directly by the entrepreneurial mindset and indirectly through business model innovation. The study however revealed a conceptual gap since </w:t>
      </w:r>
      <w:r w:rsidRPr="00EB11D3">
        <w:rPr>
          <w:szCs w:val="24"/>
        </w:rPr>
        <w:t>government regulations was introduced as an independent variable. Business model innovation was also considered as a mediating variable.</w:t>
      </w:r>
    </w:p>
    <w:p w14:paraId="3F4AB46E" w14:textId="77777777" w:rsidR="00C838C9" w:rsidRPr="00EB11D3" w:rsidRDefault="0003097B" w:rsidP="00C838C9">
      <w:pPr>
        <w:spacing w:line="360" w:lineRule="auto"/>
        <w:rPr>
          <w:szCs w:val="24"/>
        </w:rPr>
      </w:pPr>
      <w:r w:rsidRPr="00EB11D3">
        <w:rPr>
          <w:szCs w:val="24"/>
        </w:rPr>
        <w:t xml:space="preserve">Hussain, Ahmad, and Visvizi (2022) investigated the relationship between government regulation and organisational </w:t>
      </w:r>
      <w:r w:rsidR="009F4C62">
        <w:rPr>
          <w:szCs w:val="24"/>
        </w:rPr>
        <w:t>performance</w:t>
      </w:r>
      <w:r w:rsidRPr="00EB11D3">
        <w:rPr>
          <w:szCs w:val="24"/>
        </w:rPr>
        <w:t xml:space="preserve"> in the health-care supply chain using a qualitative approach. Triangulation was used in the study to look for a link between the study variables and 62 health-care supply chain variables. </w:t>
      </w:r>
      <w:r w:rsidR="005A3CCA" w:rsidRPr="00EB11D3">
        <w:rPr>
          <w:szCs w:val="24"/>
        </w:rPr>
        <w:t>The findings</w:t>
      </w:r>
      <w:r w:rsidRPr="00EB11D3">
        <w:rPr>
          <w:szCs w:val="24"/>
        </w:rPr>
        <w:t xml:space="preserve"> revealed that government regulation, such as government directives</w:t>
      </w:r>
      <w:r w:rsidR="00280C07" w:rsidRPr="00EB11D3">
        <w:rPr>
          <w:szCs w:val="24"/>
        </w:rPr>
        <w:t xml:space="preserve"> and branding</w:t>
      </w:r>
      <w:r w:rsidRPr="00EB11D3">
        <w:rPr>
          <w:szCs w:val="24"/>
        </w:rPr>
        <w:t xml:space="preserve">, had a substantial association with organisational effectiveness. However, the study </w:t>
      </w:r>
      <w:r w:rsidR="003632DD" w:rsidRPr="00EB11D3">
        <w:rPr>
          <w:szCs w:val="24"/>
        </w:rPr>
        <w:t>revealed</w:t>
      </w:r>
      <w:r w:rsidRPr="00EB11D3">
        <w:rPr>
          <w:szCs w:val="24"/>
        </w:rPr>
        <w:t xml:space="preserve"> a conceptual gap because government regulations was considered as an independent variable.</w:t>
      </w:r>
    </w:p>
    <w:p w14:paraId="2FF8B0BD" w14:textId="77777777" w:rsidR="00DF3EE9" w:rsidRPr="00EB11D3" w:rsidRDefault="00650567" w:rsidP="00DF3EE9">
      <w:pPr>
        <w:spacing w:line="360" w:lineRule="auto"/>
        <w:rPr>
          <w:szCs w:val="24"/>
          <w:shd w:val="clear" w:color="auto" w:fill="FFFFFF"/>
        </w:rPr>
      </w:pPr>
      <w:r w:rsidRPr="00EB11D3">
        <w:rPr>
          <w:szCs w:val="24"/>
          <w:shd w:val="clear" w:color="auto" w:fill="FFFFFF"/>
        </w:rPr>
        <w:t xml:space="preserve">Kariuki and Kariuki (2019) found that government regulations had a positive and statistically significant moderating effect on the link between internal control system and fraud prevention using a structural equation model (SEM). </w:t>
      </w:r>
      <w:r w:rsidR="00DF3EE9" w:rsidRPr="00EB11D3">
        <w:rPr>
          <w:szCs w:val="24"/>
          <w:shd w:val="clear" w:color="auto" w:fill="FFFFFF"/>
        </w:rPr>
        <w:t xml:space="preserve">Data was collected from 33 banks in Kenya using questionnaires. Control activities, communication and monitoring of activities was however not significant in the relationship. Data was collected from the banking sectors in Kenya using structured questionnaires. The study exhibited contextual gap as it was done on the banking sector and its finding cannot be generalized in the faith-based hospitals. </w:t>
      </w:r>
      <w:r w:rsidR="00DF3EE9" w:rsidRPr="00EB11D3">
        <w:rPr>
          <w:szCs w:val="24"/>
        </w:rPr>
        <w:t xml:space="preserve">This study </w:t>
      </w:r>
      <w:r w:rsidR="00BE3A5D" w:rsidRPr="00EB11D3">
        <w:rPr>
          <w:szCs w:val="24"/>
        </w:rPr>
        <w:t>sought</w:t>
      </w:r>
      <w:r w:rsidR="00DF3EE9" w:rsidRPr="00EB11D3">
        <w:rPr>
          <w:szCs w:val="24"/>
        </w:rPr>
        <w:t xml:space="preserve"> to examine link corporate governance and organisational performance among faith-based hospitals in Kenya.</w:t>
      </w:r>
      <w:r w:rsidR="00DF3EE9" w:rsidRPr="00EB11D3">
        <w:rPr>
          <w:szCs w:val="24"/>
          <w:shd w:val="clear" w:color="auto" w:fill="FFFFFF"/>
        </w:rPr>
        <w:t xml:space="preserve"> </w:t>
      </w:r>
    </w:p>
    <w:p w14:paraId="72A105CB" w14:textId="77777777" w:rsidR="00DF3EE9" w:rsidRPr="00EB11D3" w:rsidRDefault="00650567" w:rsidP="00DF3EE9">
      <w:pPr>
        <w:spacing w:line="360" w:lineRule="auto"/>
        <w:rPr>
          <w:szCs w:val="24"/>
        </w:rPr>
      </w:pPr>
      <w:r w:rsidRPr="00EB11D3">
        <w:rPr>
          <w:szCs w:val="24"/>
        </w:rPr>
        <w:t xml:space="preserve">Li, Cao, Zhang, Chen, Ren, and Zhao (2017) investigated the effect of government regulation and organisational slack in moderating the link between business environmental responsibility and financial success in the Chinese energy sector. The study's findings revealed that government regulation considerably and favourably influenced the relationship between </w:t>
      </w:r>
      <w:r w:rsidR="0007436E">
        <w:rPr>
          <w:szCs w:val="24"/>
        </w:rPr>
        <w:t>the</w:t>
      </w:r>
      <w:r w:rsidRPr="00EB11D3">
        <w:rPr>
          <w:szCs w:val="24"/>
        </w:rPr>
        <w:t xml:space="preserve"> variables. </w:t>
      </w:r>
      <w:r w:rsidR="00DF3EE9" w:rsidRPr="00EB11D3">
        <w:rPr>
          <w:szCs w:val="24"/>
        </w:rPr>
        <w:t>The study's foundations were agency theory and institutional theory. Additionally, a strong correlation between company environmental responsibility and financial performance was found by the study. The study however revealed a contextual gap as the study was carried on the energy sector and its finding cannot be generalized in the health care industry.</w:t>
      </w:r>
    </w:p>
    <w:p w14:paraId="2668335C" w14:textId="77777777" w:rsidR="008E6E27" w:rsidRDefault="00FF592D" w:rsidP="00B306B8">
      <w:pPr>
        <w:spacing w:line="360" w:lineRule="auto"/>
        <w:rPr>
          <w:szCs w:val="24"/>
          <w:shd w:val="clear" w:color="auto" w:fill="FFFFFF"/>
        </w:rPr>
      </w:pPr>
      <w:r w:rsidRPr="00EB11D3">
        <w:rPr>
          <w:szCs w:val="24"/>
          <w:lang w:eastAsia="zh-CN"/>
        </w:rPr>
        <w:t xml:space="preserve">Ordu (2021) discovered a substantial link between corporate governance practice enforcement and performance. The study employed an exploratory research approach to investigate the implementation of corporate governance practices by the 22 Nigerian banks. </w:t>
      </w:r>
      <w:r w:rsidR="000E2C14" w:rsidRPr="00EB11D3">
        <w:rPr>
          <w:szCs w:val="24"/>
          <w:lang w:eastAsia="zh-CN"/>
        </w:rPr>
        <w:t>Using mixed methods, data was collected through in-depth interviews and focus group discussion. The study however manifested contextual gap since it focused on banks and hence can’t be generalized to health care industry. This study primarily focus</w:t>
      </w:r>
      <w:r w:rsidR="008B1F54" w:rsidRPr="00EB11D3">
        <w:rPr>
          <w:szCs w:val="24"/>
          <w:lang w:eastAsia="zh-CN"/>
        </w:rPr>
        <w:t>ed</w:t>
      </w:r>
      <w:r w:rsidR="000E2C14" w:rsidRPr="00EB11D3">
        <w:rPr>
          <w:szCs w:val="24"/>
          <w:lang w:eastAsia="zh-CN"/>
        </w:rPr>
        <w:t xml:space="preserve"> on faith-based hospitals in Kenya.</w:t>
      </w:r>
      <w:r w:rsidR="00484A4C" w:rsidRPr="00EB11D3">
        <w:rPr>
          <w:szCs w:val="24"/>
          <w:lang w:eastAsia="zh-CN"/>
        </w:rPr>
        <w:t xml:space="preserve"> </w:t>
      </w:r>
      <w:r w:rsidR="00484A4C" w:rsidRPr="00EB11D3">
        <w:rPr>
          <w:szCs w:val="24"/>
          <w:shd w:val="clear" w:color="auto" w:fill="FFFFFF"/>
        </w:rPr>
        <w:t xml:space="preserve">Guluma (2021) examined the link between the measures of corporate governance and performance. Using a panel data the study revealed a positive correlation between ownership concentration and product market competition. The findings also connected Tobin's Q (TQ) to the return on assets (ROA). </w:t>
      </w:r>
      <w:r w:rsidR="00B306B8" w:rsidRPr="00EB11D3">
        <w:rPr>
          <w:szCs w:val="24"/>
          <w:shd w:val="clear" w:color="auto" w:fill="FFFFFF"/>
        </w:rPr>
        <w:t>It was discovered that managerial overconfidence had a negative influence on the association between operational company performance and debt financing and a positive moderating effect on the impact of debt financing on firm performance as assessed by Tobin's Q. Yet, it was shown that overconfidence among managers has a detrimental effect on ownership concentration, dual leadership, and board independence with regard to company success.</w:t>
      </w:r>
      <w:r w:rsidR="00B134B1" w:rsidRPr="00EB11D3">
        <w:rPr>
          <w:szCs w:val="24"/>
          <w:shd w:val="clear" w:color="auto" w:fill="FFFFFF"/>
        </w:rPr>
        <w:t xml:space="preserve"> </w:t>
      </w:r>
      <w:r w:rsidR="00F40AE3" w:rsidRPr="00EB11D3">
        <w:rPr>
          <w:szCs w:val="24"/>
          <w:shd w:val="clear" w:color="auto" w:fill="FFFFFF"/>
        </w:rPr>
        <w:t xml:space="preserve">The study however relied on panel data that was time series. This study relied on primary data that was collected using questionnaires. </w:t>
      </w:r>
    </w:p>
    <w:p w14:paraId="06871895" w14:textId="77777777" w:rsidR="008E6E27" w:rsidRDefault="00B134B1" w:rsidP="00B306B8">
      <w:pPr>
        <w:spacing w:line="360" w:lineRule="auto"/>
        <w:rPr>
          <w:rFonts w:eastAsia="Times New Roman"/>
          <w:szCs w:val="24"/>
        </w:rPr>
      </w:pPr>
      <w:r w:rsidRPr="00EB11D3">
        <w:rPr>
          <w:szCs w:val="24"/>
          <w:shd w:val="clear" w:color="auto" w:fill="FFFFFF"/>
        </w:rPr>
        <w:t xml:space="preserve">Rasheed, Manzoor and Mustafa (2019) used </w:t>
      </w:r>
      <w:r w:rsidR="007076EF" w:rsidRPr="00EB11D3">
        <w:rPr>
          <w:szCs w:val="24"/>
          <w:shd w:val="clear" w:color="auto" w:fill="FFFFFF"/>
        </w:rPr>
        <w:t xml:space="preserve">secondary data to examine the effect of corporate governance on profitability. The study results indicated that the parameters of corporate governance; the board size, board remuneration and size of the firm had a statistically significant effect on profitability. </w:t>
      </w:r>
      <w:r w:rsidR="00B91FA0" w:rsidRPr="00EB11D3">
        <w:rPr>
          <w:szCs w:val="24"/>
          <w:shd w:val="clear" w:color="auto" w:fill="FFFFFF"/>
        </w:rPr>
        <w:t xml:space="preserve"> The study however revealed a contextual gap since it was carried out on profitability of oil and gas sector. The current study was done to determine performance of </w:t>
      </w:r>
      <w:r w:rsidR="00F40AE3" w:rsidRPr="00EB11D3">
        <w:rPr>
          <w:szCs w:val="24"/>
          <w:shd w:val="clear" w:color="auto" w:fill="FFFFFF"/>
        </w:rPr>
        <w:t>faith-based</w:t>
      </w:r>
      <w:r w:rsidR="00B91FA0" w:rsidRPr="00EB11D3">
        <w:rPr>
          <w:szCs w:val="24"/>
          <w:shd w:val="clear" w:color="auto" w:fill="FFFFFF"/>
        </w:rPr>
        <w:t xml:space="preserve"> hospitals in Kenya.</w:t>
      </w:r>
      <w:r w:rsidR="008E6E27">
        <w:rPr>
          <w:szCs w:val="24"/>
          <w:shd w:val="clear" w:color="auto" w:fill="FFFFFF"/>
        </w:rPr>
        <w:t xml:space="preserve"> </w:t>
      </w:r>
      <w:r w:rsidR="005757FB" w:rsidRPr="00EB11D3">
        <w:rPr>
          <w:rFonts w:eastAsia="Times New Roman"/>
          <w:szCs w:val="24"/>
        </w:rPr>
        <w:t xml:space="preserve">The study by Neralla (2022) showed a connection between performance and corporate governance structure. Higher board size strengthens the decision-making process and has a favourable, significant influence on the ROA and Tobin's Q of the company's performance, according to study conclusions based on panel data. Additionally, the study's findings indicate that there is no statistically significant relationship between board independence and ROA, EPS, and NPM. The outcomes also showed a positive association between Tobin's Q performance indicators and board meetings, which suggests that improving corporate governance procedures is a result of these situations. Furthermore, the findings showed a negative association between the corporate governance, ROE, and NPM metrics of CEO duality. The study's findings indicated that businesses should probably put good corporate governance procedures in place, which will increase the performance of the company and reduce agency costs. </w:t>
      </w:r>
    </w:p>
    <w:p w14:paraId="07C6BC89" w14:textId="77777777" w:rsidR="005757FB" w:rsidRPr="008E6E27" w:rsidRDefault="00F93518" w:rsidP="008E6E27">
      <w:pPr>
        <w:spacing w:line="360" w:lineRule="auto"/>
        <w:rPr>
          <w:rFonts w:eastAsia="Times New Roman"/>
          <w:szCs w:val="24"/>
        </w:rPr>
      </w:pPr>
      <w:r w:rsidRPr="00EB11D3">
        <w:rPr>
          <w:rFonts w:eastAsia="Times New Roman"/>
          <w:szCs w:val="24"/>
        </w:rPr>
        <w:t>In their prospectus for the corporate governance study, Weian, Chen, Guangyao, Minna, and Qiankun (2019) found that corporate governance structure to corporate governance mechanism, corporate governance principles to corporate governance evaluation, single corporate governance to group governance, domestic corporate governance to multinational corporate governance, administrative governance to economic governance, and corporate governance to general governance all had an impact on performance.</w:t>
      </w:r>
      <w:r w:rsidR="004D62E0" w:rsidRPr="00EB11D3">
        <w:rPr>
          <w:rFonts w:eastAsia="Times New Roman"/>
          <w:szCs w:val="24"/>
        </w:rPr>
        <w:t xml:space="preserve"> Further, Salehi, Moradi, and Faysal (2023) research revealed that corporate governance structure has a major impact on lowering cost of equity (COE) in the context of ISIS. In addition, the authors discover that in the absence of national security in Iraq, corporate governance may be a viable substitute for COE reduction. Additionally, our research shows a negative correlation between COE and board size, meeting frequency, management ownership, and institutional ownership. Corporate governance structure was thought to be proxied by board structure (i.e., board size, independence, CEO tenure, frequency of board meetings, and CEO duality) and ownership structure (managerial ownership, institutional ownership, and state ownership).</w:t>
      </w:r>
    </w:p>
    <w:p w14:paraId="6E3B9448" w14:textId="77777777" w:rsidR="00DC0D7C" w:rsidRPr="00EB11D3" w:rsidRDefault="009A31B8">
      <w:pPr>
        <w:spacing w:line="360" w:lineRule="auto"/>
        <w:rPr>
          <w:szCs w:val="24"/>
          <w:shd w:val="clear" w:color="auto" w:fill="FFFFFF"/>
        </w:rPr>
      </w:pPr>
      <w:r w:rsidRPr="00EB11D3">
        <w:rPr>
          <w:szCs w:val="24"/>
          <w:shd w:val="clear" w:color="auto" w:fill="FFFFFF"/>
        </w:rPr>
        <w:t>Muturi (2019) study revealed government regulations had a moderating effect on the association between residential mortgage financing techniques and the success of 138 real estate firms in Kenya. The research was founded on resource-based perspective theory and its various configurations. The study, on the other hand, used a census technique to investigate the moderating effect of government regulations on residential mortgage finance practices and performance across Kenyan real estate enterprises.</w:t>
      </w:r>
      <w:r w:rsidR="00D03AD3" w:rsidRPr="00EB11D3">
        <w:rPr>
          <w:szCs w:val="24"/>
          <w:shd w:val="clear" w:color="auto" w:fill="FFFFFF"/>
        </w:rPr>
        <w:t xml:space="preserve"> The study exhibited contextual gap as it was done on the banking sector and its finding cannot be generalized in the </w:t>
      </w:r>
      <w:r w:rsidR="00405301" w:rsidRPr="00EB11D3">
        <w:rPr>
          <w:szCs w:val="24"/>
          <w:shd w:val="clear" w:color="auto" w:fill="FFFFFF"/>
        </w:rPr>
        <w:t>faith-based</w:t>
      </w:r>
      <w:r w:rsidR="00D03AD3" w:rsidRPr="00EB11D3">
        <w:rPr>
          <w:szCs w:val="24"/>
          <w:shd w:val="clear" w:color="auto" w:fill="FFFFFF"/>
        </w:rPr>
        <w:t xml:space="preserve"> hospitals.</w:t>
      </w:r>
      <w:r w:rsidR="00212BDF" w:rsidRPr="00EB11D3">
        <w:rPr>
          <w:szCs w:val="24"/>
          <w:shd w:val="clear" w:color="auto" w:fill="FFFFFF"/>
        </w:rPr>
        <w:t xml:space="preserve"> </w:t>
      </w:r>
      <w:r w:rsidR="0007436E">
        <w:rPr>
          <w:szCs w:val="24"/>
          <w:shd w:val="clear" w:color="auto" w:fill="FFFFFF"/>
        </w:rPr>
        <w:t>M</w:t>
      </w:r>
      <w:r w:rsidR="00212BDF" w:rsidRPr="00EB11D3">
        <w:rPr>
          <w:szCs w:val="24"/>
          <w:shd w:val="clear" w:color="auto" w:fill="FFFFFF"/>
        </w:rPr>
        <w:t xml:space="preserve">oderating effect of government regulations </w:t>
      </w:r>
      <w:r w:rsidR="0007436E">
        <w:rPr>
          <w:szCs w:val="24"/>
          <w:shd w:val="clear" w:color="auto" w:fill="FFFFFF"/>
        </w:rPr>
        <w:t>was tested in this study</w:t>
      </w:r>
      <w:r w:rsidR="00212BDF" w:rsidRPr="00EB11D3">
        <w:rPr>
          <w:szCs w:val="24"/>
          <w:shd w:val="clear" w:color="auto" w:fill="FFFFFF"/>
        </w:rPr>
        <w:t>.</w:t>
      </w:r>
    </w:p>
    <w:p w14:paraId="7EB4770D" w14:textId="77777777" w:rsidR="00AA6F2D" w:rsidRPr="00EB11D3" w:rsidRDefault="00AA6F2D" w:rsidP="00AA6F2D">
      <w:pPr>
        <w:spacing w:line="360" w:lineRule="auto"/>
        <w:rPr>
          <w:szCs w:val="24"/>
          <w:lang w:eastAsia="zh-CN"/>
        </w:rPr>
      </w:pPr>
      <w:r w:rsidRPr="00EB11D3">
        <w:rPr>
          <w:szCs w:val="24"/>
          <w:lang w:eastAsia="zh-CN"/>
        </w:rPr>
        <w:t xml:space="preserve">Using descriptive research design approach, Kinyeki, Amuhaya, Mwimali and Orwa (2018) examined effect of board size on health service delivery in Kenya. </w:t>
      </w:r>
      <w:r w:rsidR="00FD0B23">
        <w:rPr>
          <w:szCs w:val="24"/>
          <w:lang w:eastAsia="zh-CN"/>
        </w:rPr>
        <w:t>B</w:t>
      </w:r>
      <w:r w:rsidR="0000002B" w:rsidRPr="00EB11D3">
        <w:rPr>
          <w:szCs w:val="24"/>
          <w:lang w:eastAsia="zh-CN"/>
        </w:rPr>
        <w:t>oth qualitative and quantitative data from six counties' Level 5 hospitals</w:t>
      </w:r>
      <w:r w:rsidR="00FD0B23">
        <w:rPr>
          <w:szCs w:val="24"/>
          <w:lang w:eastAsia="zh-CN"/>
        </w:rPr>
        <w:t xml:space="preserve"> was used</w:t>
      </w:r>
      <w:r w:rsidR="0000002B" w:rsidRPr="00EB11D3">
        <w:rPr>
          <w:szCs w:val="24"/>
          <w:lang w:eastAsia="zh-CN"/>
        </w:rPr>
        <w:t xml:space="preserve">. </w:t>
      </w:r>
      <w:r w:rsidR="00F8301D" w:rsidRPr="00F8301D">
        <w:rPr>
          <w:szCs w:val="24"/>
          <w:lang w:eastAsia="zh-CN"/>
        </w:rPr>
        <w:t>While descriptive methods were used to examine the quantitative data, content analysis was used to analyse the qualitative data from the interview guides.</w:t>
      </w:r>
      <w:r w:rsidR="0000002B" w:rsidRPr="00EB11D3">
        <w:rPr>
          <w:szCs w:val="24"/>
          <w:lang w:eastAsia="zh-CN"/>
        </w:rPr>
        <w:t xml:space="preserve"> </w:t>
      </w:r>
      <w:r w:rsidR="00322CFD" w:rsidRPr="00322CFD">
        <w:rPr>
          <w:szCs w:val="24"/>
          <w:lang w:eastAsia="zh-CN"/>
        </w:rPr>
        <w:t xml:space="preserve">It </w:t>
      </w:r>
      <w:r w:rsidR="00322CFD">
        <w:rPr>
          <w:szCs w:val="24"/>
          <w:lang w:eastAsia="zh-CN"/>
        </w:rPr>
        <w:t>was</w:t>
      </w:r>
      <w:r w:rsidR="00322CFD" w:rsidRPr="00322CFD">
        <w:rPr>
          <w:szCs w:val="24"/>
          <w:lang w:eastAsia="zh-CN"/>
        </w:rPr>
        <w:t xml:space="preserve"> shown that political unrest moderates the relationship between board size and the provision of health services</w:t>
      </w:r>
      <w:r w:rsidR="0000002B" w:rsidRPr="00EB11D3">
        <w:rPr>
          <w:szCs w:val="24"/>
          <w:lang w:eastAsia="zh-CN"/>
        </w:rPr>
        <w:t xml:space="preserve">. </w:t>
      </w:r>
      <w:r w:rsidR="008F5FBC" w:rsidRPr="00EB11D3">
        <w:rPr>
          <w:szCs w:val="24"/>
          <w:lang w:eastAsia="zh-CN"/>
        </w:rPr>
        <w:t>Conceptual gap was realized</w:t>
      </w:r>
      <w:r w:rsidR="00D03AD3" w:rsidRPr="00EB11D3">
        <w:rPr>
          <w:szCs w:val="24"/>
          <w:lang w:eastAsia="zh-CN"/>
        </w:rPr>
        <w:t xml:space="preserve"> </w:t>
      </w:r>
      <w:r w:rsidR="00956EEA" w:rsidRPr="00EB11D3">
        <w:rPr>
          <w:szCs w:val="24"/>
          <w:lang w:eastAsia="zh-CN"/>
        </w:rPr>
        <w:t xml:space="preserve">since the study </w:t>
      </w:r>
      <w:r w:rsidR="0070335D" w:rsidRPr="00EB11D3">
        <w:rPr>
          <w:szCs w:val="24"/>
          <w:lang w:eastAsia="zh-CN"/>
        </w:rPr>
        <w:t xml:space="preserve">conceptualized </w:t>
      </w:r>
      <w:r w:rsidR="00956EEA" w:rsidRPr="00EB11D3">
        <w:rPr>
          <w:szCs w:val="24"/>
          <w:lang w:eastAsia="zh-CN"/>
        </w:rPr>
        <w:t xml:space="preserve">board size </w:t>
      </w:r>
      <w:r w:rsidR="0070335D" w:rsidRPr="00EB11D3">
        <w:rPr>
          <w:szCs w:val="24"/>
          <w:lang w:eastAsia="zh-CN"/>
        </w:rPr>
        <w:t>as the independent variable</w:t>
      </w:r>
      <w:r w:rsidR="008F5FBC" w:rsidRPr="00EB11D3">
        <w:rPr>
          <w:szCs w:val="24"/>
          <w:lang w:eastAsia="zh-CN"/>
        </w:rPr>
        <w:t xml:space="preserve">. </w:t>
      </w:r>
      <w:r w:rsidRPr="00EB11D3">
        <w:rPr>
          <w:szCs w:val="24"/>
          <w:lang w:eastAsia="zh-CN"/>
        </w:rPr>
        <w:t xml:space="preserve">The study considered policy framework as the moderator </w:t>
      </w:r>
      <w:r w:rsidR="008F5FBC" w:rsidRPr="00EB11D3">
        <w:rPr>
          <w:szCs w:val="24"/>
          <w:lang w:eastAsia="zh-CN"/>
        </w:rPr>
        <w:t>while</w:t>
      </w:r>
      <w:r w:rsidRPr="00EB11D3">
        <w:rPr>
          <w:szCs w:val="24"/>
          <w:lang w:eastAsia="zh-CN"/>
        </w:rPr>
        <w:t xml:space="preserve"> this study consider</w:t>
      </w:r>
      <w:r w:rsidR="00BE3A5D" w:rsidRPr="00EB11D3">
        <w:rPr>
          <w:szCs w:val="24"/>
          <w:lang w:eastAsia="zh-CN"/>
        </w:rPr>
        <w:t>ed</w:t>
      </w:r>
      <w:r w:rsidRPr="00EB11D3">
        <w:rPr>
          <w:szCs w:val="24"/>
          <w:lang w:eastAsia="zh-CN"/>
        </w:rPr>
        <w:t xml:space="preserve"> government regulation as the moderating variable. </w:t>
      </w:r>
    </w:p>
    <w:p w14:paraId="6C483950" w14:textId="77777777" w:rsidR="00B534E9" w:rsidRPr="00EB11D3" w:rsidRDefault="00212BDF" w:rsidP="00E51745">
      <w:pPr>
        <w:pStyle w:val="Heading3"/>
      </w:pPr>
      <w:bookmarkStart w:id="295" w:name="_Toc132031162"/>
      <w:bookmarkStart w:id="296" w:name="_Toc127539513"/>
      <w:bookmarkStart w:id="297" w:name="_Toc134174650"/>
      <w:bookmarkStart w:id="298" w:name="_Toc132709927"/>
      <w:bookmarkStart w:id="299" w:name="_Toc171602601"/>
      <w:bookmarkStart w:id="300" w:name="_Toc171603428"/>
      <w:bookmarkStart w:id="301" w:name="_Toc177387833"/>
      <w:r w:rsidRPr="00EB11D3">
        <w:t xml:space="preserve">2.2.4 </w:t>
      </w:r>
      <w:bookmarkEnd w:id="295"/>
      <w:bookmarkEnd w:id="296"/>
      <w:bookmarkEnd w:id="297"/>
      <w:bookmarkEnd w:id="298"/>
      <w:r w:rsidR="00B534E9" w:rsidRPr="00EB11D3">
        <w:t xml:space="preserve">Corporate Governance, Service Innovation, Government Regulations </w:t>
      </w:r>
      <w:r w:rsidR="00657C99" w:rsidRPr="00EB11D3">
        <w:t>and</w:t>
      </w:r>
      <w:r w:rsidR="00B534E9" w:rsidRPr="00EB11D3">
        <w:t xml:space="preserve"> Organisational Performance</w:t>
      </w:r>
      <w:bookmarkEnd w:id="299"/>
      <w:bookmarkEnd w:id="300"/>
      <w:bookmarkEnd w:id="301"/>
      <w:r w:rsidR="00B534E9" w:rsidRPr="00EB11D3">
        <w:t xml:space="preserve"> </w:t>
      </w:r>
    </w:p>
    <w:p w14:paraId="29CB9B30" w14:textId="77777777" w:rsidR="00DC0D7C" w:rsidRPr="00EB11D3" w:rsidRDefault="00212BDF">
      <w:pPr>
        <w:spacing w:line="360" w:lineRule="auto"/>
        <w:rPr>
          <w:szCs w:val="24"/>
          <w:lang w:eastAsia="zh-CN"/>
        </w:rPr>
      </w:pPr>
      <w:r w:rsidRPr="00EB11D3">
        <w:rPr>
          <w:szCs w:val="24"/>
          <w:lang w:eastAsia="zh-CN"/>
        </w:rPr>
        <w:t xml:space="preserve">Forlines (2018) study </w:t>
      </w:r>
      <w:r w:rsidR="008D7A06" w:rsidRPr="00EB11D3">
        <w:rPr>
          <w:szCs w:val="24"/>
          <w:lang w:eastAsia="zh-CN"/>
        </w:rPr>
        <w:t xml:space="preserve">revealed </w:t>
      </w:r>
      <w:r w:rsidR="00E92614" w:rsidRPr="00EB11D3">
        <w:rPr>
          <w:szCs w:val="24"/>
          <w:lang w:eastAsia="zh-CN"/>
        </w:rPr>
        <w:t>link</w:t>
      </w:r>
      <w:r w:rsidR="008D7A06" w:rsidRPr="00EB11D3">
        <w:rPr>
          <w:szCs w:val="24"/>
          <w:lang w:eastAsia="zh-CN"/>
        </w:rPr>
        <w:t xml:space="preserve"> on the role of government regulation and policy in health care markets</w:t>
      </w:r>
      <w:r w:rsidRPr="00EB11D3">
        <w:rPr>
          <w:szCs w:val="24"/>
          <w:lang w:eastAsia="zh-CN"/>
        </w:rPr>
        <w:t>.</w:t>
      </w:r>
      <w:r w:rsidR="007761C4" w:rsidRPr="00EB11D3">
        <w:rPr>
          <w:szCs w:val="24"/>
          <w:lang w:eastAsia="zh-CN"/>
        </w:rPr>
        <w:t xml:space="preserve"> </w:t>
      </w:r>
      <w:r w:rsidR="000A6BBD" w:rsidRPr="00EB11D3">
        <w:rPr>
          <w:szCs w:val="24"/>
          <w:lang w:eastAsia="zh-CN"/>
        </w:rPr>
        <w:t xml:space="preserve">The study employed panel data obtained from </w:t>
      </w:r>
      <w:r w:rsidR="002B6DA3" w:rsidRPr="00EB11D3">
        <w:rPr>
          <w:szCs w:val="24"/>
          <w:lang w:eastAsia="zh-CN"/>
        </w:rPr>
        <w:t xml:space="preserve">13070 patients’ reports from </w:t>
      </w:r>
      <w:r w:rsidR="00BE458B" w:rsidRPr="00EB11D3">
        <w:rPr>
          <w:szCs w:val="24"/>
          <w:lang w:eastAsia="zh-CN"/>
        </w:rPr>
        <w:t xml:space="preserve">hospital outpatient </w:t>
      </w:r>
      <w:r w:rsidR="00D12063" w:rsidRPr="00EB11D3">
        <w:rPr>
          <w:szCs w:val="24"/>
          <w:lang w:eastAsia="zh-CN"/>
        </w:rPr>
        <w:t>medicare utilization and payment data</w:t>
      </w:r>
      <w:r w:rsidR="002B6DA3" w:rsidRPr="00EB11D3">
        <w:rPr>
          <w:szCs w:val="24"/>
          <w:lang w:eastAsia="zh-CN"/>
        </w:rPr>
        <w:t xml:space="preserve">. The study however manifested a conceptual gap since government regulation was used an independent </w:t>
      </w:r>
      <w:r w:rsidR="001C6FD8" w:rsidRPr="00EB11D3">
        <w:rPr>
          <w:szCs w:val="24"/>
          <w:lang w:eastAsia="zh-CN"/>
        </w:rPr>
        <w:t>variable</w:t>
      </w:r>
      <w:r w:rsidR="002B6DA3" w:rsidRPr="00EB11D3">
        <w:rPr>
          <w:szCs w:val="24"/>
          <w:lang w:eastAsia="zh-CN"/>
        </w:rPr>
        <w:t>.</w:t>
      </w:r>
      <w:r w:rsidR="001C6FD8" w:rsidRPr="00EB11D3">
        <w:rPr>
          <w:szCs w:val="24"/>
          <w:lang w:eastAsia="zh-CN"/>
        </w:rPr>
        <w:t xml:space="preserve"> </w:t>
      </w:r>
      <w:r w:rsidR="00234668" w:rsidRPr="00234668">
        <w:rPr>
          <w:szCs w:val="24"/>
          <w:lang w:eastAsia="zh-CN"/>
        </w:rPr>
        <w:t>This research looked at the moderating effect of government regulations on the link between corporate governance and organisational performance of faith-based hospitals in Kenya.</w:t>
      </w:r>
      <w:r w:rsidR="001C6FD8" w:rsidRPr="00EB11D3">
        <w:rPr>
          <w:szCs w:val="24"/>
          <w:lang w:eastAsia="zh-CN"/>
        </w:rPr>
        <w:t xml:space="preserve">  </w:t>
      </w:r>
    </w:p>
    <w:p w14:paraId="030D5449" w14:textId="77777777" w:rsidR="00DC0D7C" w:rsidRPr="00EB11D3" w:rsidRDefault="00E52511" w:rsidP="002873E9">
      <w:pPr>
        <w:spacing w:line="360" w:lineRule="auto"/>
        <w:rPr>
          <w:szCs w:val="24"/>
          <w:lang w:eastAsia="zh-CN"/>
        </w:rPr>
      </w:pPr>
      <w:r w:rsidRPr="00EB11D3">
        <w:rPr>
          <w:szCs w:val="24"/>
          <w:lang w:eastAsia="zh-CN"/>
        </w:rPr>
        <w:t xml:space="preserve">Tejan-Gbla's (2018) study examined the effects of organisational size on strategic service innovation and strategic service delivery innovation as moderated by organisational size and discovered a positive and statistically significant </w:t>
      </w:r>
      <w:r w:rsidR="00367582">
        <w:rPr>
          <w:szCs w:val="24"/>
          <w:lang w:eastAsia="zh-CN"/>
        </w:rPr>
        <w:t>link</w:t>
      </w:r>
      <w:r w:rsidRPr="00EB11D3">
        <w:rPr>
          <w:szCs w:val="24"/>
          <w:lang w:eastAsia="zh-CN"/>
        </w:rPr>
        <w:t xml:space="preserve">. </w:t>
      </w:r>
      <w:r w:rsidR="002873E9" w:rsidRPr="00EB11D3">
        <w:rPr>
          <w:szCs w:val="24"/>
          <w:lang w:eastAsia="zh-CN"/>
        </w:rPr>
        <w:t xml:space="preserve">Data was obtained from 250 managers in the Standard Industrial Classification Code (SIC), United States. </w:t>
      </w:r>
      <w:r w:rsidR="00212BDF" w:rsidRPr="00EB11D3">
        <w:rPr>
          <w:szCs w:val="24"/>
          <w:lang w:eastAsia="zh-CN"/>
        </w:rPr>
        <w:t xml:space="preserve">The study however exhibited a conceptual since it focused on </w:t>
      </w:r>
      <w:r w:rsidR="00813F2C" w:rsidRPr="00EB11D3">
        <w:rPr>
          <w:szCs w:val="24"/>
          <w:lang w:eastAsia="zh-CN"/>
        </w:rPr>
        <w:t>organisat</w:t>
      </w:r>
      <w:r w:rsidR="00212BDF" w:rsidRPr="00EB11D3">
        <w:rPr>
          <w:szCs w:val="24"/>
          <w:lang w:eastAsia="zh-CN"/>
        </w:rPr>
        <w:t xml:space="preserve">ional size as a moderating variable. </w:t>
      </w:r>
      <w:r w:rsidR="009666EE" w:rsidRPr="00EB11D3">
        <w:rPr>
          <w:szCs w:val="24"/>
          <w:lang w:eastAsia="zh-CN"/>
        </w:rPr>
        <w:t xml:space="preserve">In this study, </w:t>
      </w:r>
      <w:r w:rsidR="00550178" w:rsidRPr="00EB11D3">
        <w:rPr>
          <w:szCs w:val="24"/>
          <w:lang w:eastAsia="zh-CN"/>
        </w:rPr>
        <w:t xml:space="preserve">organisational performance </w:t>
      </w:r>
      <w:r w:rsidR="00550178">
        <w:rPr>
          <w:szCs w:val="24"/>
          <w:lang w:eastAsia="zh-CN"/>
        </w:rPr>
        <w:t xml:space="preserve">of </w:t>
      </w:r>
      <w:r w:rsidR="009666EE" w:rsidRPr="00EB11D3">
        <w:rPr>
          <w:szCs w:val="24"/>
          <w:lang w:eastAsia="zh-CN"/>
        </w:rPr>
        <w:t>faith-based hospitals</w:t>
      </w:r>
      <w:r w:rsidR="00550178">
        <w:rPr>
          <w:szCs w:val="24"/>
          <w:lang w:eastAsia="zh-CN"/>
        </w:rPr>
        <w:t xml:space="preserve"> in Kenya</w:t>
      </w:r>
      <w:r w:rsidR="009666EE" w:rsidRPr="00EB11D3">
        <w:rPr>
          <w:szCs w:val="24"/>
          <w:lang w:eastAsia="zh-CN"/>
        </w:rPr>
        <w:t xml:space="preserve"> </w:t>
      </w:r>
      <w:r w:rsidR="005A646D" w:rsidRPr="00EB11D3">
        <w:rPr>
          <w:szCs w:val="24"/>
          <w:lang w:eastAsia="zh-CN"/>
        </w:rPr>
        <w:t>was</w:t>
      </w:r>
      <w:r w:rsidR="009666EE" w:rsidRPr="00EB11D3">
        <w:rPr>
          <w:szCs w:val="24"/>
          <w:lang w:eastAsia="zh-CN"/>
        </w:rPr>
        <w:t xml:space="preserve"> compared to corporate governance to determine whether government rules have a moderating effect.</w:t>
      </w:r>
      <w:r w:rsidR="00212BDF" w:rsidRPr="00EB11D3">
        <w:rPr>
          <w:szCs w:val="24"/>
          <w:lang w:eastAsia="zh-CN"/>
        </w:rPr>
        <w:t xml:space="preserve">  </w:t>
      </w:r>
    </w:p>
    <w:p w14:paraId="316731D0" w14:textId="77777777" w:rsidR="00FF5268" w:rsidRPr="00EB11D3" w:rsidRDefault="00FF5268" w:rsidP="00FF5268">
      <w:pPr>
        <w:spacing w:line="360" w:lineRule="auto"/>
        <w:rPr>
          <w:szCs w:val="24"/>
          <w:lang w:eastAsia="zh-CN"/>
        </w:rPr>
      </w:pPr>
      <w:r w:rsidRPr="00EB11D3">
        <w:rPr>
          <w:szCs w:val="24"/>
          <w:lang w:eastAsia="zh-CN"/>
        </w:rPr>
        <w:t xml:space="preserve">Mulda (2020) study revealed a statistically significant relationship between government regulations and organisational performance. Data was obtained from maritime industry in Batam, Indonesia.  The performance of </w:t>
      </w:r>
      <w:r w:rsidR="00813F2C" w:rsidRPr="00EB11D3">
        <w:rPr>
          <w:szCs w:val="24"/>
          <w:lang w:eastAsia="zh-CN"/>
        </w:rPr>
        <w:t>organisat</w:t>
      </w:r>
      <w:r w:rsidRPr="00EB11D3">
        <w:rPr>
          <w:szCs w:val="24"/>
          <w:lang w:eastAsia="zh-CN"/>
        </w:rPr>
        <w:t>ions was also found to be significantly impacted by entrepreneurial orientation. The study exhibited conceptual ga</w:t>
      </w:r>
      <w:r w:rsidR="00452122" w:rsidRPr="00EB11D3">
        <w:rPr>
          <w:szCs w:val="24"/>
          <w:lang w:eastAsia="zh-CN"/>
        </w:rPr>
        <w:t>p</w:t>
      </w:r>
      <w:r w:rsidRPr="00EB11D3">
        <w:rPr>
          <w:szCs w:val="24"/>
          <w:lang w:eastAsia="zh-CN"/>
        </w:rPr>
        <w:t xml:space="preserve"> as it considered government regulations as independent variable. Government regulations </w:t>
      </w:r>
      <w:r w:rsidR="005A646D" w:rsidRPr="00EB11D3">
        <w:rPr>
          <w:szCs w:val="24"/>
          <w:lang w:eastAsia="zh-CN"/>
        </w:rPr>
        <w:t>was</w:t>
      </w:r>
      <w:r w:rsidRPr="00EB11D3">
        <w:rPr>
          <w:szCs w:val="24"/>
          <w:lang w:eastAsia="zh-CN"/>
        </w:rPr>
        <w:t xml:space="preserve"> taken into account as a moderating factor in this study's analysis of the association between corporate governance and </w:t>
      </w:r>
      <w:r w:rsidR="006D5C62" w:rsidRPr="00EB11D3">
        <w:rPr>
          <w:szCs w:val="24"/>
          <w:lang w:eastAsia="zh-CN"/>
        </w:rPr>
        <w:t>organisational performance of Faith-Based Hospitals</w:t>
      </w:r>
      <w:r w:rsidRPr="00EB11D3">
        <w:rPr>
          <w:szCs w:val="24"/>
          <w:lang w:eastAsia="zh-CN"/>
        </w:rPr>
        <w:t xml:space="preserve"> in Kenya. </w:t>
      </w:r>
    </w:p>
    <w:p w14:paraId="5EEEC25E" w14:textId="77777777" w:rsidR="00FF5268" w:rsidRPr="00EB11D3" w:rsidRDefault="004C5F95" w:rsidP="00FF5268">
      <w:pPr>
        <w:spacing w:line="360" w:lineRule="auto"/>
        <w:rPr>
          <w:szCs w:val="24"/>
          <w:lang w:eastAsia="zh-CN"/>
        </w:rPr>
      </w:pPr>
      <w:r w:rsidRPr="00EB11D3">
        <w:rPr>
          <w:szCs w:val="24"/>
          <w:lang w:eastAsia="zh-CN"/>
        </w:rPr>
        <w:t xml:space="preserve">Graafland and Bovenberg (2020) found that government regulation had a direct positive effect on the performance of SMEs using a survey method. </w:t>
      </w:r>
      <w:r w:rsidR="00FF5268" w:rsidRPr="00EB11D3">
        <w:rPr>
          <w:szCs w:val="24"/>
          <w:lang w:eastAsia="zh-CN"/>
        </w:rPr>
        <w:t xml:space="preserve">Government regulation was found to increase rather than reduces extrinsic motivation. Data was collected from 14 CSR researchers using interview guides and analysed using both descriptive and inferential statistics. This study depicted methodological gap as </w:t>
      </w:r>
      <w:r w:rsidR="001D0899" w:rsidRPr="00EB11D3">
        <w:rPr>
          <w:szCs w:val="24"/>
          <w:lang w:eastAsia="zh-CN"/>
        </w:rPr>
        <w:t>the survey was done using interview schedule</w:t>
      </w:r>
      <w:r w:rsidR="00FF5268" w:rsidRPr="00EB11D3">
        <w:rPr>
          <w:szCs w:val="24"/>
          <w:lang w:eastAsia="zh-CN"/>
        </w:rPr>
        <w:t xml:space="preserve">. </w:t>
      </w:r>
      <w:r w:rsidR="00BE0A4A" w:rsidRPr="00EB11D3">
        <w:rPr>
          <w:szCs w:val="24"/>
          <w:lang w:eastAsia="zh-CN"/>
        </w:rPr>
        <w:t xml:space="preserve">To collect primary data for this project, questionnaires </w:t>
      </w:r>
      <w:r w:rsidR="005A646D" w:rsidRPr="00EB11D3">
        <w:rPr>
          <w:szCs w:val="24"/>
          <w:lang w:eastAsia="zh-CN"/>
        </w:rPr>
        <w:t>was</w:t>
      </w:r>
      <w:r w:rsidR="00BE0A4A" w:rsidRPr="00EB11D3">
        <w:rPr>
          <w:szCs w:val="24"/>
          <w:lang w:eastAsia="zh-CN"/>
        </w:rPr>
        <w:t xml:space="preserve"> used. </w:t>
      </w:r>
      <w:r w:rsidR="00FF5268" w:rsidRPr="00EB11D3">
        <w:rPr>
          <w:szCs w:val="24"/>
          <w:lang w:eastAsia="zh-CN"/>
        </w:rPr>
        <w:t xml:space="preserve"> </w:t>
      </w:r>
    </w:p>
    <w:p w14:paraId="08A37DC6" w14:textId="77777777" w:rsidR="007B1B52" w:rsidRPr="00EB11D3" w:rsidRDefault="007B1B52" w:rsidP="003C79D4">
      <w:pPr>
        <w:spacing w:line="360" w:lineRule="auto"/>
        <w:rPr>
          <w:szCs w:val="24"/>
          <w:shd w:val="clear" w:color="auto" w:fill="FFFFFF"/>
        </w:rPr>
      </w:pPr>
      <w:r w:rsidRPr="00EB11D3">
        <w:rPr>
          <w:szCs w:val="24"/>
          <w:shd w:val="clear" w:color="auto" w:fill="FFFFFF"/>
        </w:rPr>
        <w:t xml:space="preserve">A study by Abdulkadir (2022) indicated a </w:t>
      </w:r>
      <w:r w:rsidR="003C79D4" w:rsidRPr="00EB11D3">
        <w:rPr>
          <w:szCs w:val="24"/>
          <w:shd w:val="clear" w:color="auto" w:fill="FFFFFF"/>
        </w:rPr>
        <w:t xml:space="preserve">significant moderating effect of </w:t>
      </w:r>
      <w:r w:rsidRPr="00EB11D3">
        <w:rPr>
          <w:szCs w:val="24"/>
          <w:shd w:val="clear" w:color="auto" w:fill="FFFFFF"/>
        </w:rPr>
        <w:t xml:space="preserve">government policies and regulations </w:t>
      </w:r>
      <w:r w:rsidR="003C79D4" w:rsidRPr="00EB11D3">
        <w:rPr>
          <w:szCs w:val="24"/>
          <w:shd w:val="clear" w:color="auto" w:fill="FFFFFF"/>
        </w:rPr>
        <w:t xml:space="preserve">on the relationship </w:t>
      </w:r>
      <w:r w:rsidRPr="00EB11D3">
        <w:rPr>
          <w:szCs w:val="24"/>
          <w:shd w:val="clear" w:color="auto" w:fill="FFFFFF"/>
        </w:rPr>
        <w:t>between</w:t>
      </w:r>
      <w:r w:rsidR="003C79D4" w:rsidRPr="00EB11D3">
        <w:rPr>
          <w:szCs w:val="24"/>
          <w:shd w:val="clear" w:color="auto" w:fill="FFFFFF"/>
        </w:rPr>
        <w:t xml:space="preserve"> corporate </w:t>
      </w:r>
      <w:r w:rsidRPr="00EB11D3">
        <w:rPr>
          <w:szCs w:val="24"/>
          <w:shd w:val="clear" w:color="auto" w:fill="FFFFFF"/>
        </w:rPr>
        <w:t>governance practices and performance</w:t>
      </w:r>
      <w:r w:rsidR="003C79D4" w:rsidRPr="00EB11D3">
        <w:rPr>
          <w:szCs w:val="24"/>
          <w:shd w:val="clear" w:color="auto" w:fill="FFFFFF"/>
        </w:rPr>
        <w:t xml:space="preserve">. Using a correlational research design and interpretivism research philosophy, the study revealed a link between corporate governance </w:t>
      </w:r>
      <w:r w:rsidR="00D366AA" w:rsidRPr="00EB11D3">
        <w:rPr>
          <w:szCs w:val="24"/>
          <w:shd w:val="clear" w:color="auto" w:fill="FFFFFF"/>
        </w:rPr>
        <w:t xml:space="preserve">and performance. Primary data was </w:t>
      </w:r>
      <w:r w:rsidR="00FB1F6E" w:rsidRPr="00EB11D3">
        <w:rPr>
          <w:szCs w:val="24"/>
          <w:shd w:val="clear" w:color="auto" w:fill="FFFFFF"/>
        </w:rPr>
        <w:t>collected from</w:t>
      </w:r>
      <w:r w:rsidR="0048039B" w:rsidRPr="00EB11D3">
        <w:rPr>
          <w:szCs w:val="24"/>
          <w:shd w:val="clear" w:color="auto" w:fill="FFFFFF"/>
        </w:rPr>
        <w:t xml:space="preserve"> two </w:t>
      </w:r>
      <w:r w:rsidR="00FB1F6E" w:rsidRPr="00EB11D3">
        <w:rPr>
          <w:szCs w:val="24"/>
          <w:shd w:val="clear" w:color="auto" w:fill="FFFFFF"/>
        </w:rPr>
        <w:t>counties using</w:t>
      </w:r>
      <w:r w:rsidR="00D366AA" w:rsidRPr="00EB11D3">
        <w:rPr>
          <w:szCs w:val="24"/>
          <w:shd w:val="clear" w:color="auto" w:fill="FFFFFF"/>
        </w:rPr>
        <w:t xml:space="preserve"> interview guides and questionnaires which was then analyzed using</w:t>
      </w:r>
      <w:r w:rsidR="004A576A" w:rsidRPr="00EB11D3">
        <w:rPr>
          <w:szCs w:val="24"/>
          <w:shd w:val="clear" w:color="auto" w:fill="FFFFFF"/>
        </w:rPr>
        <w:t xml:space="preserve"> both descriptive and inferential statistics</w:t>
      </w:r>
      <w:r w:rsidR="0048039B" w:rsidRPr="00EB11D3">
        <w:rPr>
          <w:szCs w:val="24"/>
          <w:shd w:val="clear" w:color="auto" w:fill="FFFFFF"/>
        </w:rPr>
        <w:t xml:space="preserve">. </w:t>
      </w:r>
      <w:r w:rsidR="0006129D" w:rsidRPr="00EB11D3">
        <w:rPr>
          <w:szCs w:val="24"/>
          <w:shd w:val="clear" w:color="auto" w:fill="FFFFFF"/>
        </w:rPr>
        <w:t xml:space="preserve">The study however </w:t>
      </w:r>
      <w:r w:rsidR="00E659EE" w:rsidRPr="00EB11D3">
        <w:rPr>
          <w:szCs w:val="24"/>
          <w:shd w:val="clear" w:color="auto" w:fill="FFFFFF"/>
        </w:rPr>
        <w:t>revealed</w:t>
      </w:r>
      <w:r w:rsidR="0006129D" w:rsidRPr="00EB11D3">
        <w:rPr>
          <w:szCs w:val="24"/>
          <w:shd w:val="clear" w:color="auto" w:fill="FFFFFF"/>
        </w:rPr>
        <w:t xml:space="preserve"> a contextua</w:t>
      </w:r>
      <w:r w:rsidR="00E659EE" w:rsidRPr="00EB11D3">
        <w:rPr>
          <w:szCs w:val="24"/>
          <w:shd w:val="clear" w:color="auto" w:fill="FFFFFF"/>
        </w:rPr>
        <w:t xml:space="preserve">l gap since it was confined to performance of selected arid and semi-arid land counties. This study was conducted among </w:t>
      </w:r>
      <w:r w:rsidR="00DA6F09" w:rsidRPr="00EB11D3">
        <w:rPr>
          <w:szCs w:val="24"/>
          <w:shd w:val="clear" w:color="auto" w:fill="FFFFFF"/>
        </w:rPr>
        <w:t>faith-based</w:t>
      </w:r>
      <w:r w:rsidR="00E659EE" w:rsidRPr="00EB11D3">
        <w:rPr>
          <w:szCs w:val="24"/>
          <w:shd w:val="clear" w:color="auto" w:fill="FFFFFF"/>
        </w:rPr>
        <w:t xml:space="preserve"> hospitals in Kenya.</w:t>
      </w:r>
    </w:p>
    <w:p w14:paraId="031CBE72" w14:textId="77777777" w:rsidR="00D85A82" w:rsidRPr="00EB11D3" w:rsidRDefault="00ED7E32" w:rsidP="003C79D4">
      <w:pPr>
        <w:spacing w:line="360" w:lineRule="auto"/>
        <w:rPr>
          <w:szCs w:val="24"/>
          <w:lang w:eastAsia="zh-CN"/>
        </w:rPr>
      </w:pPr>
      <w:r w:rsidRPr="00EB11D3">
        <w:rPr>
          <w:szCs w:val="24"/>
          <w:lang w:eastAsia="zh-CN"/>
        </w:rPr>
        <w:t>Using a post-positivist philosophical approach, a</w:t>
      </w:r>
      <w:r w:rsidR="00D85A82" w:rsidRPr="00EB11D3">
        <w:rPr>
          <w:szCs w:val="24"/>
          <w:lang w:eastAsia="zh-CN"/>
        </w:rPr>
        <w:t xml:space="preserve"> study by Kamau (2018) </w:t>
      </w:r>
      <w:r w:rsidRPr="00EB11D3">
        <w:rPr>
          <w:szCs w:val="24"/>
          <w:lang w:eastAsia="zh-CN"/>
        </w:rPr>
        <w:t>revealed</w:t>
      </w:r>
      <w:r w:rsidR="00D85A82" w:rsidRPr="00EB11D3">
        <w:rPr>
          <w:szCs w:val="24"/>
          <w:lang w:eastAsia="zh-CN"/>
        </w:rPr>
        <w:t xml:space="preserve"> a strong link between corporate governance and performance. Descriptive statistics was used to analyse data collected using structured questionnaires</w:t>
      </w:r>
      <w:r w:rsidR="00641D23" w:rsidRPr="00EB11D3">
        <w:rPr>
          <w:szCs w:val="24"/>
          <w:lang w:eastAsia="zh-CN"/>
        </w:rPr>
        <w:t xml:space="preserve"> from financial institutions</w:t>
      </w:r>
      <w:r w:rsidR="00D85A82" w:rsidRPr="00EB11D3">
        <w:rPr>
          <w:szCs w:val="24"/>
          <w:lang w:eastAsia="zh-CN"/>
        </w:rPr>
        <w:t>.</w:t>
      </w:r>
      <w:r w:rsidR="00E66F1F" w:rsidRPr="00EB11D3">
        <w:rPr>
          <w:szCs w:val="24"/>
          <w:lang w:eastAsia="zh-CN"/>
        </w:rPr>
        <w:t xml:space="preserve"> The study used cross-sectional to realize a partial mediation effect of strategic choice on the link between corporate governance and performance.</w:t>
      </w:r>
      <w:r w:rsidR="00641D23" w:rsidRPr="00EB11D3">
        <w:rPr>
          <w:szCs w:val="24"/>
          <w:lang w:eastAsia="zh-CN"/>
        </w:rPr>
        <w:t xml:space="preserve"> </w:t>
      </w:r>
      <w:r w:rsidR="00E66F1F" w:rsidRPr="00EB11D3">
        <w:rPr>
          <w:szCs w:val="24"/>
          <w:lang w:eastAsia="zh-CN"/>
        </w:rPr>
        <w:t xml:space="preserve"> </w:t>
      </w:r>
      <w:r w:rsidR="00320AF3" w:rsidRPr="00EB11D3">
        <w:rPr>
          <w:szCs w:val="24"/>
          <w:lang w:eastAsia="zh-CN"/>
        </w:rPr>
        <w:t>The study</w:t>
      </w:r>
      <w:r w:rsidR="00641D23" w:rsidRPr="00EB11D3">
        <w:rPr>
          <w:szCs w:val="24"/>
          <w:lang w:eastAsia="zh-CN"/>
        </w:rPr>
        <w:t xml:space="preserve"> was however confined between financial institutions hence the results </w:t>
      </w:r>
      <w:r w:rsidR="00E51745" w:rsidRPr="00EB11D3">
        <w:rPr>
          <w:szCs w:val="24"/>
          <w:lang w:eastAsia="zh-CN"/>
        </w:rPr>
        <w:t>cannot</w:t>
      </w:r>
      <w:r w:rsidR="00641D23" w:rsidRPr="00EB11D3">
        <w:rPr>
          <w:szCs w:val="24"/>
          <w:lang w:eastAsia="zh-CN"/>
        </w:rPr>
        <w:t xml:space="preserve"> be replicated to this study on faith-based hospitals. The study considered strategic choice to be a moderating variable while this study examined the moderating effect of government regulations on the relationship between corporate governance and performance of faith-based hospitals in Kenya.</w:t>
      </w:r>
    </w:p>
    <w:p w14:paraId="00C2C0A8" w14:textId="77777777" w:rsidR="007D2849" w:rsidRPr="00EB11D3" w:rsidRDefault="001A1540" w:rsidP="007D2849">
      <w:pPr>
        <w:shd w:val="clear" w:color="auto" w:fill="FFFFFF"/>
        <w:spacing w:after="160" w:line="360" w:lineRule="auto"/>
        <w:rPr>
          <w:color w:val="222222"/>
          <w:szCs w:val="24"/>
          <w:shd w:val="clear" w:color="auto" w:fill="FFFFFF"/>
        </w:rPr>
      </w:pPr>
      <w:r w:rsidRPr="00EB11D3">
        <w:rPr>
          <w:rFonts w:eastAsia="Times New Roman"/>
          <w:bCs/>
          <w:szCs w:val="24"/>
        </w:rPr>
        <w:t>In the Golestan Province, Tajpour, Hosseini, and Salamzadeh (2020) investigated how innovation components affected organizational performance. The findings of their research indicate that the success of an organization is significantly impacted by service, administrative, and technical process innovation.</w:t>
      </w:r>
      <w:r w:rsidR="007D2849" w:rsidRPr="00EB11D3">
        <w:rPr>
          <w:rFonts w:eastAsia="Times New Roman"/>
          <w:bCs/>
          <w:szCs w:val="24"/>
        </w:rPr>
        <w:t xml:space="preserve"> </w:t>
      </w:r>
      <w:r w:rsidR="007D2849" w:rsidRPr="00EB11D3">
        <w:rPr>
          <w:color w:val="222222"/>
          <w:szCs w:val="24"/>
          <w:shd w:val="clear" w:color="auto" w:fill="FFFFFF"/>
        </w:rPr>
        <w:t>İncedağ and Aksoylu (2022) study revealed a correlation between corporate governance and job satisfaction. Among the individuals who were involved in this study were 568 individuals who are employed in private hospitals in Kayseri province, specifically System, Erciyes, Kızılay, Medikal Palace, and Tekden. The information was gathered throughout the months of January and March of 2020. Forms that comprise a Personal Information Form with seven questions for socio-demographic information, a Corporate Governance Scale with twenty-five questions, and a Minnesota Job Satisfaction Scale with twenty questions are included in the questionnaires. In order to analyse the data, the SPSS 25.0 programme was utilised. The Kayseri University Ethics Committee (2019-31) gave its blessing to this study project, paving the way for its implementation. On the basis of their institutional management perception levels in relation to the institution, gender, educational status, duty and working time in the institution, the institution they work for, their age, educational status, and their job satisfaction levels in relation to their duties in the institution, a noticeable and statistically significant difference was discovered among the health workers who were included in the scope of the study (p &lt; 0.05).</w:t>
      </w:r>
    </w:p>
    <w:p w14:paraId="4A65AB13" w14:textId="77777777" w:rsidR="001A1540" w:rsidRPr="00EB11D3" w:rsidRDefault="001A1540" w:rsidP="001A1540">
      <w:pPr>
        <w:shd w:val="clear" w:color="auto" w:fill="FFFFFF"/>
        <w:spacing w:after="160" w:line="360" w:lineRule="auto"/>
        <w:rPr>
          <w:rFonts w:eastAsia="Times New Roman"/>
          <w:bCs/>
          <w:szCs w:val="24"/>
        </w:rPr>
      </w:pPr>
      <w:r w:rsidRPr="00EB11D3">
        <w:rPr>
          <w:rFonts w:eastAsia="Times New Roman"/>
          <w:bCs/>
          <w:szCs w:val="24"/>
        </w:rPr>
        <w:t>According to Ogunnaike, Ibidunni, and Adetowubo-King (2019), there is a considerable correlation between company performance and service process innovation, service modification, and service innovation structure. According to research conducted by Ali AlShehail, Khan, and Ajmal, (2022) TQM significantly affects service innovation and sustainability performance in the public service sector in the United Arab Emirates. Furthermore, there is a partial mediation effect of service innovation in the relationship between TQM and sustainability performance.</w:t>
      </w:r>
    </w:p>
    <w:p w14:paraId="3960D1A9" w14:textId="77777777" w:rsidR="00EC0A64" w:rsidRPr="00EB11D3" w:rsidRDefault="001B199B" w:rsidP="00BA6709">
      <w:pPr>
        <w:spacing w:before="240" w:after="0" w:line="360" w:lineRule="auto"/>
        <w:rPr>
          <w:rFonts w:eastAsia="Times New Roman"/>
          <w:szCs w:val="24"/>
        </w:rPr>
      </w:pPr>
      <w:r w:rsidRPr="00EB11D3">
        <w:rPr>
          <w:rFonts w:eastAsia="Times New Roman"/>
          <w:szCs w:val="24"/>
        </w:rPr>
        <w:t>Rusydi, Palutturi, Noor, and Pasinringi (2020) alludes that a hospital's plan should be effective, efficient, and responsible in line with strong corporate governance principles. Applying GCG principles like openness, transparency, accountability, and justice is one such approach. One of the ideas that might be used to make the hospital better is GCG. Moreover, for the organization's quality to be elevated, good governance is crucial. Accurate administration of the organisation is the overarching goal of sound corporate governance principles.</w:t>
      </w:r>
      <w:r w:rsidR="00EC0A64" w:rsidRPr="00EB11D3">
        <w:rPr>
          <w:rFonts w:eastAsia="Times New Roman"/>
          <w:szCs w:val="24"/>
        </w:rPr>
        <w:t xml:space="preserve"> The term hospital governance describes the checks and balances put in place to influence hospital decision-making (</w:t>
      </w:r>
      <w:r w:rsidR="00691E69" w:rsidRPr="00EB11D3">
        <w:rPr>
          <w:rFonts w:eastAsia="Times New Roman"/>
          <w:szCs w:val="24"/>
        </w:rPr>
        <w:t>Eeckloo, &amp; De Regge, 2023</w:t>
      </w:r>
      <w:r w:rsidR="00EC0A64" w:rsidRPr="00EB11D3">
        <w:rPr>
          <w:rFonts w:eastAsia="Times New Roman"/>
          <w:szCs w:val="24"/>
        </w:rPr>
        <w:t>). Given recent claims that hospital governance can be ineffective, it is especially important for hospital managers and governing boards to have a firm grasp on what organisational governance entails and how it positively impacts hospital outputs and performance (</w:t>
      </w:r>
      <w:r w:rsidR="00691E69" w:rsidRPr="00EB11D3">
        <w:rPr>
          <w:rFonts w:eastAsia="Times New Roman"/>
          <w:szCs w:val="24"/>
        </w:rPr>
        <w:t>Jalilvand, Raeisi, &amp; Shaarbafchizadeh, 2024</w:t>
      </w:r>
      <w:r w:rsidR="00EC0A64" w:rsidRPr="00EB11D3">
        <w:rPr>
          <w:rFonts w:eastAsia="Times New Roman"/>
          <w:szCs w:val="24"/>
        </w:rPr>
        <w:t>). The majority of the literature, however, has the flaw of concentrating either on the methods or the structure (such as the size and makeup of the boards). It might be worthwhile to think about both elements and how they interact. Moreover, the majority of the literature on hospital governance focuses on boards, with less emphasis on management. Nonetheless, boards and management play crucial responsibilities in tandem with one another. It is still necessary to conduct a comprehensive evaluation of hospital governance that integrates the findings about the governance of the executive management team, which has been referred to as the axis of hospital governance, and the governance of the board.</w:t>
      </w:r>
    </w:p>
    <w:p w14:paraId="52581E5B" w14:textId="77777777" w:rsidR="00BA6709" w:rsidRPr="00EB11D3" w:rsidRDefault="00BA6709" w:rsidP="00BA6709">
      <w:pPr>
        <w:spacing w:before="240" w:after="0" w:line="360" w:lineRule="auto"/>
        <w:rPr>
          <w:rFonts w:eastAsia="Times New Roman"/>
          <w:szCs w:val="24"/>
        </w:rPr>
      </w:pPr>
      <w:r w:rsidRPr="00EB11D3">
        <w:rPr>
          <w:rFonts w:eastAsia="Times New Roman"/>
          <w:szCs w:val="24"/>
        </w:rPr>
        <w:t>The study's findings are consistent with those of Lipunga, Tchereni, and Bakuwa (2019), who note that effective structural arrangements are necessary to support the achievement of the aim of improved health system productivity and that effective governance is a critical component of this process. Currently, there is a shortage of conceptual knowledge and useful recommendations for health governance that can be applied both at the corporate level and in a decentralised setting.</w:t>
      </w:r>
      <w:r w:rsidR="00230FDE" w:rsidRPr="00EB11D3">
        <w:rPr>
          <w:rFonts w:eastAsia="Times New Roman"/>
          <w:szCs w:val="24"/>
        </w:rPr>
        <w:t xml:space="preserve"> </w:t>
      </w:r>
      <w:r w:rsidRPr="00EB11D3">
        <w:rPr>
          <w:rFonts w:eastAsia="Times New Roman"/>
          <w:szCs w:val="24"/>
        </w:rPr>
        <w:t>The Ministry of Health has historically combined organisational and systemic governance with service delivery. Public hospitals, for example, have been set up as independent organisations, but they have maintained an operational relationship with the health ministries. The magnitude of each function and increased conceptual understanding of the uniqueness of the health system are causing the tendency to gradually change.</w:t>
      </w:r>
    </w:p>
    <w:p w14:paraId="19915A5C" w14:textId="77777777" w:rsidR="00061E42" w:rsidRPr="00EB11D3" w:rsidRDefault="00061E42" w:rsidP="00BA6709">
      <w:pPr>
        <w:spacing w:before="240" w:after="0" w:line="360" w:lineRule="auto"/>
        <w:rPr>
          <w:rFonts w:eastAsia="Times New Roman"/>
          <w:szCs w:val="24"/>
        </w:rPr>
      </w:pPr>
      <w:r w:rsidRPr="00EB11D3">
        <w:rPr>
          <w:rFonts w:eastAsia="Times New Roman"/>
          <w:szCs w:val="24"/>
        </w:rPr>
        <w:t>A study by Kinyua and Ngari (2021) revealed a significant correlation between corporate governance and performance. Data was collected from</w:t>
      </w:r>
      <w:r w:rsidR="00D01E89" w:rsidRPr="00EB11D3">
        <w:rPr>
          <w:rFonts w:eastAsia="Times New Roman"/>
          <w:szCs w:val="24"/>
        </w:rPr>
        <w:t xml:space="preserve"> </w:t>
      </w:r>
      <w:r w:rsidRPr="00EB11D3">
        <w:rPr>
          <w:rFonts w:eastAsia="Times New Roman"/>
          <w:szCs w:val="24"/>
        </w:rPr>
        <w:t xml:space="preserve">140 respondents using questionnaires. While content analysis was used to analyse qualitative data, descriptive statistics were used to analyse quantitative data. The results were then summarised to determine if </w:t>
      </w:r>
      <w:r w:rsidR="00D01E89" w:rsidRPr="00EB11D3">
        <w:rPr>
          <w:rFonts w:eastAsia="Times New Roman"/>
          <w:szCs w:val="24"/>
        </w:rPr>
        <w:t>public hospitals</w:t>
      </w:r>
      <w:r w:rsidRPr="00EB11D3">
        <w:rPr>
          <w:rFonts w:eastAsia="Times New Roman"/>
          <w:szCs w:val="24"/>
        </w:rPr>
        <w:t xml:space="preserve"> had implemented standards and policies that follow best practices for corporate governance. The study's findings demonstrated that while public hospitals adhered to corporate governance principles, they did not completely implement them. The results also showed that public hospitals followed government rules and laws for the most part, however they did not follow corporate governance guidelines regarding board characteristics in full.</w:t>
      </w:r>
      <w:r w:rsidR="00EA62CC" w:rsidRPr="00EB11D3">
        <w:rPr>
          <w:rFonts w:eastAsia="Times New Roman"/>
          <w:szCs w:val="24"/>
        </w:rPr>
        <w:t xml:space="preserve"> </w:t>
      </w:r>
    </w:p>
    <w:p w14:paraId="784431F7" w14:textId="77777777" w:rsidR="00EA62CC" w:rsidRPr="00EB11D3" w:rsidRDefault="00EA62CC" w:rsidP="00EA62CC">
      <w:pPr>
        <w:spacing w:after="0" w:line="360" w:lineRule="auto"/>
        <w:rPr>
          <w:rFonts w:eastAsia="Times New Roman"/>
          <w:szCs w:val="24"/>
        </w:rPr>
      </w:pPr>
    </w:p>
    <w:p w14:paraId="6B3DD9EC" w14:textId="77777777" w:rsidR="00EA62CC" w:rsidRPr="00EB11D3" w:rsidRDefault="00EA62CC" w:rsidP="00EA62CC">
      <w:pPr>
        <w:spacing w:after="0" w:line="360" w:lineRule="auto"/>
        <w:rPr>
          <w:rFonts w:eastAsia="Times New Roman"/>
          <w:szCs w:val="24"/>
        </w:rPr>
      </w:pPr>
      <w:r w:rsidRPr="00EB11D3">
        <w:rPr>
          <w:rFonts w:eastAsia="Times New Roman"/>
          <w:szCs w:val="24"/>
        </w:rPr>
        <w:t>One of the critical goals of corporate governance is to ensure process and product/service innovation, which has received widespread attention in academia as well as across sectors and nations (</w:t>
      </w:r>
      <w:r w:rsidR="00307CF5" w:rsidRPr="00EB11D3">
        <w:rPr>
          <w:rFonts w:eastAsia="Times New Roman"/>
          <w:szCs w:val="24"/>
        </w:rPr>
        <w:t>Bose, Khan, Rashid &amp; Islam, 2018</w:t>
      </w:r>
      <w:r w:rsidRPr="00EB11D3">
        <w:rPr>
          <w:rFonts w:eastAsia="Times New Roman"/>
          <w:szCs w:val="24"/>
        </w:rPr>
        <w:t xml:space="preserve">; </w:t>
      </w:r>
      <w:r w:rsidR="00307CF5" w:rsidRPr="00EB11D3">
        <w:rPr>
          <w:rFonts w:eastAsia="Times New Roman"/>
          <w:szCs w:val="24"/>
        </w:rPr>
        <w:t xml:space="preserve">Csedo, Magyari, &amp; Zavarkó, </w:t>
      </w:r>
      <w:r w:rsidRPr="00EB11D3">
        <w:rPr>
          <w:rFonts w:eastAsia="Times New Roman"/>
          <w:szCs w:val="24"/>
        </w:rPr>
        <w:t>2022). Corporate governance and its impact on innovation have recently piqued the interest of academics, as evidenced by an increase in study in this area (</w:t>
      </w:r>
      <w:r w:rsidR="007A6441" w:rsidRPr="00EB11D3">
        <w:rPr>
          <w:rFonts w:eastAsia="Times New Roman"/>
          <w:szCs w:val="24"/>
        </w:rPr>
        <w:t xml:space="preserve">Naciti, Cesaroni, &amp; Pulejo, </w:t>
      </w:r>
      <w:r w:rsidRPr="00EB11D3">
        <w:rPr>
          <w:rFonts w:eastAsia="Times New Roman"/>
          <w:szCs w:val="24"/>
        </w:rPr>
        <w:t xml:space="preserve">2022; </w:t>
      </w:r>
      <w:r w:rsidR="007A6441" w:rsidRPr="00EB11D3">
        <w:rPr>
          <w:rFonts w:eastAsia="Times New Roman"/>
          <w:szCs w:val="24"/>
        </w:rPr>
        <w:t>Sarwar, Al-Faryan, &amp; Saeed, 2022</w:t>
      </w:r>
      <w:r w:rsidRPr="00EB11D3">
        <w:rPr>
          <w:rFonts w:eastAsia="Times New Roman"/>
          <w:szCs w:val="24"/>
        </w:rPr>
        <w:t xml:space="preserve">). In general, corporate governance is important in helping organisations achieve higher goals by controlling internal risks while minimising external risks, assisting with formal decisions, ensuring sustainability, and driving innovation. Furthermore, corporate governance is critical to modern company competitiveness because it addresses both the social and institutional components of the organisation. It also has an impact on how firms create and implement their objectives, monitor and analyse risks, and optimise internal performance. Empirical data on corporate governance and organisational innovation has produced conflicting outcomes (Samlal, 2020; </w:t>
      </w:r>
      <w:r w:rsidR="007A6441" w:rsidRPr="00EB11D3">
        <w:rPr>
          <w:rFonts w:eastAsia="Times New Roman"/>
          <w:szCs w:val="24"/>
        </w:rPr>
        <w:t>Alabdullah, Ahmed &amp; Kanaan-Jebna</w:t>
      </w:r>
      <w:r w:rsidRPr="00EB11D3">
        <w:rPr>
          <w:rFonts w:eastAsia="Times New Roman"/>
          <w:szCs w:val="24"/>
        </w:rPr>
        <w:t xml:space="preserve">, 2022). </w:t>
      </w:r>
    </w:p>
    <w:p w14:paraId="3EDE230D" w14:textId="77777777" w:rsidR="00307CF5" w:rsidRPr="00EB11D3" w:rsidRDefault="00307CF5" w:rsidP="00A80EA6">
      <w:pPr>
        <w:spacing w:after="0" w:line="360" w:lineRule="auto"/>
        <w:rPr>
          <w:rFonts w:eastAsia="Times New Roman"/>
          <w:szCs w:val="24"/>
        </w:rPr>
      </w:pPr>
    </w:p>
    <w:p w14:paraId="6AF38E59" w14:textId="77777777" w:rsidR="007A29C4" w:rsidRPr="00EB11D3" w:rsidRDefault="00A80EA6" w:rsidP="00A80EA6">
      <w:pPr>
        <w:spacing w:after="0" w:line="360" w:lineRule="auto"/>
        <w:rPr>
          <w:rFonts w:eastAsia="Times New Roman"/>
          <w:szCs w:val="24"/>
        </w:rPr>
      </w:pPr>
      <w:r w:rsidRPr="00EB11D3">
        <w:rPr>
          <w:rFonts w:eastAsia="Times New Roman"/>
          <w:szCs w:val="24"/>
        </w:rPr>
        <w:t>The goal of corporate governance is to motivate management of organisations to act in the best interests of the owners and other stakeholders of the entity (Samlal, 2020). As defined objectives for their boards of directors and resource managers, corporate governance refers to the rules and regulations that organisations adopt and follow in order to fulfil their missions and visions (</w:t>
      </w:r>
      <w:r w:rsidR="00380DCC" w:rsidRPr="00EB11D3">
        <w:rPr>
          <w:rFonts w:eastAsia="Times New Roman"/>
          <w:szCs w:val="24"/>
        </w:rPr>
        <w:t>Alodat, Salleh, Hashim &amp; Sulong, 2022</w:t>
      </w:r>
      <w:r w:rsidRPr="00EB11D3">
        <w:rPr>
          <w:rFonts w:eastAsia="Times New Roman"/>
          <w:szCs w:val="24"/>
        </w:rPr>
        <w:t xml:space="preserve">). Good corporate governance encourages resource management that takes managers' stewardship of such resources into consideration (Nikolić &amp; Zlatanović, 2018). According to </w:t>
      </w:r>
      <w:r w:rsidR="00307CF5" w:rsidRPr="00EB11D3">
        <w:rPr>
          <w:rFonts w:eastAsia="Times New Roman"/>
          <w:szCs w:val="24"/>
        </w:rPr>
        <w:t>Akomea-Frimpong, Tenakwah, Tenakwah and Amponsah (</w:t>
      </w:r>
      <w:r w:rsidRPr="00EB11D3">
        <w:rPr>
          <w:rFonts w:eastAsia="Times New Roman"/>
          <w:szCs w:val="24"/>
        </w:rPr>
        <w:t xml:space="preserve">2022), the use of sound corporate governance procedures enhances the probability of institutions achieving their goals and objectives. A particularly intricate and multifaceted concept is corporate governance. A watchful audit committee, executive salary, ownership structure, board independence, effectiveness, and composition are some of the aspects of the corporate governance framework (Samlal, 2020). </w:t>
      </w:r>
    </w:p>
    <w:p w14:paraId="1CA8EA5D" w14:textId="77777777" w:rsidR="00EC1840" w:rsidRPr="00EB11D3" w:rsidRDefault="00EC1840" w:rsidP="00A80EA6">
      <w:pPr>
        <w:spacing w:after="0" w:line="360" w:lineRule="auto"/>
        <w:rPr>
          <w:rFonts w:eastAsia="Times New Roman"/>
          <w:szCs w:val="24"/>
        </w:rPr>
      </w:pPr>
    </w:p>
    <w:p w14:paraId="1733B932" w14:textId="77777777" w:rsidR="00EC1840" w:rsidRPr="00EB11D3" w:rsidRDefault="00EC1840" w:rsidP="00EC1840">
      <w:pPr>
        <w:spacing w:after="0" w:line="360" w:lineRule="auto"/>
        <w:rPr>
          <w:rFonts w:eastAsia="Times New Roman"/>
          <w:szCs w:val="24"/>
        </w:rPr>
      </w:pPr>
      <w:r w:rsidRPr="00EB11D3">
        <w:rPr>
          <w:rFonts w:eastAsia="Times New Roman"/>
          <w:szCs w:val="24"/>
        </w:rPr>
        <w:t xml:space="preserve">The primary organisation for listed firms' internal governance is the board of directors. It primarily takes decisions on the day-to-day management and operations of the corporation, supervising operators on behalf of shareholders (Baum, Lööf, Stephan &amp; Viklund-Ros, 2022). The board of directors' involvement in innovation outcomes is crucial since they have the ability to create corporate R&amp;D partnerships through group alliances (Amore &amp; Failla, 2020). Bigger boards of directors can facilitate the smooth advancement of the company's technological innovation activities since they possess higher degrees of knowledge, managerial expertise, and decision-making ability. Board size is important for promoting business innovation (Ma et al., 2024). Di, An, and Yao (2022) claim that corporate management staff significantly influences the decision to invest in R&amp;D, which has an impact on the success of the company. Innovation in business technology and corporate value are inextricably linked. Wu and Yang (2023) discovered a favourable correlation between business success and the share of significant shareholders and technical innovation. Corporate performance and technical innovation are closely linked to equilibrium. Innovative technology plays a moderating role in the relationship between ownership and company performance. Di et al. (2022) claim that technological innovation completely mediates the relationship between business success and board diversity diversification. </w:t>
      </w:r>
    </w:p>
    <w:p w14:paraId="36546A9D" w14:textId="77777777" w:rsidR="005870B1" w:rsidRPr="00EB11D3" w:rsidRDefault="005870B1" w:rsidP="00A80EA6">
      <w:pPr>
        <w:spacing w:after="0" w:line="360" w:lineRule="auto"/>
        <w:rPr>
          <w:rFonts w:eastAsia="Times New Roman"/>
          <w:szCs w:val="24"/>
        </w:rPr>
      </w:pPr>
    </w:p>
    <w:p w14:paraId="5F8ACC65" w14:textId="77777777" w:rsidR="00A80EA6" w:rsidRPr="00EB11D3" w:rsidRDefault="00A80EA6" w:rsidP="00A80EA6">
      <w:pPr>
        <w:spacing w:after="0" w:line="360" w:lineRule="auto"/>
        <w:rPr>
          <w:rFonts w:eastAsia="Times New Roman"/>
          <w:szCs w:val="24"/>
        </w:rPr>
      </w:pPr>
      <w:r w:rsidRPr="00EB11D3">
        <w:rPr>
          <w:rFonts w:eastAsia="Times New Roman"/>
          <w:szCs w:val="24"/>
        </w:rPr>
        <w:t xml:space="preserve">Corporate governance provides the foundation for defining the objectives of the organisation and the means by which those objectives are attained and success is assessed (Alda, 2021). </w:t>
      </w:r>
      <w:r w:rsidR="007E07FE" w:rsidRPr="00EB11D3">
        <w:rPr>
          <w:rFonts w:eastAsia="Times New Roman"/>
          <w:szCs w:val="24"/>
        </w:rPr>
        <w:t>B</w:t>
      </w:r>
      <w:r w:rsidRPr="00EB11D3">
        <w:rPr>
          <w:rFonts w:eastAsia="Times New Roman"/>
          <w:szCs w:val="24"/>
        </w:rPr>
        <w:t>usiness governance includes the relationships between business management and shareholders, which allow agents to respond to shareholders (Chemmanur &amp; Tian, 2018). Sustaining corporate innovation requires the board of directors. In addition to serving as a source of support and aid in decision-making, the board of directors performs a crucial role as a tool for oversight and control (</w:t>
      </w:r>
      <w:r w:rsidR="00191E64" w:rsidRPr="00EB11D3">
        <w:rPr>
          <w:rFonts w:eastAsia="Times New Roman"/>
          <w:szCs w:val="24"/>
        </w:rPr>
        <w:t>Sierra-Morán, Cabeza-García, González-Álvarez &amp; Botella, 2021</w:t>
      </w:r>
      <w:r w:rsidRPr="00EB11D3">
        <w:rPr>
          <w:rFonts w:eastAsia="Times New Roman"/>
          <w:szCs w:val="24"/>
        </w:rPr>
        <w:t>). The board of directors has the power to determine whether or not the organisation will be creative since, in accordance with agency theory, they are the primary internal control mechanism that oversees and governs management. The board of directors supports corporate innovation by developing concepts, strategies, and policies as well as by fostering innovation inside the organisation (</w:t>
      </w:r>
      <w:r w:rsidR="0087739E" w:rsidRPr="00EB11D3">
        <w:rPr>
          <w:rFonts w:eastAsia="Times New Roman"/>
          <w:szCs w:val="24"/>
        </w:rPr>
        <w:t xml:space="preserve">Gonzales-Bustos, Hernandez-Lara </w:t>
      </w:r>
      <w:r w:rsidR="007E07FE" w:rsidRPr="00EB11D3">
        <w:rPr>
          <w:rFonts w:eastAsia="Times New Roman"/>
          <w:szCs w:val="24"/>
        </w:rPr>
        <w:t>&amp;</w:t>
      </w:r>
      <w:r w:rsidR="0087739E" w:rsidRPr="00EB11D3">
        <w:rPr>
          <w:rFonts w:eastAsia="Times New Roman"/>
          <w:szCs w:val="24"/>
        </w:rPr>
        <w:t xml:space="preserve"> Li, </w:t>
      </w:r>
      <w:r w:rsidRPr="00EB11D3">
        <w:rPr>
          <w:rFonts w:eastAsia="Times New Roman"/>
          <w:szCs w:val="24"/>
        </w:rPr>
        <w:t>2020). A robust board of directors also aids in arranging, moderating, motivating, and training the many stakeholders in a company's relationships. As a result, it serves as a catalyst for improving an organization's capabilities, expertise, and ultimately innovation. Similarly, Alabdullah et al. (2022) assert that a strong, knowledgeable board with competent management and performance assessment is necessary for an efficient and competitive firm.</w:t>
      </w:r>
      <w:r w:rsidR="002453AD" w:rsidRPr="00EB11D3">
        <w:rPr>
          <w:rFonts w:eastAsia="Times New Roman"/>
          <w:szCs w:val="24"/>
        </w:rPr>
        <w:t xml:space="preserve"> </w:t>
      </w:r>
    </w:p>
    <w:p w14:paraId="6AD023D8" w14:textId="77777777" w:rsidR="008571DF" w:rsidRPr="00EB11D3" w:rsidRDefault="008571DF" w:rsidP="008571DF">
      <w:pPr>
        <w:spacing w:before="240" w:after="0" w:line="360" w:lineRule="auto"/>
        <w:rPr>
          <w:rFonts w:eastAsia="Times New Roman"/>
          <w:szCs w:val="24"/>
        </w:rPr>
      </w:pPr>
      <w:r w:rsidRPr="00EB11D3">
        <w:rPr>
          <w:rFonts w:eastAsia="Times New Roman"/>
          <w:szCs w:val="24"/>
        </w:rPr>
        <w:t>Using quantitative approach, Fahmi, Qomariah and Cahyono (2020) study revealed a link between the patient’s satisfaction and service innovation. The study used Structural Equation model (SEM) to analyse data that was collected from patients. Service innovation was found to have a positive and significant effect on outpatient loyalty in Blambangan District Hospital. The study however revealed a conceptual gap since service innovation was considered as an independent variable. while the service quality was taken to be the dependent variable.</w:t>
      </w:r>
      <w:r w:rsidR="008600D7" w:rsidRPr="00EB11D3">
        <w:rPr>
          <w:rFonts w:eastAsia="Times New Roman"/>
          <w:szCs w:val="24"/>
        </w:rPr>
        <w:t xml:space="preserve"> The study was also done in Indonesia</w:t>
      </w:r>
      <w:r w:rsidR="00551B53" w:rsidRPr="00EB11D3">
        <w:rPr>
          <w:rFonts w:eastAsia="Times New Roman"/>
          <w:szCs w:val="24"/>
        </w:rPr>
        <w:t xml:space="preserve"> while t</w:t>
      </w:r>
      <w:r w:rsidR="008600D7" w:rsidRPr="00EB11D3">
        <w:rPr>
          <w:rFonts w:eastAsia="Times New Roman"/>
          <w:szCs w:val="24"/>
        </w:rPr>
        <w:t xml:space="preserve">he current study was done among </w:t>
      </w:r>
      <w:r w:rsidR="00077624" w:rsidRPr="00EB11D3">
        <w:rPr>
          <w:rFonts w:eastAsia="Times New Roman"/>
          <w:szCs w:val="24"/>
        </w:rPr>
        <w:t>faith-based</w:t>
      </w:r>
      <w:r w:rsidR="008600D7" w:rsidRPr="00EB11D3">
        <w:rPr>
          <w:rFonts w:eastAsia="Times New Roman"/>
          <w:szCs w:val="24"/>
        </w:rPr>
        <w:t xml:space="preserve"> hospitals in Kenya.</w:t>
      </w:r>
      <w:r w:rsidR="00F9435D" w:rsidRPr="00EB11D3">
        <w:rPr>
          <w:rFonts w:eastAsia="Times New Roman"/>
          <w:szCs w:val="24"/>
        </w:rPr>
        <w:t xml:space="preserve"> </w:t>
      </w:r>
    </w:p>
    <w:p w14:paraId="4DFBF78D" w14:textId="77777777" w:rsidR="00DC0D7C" w:rsidRPr="00EB11D3" w:rsidRDefault="00212BDF">
      <w:pPr>
        <w:pStyle w:val="Heading2"/>
        <w:keepNext w:val="0"/>
        <w:keepLines w:val="0"/>
        <w:spacing w:before="100" w:beforeAutospacing="1" w:after="100" w:afterAutospacing="1" w:line="240" w:lineRule="auto"/>
        <w:jc w:val="both"/>
        <w:rPr>
          <w:bCs/>
          <w:szCs w:val="24"/>
        </w:rPr>
      </w:pPr>
      <w:bookmarkStart w:id="302" w:name="_Toc177387834"/>
      <w:r w:rsidRPr="00EB11D3">
        <w:rPr>
          <w:szCs w:val="24"/>
        </w:rPr>
        <w:t xml:space="preserve">2.3 </w:t>
      </w:r>
      <w:bookmarkEnd w:id="257"/>
      <w:r w:rsidRPr="00EB11D3">
        <w:rPr>
          <w:bCs/>
          <w:szCs w:val="24"/>
        </w:rPr>
        <w:t>Summary of Research Gaps</w:t>
      </w:r>
      <w:bookmarkEnd w:id="302"/>
    </w:p>
    <w:p w14:paraId="5654AD38" w14:textId="77777777" w:rsidR="00802BC6" w:rsidRPr="00EB11D3" w:rsidRDefault="00212BDF" w:rsidP="00C52D00">
      <w:pPr>
        <w:spacing w:line="360" w:lineRule="auto"/>
        <w:rPr>
          <w:szCs w:val="24"/>
        </w:rPr>
      </w:pPr>
      <w:r w:rsidRPr="00EB11D3">
        <w:rPr>
          <w:szCs w:val="24"/>
        </w:rPr>
        <w:t xml:space="preserve">The current study has reviewed the empirical literatures on the role of corporate governance, the contribution of service innovation and how government regulation controls the success and performance of an </w:t>
      </w:r>
      <w:r w:rsidR="00813F2C" w:rsidRPr="00EB11D3">
        <w:rPr>
          <w:szCs w:val="24"/>
        </w:rPr>
        <w:t>organisat</w:t>
      </w:r>
      <w:r w:rsidRPr="00EB11D3">
        <w:rPr>
          <w:szCs w:val="24"/>
        </w:rPr>
        <w:t xml:space="preserve">ion. Whereas significant research has been undertaken elsewhere, little research has been undertaken in Kenya on </w:t>
      </w:r>
      <w:r w:rsidR="006D5C62" w:rsidRPr="00EB11D3">
        <w:rPr>
          <w:szCs w:val="24"/>
        </w:rPr>
        <w:t>organisational performance of Faith-Based Hospitals</w:t>
      </w:r>
      <w:r w:rsidRPr="00EB11D3">
        <w:rPr>
          <w:szCs w:val="24"/>
        </w:rPr>
        <w:t xml:space="preserve"> in Kenya. Previous empirical studies already undertaken have yielded inconclusive and mixed results on the interactions between corporate governance, service innovation, government regulations and </w:t>
      </w:r>
      <w:r w:rsidR="006D5C62" w:rsidRPr="00EB11D3">
        <w:rPr>
          <w:szCs w:val="24"/>
        </w:rPr>
        <w:t>organisational performance of Faith-Based Hospitals</w:t>
      </w:r>
      <w:r w:rsidRPr="00EB11D3">
        <w:rPr>
          <w:szCs w:val="24"/>
          <w:lang w:val="en"/>
        </w:rPr>
        <w:t xml:space="preserve"> in Kenya</w:t>
      </w:r>
      <w:r w:rsidRPr="00EB11D3">
        <w:rPr>
          <w:szCs w:val="24"/>
        </w:rPr>
        <w:t>. In addition, majority of the studies already undertaken have focused on private and public</w:t>
      </w:r>
      <w:r w:rsidR="008542BA" w:rsidRPr="00EB11D3">
        <w:rPr>
          <w:szCs w:val="24"/>
        </w:rPr>
        <w:t xml:space="preserve"> hospitals</w:t>
      </w:r>
      <w:r w:rsidRPr="00EB11D3">
        <w:rPr>
          <w:szCs w:val="24"/>
        </w:rPr>
        <w:t xml:space="preserve">.  </w:t>
      </w:r>
      <w:r w:rsidR="004855BD" w:rsidRPr="00EB11D3">
        <w:rPr>
          <w:szCs w:val="24"/>
        </w:rPr>
        <w:t xml:space="preserve">This study was motivated by the fact that there have been few studies on corporate governance and </w:t>
      </w:r>
      <w:r w:rsidR="006D5C62" w:rsidRPr="00EB11D3">
        <w:rPr>
          <w:szCs w:val="24"/>
        </w:rPr>
        <w:t>organisational performance of Faith-Based Hospitals</w:t>
      </w:r>
      <w:r w:rsidR="004855BD" w:rsidRPr="00EB11D3">
        <w:rPr>
          <w:szCs w:val="24"/>
        </w:rPr>
        <w:t xml:space="preserve"> in Kenya. </w:t>
      </w:r>
      <w:r w:rsidR="000B17B2" w:rsidRPr="00EB11D3">
        <w:rPr>
          <w:szCs w:val="24"/>
        </w:rPr>
        <w:t xml:space="preserve">The summary of literature and knowledge gaps discusses the contextual, conceptual, and methodological gaps in corporate governance, service innovation, government regulations, and </w:t>
      </w:r>
      <w:r w:rsidR="006D5C62" w:rsidRPr="00EB11D3">
        <w:rPr>
          <w:szCs w:val="24"/>
        </w:rPr>
        <w:t>organisational performance of Faith-Based Hospitals</w:t>
      </w:r>
      <w:r w:rsidR="000B17B2" w:rsidRPr="00EB11D3">
        <w:rPr>
          <w:szCs w:val="24"/>
        </w:rPr>
        <w:t xml:space="preserve"> in Kenya. Table 1 summarises the gaps identified throughout the literature review.</w:t>
      </w:r>
      <w:bookmarkStart w:id="303" w:name="_Toc504288547"/>
    </w:p>
    <w:p w14:paraId="098624C0" w14:textId="77777777" w:rsidR="00AE474F" w:rsidRPr="00EB11D3" w:rsidRDefault="00AE474F">
      <w:pPr>
        <w:rPr>
          <w:szCs w:val="24"/>
        </w:rPr>
        <w:sectPr w:rsidR="00AE474F" w:rsidRPr="00EB11D3" w:rsidSect="005751CE">
          <w:footerReference w:type="default" r:id="rId12"/>
          <w:type w:val="continuous"/>
          <w:pgSz w:w="12240" w:h="15840"/>
          <w:pgMar w:top="1440" w:right="1440" w:bottom="1440" w:left="1440" w:header="720" w:footer="720" w:gutter="0"/>
          <w:pgNumType w:start="0"/>
          <w:cols w:space="720"/>
          <w:docGrid w:linePitch="360"/>
        </w:sectPr>
      </w:pPr>
    </w:p>
    <w:p w14:paraId="7A3C8056" w14:textId="77777777" w:rsidR="00DC0D7C" w:rsidRPr="00EB11D3" w:rsidRDefault="00212BDF">
      <w:pPr>
        <w:rPr>
          <w:b/>
          <w:bCs/>
          <w:szCs w:val="24"/>
          <w:lang w:val="en-GB"/>
        </w:rPr>
      </w:pPr>
      <w:bookmarkStart w:id="304" w:name="_Toc177387932"/>
      <w:r w:rsidRPr="00EB11D3">
        <w:rPr>
          <w:b/>
          <w:bCs/>
          <w:szCs w:val="24"/>
        </w:rPr>
        <w:t xml:space="preserve">Table </w:t>
      </w:r>
      <w:r w:rsidRPr="00EB11D3">
        <w:rPr>
          <w:b/>
          <w:bCs/>
          <w:szCs w:val="24"/>
        </w:rPr>
        <w:fldChar w:fldCharType="begin"/>
      </w:r>
      <w:r w:rsidRPr="00EB11D3">
        <w:rPr>
          <w:b/>
          <w:bCs/>
          <w:szCs w:val="24"/>
        </w:rPr>
        <w:instrText xml:space="preserve"> SEQ Table \* ARABIC </w:instrText>
      </w:r>
      <w:r w:rsidRPr="00EB11D3">
        <w:rPr>
          <w:b/>
          <w:bCs/>
          <w:szCs w:val="24"/>
        </w:rPr>
        <w:fldChar w:fldCharType="separate"/>
      </w:r>
      <w:r w:rsidR="00A80224" w:rsidRPr="00EB11D3">
        <w:rPr>
          <w:b/>
          <w:bCs/>
          <w:noProof/>
          <w:szCs w:val="24"/>
        </w:rPr>
        <w:t>1</w:t>
      </w:r>
      <w:r w:rsidRPr="00EB11D3">
        <w:rPr>
          <w:b/>
          <w:bCs/>
          <w:szCs w:val="24"/>
        </w:rPr>
        <w:fldChar w:fldCharType="end"/>
      </w:r>
      <w:r w:rsidRPr="00EB11D3">
        <w:rPr>
          <w:b/>
          <w:bCs/>
          <w:szCs w:val="24"/>
        </w:rPr>
        <w:t>:</w:t>
      </w:r>
      <w:r w:rsidRPr="00EB11D3">
        <w:rPr>
          <w:szCs w:val="24"/>
        </w:rPr>
        <w:t xml:space="preserve"> </w:t>
      </w:r>
      <w:bookmarkStart w:id="305" w:name="_Hlk130409538"/>
      <w:bookmarkStart w:id="306" w:name="_Toc517877117"/>
      <w:bookmarkEnd w:id="303"/>
      <w:r w:rsidRPr="00EB11D3">
        <w:rPr>
          <w:b/>
          <w:bCs/>
          <w:szCs w:val="24"/>
          <w:lang w:val="en-GB"/>
        </w:rPr>
        <w:t xml:space="preserve">Summary of </w:t>
      </w:r>
      <w:r w:rsidRPr="00EB11D3">
        <w:rPr>
          <w:b/>
          <w:bCs/>
          <w:szCs w:val="24"/>
        </w:rPr>
        <w:t>Research</w:t>
      </w:r>
      <w:r w:rsidRPr="00EB11D3">
        <w:rPr>
          <w:b/>
          <w:bCs/>
          <w:szCs w:val="24"/>
          <w:lang w:val="en-GB"/>
        </w:rPr>
        <w:t xml:space="preserve"> Gaps</w:t>
      </w:r>
      <w:bookmarkEnd w:id="304"/>
      <w:bookmarkEnd w:id="305"/>
    </w:p>
    <w:tbl>
      <w:tblPr>
        <w:tblW w:w="5000" w:type="pct"/>
        <w:tblBorders>
          <w:bottom w:val="single" w:sz="4" w:space="0" w:color="auto"/>
        </w:tblBorders>
        <w:tblLayout w:type="fixed"/>
        <w:tblLook w:val="04A0" w:firstRow="1" w:lastRow="0" w:firstColumn="1" w:lastColumn="0" w:noHBand="0" w:noVBand="1"/>
      </w:tblPr>
      <w:tblGrid>
        <w:gridCol w:w="1620"/>
        <w:gridCol w:w="2519"/>
        <w:gridCol w:w="1620"/>
        <w:gridCol w:w="2605"/>
        <w:gridCol w:w="2551"/>
        <w:gridCol w:w="2045"/>
      </w:tblGrid>
      <w:tr w:rsidR="0039483D" w:rsidRPr="00EB11D3" w14:paraId="36D19F07" w14:textId="77777777" w:rsidTr="0086115B">
        <w:trPr>
          <w:trHeight w:val="323"/>
          <w:tblHeader/>
        </w:trPr>
        <w:tc>
          <w:tcPr>
            <w:tcW w:w="625" w:type="pct"/>
            <w:tcBorders>
              <w:top w:val="single" w:sz="4" w:space="0" w:color="auto"/>
              <w:left w:val="nil"/>
              <w:bottom w:val="single" w:sz="4" w:space="0" w:color="auto"/>
              <w:right w:val="nil"/>
            </w:tcBorders>
          </w:tcPr>
          <w:p w14:paraId="7E1451FC" w14:textId="77777777" w:rsidR="00DC0D7C" w:rsidRPr="00EB11D3" w:rsidRDefault="00212BDF">
            <w:pPr>
              <w:spacing w:after="0" w:line="240" w:lineRule="auto"/>
              <w:jc w:val="center"/>
              <w:rPr>
                <w:b/>
                <w:sz w:val="22"/>
                <w:lang w:val="zh-CN"/>
              </w:rPr>
            </w:pPr>
            <w:r w:rsidRPr="00EB11D3">
              <w:rPr>
                <w:b/>
                <w:sz w:val="22"/>
                <w:lang w:val="zh-CN"/>
              </w:rPr>
              <w:t>Researcher</w:t>
            </w:r>
          </w:p>
          <w:p w14:paraId="6C9A1C37" w14:textId="77777777" w:rsidR="00DC0D7C" w:rsidRPr="00EB11D3" w:rsidRDefault="00DC0D7C">
            <w:pPr>
              <w:spacing w:after="0" w:line="240" w:lineRule="auto"/>
              <w:jc w:val="center"/>
              <w:rPr>
                <w:b/>
                <w:sz w:val="22"/>
                <w:lang w:val="zh-CN"/>
              </w:rPr>
            </w:pPr>
          </w:p>
        </w:tc>
        <w:tc>
          <w:tcPr>
            <w:tcW w:w="972" w:type="pct"/>
            <w:tcBorders>
              <w:top w:val="single" w:sz="4" w:space="0" w:color="auto"/>
              <w:left w:val="nil"/>
              <w:bottom w:val="single" w:sz="4" w:space="0" w:color="auto"/>
              <w:right w:val="nil"/>
            </w:tcBorders>
          </w:tcPr>
          <w:p w14:paraId="6F396AEE" w14:textId="77777777" w:rsidR="00DC0D7C" w:rsidRPr="00EB11D3" w:rsidRDefault="00212BDF">
            <w:pPr>
              <w:spacing w:after="0" w:line="240" w:lineRule="auto"/>
              <w:jc w:val="center"/>
              <w:rPr>
                <w:b/>
                <w:sz w:val="22"/>
                <w:lang w:val="zh-CN"/>
              </w:rPr>
            </w:pPr>
            <w:r w:rsidRPr="00EB11D3">
              <w:rPr>
                <w:b/>
                <w:sz w:val="22"/>
                <w:lang w:val="zh-CN"/>
              </w:rPr>
              <w:t xml:space="preserve">Focus </w:t>
            </w:r>
            <w:r w:rsidRPr="00EB11D3">
              <w:rPr>
                <w:b/>
                <w:sz w:val="22"/>
              </w:rPr>
              <w:t>A</w:t>
            </w:r>
            <w:r w:rsidRPr="00EB11D3">
              <w:rPr>
                <w:b/>
                <w:sz w:val="22"/>
                <w:lang w:val="zh-CN"/>
              </w:rPr>
              <w:t>rea of study</w:t>
            </w:r>
          </w:p>
        </w:tc>
        <w:tc>
          <w:tcPr>
            <w:tcW w:w="625" w:type="pct"/>
            <w:tcBorders>
              <w:top w:val="single" w:sz="4" w:space="0" w:color="auto"/>
              <w:left w:val="nil"/>
              <w:bottom w:val="single" w:sz="4" w:space="0" w:color="auto"/>
              <w:right w:val="nil"/>
            </w:tcBorders>
          </w:tcPr>
          <w:p w14:paraId="08C81D88" w14:textId="77777777" w:rsidR="00DC0D7C" w:rsidRPr="00EB11D3" w:rsidRDefault="00212BDF">
            <w:pPr>
              <w:spacing w:after="0" w:line="240" w:lineRule="auto"/>
              <w:jc w:val="center"/>
              <w:rPr>
                <w:b/>
                <w:sz w:val="22"/>
                <w:lang w:val="zh-CN"/>
              </w:rPr>
            </w:pPr>
            <w:r w:rsidRPr="00EB11D3">
              <w:rPr>
                <w:b/>
                <w:sz w:val="22"/>
                <w:lang w:val="zh-CN"/>
              </w:rPr>
              <w:t>Methodology</w:t>
            </w:r>
          </w:p>
        </w:tc>
        <w:tc>
          <w:tcPr>
            <w:tcW w:w="1005" w:type="pct"/>
            <w:tcBorders>
              <w:top w:val="single" w:sz="4" w:space="0" w:color="auto"/>
              <w:left w:val="nil"/>
              <w:bottom w:val="single" w:sz="4" w:space="0" w:color="auto"/>
              <w:right w:val="nil"/>
            </w:tcBorders>
          </w:tcPr>
          <w:p w14:paraId="0021A1A2" w14:textId="77777777" w:rsidR="00DC0D7C" w:rsidRPr="00EB11D3" w:rsidRDefault="00212BDF">
            <w:pPr>
              <w:spacing w:after="0" w:line="240" w:lineRule="auto"/>
              <w:jc w:val="center"/>
              <w:rPr>
                <w:b/>
                <w:sz w:val="22"/>
                <w:lang w:val="zh-CN"/>
              </w:rPr>
            </w:pPr>
            <w:r w:rsidRPr="00EB11D3">
              <w:rPr>
                <w:b/>
                <w:sz w:val="22"/>
                <w:lang w:val="zh-CN"/>
              </w:rPr>
              <w:t>Key Findings</w:t>
            </w:r>
          </w:p>
        </w:tc>
        <w:tc>
          <w:tcPr>
            <w:tcW w:w="984" w:type="pct"/>
            <w:tcBorders>
              <w:top w:val="single" w:sz="4" w:space="0" w:color="auto"/>
              <w:left w:val="nil"/>
              <w:bottom w:val="single" w:sz="4" w:space="0" w:color="auto"/>
              <w:right w:val="nil"/>
            </w:tcBorders>
          </w:tcPr>
          <w:p w14:paraId="2542724F" w14:textId="77777777" w:rsidR="00DC0D7C" w:rsidRPr="00EB11D3" w:rsidRDefault="00212BDF">
            <w:pPr>
              <w:spacing w:after="0" w:line="240" w:lineRule="auto"/>
              <w:jc w:val="center"/>
              <w:rPr>
                <w:b/>
                <w:sz w:val="22"/>
                <w:lang w:val="zh-CN"/>
              </w:rPr>
            </w:pPr>
            <w:r w:rsidRPr="00EB11D3">
              <w:rPr>
                <w:b/>
                <w:sz w:val="22"/>
                <w:lang w:val="zh-CN"/>
              </w:rPr>
              <w:t>Knowledge</w:t>
            </w:r>
          </w:p>
          <w:p w14:paraId="01280BDC" w14:textId="77777777" w:rsidR="00DC0D7C" w:rsidRPr="00EB11D3" w:rsidRDefault="00212BDF">
            <w:pPr>
              <w:spacing w:after="0" w:line="240" w:lineRule="auto"/>
              <w:jc w:val="center"/>
              <w:rPr>
                <w:b/>
                <w:sz w:val="22"/>
                <w:lang w:val="zh-CN"/>
              </w:rPr>
            </w:pPr>
            <w:r w:rsidRPr="00EB11D3">
              <w:rPr>
                <w:b/>
                <w:sz w:val="22"/>
                <w:lang w:val="zh-CN"/>
              </w:rPr>
              <w:t>Gap(s)</w:t>
            </w:r>
          </w:p>
        </w:tc>
        <w:tc>
          <w:tcPr>
            <w:tcW w:w="789" w:type="pct"/>
            <w:tcBorders>
              <w:top w:val="single" w:sz="4" w:space="0" w:color="auto"/>
              <w:left w:val="nil"/>
              <w:bottom w:val="single" w:sz="4" w:space="0" w:color="auto"/>
              <w:right w:val="nil"/>
            </w:tcBorders>
          </w:tcPr>
          <w:p w14:paraId="785B9989" w14:textId="77777777" w:rsidR="00DC0D7C" w:rsidRPr="00EB11D3" w:rsidRDefault="00212BDF">
            <w:pPr>
              <w:spacing w:after="0" w:line="240" w:lineRule="auto"/>
              <w:jc w:val="center"/>
              <w:rPr>
                <w:b/>
                <w:sz w:val="22"/>
                <w:lang w:val="zh-CN"/>
              </w:rPr>
            </w:pPr>
            <w:r w:rsidRPr="00EB11D3">
              <w:rPr>
                <w:b/>
                <w:sz w:val="22"/>
                <w:lang w:val="zh-CN"/>
              </w:rPr>
              <w:t>Contribution</w:t>
            </w:r>
          </w:p>
          <w:p w14:paraId="6D1E19D3" w14:textId="77777777" w:rsidR="00DC0D7C" w:rsidRPr="00EB11D3" w:rsidRDefault="00212BDF">
            <w:pPr>
              <w:spacing w:after="0" w:line="240" w:lineRule="auto"/>
              <w:jc w:val="center"/>
              <w:rPr>
                <w:b/>
                <w:sz w:val="22"/>
                <w:lang w:val="zh-CN"/>
              </w:rPr>
            </w:pPr>
            <w:r w:rsidRPr="00EB11D3">
              <w:rPr>
                <w:b/>
                <w:sz w:val="22"/>
                <w:lang w:val="zh-CN"/>
              </w:rPr>
              <w:t xml:space="preserve">of </w:t>
            </w:r>
            <w:r w:rsidRPr="00EB11D3">
              <w:rPr>
                <w:b/>
                <w:sz w:val="22"/>
              </w:rPr>
              <w:t>Current</w:t>
            </w:r>
            <w:r w:rsidRPr="00EB11D3">
              <w:rPr>
                <w:b/>
                <w:sz w:val="22"/>
                <w:lang w:val="zh-CN"/>
              </w:rPr>
              <w:t xml:space="preserve"> Study</w:t>
            </w:r>
          </w:p>
        </w:tc>
      </w:tr>
      <w:tr w:rsidR="0039483D" w:rsidRPr="00EB11D3" w14:paraId="083391E9" w14:textId="77777777" w:rsidTr="0086115B">
        <w:tblPrEx>
          <w:tblBorders>
            <w:bottom w:val="none" w:sz="0" w:space="0" w:color="auto"/>
          </w:tblBorders>
        </w:tblPrEx>
        <w:trPr>
          <w:trHeight w:val="323"/>
        </w:trPr>
        <w:tc>
          <w:tcPr>
            <w:tcW w:w="625" w:type="pct"/>
          </w:tcPr>
          <w:p w14:paraId="22CE8E43" w14:textId="77777777" w:rsidR="00DC0D7C" w:rsidRPr="00EB11D3" w:rsidRDefault="00B25DB7">
            <w:pPr>
              <w:spacing w:line="240" w:lineRule="auto"/>
              <w:rPr>
                <w:bCs/>
                <w:sz w:val="22"/>
                <w:lang w:val="zh-CN"/>
              </w:rPr>
            </w:pPr>
            <w:r w:rsidRPr="00EB11D3">
              <w:rPr>
                <w:sz w:val="22"/>
                <w:lang w:eastAsia="zh-CN"/>
              </w:rPr>
              <w:t>Ndege, Mwaura-Tenambergen and Njoroge (2022)</w:t>
            </w:r>
          </w:p>
        </w:tc>
        <w:tc>
          <w:tcPr>
            <w:tcW w:w="972" w:type="pct"/>
          </w:tcPr>
          <w:p w14:paraId="69345516" w14:textId="77777777" w:rsidR="00DC0D7C" w:rsidRPr="00EB11D3" w:rsidRDefault="00B25DB7">
            <w:pPr>
              <w:spacing w:line="240" w:lineRule="auto"/>
              <w:rPr>
                <w:bCs/>
                <w:sz w:val="22"/>
                <w:lang w:val="zh-CN"/>
              </w:rPr>
            </w:pPr>
            <w:r w:rsidRPr="00EB11D3">
              <w:rPr>
                <w:bCs/>
                <w:sz w:val="22"/>
                <w:lang w:val="zh-CN"/>
              </w:rPr>
              <w:t>Influence of Corporate Governance Practices on Performance of Faith-Based Hospitals: A Systematic Review.</w:t>
            </w:r>
          </w:p>
        </w:tc>
        <w:tc>
          <w:tcPr>
            <w:tcW w:w="625" w:type="pct"/>
          </w:tcPr>
          <w:p w14:paraId="17B12867" w14:textId="77777777" w:rsidR="00DC0D7C" w:rsidRPr="00EB11D3" w:rsidRDefault="00B25DB7">
            <w:pPr>
              <w:spacing w:line="240" w:lineRule="auto"/>
              <w:rPr>
                <w:bCs/>
                <w:sz w:val="22"/>
              </w:rPr>
            </w:pPr>
            <w:r w:rsidRPr="00EB11D3">
              <w:rPr>
                <w:bCs/>
                <w:sz w:val="22"/>
              </w:rPr>
              <w:t>A empirical review</w:t>
            </w:r>
          </w:p>
        </w:tc>
        <w:tc>
          <w:tcPr>
            <w:tcW w:w="1005" w:type="pct"/>
          </w:tcPr>
          <w:p w14:paraId="0267B11E" w14:textId="77777777" w:rsidR="00DC0D7C" w:rsidRPr="00EB11D3" w:rsidRDefault="00B25DB7">
            <w:pPr>
              <w:spacing w:line="240" w:lineRule="auto"/>
              <w:rPr>
                <w:bCs/>
                <w:sz w:val="22"/>
              </w:rPr>
            </w:pPr>
            <w:r w:rsidRPr="00EB11D3">
              <w:rPr>
                <w:bCs/>
                <w:sz w:val="22"/>
              </w:rPr>
              <w:t>The results indicated that corporate governance influenced the accountability and strategic directions of the public hospitals</w:t>
            </w:r>
            <w:r w:rsidR="001A0D90" w:rsidRPr="00EB11D3">
              <w:rPr>
                <w:bCs/>
                <w:sz w:val="22"/>
              </w:rPr>
              <w:t>.</w:t>
            </w:r>
          </w:p>
        </w:tc>
        <w:tc>
          <w:tcPr>
            <w:tcW w:w="984" w:type="pct"/>
          </w:tcPr>
          <w:p w14:paraId="5F027A21" w14:textId="77777777" w:rsidR="00DC0D7C" w:rsidRPr="00EB11D3" w:rsidRDefault="0044049E">
            <w:pPr>
              <w:spacing w:line="240" w:lineRule="auto"/>
              <w:rPr>
                <w:bCs/>
                <w:sz w:val="22"/>
              </w:rPr>
            </w:pPr>
            <w:r w:rsidRPr="00EB11D3">
              <w:rPr>
                <w:bCs/>
                <w:sz w:val="22"/>
              </w:rPr>
              <w:t>Methodological gap-The study used empirical review approach</w:t>
            </w:r>
          </w:p>
        </w:tc>
        <w:tc>
          <w:tcPr>
            <w:tcW w:w="789" w:type="pct"/>
          </w:tcPr>
          <w:p w14:paraId="7D142099" w14:textId="77777777" w:rsidR="00DC0D7C" w:rsidRPr="00EB11D3" w:rsidRDefault="0044049E">
            <w:pPr>
              <w:spacing w:line="240" w:lineRule="auto"/>
              <w:rPr>
                <w:bCs/>
                <w:sz w:val="22"/>
              </w:rPr>
            </w:pPr>
            <w:r w:rsidRPr="00EB11D3">
              <w:rPr>
                <w:bCs/>
                <w:sz w:val="22"/>
              </w:rPr>
              <w:t>This study employ</w:t>
            </w:r>
            <w:r w:rsidR="00F407C4" w:rsidRPr="00EB11D3">
              <w:rPr>
                <w:bCs/>
                <w:sz w:val="22"/>
              </w:rPr>
              <w:t>ed</w:t>
            </w:r>
            <w:r w:rsidRPr="00EB11D3">
              <w:rPr>
                <w:bCs/>
                <w:sz w:val="22"/>
              </w:rPr>
              <w:t xml:space="preserve"> a cross-sectional research design</w:t>
            </w:r>
          </w:p>
        </w:tc>
      </w:tr>
      <w:tr w:rsidR="0039483D" w:rsidRPr="00EB11D3" w14:paraId="24CCDC8A" w14:textId="77777777" w:rsidTr="0086115B">
        <w:tblPrEx>
          <w:tblBorders>
            <w:bottom w:val="none" w:sz="0" w:space="0" w:color="auto"/>
          </w:tblBorders>
        </w:tblPrEx>
        <w:trPr>
          <w:trHeight w:val="323"/>
        </w:trPr>
        <w:tc>
          <w:tcPr>
            <w:tcW w:w="625" w:type="pct"/>
          </w:tcPr>
          <w:p w14:paraId="3D714294" w14:textId="77777777" w:rsidR="00B25DB7" w:rsidRPr="00EB11D3" w:rsidRDefault="00B25DB7" w:rsidP="00B25DB7">
            <w:pPr>
              <w:spacing w:line="240" w:lineRule="auto"/>
              <w:rPr>
                <w:bCs/>
                <w:sz w:val="22"/>
                <w:lang w:val="zh-CN"/>
              </w:rPr>
            </w:pPr>
            <w:r w:rsidRPr="00EB11D3">
              <w:rPr>
                <w:bCs/>
                <w:sz w:val="22"/>
                <w:lang w:val="zh-CN"/>
              </w:rPr>
              <w:t>Khan, Ahmad, Abdul Halim, &amp; Ahmad, (2022)</w:t>
            </w:r>
          </w:p>
        </w:tc>
        <w:tc>
          <w:tcPr>
            <w:tcW w:w="972" w:type="pct"/>
          </w:tcPr>
          <w:p w14:paraId="3D1404AD" w14:textId="77777777" w:rsidR="00B25DB7" w:rsidRPr="00EB11D3" w:rsidRDefault="00B25DB7" w:rsidP="00B25DB7">
            <w:pPr>
              <w:spacing w:line="240" w:lineRule="auto"/>
              <w:rPr>
                <w:bCs/>
                <w:sz w:val="22"/>
                <w:lang w:val="zh-CN"/>
              </w:rPr>
            </w:pPr>
            <w:r w:rsidRPr="00EB11D3">
              <w:rPr>
                <w:bCs/>
                <w:sz w:val="22"/>
                <w:lang w:val="zh-CN"/>
              </w:rPr>
              <w:t>The Effect of Service Innovation Orientation and Open Innovation on Innovation Performance of Medium and Small Private Hospitals in India.</w:t>
            </w:r>
          </w:p>
        </w:tc>
        <w:tc>
          <w:tcPr>
            <w:tcW w:w="625" w:type="pct"/>
          </w:tcPr>
          <w:p w14:paraId="440443AE" w14:textId="77777777" w:rsidR="00B25DB7" w:rsidRPr="00EB11D3" w:rsidRDefault="00B25DB7" w:rsidP="00B25DB7">
            <w:pPr>
              <w:spacing w:line="240" w:lineRule="auto"/>
              <w:rPr>
                <w:bCs/>
                <w:sz w:val="22"/>
                <w:lang w:val="zh-CN"/>
              </w:rPr>
            </w:pPr>
            <w:r w:rsidRPr="00EB11D3">
              <w:rPr>
                <w:bCs/>
                <w:sz w:val="22"/>
                <w:lang w:val="zh-CN"/>
              </w:rPr>
              <w:t xml:space="preserve">A </w:t>
            </w:r>
            <w:r w:rsidR="00C44B15" w:rsidRPr="00EB11D3">
              <w:rPr>
                <w:bCs/>
                <w:sz w:val="22"/>
                <w:lang w:val="zh-CN"/>
              </w:rPr>
              <w:t xml:space="preserve">Cross-Sectional Survey </w:t>
            </w:r>
            <w:r w:rsidRPr="00EB11D3">
              <w:rPr>
                <w:bCs/>
                <w:sz w:val="22"/>
                <w:lang w:val="zh-CN"/>
              </w:rPr>
              <w:t>Approach</w:t>
            </w:r>
          </w:p>
        </w:tc>
        <w:tc>
          <w:tcPr>
            <w:tcW w:w="1005" w:type="pct"/>
          </w:tcPr>
          <w:p w14:paraId="72A53416" w14:textId="77777777" w:rsidR="00B25DB7" w:rsidRPr="00EB11D3" w:rsidRDefault="00B25DB7" w:rsidP="00B25DB7">
            <w:pPr>
              <w:spacing w:line="240" w:lineRule="auto"/>
              <w:rPr>
                <w:bCs/>
                <w:sz w:val="22"/>
              </w:rPr>
            </w:pPr>
            <w:r w:rsidRPr="00EB11D3">
              <w:rPr>
                <w:bCs/>
                <w:sz w:val="22"/>
              </w:rPr>
              <w:t>A</w:t>
            </w:r>
            <w:r w:rsidRPr="00EB11D3">
              <w:rPr>
                <w:bCs/>
                <w:sz w:val="22"/>
                <w:lang w:val="zh-CN"/>
              </w:rPr>
              <w:t xml:space="preserve"> significant relationship between service innovation orientation and performance </w:t>
            </w:r>
            <w:r w:rsidRPr="00EB11D3">
              <w:rPr>
                <w:bCs/>
                <w:sz w:val="22"/>
              </w:rPr>
              <w:t>was revealed.</w:t>
            </w:r>
          </w:p>
        </w:tc>
        <w:tc>
          <w:tcPr>
            <w:tcW w:w="984" w:type="pct"/>
          </w:tcPr>
          <w:p w14:paraId="46CC33F1" w14:textId="77777777" w:rsidR="00B25DB7" w:rsidRPr="00EB11D3" w:rsidRDefault="00B25DB7" w:rsidP="00B25DB7">
            <w:pPr>
              <w:spacing w:line="240" w:lineRule="auto"/>
              <w:rPr>
                <w:bCs/>
                <w:sz w:val="22"/>
                <w:lang w:val="zh-CN"/>
              </w:rPr>
            </w:pPr>
            <w:r w:rsidRPr="00EB11D3">
              <w:rPr>
                <w:bCs/>
                <w:sz w:val="22"/>
                <w:lang w:val="zh-CN"/>
              </w:rPr>
              <w:t xml:space="preserve">Conceptual gap- Service innovation was used as an independent variable. </w:t>
            </w:r>
          </w:p>
        </w:tc>
        <w:tc>
          <w:tcPr>
            <w:tcW w:w="789" w:type="pct"/>
          </w:tcPr>
          <w:p w14:paraId="22F17972" w14:textId="77777777" w:rsidR="00B25DB7" w:rsidRPr="00EB11D3" w:rsidRDefault="00B25DB7" w:rsidP="00B25DB7">
            <w:pPr>
              <w:spacing w:line="240" w:lineRule="auto"/>
              <w:rPr>
                <w:bCs/>
                <w:sz w:val="22"/>
                <w:lang w:val="zh-CN"/>
              </w:rPr>
            </w:pPr>
            <w:r w:rsidRPr="00EB11D3">
              <w:rPr>
                <w:bCs/>
                <w:sz w:val="22"/>
                <w:lang w:val="zh-CN"/>
              </w:rPr>
              <w:t xml:space="preserve">This study </w:t>
            </w:r>
            <w:r w:rsidR="00F407C4" w:rsidRPr="00EB11D3">
              <w:rPr>
                <w:bCs/>
                <w:sz w:val="22"/>
                <w:lang w:val="zh-CN"/>
              </w:rPr>
              <w:t>consider</w:t>
            </w:r>
            <w:r w:rsidR="00F407C4" w:rsidRPr="00EB11D3">
              <w:rPr>
                <w:bCs/>
                <w:sz w:val="22"/>
              </w:rPr>
              <w:t>ed</w:t>
            </w:r>
            <w:r w:rsidR="00F407C4" w:rsidRPr="00EB11D3">
              <w:rPr>
                <w:bCs/>
                <w:sz w:val="22"/>
                <w:lang w:val="zh-CN"/>
              </w:rPr>
              <w:t xml:space="preserve"> </w:t>
            </w:r>
            <w:r w:rsidRPr="00EB11D3">
              <w:rPr>
                <w:bCs/>
                <w:sz w:val="22"/>
                <w:lang w:val="zh-CN"/>
              </w:rPr>
              <w:t>service innovation as a mediating variable.</w:t>
            </w:r>
          </w:p>
        </w:tc>
      </w:tr>
      <w:tr w:rsidR="0039483D" w:rsidRPr="00EB11D3" w14:paraId="58CC1B72" w14:textId="77777777" w:rsidTr="0086115B">
        <w:tblPrEx>
          <w:tblBorders>
            <w:bottom w:val="none" w:sz="0" w:space="0" w:color="auto"/>
          </w:tblBorders>
        </w:tblPrEx>
        <w:trPr>
          <w:trHeight w:val="323"/>
        </w:trPr>
        <w:tc>
          <w:tcPr>
            <w:tcW w:w="625" w:type="pct"/>
          </w:tcPr>
          <w:p w14:paraId="6235509B" w14:textId="77777777" w:rsidR="00B25DB7" w:rsidRPr="00EB11D3" w:rsidRDefault="00B25DB7" w:rsidP="00B25DB7">
            <w:pPr>
              <w:spacing w:line="240" w:lineRule="auto"/>
              <w:rPr>
                <w:bCs/>
                <w:sz w:val="22"/>
                <w:lang w:val="zh-CN"/>
              </w:rPr>
            </w:pPr>
            <w:r w:rsidRPr="00EB11D3">
              <w:rPr>
                <w:sz w:val="22"/>
                <w:lang w:val="en"/>
              </w:rPr>
              <w:t>Eide, Gullslett, Eide, Dugstad, McCormack and Nilsen (2022)</w:t>
            </w:r>
          </w:p>
        </w:tc>
        <w:tc>
          <w:tcPr>
            <w:tcW w:w="972" w:type="pct"/>
          </w:tcPr>
          <w:p w14:paraId="3262262C" w14:textId="77777777" w:rsidR="00B25DB7" w:rsidRPr="00EB11D3" w:rsidRDefault="00B25DB7" w:rsidP="00B25DB7">
            <w:pPr>
              <w:rPr>
                <w:sz w:val="22"/>
                <w:lang w:val="zh-CN"/>
              </w:rPr>
            </w:pPr>
            <w:r w:rsidRPr="00EB11D3">
              <w:rPr>
                <w:sz w:val="22"/>
                <w:lang w:val="en"/>
              </w:rPr>
              <w:t>Trust-based service innovation of municipal home care: a longitudinal mixed methods study.</w:t>
            </w:r>
          </w:p>
        </w:tc>
        <w:tc>
          <w:tcPr>
            <w:tcW w:w="625" w:type="pct"/>
          </w:tcPr>
          <w:p w14:paraId="7A5F33FB" w14:textId="77777777" w:rsidR="00B25DB7" w:rsidRPr="00EB11D3" w:rsidRDefault="00B25DB7" w:rsidP="00B25DB7">
            <w:pPr>
              <w:spacing w:line="240" w:lineRule="auto"/>
              <w:rPr>
                <w:bCs/>
                <w:sz w:val="22"/>
                <w:lang w:val="zh-CN"/>
              </w:rPr>
            </w:pPr>
            <w:r w:rsidRPr="00EB11D3">
              <w:rPr>
                <w:sz w:val="22"/>
                <w:lang w:val="en"/>
              </w:rPr>
              <w:t xml:space="preserve">A </w:t>
            </w:r>
            <w:r w:rsidR="00C44B15" w:rsidRPr="00EB11D3">
              <w:rPr>
                <w:sz w:val="22"/>
                <w:lang w:val="en"/>
              </w:rPr>
              <w:t>Longitudinal Mixed Method</w:t>
            </w:r>
          </w:p>
        </w:tc>
        <w:tc>
          <w:tcPr>
            <w:tcW w:w="1005" w:type="pct"/>
          </w:tcPr>
          <w:p w14:paraId="315A27C2" w14:textId="77777777" w:rsidR="00B25DB7" w:rsidRPr="00EB11D3" w:rsidRDefault="00B25DB7" w:rsidP="00B25DB7">
            <w:pPr>
              <w:spacing w:line="240" w:lineRule="auto"/>
              <w:rPr>
                <w:bCs/>
                <w:sz w:val="22"/>
                <w:lang w:val="zh-CN"/>
              </w:rPr>
            </w:pPr>
            <w:r w:rsidRPr="00EB11D3">
              <w:rPr>
                <w:sz w:val="22"/>
                <w:lang w:eastAsia="zh-CN"/>
              </w:rPr>
              <w:t xml:space="preserve">The efficiency of the municipal homecare was influenced by the service innovation </w:t>
            </w:r>
            <w:r w:rsidRPr="00EB11D3">
              <w:rPr>
                <w:sz w:val="22"/>
                <w:lang w:val="en"/>
              </w:rPr>
              <w:t>in Scandinavia</w:t>
            </w:r>
            <w:r w:rsidRPr="00EB11D3">
              <w:rPr>
                <w:sz w:val="22"/>
                <w:lang w:eastAsia="zh-CN"/>
              </w:rPr>
              <w:t>.</w:t>
            </w:r>
          </w:p>
        </w:tc>
        <w:tc>
          <w:tcPr>
            <w:tcW w:w="984" w:type="pct"/>
          </w:tcPr>
          <w:p w14:paraId="6AB415D1" w14:textId="77777777" w:rsidR="00B25DB7" w:rsidRPr="00EB11D3" w:rsidRDefault="00B25DB7" w:rsidP="00B25DB7">
            <w:pPr>
              <w:spacing w:line="240" w:lineRule="auto"/>
              <w:rPr>
                <w:sz w:val="22"/>
                <w:lang w:val="en"/>
              </w:rPr>
            </w:pPr>
            <w:r w:rsidRPr="00EB11D3">
              <w:rPr>
                <w:bCs/>
                <w:sz w:val="22"/>
              </w:rPr>
              <w:t>Methodologic</w:t>
            </w:r>
            <w:r w:rsidRPr="00EB11D3">
              <w:rPr>
                <w:bCs/>
                <w:sz w:val="22"/>
                <w:lang w:val="zh-CN"/>
              </w:rPr>
              <w:t xml:space="preserve">al gap -The study </w:t>
            </w:r>
            <w:r w:rsidRPr="00EB11D3">
              <w:rPr>
                <w:bCs/>
                <w:sz w:val="22"/>
              </w:rPr>
              <w:t xml:space="preserve">employed </w:t>
            </w:r>
            <w:r w:rsidRPr="00EB11D3">
              <w:rPr>
                <w:sz w:val="22"/>
                <w:lang w:val="en"/>
              </w:rPr>
              <w:t>longitudinal mixed method.</w:t>
            </w:r>
          </w:p>
          <w:p w14:paraId="19B5D2B0" w14:textId="77777777" w:rsidR="00C2737F" w:rsidRPr="00EB11D3" w:rsidRDefault="00C2737F" w:rsidP="00B25DB7">
            <w:pPr>
              <w:spacing w:line="240" w:lineRule="auto"/>
              <w:rPr>
                <w:bCs/>
                <w:sz w:val="22"/>
              </w:rPr>
            </w:pPr>
            <w:r w:rsidRPr="00EB11D3">
              <w:rPr>
                <w:sz w:val="22"/>
                <w:lang w:val="en"/>
              </w:rPr>
              <w:t>-Study done among homecare</w:t>
            </w:r>
          </w:p>
        </w:tc>
        <w:tc>
          <w:tcPr>
            <w:tcW w:w="789" w:type="pct"/>
          </w:tcPr>
          <w:p w14:paraId="6F6062A8" w14:textId="77777777" w:rsidR="00B25DB7" w:rsidRPr="00EB11D3" w:rsidRDefault="00B25DB7" w:rsidP="00B25DB7">
            <w:pPr>
              <w:spacing w:line="240" w:lineRule="auto"/>
              <w:rPr>
                <w:bCs/>
                <w:sz w:val="22"/>
                <w:lang w:val="zh-CN" w:eastAsia="zh-CN"/>
              </w:rPr>
            </w:pPr>
            <w:r w:rsidRPr="00EB11D3">
              <w:rPr>
                <w:bCs/>
                <w:sz w:val="22"/>
                <w:lang w:val="zh-CN"/>
              </w:rPr>
              <w:t xml:space="preserve">This study </w:t>
            </w:r>
            <w:r w:rsidRPr="00EB11D3">
              <w:rPr>
                <w:bCs/>
                <w:sz w:val="22"/>
              </w:rPr>
              <w:t>use</w:t>
            </w:r>
            <w:r w:rsidR="00F407C4" w:rsidRPr="00EB11D3">
              <w:rPr>
                <w:bCs/>
                <w:sz w:val="22"/>
              </w:rPr>
              <w:t>d</w:t>
            </w:r>
            <w:r w:rsidRPr="00EB11D3">
              <w:rPr>
                <w:bCs/>
                <w:sz w:val="22"/>
              </w:rPr>
              <w:t xml:space="preserve"> cross-sectional research design </w:t>
            </w:r>
            <w:r w:rsidRPr="00EB11D3">
              <w:rPr>
                <w:bCs/>
                <w:sz w:val="22"/>
                <w:lang w:val="zh-CN"/>
              </w:rPr>
              <w:t>.</w:t>
            </w:r>
          </w:p>
          <w:p w14:paraId="5FB5B420" w14:textId="77777777" w:rsidR="00C2737F" w:rsidRPr="00EB11D3" w:rsidRDefault="00C2737F" w:rsidP="00B25DB7">
            <w:pPr>
              <w:spacing w:line="240" w:lineRule="auto"/>
              <w:rPr>
                <w:bCs/>
                <w:sz w:val="22"/>
                <w:lang w:eastAsia="zh-CN"/>
              </w:rPr>
            </w:pPr>
            <w:r w:rsidRPr="00EB11D3">
              <w:rPr>
                <w:bCs/>
                <w:sz w:val="22"/>
                <w:lang w:eastAsia="zh-CN"/>
              </w:rPr>
              <w:t xml:space="preserve">Study </w:t>
            </w:r>
            <w:r w:rsidR="00F407C4" w:rsidRPr="00EB11D3">
              <w:rPr>
                <w:bCs/>
                <w:sz w:val="22"/>
                <w:lang w:eastAsia="zh-CN"/>
              </w:rPr>
              <w:t>was</w:t>
            </w:r>
            <w:r w:rsidRPr="00EB11D3">
              <w:rPr>
                <w:bCs/>
                <w:sz w:val="22"/>
                <w:lang w:eastAsia="zh-CN"/>
              </w:rPr>
              <w:t xml:space="preserve"> done among </w:t>
            </w:r>
            <w:r w:rsidR="0038019E" w:rsidRPr="00EB11D3">
              <w:rPr>
                <w:bCs/>
                <w:sz w:val="22"/>
                <w:lang w:eastAsia="zh-CN"/>
              </w:rPr>
              <w:t>faith-based</w:t>
            </w:r>
            <w:r w:rsidRPr="00EB11D3">
              <w:rPr>
                <w:bCs/>
                <w:sz w:val="22"/>
                <w:lang w:eastAsia="zh-CN"/>
              </w:rPr>
              <w:t xml:space="preserve"> hospitals.</w:t>
            </w:r>
          </w:p>
        </w:tc>
      </w:tr>
      <w:tr w:rsidR="0039483D" w:rsidRPr="00EB11D3" w14:paraId="6A6529B4" w14:textId="77777777" w:rsidTr="0086115B">
        <w:trPr>
          <w:trHeight w:val="693"/>
        </w:trPr>
        <w:tc>
          <w:tcPr>
            <w:tcW w:w="625" w:type="pct"/>
            <w:tcBorders>
              <w:top w:val="nil"/>
              <w:left w:val="nil"/>
              <w:bottom w:val="nil"/>
              <w:right w:val="nil"/>
            </w:tcBorders>
          </w:tcPr>
          <w:p w14:paraId="2945CCDE" w14:textId="77777777" w:rsidR="00B25DB7" w:rsidRPr="00EB11D3" w:rsidRDefault="00B25DB7" w:rsidP="00B25DB7">
            <w:pPr>
              <w:spacing w:line="240" w:lineRule="auto"/>
              <w:rPr>
                <w:b/>
                <w:sz w:val="22"/>
                <w:lang w:val="zh-CN"/>
              </w:rPr>
            </w:pPr>
            <w:r w:rsidRPr="00EB11D3">
              <w:rPr>
                <w:sz w:val="22"/>
              </w:rPr>
              <w:t>Kariuki and Kariuki (2019)</w:t>
            </w:r>
          </w:p>
        </w:tc>
        <w:tc>
          <w:tcPr>
            <w:tcW w:w="972" w:type="pct"/>
            <w:tcBorders>
              <w:top w:val="nil"/>
              <w:left w:val="nil"/>
              <w:bottom w:val="nil"/>
              <w:right w:val="nil"/>
            </w:tcBorders>
          </w:tcPr>
          <w:p w14:paraId="75D11C10" w14:textId="77777777" w:rsidR="00B25DB7" w:rsidRPr="00EB11D3" w:rsidRDefault="00B25DB7" w:rsidP="00B25DB7">
            <w:pPr>
              <w:spacing w:line="240" w:lineRule="auto"/>
              <w:rPr>
                <w:b/>
                <w:sz w:val="22"/>
                <w:lang w:val="zh-CN"/>
              </w:rPr>
            </w:pPr>
            <w:r w:rsidRPr="00EB11D3">
              <w:rPr>
                <w:sz w:val="22"/>
                <w:shd w:val="clear" w:color="auto" w:fill="FFFFFF"/>
              </w:rPr>
              <w:t>Moderating Effect of Government Regulations on Internal Control System and Fraud Prevention. A Case Banking Sector in Kenya</w:t>
            </w:r>
          </w:p>
        </w:tc>
        <w:tc>
          <w:tcPr>
            <w:tcW w:w="625" w:type="pct"/>
            <w:tcBorders>
              <w:top w:val="nil"/>
              <w:left w:val="nil"/>
              <w:bottom w:val="nil"/>
              <w:right w:val="nil"/>
            </w:tcBorders>
          </w:tcPr>
          <w:p w14:paraId="722E9396" w14:textId="77777777" w:rsidR="00B25DB7" w:rsidRPr="00EB11D3" w:rsidRDefault="00B25DB7" w:rsidP="00B25DB7">
            <w:pPr>
              <w:spacing w:line="240" w:lineRule="auto"/>
              <w:rPr>
                <w:b/>
                <w:sz w:val="22"/>
              </w:rPr>
            </w:pPr>
            <w:r w:rsidRPr="00EB11D3">
              <w:rPr>
                <w:bCs/>
                <w:sz w:val="22"/>
              </w:rPr>
              <w:t xml:space="preserve">Case </w:t>
            </w:r>
            <w:r w:rsidR="00C44B15" w:rsidRPr="00EB11D3">
              <w:rPr>
                <w:bCs/>
                <w:sz w:val="22"/>
              </w:rPr>
              <w:t>Study</w:t>
            </w:r>
          </w:p>
        </w:tc>
        <w:tc>
          <w:tcPr>
            <w:tcW w:w="1005" w:type="pct"/>
            <w:tcBorders>
              <w:top w:val="nil"/>
              <w:left w:val="nil"/>
              <w:bottom w:val="nil"/>
              <w:right w:val="nil"/>
            </w:tcBorders>
          </w:tcPr>
          <w:p w14:paraId="7FE0D268" w14:textId="77777777" w:rsidR="00B25DB7" w:rsidRPr="00EB11D3" w:rsidRDefault="00B25DB7" w:rsidP="00B25DB7">
            <w:pPr>
              <w:spacing w:line="240" w:lineRule="auto"/>
              <w:rPr>
                <w:sz w:val="22"/>
                <w:lang w:val="zh-CN"/>
              </w:rPr>
            </w:pPr>
            <w:r w:rsidRPr="00EB11D3">
              <w:rPr>
                <w:sz w:val="22"/>
                <w:shd w:val="clear" w:color="auto" w:fill="FFFFFF"/>
              </w:rPr>
              <w:t>Positive moderating effect government regulations on the relationship between internal control system and fraud prevention.</w:t>
            </w:r>
          </w:p>
        </w:tc>
        <w:tc>
          <w:tcPr>
            <w:tcW w:w="984" w:type="pct"/>
            <w:tcBorders>
              <w:top w:val="nil"/>
              <w:left w:val="nil"/>
              <w:bottom w:val="nil"/>
              <w:right w:val="nil"/>
            </w:tcBorders>
          </w:tcPr>
          <w:p w14:paraId="6EF4D5CA" w14:textId="77777777" w:rsidR="00B25DB7" w:rsidRPr="00EB11D3" w:rsidRDefault="00B25DB7" w:rsidP="00B25DB7">
            <w:pPr>
              <w:spacing w:line="240" w:lineRule="auto"/>
              <w:rPr>
                <w:bCs/>
                <w:sz w:val="22"/>
                <w:lang w:val="zh-CN"/>
              </w:rPr>
            </w:pPr>
            <w:bookmarkStart w:id="307" w:name="_Toc132696959"/>
            <w:r w:rsidRPr="00EB11D3">
              <w:rPr>
                <w:bCs/>
                <w:sz w:val="22"/>
              </w:rPr>
              <w:t>Contextual Gap -Study conducted among banks</w:t>
            </w:r>
            <w:r w:rsidRPr="00EB11D3">
              <w:rPr>
                <w:bCs/>
                <w:sz w:val="22"/>
                <w:lang w:val="zh-CN"/>
              </w:rPr>
              <w:t>.</w:t>
            </w:r>
            <w:bookmarkEnd w:id="307"/>
          </w:p>
          <w:p w14:paraId="41BAA9E2" w14:textId="77777777" w:rsidR="00B25DB7" w:rsidRPr="00EB11D3" w:rsidRDefault="00B25DB7" w:rsidP="00B25DB7">
            <w:pPr>
              <w:spacing w:line="240" w:lineRule="auto"/>
              <w:rPr>
                <w:sz w:val="22"/>
              </w:rPr>
            </w:pPr>
            <w:r w:rsidRPr="00EB11D3">
              <w:rPr>
                <w:sz w:val="22"/>
              </w:rPr>
              <w:t>The study employed case study design.</w:t>
            </w:r>
          </w:p>
        </w:tc>
        <w:tc>
          <w:tcPr>
            <w:tcW w:w="789" w:type="pct"/>
            <w:tcBorders>
              <w:top w:val="nil"/>
              <w:left w:val="nil"/>
              <w:bottom w:val="nil"/>
              <w:right w:val="nil"/>
            </w:tcBorders>
          </w:tcPr>
          <w:p w14:paraId="3114148D" w14:textId="77777777" w:rsidR="00B25DB7" w:rsidRPr="00EB11D3" w:rsidRDefault="00B25DB7" w:rsidP="00B25DB7">
            <w:pPr>
              <w:spacing w:line="240" w:lineRule="auto"/>
              <w:rPr>
                <w:sz w:val="22"/>
              </w:rPr>
            </w:pPr>
            <w:r w:rsidRPr="00EB11D3">
              <w:rPr>
                <w:bCs/>
                <w:sz w:val="22"/>
              </w:rPr>
              <w:t xml:space="preserve">Positivism philosophy </w:t>
            </w:r>
            <w:r w:rsidR="00F407C4" w:rsidRPr="00EB11D3">
              <w:rPr>
                <w:bCs/>
                <w:sz w:val="22"/>
              </w:rPr>
              <w:t>was</w:t>
            </w:r>
            <w:r w:rsidRPr="00EB11D3">
              <w:rPr>
                <w:bCs/>
                <w:sz w:val="22"/>
              </w:rPr>
              <w:t xml:space="preserve"> used</w:t>
            </w:r>
          </w:p>
        </w:tc>
      </w:tr>
      <w:tr w:rsidR="0039483D" w:rsidRPr="00EB11D3" w14:paraId="64FCFBFF" w14:textId="77777777" w:rsidTr="0086115B">
        <w:trPr>
          <w:trHeight w:val="717"/>
        </w:trPr>
        <w:tc>
          <w:tcPr>
            <w:tcW w:w="625" w:type="pct"/>
            <w:tcBorders>
              <w:top w:val="nil"/>
              <w:left w:val="nil"/>
              <w:bottom w:val="nil"/>
              <w:right w:val="nil"/>
            </w:tcBorders>
          </w:tcPr>
          <w:p w14:paraId="45FDDF58" w14:textId="77777777" w:rsidR="00B25DB7" w:rsidRPr="00EB11D3" w:rsidRDefault="00B25DB7" w:rsidP="00BE1B62">
            <w:pPr>
              <w:spacing w:after="0" w:line="240" w:lineRule="auto"/>
              <w:rPr>
                <w:bCs/>
                <w:sz w:val="22"/>
                <w:lang w:val="zh-CN"/>
              </w:rPr>
            </w:pPr>
            <w:r w:rsidRPr="00EB11D3">
              <w:rPr>
                <w:rFonts w:eastAsia="DengXian"/>
                <w:sz w:val="22"/>
              </w:rPr>
              <w:t>Zelalem, Ali and Wodajo (2022</w:t>
            </w:r>
          </w:p>
        </w:tc>
        <w:tc>
          <w:tcPr>
            <w:tcW w:w="972" w:type="pct"/>
            <w:tcBorders>
              <w:top w:val="nil"/>
              <w:left w:val="nil"/>
              <w:bottom w:val="nil"/>
              <w:right w:val="nil"/>
            </w:tcBorders>
          </w:tcPr>
          <w:p w14:paraId="376DFD99" w14:textId="77777777" w:rsidR="00B25DB7" w:rsidRPr="00EB11D3" w:rsidRDefault="00B25DB7" w:rsidP="00BE1B62">
            <w:pPr>
              <w:spacing w:after="0" w:line="240" w:lineRule="auto"/>
              <w:rPr>
                <w:bCs/>
                <w:sz w:val="22"/>
                <w:lang w:val="zh-CN"/>
              </w:rPr>
            </w:pPr>
            <w:r w:rsidRPr="00EB11D3">
              <w:rPr>
                <w:bCs/>
                <w:sz w:val="22"/>
                <w:lang w:val="zh-CN"/>
              </w:rPr>
              <w:t>Corporate governance and financial performance in the emerging economy: The case of Ethiopian insurance companies</w:t>
            </w:r>
          </w:p>
        </w:tc>
        <w:tc>
          <w:tcPr>
            <w:tcW w:w="625" w:type="pct"/>
            <w:tcBorders>
              <w:top w:val="nil"/>
              <w:left w:val="nil"/>
              <w:bottom w:val="nil"/>
              <w:right w:val="nil"/>
            </w:tcBorders>
          </w:tcPr>
          <w:p w14:paraId="11A6AD21" w14:textId="77777777" w:rsidR="00B25DB7" w:rsidRPr="00EB11D3" w:rsidRDefault="00B25DB7" w:rsidP="00BE1B62">
            <w:pPr>
              <w:spacing w:after="0" w:line="240" w:lineRule="auto"/>
              <w:rPr>
                <w:bCs/>
                <w:sz w:val="22"/>
                <w:lang w:val="zh-CN"/>
              </w:rPr>
            </w:pPr>
            <w:r w:rsidRPr="00EB11D3">
              <w:rPr>
                <w:rFonts w:eastAsia="DengXian"/>
                <w:sz w:val="22"/>
              </w:rPr>
              <w:t xml:space="preserve">Explanatory </w:t>
            </w:r>
            <w:r w:rsidR="00C44B15" w:rsidRPr="00EB11D3">
              <w:rPr>
                <w:rFonts w:eastAsia="DengXian"/>
                <w:sz w:val="22"/>
              </w:rPr>
              <w:t>Research Design</w:t>
            </w:r>
          </w:p>
        </w:tc>
        <w:tc>
          <w:tcPr>
            <w:tcW w:w="1005" w:type="pct"/>
            <w:tcBorders>
              <w:top w:val="nil"/>
              <w:left w:val="nil"/>
              <w:bottom w:val="nil"/>
              <w:right w:val="nil"/>
            </w:tcBorders>
          </w:tcPr>
          <w:p w14:paraId="424C7699" w14:textId="77777777" w:rsidR="00B25DB7" w:rsidRPr="00EB11D3" w:rsidRDefault="00B25DB7" w:rsidP="00BE1B62">
            <w:pPr>
              <w:spacing w:after="0" w:line="240" w:lineRule="auto"/>
              <w:rPr>
                <w:bCs/>
                <w:sz w:val="22"/>
              </w:rPr>
            </w:pPr>
            <w:r w:rsidRPr="00EB11D3">
              <w:rPr>
                <w:bCs/>
                <w:sz w:val="22"/>
                <w:lang w:val="zh-CN"/>
              </w:rPr>
              <w:t>The study results indicated that corporate governance measures had a significant impact on insurance companies' financial performance </w:t>
            </w:r>
          </w:p>
        </w:tc>
        <w:tc>
          <w:tcPr>
            <w:tcW w:w="984" w:type="pct"/>
            <w:tcBorders>
              <w:top w:val="nil"/>
              <w:left w:val="nil"/>
              <w:bottom w:val="nil"/>
              <w:right w:val="nil"/>
            </w:tcBorders>
          </w:tcPr>
          <w:p w14:paraId="0A6E9A7C" w14:textId="77777777" w:rsidR="00544AF7" w:rsidRPr="00EB11D3" w:rsidRDefault="00544AF7" w:rsidP="00BE1B62">
            <w:pPr>
              <w:spacing w:after="0" w:line="240" w:lineRule="auto"/>
              <w:rPr>
                <w:bCs/>
                <w:sz w:val="22"/>
              </w:rPr>
            </w:pPr>
            <w:r w:rsidRPr="00EB11D3">
              <w:rPr>
                <w:bCs/>
                <w:sz w:val="22"/>
              </w:rPr>
              <w:t>Financial performance was considered as the outcome.</w:t>
            </w:r>
          </w:p>
          <w:p w14:paraId="502944CA" w14:textId="77777777" w:rsidR="00B25DB7" w:rsidRPr="00EB11D3" w:rsidRDefault="00544AF7" w:rsidP="00BE1B62">
            <w:pPr>
              <w:spacing w:after="0" w:line="240" w:lineRule="auto"/>
              <w:rPr>
                <w:bCs/>
                <w:sz w:val="22"/>
              </w:rPr>
            </w:pPr>
            <w:r w:rsidRPr="00EB11D3">
              <w:rPr>
                <w:bCs/>
                <w:sz w:val="22"/>
              </w:rPr>
              <w:t xml:space="preserve">Non-financial parameters were not considered </w:t>
            </w:r>
          </w:p>
          <w:p w14:paraId="5A40C6A2" w14:textId="77777777" w:rsidR="00BE1B62" w:rsidRPr="00EB11D3" w:rsidRDefault="00BE1B62" w:rsidP="00BE1B62">
            <w:pPr>
              <w:spacing w:after="0" w:line="240" w:lineRule="auto"/>
              <w:rPr>
                <w:bCs/>
                <w:sz w:val="22"/>
              </w:rPr>
            </w:pPr>
            <w:r w:rsidRPr="00EB11D3">
              <w:rPr>
                <w:bCs/>
                <w:sz w:val="22"/>
              </w:rPr>
              <w:t>Study done among banks</w:t>
            </w:r>
          </w:p>
        </w:tc>
        <w:tc>
          <w:tcPr>
            <w:tcW w:w="789" w:type="pct"/>
            <w:tcBorders>
              <w:top w:val="nil"/>
              <w:left w:val="nil"/>
              <w:bottom w:val="nil"/>
              <w:right w:val="nil"/>
            </w:tcBorders>
          </w:tcPr>
          <w:p w14:paraId="0211191C" w14:textId="77777777" w:rsidR="00B25DB7" w:rsidRPr="00EB11D3" w:rsidRDefault="00B25DB7" w:rsidP="00BE1B62">
            <w:pPr>
              <w:spacing w:after="0" w:line="240" w:lineRule="auto"/>
              <w:rPr>
                <w:bCs/>
                <w:sz w:val="22"/>
              </w:rPr>
            </w:pPr>
            <w:r w:rsidRPr="00EB11D3">
              <w:rPr>
                <w:bCs/>
                <w:sz w:val="22"/>
              </w:rPr>
              <w:t xml:space="preserve">This study </w:t>
            </w:r>
            <w:r w:rsidR="00BE1B62" w:rsidRPr="00EB11D3">
              <w:rPr>
                <w:bCs/>
                <w:sz w:val="22"/>
              </w:rPr>
              <w:t>introduce</w:t>
            </w:r>
            <w:r w:rsidR="00F407C4" w:rsidRPr="00EB11D3">
              <w:rPr>
                <w:bCs/>
                <w:sz w:val="22"/>
              </w:rPr>
              <w:t>d</w:t>
            </w:r>
            <w:r w:rsidR="00BE1B62" w:rsidRPr="00EB11D3">
              <w:rPr>
                <w:bCs/>
                <w:sz w:val="22"/>
              </w:rPr>
              <w:t xml:space="preserve"> other parameters to measure performance of </w:t>
            </w:r>
            <w:r w:rsidR="0038019E" w:rsidRPr="00EB11D3">
              <w:rPr>
                <w:bCs/>
                <w:sz w:val="22"/>
              </w:rPr>
              <w:t>faith-</w:t>
            </w:r>
            <w:r w:rsidR="00BE1B62" w:rsidRPr="00EB11D3">
              <w:rPr>
                <w:bCs/>
                <w:sz w:val="22"/>
              </w:rPr>
              <w:t xml:space="preserve">based hospitals </w:t>
            </w:r>
          </w:p>
        </w:tc>
      </w:tr>
      <w:tr w:rsidR="0039483D" w:rsidRPr="00EB11D3" w14:paraId="36C65BEB" w14:textId="77777777" w:rsidTr="0086115B">
        <w:trPr>
          <w:trHeight w:val="717"/>
        </w:trPr>
        <w:tc>
          <w:tcPr>
            <w:tcW w:w="625" w:type="pct"/>
            <w:tcBorders>
              <w:top w:val="nil"/>
              <w:left w:val="nil"/>
              <w:bottom w:val="nil"/>
              <w:right w:val="nil"/>
            </w:tcBorders>
          </w:tcPr>
          <w:p w14:paraId="585C41A6" w14:textId="77777777" w:rsidR="00B25DB7" w:rsidRPr="00EB11D3" w:rsidRDefault="00B25DB7" w:rsidP="00BE1B62">
            <w:pPr>
              <w:spacing w:after="0" w:line="240" w:lineRule="auto"/>
              <w:rPr>
                <w:rFonts w:eastAsia="DengXian"/>
                <w:sz w:val="22"/>
              </w:rPr>
            </w:pPr>
            <w:r w:rsidRPr="00EB11D3">
              <w:rPr>
                <w:sz w:val="22"/>
              </w:rPr>
              <w:t>Graafland and Bovenberg (2020)</w:t>
            </w:r>
          </w:p>
        </w:tc>
        <w:tc>
          <w:tcPr>
            <w:tcW w:w="972" w:type="pct"/>
            <w:tcBorders>
              <w:top w:val="nil"/>
              <w:left w:val="nil"/>
              <w:bottom w:val="nil"/>
              <w:right w:val="nil"/>
            </w:tcBorders>
          </w:tcPr>
          <w:p w14:paraId="664F703E" w14:textId="77777777" w:rsidR="00B25DB7" w:rsidRPr="00EB11D3" w:rsidRDefault="00B25DB7" w:rsidP="00BE1B62">
            <w:pPr>
              <w:spacing w:after="0"/>
              <w:rPr>
                <w:sz w:val="22"/>
              </w:rPr>
            </w:pPr>
            <w:r w:rsidRPr="00EB11D3">
              <w:rPr>
                <w:sz w:val="22"/>
              </w:rPr>
              <w:t>Government regulation, business leaders' motivations and environmental performance of SMEs</w:t>
            </w:r>
          </w:p>
        </w:tc>
        <w:tc>
          <w:tcPr>
            <w:tcW w:w="625" w:type="pct"/>
            <w:tcBorders>
              <w:top w:val="nil"/>
              <w:left w:val="nil"/>
              <w:bottom w:val="nil"/>
              <w:right w:val="nil"/>
            </w:tcBorders>
          </w:tcPr>
          <w:p w14:paraId="1091ECCB" w14:textId="77777777" w:rsidR="00B25DB7" w:rsidRPr="00EB11D3" w:rsidRDefault="00B25DB7" w:rsidP="00BE1B62">
            <w:pPr>
              <w:spacing w:after="0" w:line="240" w:lineRule="auto"/>
              <w:rPr>
                <w:rFonts w:eastAsia="DengXian"/>
                <w:sz w:val="22"/>
              </w:rPr>
            </w:pPr>
            <w:r w:rsidRPr="00EB11D3">
              <w:rPr>
                <w:bCs/>
                <w:sz w:val="22"/>
                <w:lang w:val="zh-CN"/>
              </w:rPr>
              <w:t xml:space="preserve">Descriptive </w:t>
            </w:r>
            <w:r w:rsidR="00C44B15" w:rsidRPr="00EB11D3">
              <w:rPr>
                <w:bCs/>
                <w:sz w:val="22"/>
              </w:rPr>
              <w:t>D</w:t>
            </w:r>
            <w:r w:rsidR="00C44B15" w:rsidRPr="00EB11D3">
              <w:rPr>
                <w:bCs/>
                <w:sz w:val="22"/>
                <w:lang w:val="zh-CN"/>
              </w:rPr>
              <w:t>esign</w:t>
            </w:r>
          </w:p>
        </w:tc>
        <w:tc>
          <w:tcPr>
            <w:tcW w:w="1005" w:type="pct"/>
            <w:tcBorders>
              <w:top w:val="nil"/>
              <w:left w:val="nil"/>
              <w:bottom w:val="nil"/>
              <w:right w:val="nil"/>
            </w:tcBorders>
          </w:tcPr>
          <w:p w14:paraId="4935DB4C" w14:textId="77777777" w:rsidR="00B25DB7" w:rsidRPr="00EB11D3" w:rsidRDefault="00B25DB7" w:rsidP="00BE1B62">
            <w:pPr>
              <w:spacing w:after="0" w:line="240" w:lineRule="auto"/>
              <w:rPr>
                <w:bCs/>
                <w:sz w:val="22"/>
                <w:lang w:val="zh-CN"/>
              </w:rPr>
            </w:pPr>
            <w:r w:rsidRPr="00EB11D3">
              <w:rPr>
                <w:sz w:val="22"/>
              </w:rPr>
              <w:t>Direct positive effect of government regulation on performance of SMEs was revealed</w:t>
            </w:r>
          </w:p>
        </w:tc>
        <w:tc>
          <w:tcPr>
            <w:tcW w:w="984" w:type="pct"/>
            <w:tcBorders>
              <w:top w:val="nil"/>
              <w:left w:val="nil"/>
              <w:bottom w:val="nil"/>
              <w:right w:val="nil"/>
            </w:tcBorders>
          </w:tcPr>
          <w:p w14:paraId="322ACB40" w14:textId="77777777" w:rsidR="00B25DB7" w:rsidRPr="00EB11D3" w:rsidRDefault="00B25DB7" w:rsidP="00BE1B62">
            <w:pPr>
              <w:spacing w:after="0" w:line="240" w:lineRule="auto"/>
              <w:rPr>
                <w:bCs/>
                <w:sz w:val="22"/>
              </w:rPr>
            </w:pPr>
            <w:r w:rsidRPr="00EB11D3">
              <w:rPr>
                <w:bCs/>
                <w:sz w:val="22"/>
              </w:rPr>
              <w:t xml:space="preserve">Methodological gap. </w:t>
            </w:r>
            <w:r w:rsidRPr="00EB11D3">
              <w:rPr>
                <w:sz w:val="22"/>
              </w:rPr>
              <w:t>This study depicted methodological gap as the survey was done using interview schedule.</w:t>
            </w:r>
          </w:p>
        </w:tc>
        <w:tc>
          <w:tcPr>
            <w:tcW w:w="789" w:type="pct"/>
            <w:tcBorders>
              <w:top w:val="nil"/>
              <w:left w:val="nil"/>
              <w:bottom w:val="nil"/>
              <w:right w:val="nil"/>
            </w:tcBorders>
          </w:tcPr>
          <w:p w14:paraId="2EC42B85" w14:textId="77777777" w:rsidR="00B25DB7" w:rsidRPr="00EB11D3" w:rsidRDefault="00B25DB7" w:rsidP="00BE1B62">
            <w:pPr>
              <w:spacing w:after="0" w:line="240" w:lineRule="auto"/>
              <w:rPr>
                <w:bCs/>
                <w:sz w:val="22"/>
              </w:rPr>
            </w:pPr>
            <w:r w:rsidRPr="00EB11D3">
              <w:rPr>
                <w:sz w:val="22"/>
              </w:rPr>
              <w:t>This study use</w:t>
            </w:r>
            <w:r w:rsidR="00F407C4" w:rsidRPr="00EB11D3">
              <w:rPr>
                <w:sz w:val="22"/>
              </w:rPr>
              <w:t>d</w:t>
            </w:r>
            <w:r w:rsidRPr="00EB11D3">
              <w:rPr>
                <w:sz w:val="22"/>
              </w:rPr>
              <w:t xml:space="preserve"> questionnaires to obtain primary data.</w:t>
            </w:r>
          </w:p>
        </w:tc>
      </w:tr>
      <w:tr w:rsidR="00B25DB7" w:rsidRPr="00EB11D3" w14:paraId="1CC9E7CC" w14:textId="77777777" w:rsidTr="0086115B">
        <w:trPr>
          <w:trHeight w:val="717"/>
        </w:trPr>
        <w:tc>
          <w:tcPr>
            <w:tcW w:w="625" w:type="pct"/>
            <w:tcBorders>
              <w:top w:val="nil"/>
              <w:left w:val="nil"/>
              <w:bottom w:val="single" w:sz="4" w:space="0" w:color="auto"/>
              <w:right w:val="nil"/>
            </w:tcBorders>
          </w:tcPr>
          <w:p w14:paraId="72C10E99" w14:textId="77777777" w:rsidR="00B25DB7" w:rsidRPr="00EB11D3" w:rsidRDefault="00B25DB7" w:rsidP="00B25DB7">
            <w:pPr>
              <w:spacing w:line="240" w:lineRule="auto"/>
              <w:rPr>
                <w:sz w:val="22"/>
              </w:rPr>
            </w:pPr>
            <w:r w:rsidRPr="00EB11D3">
              <w:rPr>
                <w:sz w:val="22"/>
              </w:rPr>
              <w:t>Brown (2019)</w:t>
            </w:r>
          </w:p>
        </w:tc>
        <w:tc>
          <w:tcPr>
            <w:tcW w:w="972" w:type="pct"/>
            <w:tcBorders>
              <w:top w:val="nil"/>
              <w:left w:val="nil"/>
              <w:bottom w:val="single" w:sz="4" w:space="0" w:color="auto"/>
              <w:right w:val="nil"/>
            </w:tcBorders>
          </w:tcPr>
          <w:p w14:paraId="735A07AE" w14:textId="77777777" w:rsidR="00B25DB7" w:rsidRPr="00EB11D3" w:rsidRDefault="00B25DB7" w:rsidP="00B25DB7">
            <w:pPr>
              <w:rPr>
                <w:sz w:val="22"/>
              </w:rPr>
            </w:pPr>
            <w:r w:rsidRPr="00EB11D3">
              <w:rPr>
                <w:sz w:val="22"/>
              </w:rPr>
              <w:t xml:space="preserve">Understanding corporate governance of healthcare quality: a comparative case study of eight Australian public hospitals. </w:t>
            </w:r>
          </w:p>
        </w:tc>
        <w:tc>
          <w:tcPr>
            <w:tcW w:w="625" w:type="pct"/>
            <w:tcBorders>
              <w:top w:val="nil"/>
              <w:left w:val="nil"/>
              <w:bottom w:val="single" w:sz="4" w:space="0" w:color="auto"/>
              <w:right w:val="nil"/>
            </w:tcBorders>
          </w:tcPr>
          <w:p w14:paraId="5FE5810A" w14:textId="77777777" w:rsidR="00B25DB7" w:rsidRPr="00EB11D3" w:rsidRDefault="00B25DB7" w:rsidP="00B25DB7">
            <w:pPr>
              <w:spacing w:line="240" w:lineRule="auto"/>
              <w:rPr>
                <w:bCs/>
                <w:sz w:val="22"/>
                <w:lang w:val="zh-CN"/>
              </w:rPr>
            </w:pPr>
            <w:r w:rsidRPr="00EB11D3">
              <w:rPr>
                <w:sz w:val="22"/>
              </w:rPr>
              <w:t xml:space="preserve">A </w:t>
            </w:r>
            <w:r w:rsidR="00C44B15" w:rsidRPr="00EB11D3">
              <w:rPr>
                <w:sz w:val="22"/>
              </w:rPr>
              <w:t>Comparative Case Study</w:t>
            </w:r>
          </w:p>
        </w:tc>
        <w:tc>
          <w:tcPr>
            <w:tcW w:w="1005" w:type="pct"/>
            <w:tcBorders>
              <w:top w:val="nil"/>
              <w:left w:val="nil"/>
              <w:bottom w:val="single" w:sz="4" w:space="0" w:color="auto"/>
              <w:right w:val="nil"/>
            </w:tcBorders>
          </w:tcPr>
          <w:p w14:paraId="02944CF4" w14:textId="77777777" w:rsidR="00B25DB7" w:rsidRPr="00EB11D3" w:rsidRDefault="00B25DB7" w:rsidP="00B25DB7">
            <w:pPr>
              <w:spacing w:line="240" w:lineRule="auto"/>
              <w:rPr>
                <w:sz w:val="22"/>
              </w:rPr>
            </w:pPr>
            <w:r w:rsidRPr="00EB11D3">
              <w:rPr>
                <w:sz w:val="22"/>
              </w:rPr>
              <w:t>A statistically significant relationship between corporate governance and healthcare quality among eight public hospitals was revealed</w:t>
            </w:r>
          </w:p>
        </w:tc>
        <w:tc>
          <w:tcPr>
            <w:tcW w:w="984" w:type="pct"/>
            <w:tcBorders>
              <w:top w:val="nil"/>
              <w:left w:val="nil"/>
              <w:bottom w:val="single" w:sz="4" w:space="0" w:color="auto"/>
              <w:right w:val="nil"/>
            </w:tcBorders>
          </w:tcPr>
          <w:p w14:paraId="0E58EAD6" w14:textId="77777777" w:rsidR="00B25DB7" w:rsidRPr="00EB11D3" w:rsidRDefault="00B25DB7" w:rsidP="00B25DB7">
            <w:pPr>
              <w:spacing w:line="240" w:lineRule="auto"/>
              <w:rPr>
                <w:bCs/>
                <w:sz w:val="22"/>
              </w:rPr>
            </w:pPr>
            <w:r w:rsidRPr="00EB11D3">
              <w:rPr>
                <w:sz w:val="22"/>
              </w:rPr>
              <w:t>A contextual gap as it focused on public hospital</w:t>
            </w:r>
          </w:p>
        </w:tc>
        <w:tc>
          <w:tcPr>
            <w:tcW w:w="789" w:type="pct"/>
            <w:tcBorders>
              <w:top w:val="nil"/>
              <w:left w:val="nil"/>
              <w:bottom w:val="single" w:sz="4" w:space="0" w:color="auto"/>
              <w:right w:val="nil"/>
            </w:tcBorders>
          </w:tcPr>
          <w:p w14:paraId="0435BE15" w14:textId="77777777" w:rsidR="00B25DB7" w:rsidRPr="00EB11D3" w:rsidRDefault="00B25DB7" w:rsidP="00B25DB7">
            <w:pPr>
              <w:spacing w:line="240" w:lineRule="auto"/>
              <w:rPr>
                <w:sz w:val="22"/>
              </w:rPr>
            </w:pPr>
            <w:r w:rsidRPr="00EB11D3">
              <w:rPr>
                <w:sz w:val="22"/>
              </w:rPr>
              <w:t xml:space="preserve">This study </w:t>
            </w:r>
            <w:r w:rsidR="0038019E" w:rsidRPr="00EB11D3">
              <w:rPr>
                <w:sz w:val="22"/>
              </w:rPr>
              <w:t>was</w:t>
            </w:r>
            <w:r w:rsidRPr="00EB11D3">
              <w:rPr>
                <w:sz w:val="22"/>
              </w:rPr>
              <w:t xml:space="preserve"> conducted among faith-based hospitals in Kenya</w:t>
            </w:r>
          </w:p>
        </w:tc>
      </w:tr>
    </w:tbl>
    <w:p w14:paraId="08CE517B" w14:textId="77777777" w:rsidR="00AE474F" w:rsidRPr="00EB11D3" w:rsidRDefault="00AE474F">
      <w:pPr>
        <w:spacing w:after="160" w:line="259" w:lineRule="auto"/>
        <w:jc w:val="left"/>
        <w:rPr>
          <w:szCs w:val="24"/>
        </w:rPr>
        <w:sectPr w:rsidR="00AE474F" w:rsidRPr="00EB11D3" w:rsidSect="005F6C66">
          <w:pgSz w:w="15840" w:h="12240" w:orient="landscape"/>
          <w:pgMar w:top="1440" w:right="1440" w:bottom="1440" w:left="1440" w:header="720" w:footer="720" w:gutter="0"/>
          <w:cols w:space="720"/>
          <w:docGrid w:linePitch="360"/>
        </w:sectPr>
      </w:pPr>
    </w:p>
    <w:p w14:paraId="6E18A363" w14:textId="77777777" w:rsidR="00DC0D7C" w:rsidRPr="00EB11D3" w:rsidRDefault="00212BDF" w:rsidP="00AE474F">
      <w:pPr>
        <w:pStyle w:val="Heading2"/>
        <w:keepNext w:val="0"/>
        <w:keepLines w:val="0"/>
        <w:spacing w:before="100" w:beforeAutospacing="1" w:after="100" w:afterAutospacing="1" w:line="240" w:lineRule="auto"/>
        <w:jc w:val="both"/>
        <w:rPr>
          <w:bCs/>
          <w:szCs w:val="24"/>
        </w:rPr>
      </w:pPr>
      <w:bookmarkStart w:id="308" w:name="_Toc177387835"/>
      <w:r w:rsidRPr="00EB11D3">
        <w:rPr>
          <w:bCs/>
          <w:szCs w:val="24"/>
        </w:rPr>
        <w:t xml:space="preserve">2.4 </w:t>
      </w:r>
      <w:bookmarkEnd w:id="306"/>
      <w:r w:rsidRPr="00EB11D3">
        <w:rPr>
          <w:bCs/>
          <w:szCs w:val="24"/>
        </w:rPr>
        <w:t>Hypothes</w:t>
      </w:r>
      <w:r w:rsidR="00810750">
        <w:rPr>
          <w:bCs/>
          <w:szCs w:val="24"/>
        </w:rPr>
        <w:t>e</w:t>
      </w:r>
      <w:r w:rsidRPr="00EB11D3">
        <w:rPr>
          <w:bCs/>
          <w:szCs w:val="24"/>
        </w:rPr>
        <w:t>s of the Study</w:t>
      </w:r>
      <w:bookmarkEnd w:id="308"/>
    </w:p>
    <w:p w14:paraId="424106A6" w14:textId="77777777" w:rsidR="00276EEC" w:rsidRPr="00EB11D3" w:rsidRDefault="00276EEC">
      <w:pPr>
        <w:spacing w:line="360" w:lineRule="auto"/>
        <w:rPr>
          <w:b/>
          <w:bCs/>
          <w:szCs w:val="24"/>
          <w:lang w:val="zh-CN"/>
        </w:rPr>
      </w:pPr>
      <w:r w:rsidRPr="00EB11D3">
        <w:rPr>
          <w:szCs w:val="24"/>
          <w:lang w:val="zh-CN"/>
        </w:rPr>
        <w:t>There are two types of research hypotheses: the null hypothesis, denoted as H</w:t>
      </w:r>
      <w:r w:rsidRPr="00EB11D3">
        <w:rPr>
          <w:szCs w:val="24"/>
          <w:vertAlign w:val="subscript"/>
          <w:lang w:val="zh-CN"/>
        </w:rPr>
        <w:t>0</w:t>
      </w:r>
      <w:r w:rsidRPr="00EB11D3">
        <w:rPr>
          <w:szCs w:val="24"/>
          <w:lang w:val="zh-CN"/>
        </w:rPr>
        <w:t>, and the alternative hypothesis, denoted as H</w:t>
      </w:r>
      <w:r w:rsidRPr="00EB11D3">
        <w:rPr>
          <w:szCs w:val="24"/>
          <w:vertAlign w:val="subscript"/>
          <w:lang w:val="zh-CN"/>
        </w:rPr>
        <w:t>1</w:t>
      </w:r>
      <w:r w:rsidRPr="00EB11D3">
        <w:rPr>
          <w:szCs w:val="24"/>
          <w:lang w:val="zh-CN"/>
        </w:rPr>
        <w:t>. This study adopt</w:t>
      </w:r>
      <w:r w:rsidR="00F407C4" w:rsidRPr="00EB11D3">
        <w:rPr>
          <w:szCs w:val="24"/>
        </w:rPr>
        <w:t>ed</w:t>
      </w:r>
      <w:r w:rsidRPr="00EB11D3">
        <w:rPr>
          <w:szCs w:val="24"/>
          <w:lang w:val="zh-CN"/>
        </w:rPr>
        <w:t xml:space="preserve"> a null hypothesis. Null hypotheses </w:t>
      </w:r>
      <w:r w:rsidR="00F407C4" w:rsidRPr="00EB11D3">
        <w:rPr>
          <w:szCs w:val="24"/>
        </w:rPr>
        <w:t>was</w:t>
      </w:r>
      <w:r w:rsidRPr="00EB11D3">
        <w:rPr>
          <w:szCs w:val="24"/>
          <w:lang w:val="zh-CN"/>
        </w:rPr>
        <w:t xml:space="preserve"> tested at 95% confidence level ( = 0.05), where the observed difference is "not significant" when P - value ≥ 0.5 and "significant" when P - value 0.5.  </w:t>
      </w:r>
    </w:p>
    <w:p w14:paraId="53A8E78B" w14:textId="77777777" w:rsidR="00DC0D7C" w:rsidRPr="00EB11D3" w:rsidRDefault="00212BDF">
      <w:pPr>
        <w:spacing w:line="360" w:lineRule="auto"/>
        <w:rPr>
          <w:szCs w:val="24"/>
        </w:rPr>
      </w:pPr>
      <w:r w:rsidRPr="00EB11D3">
        <w:rPr>
          <w:b/>
          <w:szCs w:val="24"/>
        </w:rPr>
        <w:t>H</w:t>
      </w:r>
      <w:r w:rsidRPr="00EB11D3">
        <w:rPr>
          <w:b/>
          <w:szCs w:val="24"/>
          <w:vertAlign w:val="subscript"/>
        </w:rPr>
        <w:t>01:</w:t>
      </w:r>
      <w:r w:rsidRPr="00EB11D3">
        <w:rPr>
          <w:szCs w:val="24"/>
          <w:vertAlign w:val="subscript"/>
        </w:rPr>
        <w:t xml:space="preserve"> </w:t>
      </w:r>
      <w:r w:rsidRPr="00EB11D3">
        <w:rPr>
          <w:szCs w:val="24"/>
        </w:rPr>
        <w:t xml:space="preserve"> There is no significant </w:t>
      </w:r>
      <w:r w:rsidR="00346339" w:rsidRPr="00EB11D3">
        <w:rPr>
          <w:szCs w:val="24"/>
        </w:rPr>
        <w:t>effect of</w:t>
      </w:r>
      <w:r w:rsidRPr="00EB11D3">
        <w:rPr>
          <w:szCs w:val="24"/>
        </w:rPr>
        <w:t xml:space="preserve"> </w:t>
      </w:r>
      <w:r w:rsidRPr="00EB11D3">
        <w:rPr>
          <w:szCs w:val="24"/>
          <w:lang w:val="en"/>
        </w:rPr>
        <w:t xml:space="preserve">corporate governance </w:t>
      </w:r>
      <w:r w:rsidR="00346339" w:rsidRPr="00EB11D3">
        <w:rPr>
          <w:szCs w:val="24"/>
          <w:lang w:val="en"/>
        </w:rPr>
        <w:t xml:space="preserve">on </w:t>
      </w:r>
      <w:r w:rsidRPr="00EB11D3">
        <w:rPr>
          <w:szCs w:val="24"/>
        </w:rPr>
        <w:t>organisational performance</w:t>
      </w:r>
      <w:r w:rsidRPr="00EB11D3">
        <w:rPr>
          <w:szCs w:val="24"/>
          <w:lang w:val="en"/>
        </w:rPr>
        <w:t xml:space="preserve"> of faith-based hospital in Kenya</w:t>
      </w:r>
      <w:r w:rsidRPr="00EB11D3">
        <w:rPr>
          <w:szCs w:val="24"/>
        </w:rPr>
        <w:t>.</w:t>
      </w:r>
    </w:p>
    <w:p w14:paraId="11C7A627" w14:textId="77777777" w:rsidR="00DC0D7C" w:rsidRPr="00EB11D3" w:rsidRDefault="00212BDF">
      <w:pPr>
        <w:spacing w:line="360" w:lineRule="auto"/>
        <w:rPr>
          <w:szCs w:val="24"/>
        </w:rPr>
      </w:pPr>
      <w:r w:rsidRPr="00EB11D3">
        <w:rPr>
          <w:b/>
          <w:szCs w:val="24"/>
        </w:rPr>
        <w:t>H</w:t>
      </w:r>
      <w:r w:rsidRPr="00EB11D3">
        <w:rPr>
          <w:b/>
          <w:szCs w:val="24"/>
          <w:vertAlign w:val="subscript"/>
        </w:rPr>
        <w:t>02:</w:t>
      </w:r>
      <w:r w:rsidRPr="00EB11D3">
        <w:rPr>
          <w:szCs w:val="24"/>
          <w:vertAlign w:val="subscript"/>
        </w:rPr>
        <w:t xml:space="preserve"> </w:t>
      </w:r>
      <w:r w:rsidRPr="00EB11D3">
        <w:rPr>
          <w:szCs w:val="24"/>
        </w:rPr>
        <w:t xml:space="preserve"> There is no significant mediating effect of service innovation in the relationship between </w:t>
      </w:r>
      <w:r w:rsidRPr="00EB11D3">
        <w:rPr>
          <w:szCs w:val="24"/>
          <w:lang w:val="en"/>
        </w:rPr>
        <w:t xml:space="preserve">corporate governance </w:t>
      </w:r>
      <w:r w:rsidRPr="00EB11D3">
        <w:rPr>
          <w:szCs w:val="24"/>
        </w:rPr>
        <w:t>and organisational performance of faith-based hospital in Kenya.</w:t>
      </w:r>
    </w:p>
    <w:p w14:paraId="333DD3CD" w14:textId="77777777" w:rsidR="00DC0D7C" w:rsidRPr="00EB11D3" w:rsidRDefault="00212BDF">
      <w:pPr>
        <w:spacing w:line="360" w:lineRule="auto"/>
        <w:rPr>
          <w:szCs w:val="24"/>
        </w:rPr>
      </w:pPr>
      <w:r w:rsidRPr="00EB11D3">
        <w:rPr>
          <w:b/>
          <w:szCs w:val="24"/>
        </w:rPr>
        <w:t>H</w:t>
      </w:r>
      <w:r w:rsidRPr="00EB11D3">
        <w:rPr>
          <w:b/>
          <w:szCs w:val="24"/>
          <w:vertAlign w:val="subscript"/>
        </w:rPr>
        <w:t>03</w:t>
      </w:r>
      <w:r w:rsidRPr="00EB11D3">
        <w:rPr>
          <w:szCs w:val="24"/>
          <w:vertAlign w:val="subscript"/>
        </w:rPr>
        <w:t xml:space="preserve">: </w:t>
      </w:r>
      <w:r w:rsidRPr="00EB11D3">
        <w:rPr>
          <w:szCs w:val="24"/>
        </w:rPr>
        <w:t xml:space="preserve"> There is no significant moderating effect of government regulations on the relationship between </w:t>
      </w:r>
      <w:r w:rsidRPr="00EB11D3">
        <w:rPr>
          <w:szCs w:val="24"/>
          <w:lang w:val="en"/>
        </w:rPr>
        <w:t xml:space="preserve">corporate governance </w:t>
      </w:r>
      <w:r w:rsidRPr="00EB11D3">
        <w:rPr>
          <w:szCs w:val="24"/>
        </w:rPr>
        <w:t>and organisational performance of faith-based hospital in Kenya.</w:t>
      </w:r>
    </w:p>
    <w:p w14:paraId="65F32AB3" w14:textId="77777777" w:rsidR="00DC0D7C" w:rsidRPr="00EB11D3" w:rsidRDefault="00212BDF">
      <w:pPr>
        <w:spacing w:line="360" w:lineRule="auto"/>
        <w:rPr>
          <w:szCs w:val="24"/>
          <w:lang w:val="zh-CN"/>
        </w:rPr>
      </w:pPr>
      <w:r w:rsidRPr="00EB11D3">
        <w:rPr>
          <w:b/>
          <w:bCs/>
          <w:szCs w:val="24"/>
          <w:lang w:val="zh-CN"/>
        </w:rPr>
        <w:t>H0</w:t>
      </w:r>
      <w:r w:rsidRPr="00EB11D3">
        <w:rPr>
          <w:b/>
          <w:bCs/>
          <w:szCs w:val="24"/>
          <w:vertAlign w:val="subscript"/>
          <w:lang w:val="zh-CN"/>
        </w:rPr>
        <w:t>4</w:t>
      </w:r>
      <w:r w:rsidRPr="00EB11D3">
        <w:rPr>
          <w:szCs w:val="24"/>
          <w:lang w:val="zh-CN"/>
        </w:rPr>
        <w:t xml:space="preserve">: There is no significant </w:t>
      </w:r>
      <w:r w:rsidR="00E70D07" w:rsidRPr="00EB11D3">
        <w:rPr>
          <w:szCs w:val="24"/>
          <w:lang w:val="zh-CN"/>
        </w:rPr>
        <w:t xml:space="preserve">mediated moderation </w:t>
      </w:r>
      <w:r w:rsidR="006435C7" w:rsidRPr="00EB11D3">
        <w:rPr>
          <w:szCs w:val="24"/>
          <w:lang w:val="zh-CN"/>
        </w:rPr>
        <w:t xml:space="preserve">effect of </w:t>
      </w:r>
      <w:r w:rsidR="006A7649" w:rsidRPr="00EB11D3">
        <w:rPr>
          <w:szCs w:val="24"/>
          <w:lang w:val="zh-CN"/>
        </w:rPr>
        <w:t>service</w:t>
      </w:r>
      <w:r w:rsidR="006A7649" w:rsidRPr="00EB11D3">
        <w:rPr>
          <w:szCs w:val="24"/>
          <w:lang w:val="en"/>
        </w:rPr>
        <w:t xml:space="preserve"> innovation and government regulation</w:t>
      </w:r>
      <w:r w:rsidR="006435C7" w:rsidRPr="00EB11D3">
        <w:rPr>
          <w:szCs w:val="24"/>
          <w:lang w:val="zh-CN"/>
        </w:rPr>
        <w:t xml:space="preserve"> on the relationship between corporate governance and </w:t>
      </w:r>
      <w:r w:rsidR="006D5C62" w:rsidRPr="00EB11D3">
        <w:rPr>
          <w:szCs w:val="24"/>
          <w:lang w:val="zh-CN"/>
        </w:rPr>
        <w:t>organisational performance of Faith-Based Hospitals</w:t>
      </w:r>
      <w:r w:rsidR="006435C7" w:rsidRPr="00EB11D3">
        <w:rPr>
          <w:szCs w:val="24"/>
          <w:lang w:val="zh-CN"/>
        </w:rPr>
        <w:t xml:space="preserve"> in Kenya</w:t>
      </w:r>
      <w:r w:rsidRPr="00EB11D3">
        <w:rPr>
          <w:szCs w:val="24"/>
        </w:rPr>
        <w:t>.</w:t>
      </w:r>
    </w:p>
    <w:p w14:paraId="3CB9FCF4" w14:textId="77777777" w:rsidR="00DC0D7C" w:rsidRPr="00EB11D3" w:rsidRDefault="00212BDF">
      <w:pPr>
        <w:pStyle w:val="Heading2"/>
        <w:keepNext w:val="0"/>
        <w:keepLines w:val="0"/>
        <w:spacing w:before="100" w:beforeAutospacing="1" w:after="100" w:afterAutospacing="1" w:line="240" w:lineRule="auto"/>
        <w:jc w:val="both"/>
        <w:rPr>
          <w:bCs/>
          <w:szCs w:val="24"/>
        </w:rPr>
      </w:pPr>
      <w:bookmarkStart w:id="309" w:name="_Toc177387836"/>
      <w:r w:rsidRPr="00EB11D3">
        <w:rPr>
          <w:bCs/>
          <w:szCs w:val="24"/>
        </w:rPr>
        <w:t>2.5 Conceptual Framework</w:t>
      </w:r>
      <w:bookmarkEnd w:id="309"/>
    </w:p>
    <w:p w14:paraId="4629F402" w14:textId="77777777" w:rsidR="002E298F" w:rsidRPr="00EB11D3" w:rsidRDefault="00754923">
      <w:pPr>
        <w:spacing w:line="360" w:lineRule="auto"/>
        <w:rPr>
          <w:szCs w:val="24"/>
          <w:lang w:val="en"/>
        </w:rPr>
      </w:pPr>
      <w:r w:rsidRPr="00EB11D3">
        <w:rPr>
          <w:szCs w:val="24"/>
        </w:rPr>
        <w:t xml:space="preserve">Figure 1 depicts the relationships between variables in the conceptual framework. The independent variable is corporate governance, and the dependent variable is the </w:t>
      </w:r>
      <w:r w:rsidR="006D5C62" w:rsidRPr="00EB11D3">
        <w:rPr>
          <w:szCs w:val="24"/>
        </w:rPr>
        <w:t>organisational performance of Faith-Based Hospitals</w:t>
      </w:r>
      <w:r w:rsidRPr="00EB11D3">
        <w:rPr>
          <w:szCs w:val="24"/>
        </w:rPr>
        <w:t xml:space="preserve"> in Kenya. Service innovation is </w:t>
      </w:r>
      <w:r w:rsidR="00F63B2D" w:rsidRPr="00EB11D3">
        <w:rPr>
          <w:szCs w:val="24"/>
        </w:rPr>
        <w:t>th</w:t>
      </w:r>
      <w:r w:rsidR="00CC6982" w:rsidRPr="00EB11D3">
        <w:rPr>
          <w:szCs w:val="24"/>
        </w:rPr>
        <w:t>e</w:t>
      </w:r>
      <w:r w:rsidRPr="00EB11D3">
        <w:rPr>
          <w:szCs w:val="24"/>
        </w:rPr>
        <w:t xml:space="preserve"> </w:t>
      </w:r>
      <w:r w:rsidR="00CC6982" w:rsidRPr="00EB11D3">
        <w:rPr>
          <w:szCs w:val="24"/>
        </w:rPr>
        <w:t>medi</w:t>
      </w:r>
      <w:r w:rsidRPr="00EB11D3">
        <w:rPr>
          <w:szCs w:val="24"/>
        </w:rPr>
        <w:t>ating variable </w:t>
      </w:r>
      <w:r w:rsidR="00CC6982" w:rsidRPr="00EB11D3">
        <w:rPr>
          <w:szCs w:val="24"/>
        </w:rPr>
        <w:t xml:space="preserve">while the </w:t>
      </w:r>
      <w:r w:rsidR="00305BB6" w:rsidRPr="00EB11D3">
        <w:rPr>
          <w:szCs w:val="24"/>
        </w:rPr>
        <w:t>g</w:t>
      </w:r>
      <w:r w:rsidR="00CC6982" w:rsidRPr="00EB11D3">
        <w:rPr>
          <w:szCs w:val="24"/>
        </w:rPr>
        <w:t xml:space="preserve">overnment regulations is the </w:t>
      </w:r>
      <w:r w:rsidR="00305BB6" w:rsidRPr="00EB11D3">
        <w:rPr>
          <w:szCs w:val="24"/>
        </w:rPr>
        <w:t>moderating variable</w:t>
      </w:r>
      <w:r w:rsidR="00CC6982" w:rsidRPr="00EB11D3">
        <w:rPr>
          <w:szCs w:val="24"/>
        </w:rPr>
        <w:t xml:space="preserve"> </w:t>
      </w:r>
      <w:r w:rsidRPr="00EB11D3">
        <w:rPr>
          <w:szCs w:val="24"/>
        </w:rPr>
        <w:t xml:space="preserve">in the relationship between corporate governance and </w:t>
      </w:r>
      <w:r w:rsidR="006D5C62" w:rsidRPr="00EB11D3">
        <w:rPr>
          <w:szCs w:val="24"/>
        </w:rPr>
        <w:t>organisational performance of Faith-Based Hospitals</w:t>
      </w:r>
      <w:r w:rsidRPr="00EB11D3">
        <w:rPr>
          <w:szCs w:val="24"/>
        </w:rPr>
        <w:t xml:space="preserve"> in Kenya. The framework also illustrates the potential </w:t>
      </w:r>
      <w:r w:rsidR="00E70D07" w:rsidRPr="00EB11D3">
        <w:rPr>
          <w:szCs w:val="24"/>
        </w:rPr>
        <w:t xml:space="preserve">mediated moderation </w:t>
      </w:r>
      <w:r w:rsidRPr="00EB11D3">
        <w:rPr>
          <w:szCs w:val="24"/>
        </w:rPr>
        <w:t xml:space="preserve">effect of </w:t>
      </w:r>
      <w:r w:rsidR="006A7649" w:rsidRPr="00EB11D3">
        <w:rPr>
          <w:szCs w:val="24"/>
        </w:rPr>
        <w:t xml:space="preserve">service innovation and government regulation </w:t>
      </w:r>
      <w:r w:rsidRPr="00EB11D3">
        <w:rPr>
          <w:szCs w:val="24"/>
        </w:rPr>
        <w:t xml:space="preserve">on the link between corporate governance and </w:t>
      </w:r>
      <w:r w:rsidR="006D5C62" w:rsidRPr="00EB11D3">
        <w:rPr>
          <w:szCs w:val="24"/>
        </w:rPr>
        <w:t>organisational performance of Faith-Based Hospitals</w:t>
      </w:r>
      <w:r w:rsidRPr="00EB11D3">
        <w:rPr>
          <w:szCs w:val="24"/>
        </w:rPr>
        <w:t xml:space="preserve"> in Kenya</w:t>
      </w:r>
      <w:r w:rsidR="001B665C" w:rsidRPr="00EB11D3">
        <w:rPr>
          <w:szCs w:val="24"/>
          <w:lang w:val="en"/>
        </w:rPr>
        <w:t>.</w:t>
      </w:r>
    </w:p>
    <w:p w14:paraId="5282C29F" w14:textId="77777777" w:rsidR="00AE474F" w:rsidRPr="00EB11D3" w:rsidRDefault="00AE474F">
      <w:pPr>
        <w:spacing w:line="360" w:lineRule="auto"/>
        <w:rPr>
          <w:szCs w:val="24"/>
        </w:rPr>
        <w:sectPr w:rsidR="00AE474F" w:rsidRPr="00EB11D3" w:rsidSect="005F6C66">
          <w:pgSz w:w="12240" w:h="15840"/>
          <w:pgMar w:top="1440" w:right="1440" w:bottom="1440" w:left="1440" w:header="720" w:footer="720" w:gutter="0"/>
          <w:cols w:space="720"/>
          <w:docGrid w:linePitch="360"/>
        </w:sectPr>
      </w:pPr>
    </w:p>
    <w:p w14:paraId="7D713C0E" w14:textId="77777777" w:rsidR="002E298F" w:rsidRPr="00EB11D3" w:rsidRDefault="002E298F">
      <w:pPr>
        <w:spacing w:after="0" w:line="240" w:lineRule="auto"/>
        <w:jc w:val="left"/>
        <w:rPr>
          <w:szCs w:val="24"/>
        </w:rPr>
      </w:pPr>
    </w:p>
    <w:p w14:paraId="7C19CD4F" w14:textId="77777777" w:rsidR="007761C4" w:rsidRPr="00EB11D3" w:rsidRDefault="00FD30BB">
      <w:pPr>
        <w:spacing w:after="160" w:line="360" w:lineRule="auto"/>
        <w:rPr>
          <w:rFonts w:eastAsia="DengXian"/>
          <w:szCs w:val="24"/>
          <w:lang w:eastAsia="zh-CN"/>
        </w:rPr>
      </w:pPr>
      <w:r>
        <w:rPr>
          <w:noProof/>
        </w:rPr>
        <mc:AlternateContent>
          <mc:Choice Requires="wpg">
            <w:drawing>
              <wp:anchor distT="0" distB="0" distL="114300" distR="114300" simplePos="0" relativeHeight="251658240" behindDoc="0" locked="0" layoutInCell="1" allowOverlap="1" wp14:anchorId="67206323" wp14:editId="6088316B">
                <wp:simplePos x="0" y="0"/>
                <wp:positionH relativeFrom="column">
                  <wp:posOffset>662940</wp:posOffset>
                </wp:positionH>
                <wp:positionV relativeFrom="paragraph">
                  <wp:posOffset>-274320</wp:posOffset>
                </wp:positionV>
                <wp:extent cx="7350760" cy="5131435"/>
                <wp:effectExtent l="0" t="0" r="0" b="0"/>
                <wp:wrapNone/>
                <wp:docPr id="1961866048"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50760" cy="5131435"/>
                          <a:chOff x="0" y="0"/>
                          <a:chExt cx="7350760" cy="5131435"/>
                        </a:xfrm>
                      </wpg:grpSpPr>
                      <wps:wsp>
                        <wps:cNvPr id="710487779" name="Text Box 18"/>
                        <wps:cNvSpPr txBox="1">
                          <a:spLocks/>
                        </wps:cNvSpPr>
                        <wps:spPr bwMode="auto">
                          <a:xfrm>
                            <a:off x="5623560" y="914400"/>
                            <a:ext cx="1438275" cy="2096135"/>
                          </a:xfrm>
                          <a:prstGeom prst="rect">
                            <a:avLst/>
                          </a:prstGeom>
                          <a:solidFill>
                            <a:srgbClr val="FFFFFF"/>
                          </a:solidFill>
                          <a:ln w="19050">
                            <a:solidFill>
                              <a:srgbClr val="000000"/>
                            </a:solidFill>
                            <a:miter lim="800000"/>
                            <a:headEnd/>
                            <a:tailEnd/>
                          </a:ln>
                        </wps:spPr>
                        <wps:txbx>
                          <w:txbxContent>
                            <w:p w14:paraId="5DF7A5FD" w14:textId="77777777" w:rsidR="00BF7C29" w:rsidRDefault="00BF7C29">
                              <w:pPr>
                                <w:spacing w:after="0" w:line="240" w:lineRule="auto"/>
                                <w:jc w:val="center"/>
                                <w:rPr>
                                  <w:rFonts w:eastAsia="Times New Roman"/>
                                  <w:b/>
                                  <w:bCs/>
                                </w:rPr>
                              </w:pPr>
                            </w:p>
                            <w:p w14:paraId="00A7B1C2" w14:textId="77777777" w:rsidR="00BF7C29" w:rsidRDefault="00BF7C29">
                              <w:pPr>
                                <w:spacing w:after="0" w:line="240" w:lineRule="auto"/>
                                <w:jc w:val="center"/>
                                <w:rPr>
                                  <w:rFonts w:eastAsia="Times New Roman"/>
                                  <w:b/>
                                  <w:bCs/>
                                </w:rPr>
                              </w:pPr>
                            </w:p>
                            <w:p w14:paraId="3C5B0098" w14:textId="77777777" w:rsidR="00BF7C29" w:rsidRDefault="00BF7C29">
                              <w:pPr>
                                <w:spacing w:after="0" w:line="240" w:lineRule="auto"/>
                                <w:jc w:val="center"/>
                                <w:rPr>
                                  <w:rFonts w:eastAsia="Times New Roman"/>
                                  <w:b/>
                                  <w:bCs/>
                                </w:rPr>
                              </w:pPr>
                            </w:p>
                            <w:p w14:paraId="0A32AC01" w14:textId="77777777" w:rsidR="00BF7C29" w:rsidRDefault="00BF7C29">
                              <w:pPr>
                                <w:spacing w:after="0" w:line="240" w:lineRule="auto"/>
                                <w:jc w:val="center"/>
                                <w:rPr>
                                  <w:b/>
                                  <w:bCs/>
                                </w:rPr>
                              </w:pPr>
                              <w:r>
                                <w:rPr>
                                  <w:b/>
                                  <w:bCs/>
                                </w:rPr>
                                <w:t xml:space="preserve">Organisational Performance of </w:t>
                              </w:r>
                              <w:r>
                                <w:rPr>
                                  <w:b/>
                                  <w:bCs/>
                                  <w:lang w:val="en"/>
                                </w:rPr>
                                <w:t>Faith-based Hospital</w:t>
                              </w:r>
                              <w:r>
                                <w:rPr>
                                  <w:b/>
                                  <w:bCs/>
                                </w:rPr>
                                <w:t>s</w:t>
                              </w:r>
                              <w:r>
                                <w:rPr>
                                  <w:b/>
                                  <w:bCs/>
                                  <w:lang w:val="en"/>
                                </w:rPr>
                                <w:t xml:space="preserve"> in Kenya</w:t>
                              </w:r>
                            </w:p>
                          </w:txbxContent>
                        </wps:txbx>
                        <wps:bodyPr rot="0" vert="horz" wrap="square" lIns="91440" tIns="45720" rIns="91440" bIns="45720" anchor="t" anchorCtr="0" upright="1">
                          <a:noAutofit/>
                        </wps:bodyPr>
                      </wps:wsp>
                      <wps:wsp>
                        <wps:cNvPr id="899433332" name="Text Box 20"/>
                        <wps:cNvSpPr txBox="1">
                          <a:spLocks/>
                        </wps:cNvSpPr>
                        <wps:spPr bwMode="auto">
                          <a:xfrm>
                            <a:off x="0" y="883920"/>
                            <a:ext cx="1380490" cy="2301240"/>
                          </a:xfrm>
                          <a:prstGeom prst="rect">
                            <a:avLst/>
                          </a:prstGeom>
                          <a:solidFill>
                            <a:srgbClr val="FFFFFF"/>
                          </a:solidFill>
                          <a:ln w="19050">
                            <a:solidFill>
                              <a:srgbClr val="000000"/>
                            </a:solidFill>
                            <a:miter lim="800000"/>
                            <a:headEnd/>
                            <a:tailEnd/>
                          </a:ln>
                        </wps:spPr>
                        <wps:txbx>
                          <w:txbxContent>
                            <w:p w14:paraId="138E44E7" w14:textId="77777777" w:rsidR="00BF7C29" w:rsidRDefault="00BF7C29">
                              <w:pPr>
                                <w:pStyle w:val="Heading7"/>
                                <w:spacing w:before="0"/>
                                <w:jc w:val="center"/>
                                <w:rPr>
                                  <w:rFonts w:ascii="Times New Roman" w:hAnsi="Times New Roman"/>
                                  <w:b/>
                                  <w:bCs/>
                                </w:rPr>
                              </w:pPr>
                            </w:p>
                            <w:p w14:paraId="53F61FC4" w14:textId="77777777" w:rsidR="00BF7C29" w:rsidRDefault="00BF7C29">
                              <w:pPr>
                                <w:pStyle w:val="Heading7"/>
                                <w:spacing w:before="0"/>
                                <w:jc w:val="center"/>
                                <w:rPr>
                                  <w:rFonts w:ascii="Times New Roman" w:hAnsi="Times New Roman"/>
                                  <w:b/>
                                  <w:bCs/>
                                </w:rPr>
                              </w:pPr>
                            </w:p>
                            <w:p w14:paraId="242D97D8" w14:textId="77777777" w:rsidR="00BF7C29" w:rsidRDefault="00BF7C29">
                              <w:pPr>
                                <w:pStyle w:val="Heading7"/>
                                <w:spacing w:before="0"/>
                                <w:jc w:val="center"/>
                                <w:rPr>
                                  <w:rFonts w:ascii="Times New Roman" w:hAnsi="Times New Roman"/>
                                  <w:b/>
                                  <w:bCs/>
                                </w:rPr>
                              </w:pPr>
                            </w:p>
                            <w:p w14:paraId="0426F3B1" w14:textId="77777777" w:rsidR="00BF7C29" w:rsidRDefault="00BF7C29">
                              <w:pPr>
                                <w:jc w:val="center"/>
                                <w:rPr>
                                  <w:b/>
                                  <w:bCs/>
                                </w:rPr>
                              </w:pPr>
                              <w:r>
                                <w:rPr>
                                  <w:b/>
                                  <w:bCs/>
                                </w:rPr>
                                <w:t xml:space="preserve">Corporate Governance </w:t>
                              </w:r>
                            </w:p>
                            <w:p w14:paraId="655F85F2" w14:textId="77777777" w:rsidR="00BF7C29" w:rsidRDefault="00BF7C29">
                              <w:pPr>
                                <w:jc w:val="center"/>
                                <w:rPr>
                                  <w:b/>
                                  <w:bCs/>
                                </w:rPr>
                              </w:pPr>
                            </w:p>
                            <w:p w14:paraId="1CA27B0B" w14:textId="77777777" w:rsidR="00BF7C29" w:rsidRDefault="00BF7C29">
                              <w:pPr>
                                <w:pStyle w:val="ListParagraph"/>
                                <w:spacing w:line="240" w:lineRule="auto"/>
                              </w:pPr>
                            </w:p>
                            <w:p w14:paraId="20571E94" w14:textId="77777777" w:rsidR="00BF7C29" w:rsidRDefault="00BF7C29">
                              <w:pPr>
                                <w:pStyle w:val="ListParagraph"/>
                                <w:spacing w:line="240" w:lineRule="auto"/>
                              </w:pPr>
                            </w:p>
                            <w:p w14:paraId="493CD57A" w14:textId="77777777" w:rsidR="00BF7C29" w:rsidRDefault="00BF7C29">
                              <w:pPr>
                                <w:ind w:left="360"/>
                                <w:rPr>
                                  <w:sz w:val="22"/>
                                </w:rPr>
                              </w:pPr>
                            </w:p>
                            <w:p w14:paraId="3DD68EA0" w14:textId="77777777" w:rsidR="00BF7C29" w:rsidRDefault="00BF7C29">
                              <w:pPr>
                                <w:ind w:left="360"/>
                                <w:rPr>
                                  <w:sz w:val="22"/>
                                </w:rPr>
                              </w:pPr>
                            </w:p>
                            <w:p w14:paraId="6B2A59C7" w14:textId="77777777" w:rsidR="00BF7C29" w:rsidRDefault="00BF7C29">
                              <w:pPr>
                                <w:rPr>
                                  <w:b/>
                                  <w:sz w:val="22"/>
                                </w:rPr>
                              </w:pPr>
                            </w:p>
                          </w:txbxContent>
                        </wps:txbx>
                        <wps:bodyPr rot="0" vert="horz" wrap="square" lIns="91440" tIns="45720" rIns="91440" bIns="45720" anchor="t" anchorCtr="0" upright="1">
                          <a:noAutofit/>
                        </wps:bodyPr>
                      </wps:wsp>
                      <wps:wsp>
                        <wps:cNvPr id="1566208171" name="Text Box 15"/>
                        <wps:cNvSpPr txBox="1">
                          <a:spLocks/>
                        </wps:cNvSpPr>
                        <wps:spPr bwMode="auto">
                          <a:xfrm>
                            <a:off x="60960" y="4785360"/>
                            <a:ext cx="1638300" cy="346075"/>
                          </a:xfrm>
                          <a:prstGeom prst="rect">
                            <a:avLst/>
                          </a:prstGeom>
                          <a:solidFill>
                            <a:srgbClr val="FFFFFF"/>
                          </a:solidFill>
                          <a:ln>
                            <a:noFill/>
                          </a:ln>
                        </wps:spPr>
                        <wps:txbx>
                          <w:txbxContent>
                            <w:p w14:paraId="213CC26D" w14:textId="77777777" w:rsidR="00BF7C29" w:rsidRDefault="00BF7C29">
                              <w:pPr>
                                <w:rPr>
                                  <w:b/>
                                  <w:szCs w:val="28"/>
                                </w:rPr>
                              </w:pPr>
                              <w:r>
                                <w:rPr>
                                  <w:b/>
                                  <w:szCs w:val="28"/>
                                </w:rPr>
                                <w:t>Independent Variable</w:t>
                              </w:r>
                            </w:p>
                          </w:txbxContent>
                        </wps:txbx>
                        <wps:bodyPr rot="0" vert="horz" wrap="square" lIns="91440" tIns="45720" rIns="91440" bIns="45720" anchor="t" anchorCtr="0" upright="1">
                          <a:noAutofit/>
                        </wps:bodyPr>
                      </wps:wsp>
                      <wps:wsp>
                        <wps:cNvPr id="1126238242" name="Text Box 16"/>
                        <wps:cNvSpPr txBox="1">
                          <a:spLocks/>
                        </wps:cNvSpPr>
                        <wps:spPr bwMode="auto">
                          <a:xfrm>
                            <a:off x="2727960" y="1028700"/>
                            <a:ext cx="1821180" cy="753110"/>
                          </a:xfrm>
                          <a:prstGeom prst="rect">
                            <a:avLst/>
                          </a:prstGeom>
                          <a:solidFill>
                            <a:srgbClr val="FFFFFF"/>
                          </a:solidFill>
                          <a:ln w="19050">
                            <a:solidFill>
                              <a:srgbClr val="000000"/>
                            </a:solidFill>
                            <a:miter lim="800000"/>
                            <a:headEnd/>
                            <a:tailEnd/>
                          </a:ln>
                        </wps:spPr>
                        <wps:txbx>
                          <w:txbxContent>
                            <w:p w14:paraId="79417AA5" w14:textId="77777777" w:rsidR="00BF7C29" w:rsidRDefault="00BF7C29">
                              <w:pPr>
                                <w:spacing w:after="0"/>
                                <w:jc w:val="center"/>
                                <w:rPr>
                                  <w:b/>
                                  <w:bCs/>
                                </w:rPr>
                              </w:pPr>
                            </w:p>
                            <w:p w14:paraId="600AFEE1" w14:textId="77777777" w:rsidR="00BF7C29" w:rsidRDefault="00BF7C29">
                              <w:pPr>
                                <w:spacing w:after="0"/>
                                <w:jc w:val="center"/>
                                <w:rPr>
                                  <w:b/>
                                  <w:bCs/>
                                  <w:sz w:val="20"/>
                                  <w:szCs w:val="20"/>
                                </w:rPr>
                              </w:pPr>
                              <w:r>
                                <w:rPr>
                                  <w:b/>
                                  <w:bCs/>
                                </w:rPr>
                                <w:t>Service Innovations</w:t>
                              </w:r>
                            </w:p>
                          </w:txbxContent>
                        </wps:txbx>
                        <wps:bodyPr rot="0" vert="horz" wrap="square" lIns="91440" tIns="45720" rIns="91440" bIns="45720" anchor="t" anchorCtr="0" upright="1">
                          <a:noAutofit/>
                        </wps:bodyPr>
                      </wps:wsp>
                      <wps:wsp>
                        <wps:cNvPr id="1485146212" name="Text Box 17"/>
                        <wps:cNvSpPr txBox="1">
                          <a:spLocks/>
                        </wps:cNvSpPr>
                        <wps:spPr bwMode="auto">
                          <a:xfrm>
                            <a:off x="4892040" y="1013460"/>
                            <a:ext cx="438150" cy="275590"/>
                          </a:xfrm>
                          <a:prstGeom prst="rect">
                            <a:avLst/>
                          </a:prstGeom>
                          <a:solidFill>
                            <a:srgbClr val="FFFFFF"/>
                          </a:solidFill>
                          <a:ln w="9525">
                            <a:solidFill>
                              <a:srgbClr val="FFFFFF"/>
                            </a:solidFill>
                            <a:miter lim="800000"/>
                            <a:headEnd/>
                            <a:tailEnd/>
                          </a:ln>
                        </wps:spPr>
                        <wps:txbx>
                          <w:txbxContent>
                            <w:p w14:paraId="70643046" w14:textId="77777777" w:rsidR="00BF7C29" w:rsidRDefault="00BF7C29">
                              <w:pPr>
                                <w:rPr>
                                  <w:b/>
                                  <w:sz w:val="22"/>
                                </w:rPr>
                              </w:pPr>
                              <w:r>
                                <w:rPr>
                                  <w:b/>
                                  <w:sz w:val="22"/>
                                </w:rPr>
                                <w:t>H0</w:t>
                              </w:r>
                              <w:r>
                                <w:rPr>
                                  <w:b/>
                                  <w:sz w:val="22"/>
                                  <w:vertAlign w:val="subscript"/>
                                </w:rPr>
                                <w:t>2</w:t>
                              </w:r>
                            </w:p>
                          </w:txbxContent>
                        </wps:txbx>
                        <wps:bodyPr rot="0" vert="horz" wrap="square" lIns="91440" tIns="45720" rIns="91440" bIns="45720" anchor="t" anchorCtr="0" upright="1">
                          <a:noAutofit/>
                        </wps:bodyPr>
                      </wps:wsp>
                      <wps:wsp>
                        <wps:cNvPr id="2001308334" name="Text Box 8"/>
                        <wps:cNvSpPr txBox="1">
                          <a:spLocks/>
                        </wps:cNvSpPr>
                        <wps:spPr bwMode="auto">
                          <a:xfrm flipH="1">
                            <a:off x="4015740" y="2156460"/>
                            <a:ext cx="438150" cy="295275"/>
                          </a:xfrm>
                          <a:prstGeom prst="rect">
                            <a:avLst/>
                          </a:prstGeom>
                          <a:solidFill>
                            <a:srgbClr val="FFFFFF"/>
                          </a:solidFill>
                          <a:ln w="9525">
                            <a:solidFill>
                              <a:srgbClr val="FFFFFF"/>
                            </a:solidFill>
                            <a:miter lim="800000"/>
                            <a:headEnd/>
                            <a:tailEnd/>
                          </a:ln>
                        </wps:spPr>
                        <wps:txbx>
                          <w:txbxContent>
                            <w:p w14:paraId="752733AA" w14:textId="77777777" w:rsidR="00BF7C29" w:rsidRDefault="00BF7C29">
                              <w:pPr>
                                <w:spacing w:after="0"/>
                                <w:rPr>
                                  <w:b/>
                                  <w:sz w:val="22"/>
                                </w:rPr>
                              </w:pPr>
                              <w:r>
                                <w:rPr>
                                  <w:b/>
                                  <w:sz w:val="22"/>
                                </w:rPr>
                                <w:t>H0</w:t>
                              </w:r>
                              <w:r>
                                <w:rPr>
                                  <w:b/>
                                  <w:sz w:val="22"/>
                                  <w:vertAlign w:val="subscript"/>
                                </w:rPr>
                                <w:t>4</w:t>
                              </w:r>
                            </w:p>
                          </w:txbxContent>
                        </wps:txbx>
                        <wps:bodyPr rot="0" vert="horz" wrap="square" lIns="91440" tIns="45720" rIns="91440" bIns="45720" anchor="t" anchorCtr="0" upright="1">
                          <a:noAutofit/>
                        </wps:bodyPr>
                      </wps:wsp>
                      <wps:wsp>
                        <wps:cNvPr id="1708184658" name="Text Box 14"/>
                        <wps:cNvSpPr txBox="1">
                          <a:spLocks/>
                        </wps:cNvSpPr>
                        <wps:spPr bwMode="auto">
                          <a:xfrm>
                            <a:off x="3223260" y="4114800"/>
                            <a:ext cx="438150" cy="276225"/>
                          </a:xfrm>
                          <a:prstGeom prst="rect">
                            <a:avLst/>
                          </a:prstGeom>
                          <a:solidFill>
                            <a:srgbClr val="FFFFFF"/>
                          </a:solidFill>
                          <a:ln w="9525">
                            <a:solidFill>
                              <a:srgbClr val="FFFFFF"/>
                            </a:solidFill>
                            <a:miter lim="800000"/>
                            <a:headEnd/>
                            <a:tailEnd/>
                          </a:ln>
                        </wps:spPr>
                        <wps:txbx>
                          <w:txbxContent>
                            <w:p w14:paraId="26EBD66A" w14:textId="77777777" w:rsidR="00BF7C29" w:rsidRDefault="00BF7C29">
                              <w:pPr>
                                <w:spacing w:after="0"/>
                                <w:rPr>
                                  <w:b/>
                                  <w:sz w:val="22"/>
                                </w:rPr>
                              </w:pPr>
                              <w:r>
                                <w:rPr>
                                  <w:b/>
                                  <w:sz w:val="22"/>
                                </w:rPr>
                                <w:t>H0</w:t>
                              </w:r>
                              <w:r>
                                <w:rPr>
                                  <w:b/>
                                  <w:sz w:val="22"/>
                                  <w:vertAlign w:val="subscript"/>
                                </w:rPr>
                                <w:t>3</w:t>
                              </w:r>
                            </w:p>
                          </w:txbxContent>
                        </wps:txbx>
                        <wps:bodyPr rot="0" vert="horz" wrap="square" lIns="91440" tIns="45720" rIns="91440" bIns="45720" anchor="t" anchorCtr="0" upright="1">
                          <a:noAutofit/>
                        </wps:bodyPr>
                      </wps:wsp>
                      <wps:wsp>
                        <wps:cNvPr id="1219637539" name="Text Box 5"/>
                        <wps:cNvSpPr txBox="1">
                          <a:spLocks/>
                        </wps:cNvSpPr>
                        <wps:spPr bwMode="auto">
                          <a:xfrm>
                            <a:off x="1775460" y="2827020"/>
                            <a:ext cx="2133600" cy="861695"/>
                          </a:xfrm>
                          <a:prstGeom prst="rect">
                            <a:avLst/>
                          </a:prstGeom>
                          <a:solidFill>
                            <a:srgbClr val="FFFFFF"/>
                          </a:solidFill>
                          <a:ln w="19050">
                            <a:solidFill>
                              <a:srgbClr val="000000"/>
                            </a:solidFill>
                            <a:miter lim="800000"/>
                            <a:headEnd/>
                            <a:tailEnd/>
                          </a:ln>
                        </wps:spPr>
                        <wps:txbx>
                          <w:txbxContent>
                            <w:p w14:paraId="098274B9" w14:textId="77777777" w:rsidR="00BF7C29" w:rsidRDefault="00BF7C29">
                              <w:pPr>
                                <w:pStyle w:val="Heading8"/>
                                <w:spacing w:before="0"/>
                                <w:jc w:val="center"/>
                                <w:rPr>
                                  <w:rFonts w:ascii="Times New Roman" w:hAnsi="Times New Roman"/>
                                  <w:b/>
                                  <w:bCs/>
                                  <w:i w:val="0"/>
                                  <w:iCs w:val="0"/>
                                </w:rPr>
                              </w:pPr>
                            </w:p>
                            <w:p w14:paraId="6CC48764" w14:textId="77777777" w:rsidR="00BF7C29" w:rsidRDefault="00BF7C29">
                              <w:pPr>
                                <w:jc w:val="center"/>
                                <w:rPr>
                                  <w:b/>
                                  <w:bCs/>
                                </w:rPr>
                              </w:pPr>
                              <w:r>
                                <w:rPr>
                                  <w:b/>
                                  <w:bCs/>
                                </w:rPr>
                                <w:t>Government Regulations</w:t>
                              </w:r>
                            </w:p>
                          </w:txbxContent>
                        </wps:txbx>
                        <wps:bodyPr rot="0" vert="horz" wrap="square" lIns="91440" tIns="45720" rIns="91440" bIns="45720" anchor="t" anchorCtr="0" upright="1">
                          <a:noAutofit/>
                        </wps:bodyPr>
                      </wps:wsp>
                      <wps:wsp>
                        <wps:cNvPr id="1052326827" name="Straight Connector 3"/>
                        <wps:cNvCnPr>
                          <a:cxnSpLocks/>
                        </wps:cNvCnPr>
                        <wps:spPr bwMode="auto">
                          <a:xfrm flipH="1">
                            <a:off x="579120" y="3185160"/>
                            <a:ext cx="0" cy="1265555"/>
                          </a:xfrm>
                          <a:prstGeom prst="line">
                            <a:avLst/>
                          </a:prstGeom>
                          <a:noFill/>
                          <a:ln w="6350" algn="ctr">
                            <a:solidFill>
                              <a:srgbClr val="000000"/>
                            </a:solidFill>
                            <a:miter lim="800000"/>
                            <a:headEnd/>
                            <a:tailEnd/>
                          </a:ln>
                        </wps:spPr>
                        <wps:bodyPr/>
                      </wps:wsp>
                      <wps:wsp>
                        <wps:cNvPr id="818081398" name="Straight Arrow Connector 4"/>
                        <wps:cNvCnPr>
                          <a:cxnSpLocks/>
                        </wps:cNvCnPr>
                        <wps:spPr bwMode="auto">
                          <a:xfrm flipV="1">
                            <a:off x="6492240" y="3032760"/>
                            <a:ext cx="0" cy="1419225"/>
                          </a:xfrm>
                          <a:prstGeom prst="straightConnector1">
                            <a:avLst/>
                          </a:prstGeom>
                          <a:noFill/>
                          <a:ln w="6350" algn="ctr">
                            <a:solidFill>
                              <a:srgbClr val="000000"/>
                            </a:solidFill>
                            <a:miter lim="800000"/>
                            <a:headEnd/>
                            <a:tailEnd type="triangle" w="med" len="med"/>
                          </a:ln>
                        </wps:spPr>
                        <wps:bodyPr/>
                      </wps:wsp>
                      <wps:wsp>
                        <wps:cNvPr id="837126180" name="Straight Connector 1"/>
                        <wps:cNvCnPr>
                          <a:cxnSpLocks/>
                        </wps:cNvCnPr>
                        <wps:spPr bwMode="auto">
                          <a:xfrm>
                            <a:off x="586740" y="4450080"/>
                            <a:ext cx="5905500" cy="0"/>
                          </a:xfrm>
                          <a:prstGeom prst="line">
                            <a:avLst/>
                          </a:prstGeom>
                          <a:noFill/>
                          <a:ln w="6350" algn="ctr">
                            <a:solidFill>
                              <a:srgbClr val="000000"/>
                            </a:solidFill>
                            <a:miter lim="800000"/>
                            <a:headEnd/>
                            <a:tailEnd/>
                          </a:ln>
                        </wps:spPr>
                        <wps:bodyPr/>
                      </wps:wsp>
                      <wps:wsp>
                        <wps:cNvPr id="646289746" name="Straight Connector 2"/>
                        <wps:cNvCnPr>
                          <a:cxnSpLocks/>
                        </wps:cNvCnPr>
                        <wps:spPr bwMode="auto">
                          <a:xfrm>
                            <a:off x="2941320" y="3680460"/>
                            <a:ext cx="0" cy="781050"/>
                          </a:xfrm>
                          <a:prstGeom prst="line">
                            <a:avLst/>
                          </a:prstGeom>
                          <a:noFill/>
                          <a:ln w="6350" algn="ctr">
                            <a:solidFill>
                              <a:srgbClr val="000000"/>
                            </a:solidFill>
                            <a:miter lim="800000"/>
                            <a:headEnd/>
                            <a:tailEnd/>
                          </a:ln>
                        </wps:spPr>
                        <wps:bodyPr/>
                      </wps:wsp>
                      <wps:wsp>
                        <wps:cNvPr id="265122956" name="Text Box 13"/>
                        <wps:cNvSpPr txBox="1">
                          <a:spLocks/>
                        </wps:cNvSpPr>
                        <wps:spPr bwMode="auto">
                          <a:xfrm>
                            <a:off x="5798820" y="4747260"/>
                            <a:ext cx="1551940" cy="279400"/>
                          </a:xfrm>
                          <a:prstGeom prst="rect">
                            <a:avLst/>
                          </a:prstGeom>
                          <a:solidFill>
                            <a:srgbClr val="FFFFFF"/>
                          </a:solidFill>
                          <a:ln>
                            <a:noFill/>
                          </a:ln>
                        </wps:spPr>
                        <wps:txbx>
                          <w:txbxContent>
                            <w:p w14:paraId="4E710ED5" w14:textId="77777777" w:rsidR="00BF7C29" w:rsidRDefault="00BF7C29">
                              <w:pPr>
                                <w:rPr>
                                  <w:b/>
                                  <w:szCs w:val="28"/>
                                </w:rPr>
                              </w:pPr>
                              <w:r>
                                <w:rPr>
                                  <w:b/>
                                  <w:szCs w:val="28"/>
                                </w:rPr>
                                <w:t>Dependent Variable</w:t>
                              </w:r>
                            </w:p>
                          </w:txbxContent>
                        </wps:txbx>
                        <wps:bodyPr rot="0" vert="horz" wrap="square" lIns="91440" tIns="45720" rIns="91440" bIns="45720" anchor="t" anchorCtr="0" upright="1">
                          <a:noAutofit/>
                        </wps:bodyPr>
                      </wps:wsp>
                      <wps:wsp>
                        <wps:cNvPr id="325857336" name="Text Box 12"/>
                        <wps:cNvSpPr txBox="1">
                          <a:spLocks/>
                        </wps:cNvSpPr>
                        <wps:spPr bwMode="auto">
                          <a:xfrm>
                            <a:off x="2667000" y="4739640"/>
                            <a:ext cx="1695450" cy="346075"/>
                          </a:xfrm>
                          <a:prstGeom prst="rect">
                            <a:avLst/>
                          </a:prstGeom>
                          <a:solidFill>
                            <a:srgbClr val="FFFFFF"/>
                          </a:solidFill>
                          <a:ln>
                            <a:noFill/>
                          </a:ln>
                        </wps:spPr>
                        <wps:txbx>
                          <w:txbxContent>
                            <w:p w14:paraId="227C84D1" w14:textId="77777777" w:rsidR="00BF7C29" w:rsidRDefault="00BF7C29">
                              <w:pPr>
                                <w:rPr>
                                  <w:b/>
                                  <w:szCs w:val="28"/>
                                </w:rPr>
                              </w:pPr>
                              <w:r>
                                <w:rPr>
                                  <w:b/>
                                  <w:szCs w:val="28"/>
                                </w:rPr>
                                <w:t>Moderating Variable</w:t>
                              </w:r>
                            </w:p>
                          </w:txbxContent>
                        </wps:txbx>
                        <wps:bodyPr rot="0" vert="horz" wrap="square" lIns="91440" tIns="45720" rIns="91440" bIns="45720" anchor="t" anchorCtr="0" upright="1">
                          <a:noAutofit/>
                        </wps:bodyPr>
                      </wps:wsp>
                      <wps:wsp>
                        <wps:cNvPr id="950626514" name="Straight Arrow Connector 11"/>
                        <wps:cNvCnPr>
                          <a:cxnSpLocks/>
                        </wps:cNvCnPr>
                        <wps:spPr bwMode="auto">
                          <a:xfrm>
                            <a:off x="4541520" y="1447800"/>
                            <a:ext cx="1080770" cy="0"/>
                          </a:xfrm>
                          <a:prstGeom prst="straightConnector1">
                            <a:avLst/>
                          </a:prstGeom>
                          <a:noFill/>
                          <a:ln w="6350" algn="ctr">
                            <a:solidFill>
                              <a:srgbClr val="000000"/>
                            </a:solidFill>
                            <a:miter lim="800000"/>
                            <a:headEnd/>
                            <a:tailEnd type="triangle" w="med" len="med"/>
                          </a:ln>
                        </wps:spPr>
                        <wps:bodyPr/>
                      </wps:wsp>
                      <wps:wsp>
                        <wps:cNvPr id="1384341154" name="Straight Connector 10"/>
                        <wps:cNvCnPr>
                          <a:cxnSpLocks/>
                        </wps:cNvCnPr>
                        <wps:spPr bwMode="auto">
                          <a:xfrm>
                            <a:off x="1394460" y="1394460"/>
                            <a:ext cx="1317625" cy="0"/>
                          </a:xfrm>
                          <a:prstGeom prst="line">
                            <a:avLst/>
                          </a:prstGeom>
                          <a:noFill/>
                          <a:ln w="6350" algn="ctr">
                            <a:solidFill>
                              <a:srgbClr val="000000"/>
                            </a:solidFill>
                            <a:miter lim="800000"/>
                            <a:headEnd/>
                            <a:tailEnd/>
                          </a:ln>
                        </wps:spPr>
                        <wps:bodyPr/>
                      </wps:wsp>
                      <wps:wsp>
                        <wps:cNvPr id="1845615587" name="Straight Connector 21"/>
                        <wps:cNvCnPr>
                          <a:cxnSpLocks/>
                        </wps:cNvCnPr>
                        <wps:spPr bwMode="auto">
                          <a:xfrm>
                            <a:off x="556260" y="281940"/>
                            <a:ext cx="5905500" cy="0"/>
                          </a:xfrm>
                          <a:prstGeom prst="line">
                            <a:avLst/>
                          </a:prstGeom>
                          <a:noFill/>
                          <a:ln w="6350" algn="ctr">
                            <a:solidFill>
                              <a:srgbClr val="000000"/>
                            </a:solidFill>
                            <a:miter lim="800000"/>
                            <a:headEnd/>
                            <a:tailEnd/>
                          </a:ln>
                        </wps:spPr>
                        <wps:bodyPr/>
                      </wps:wsp>
                      <wps:wsp>
                        <wps:cNvPr id="272503144" name="Straight Connector 24"/>
                        <wps:cNvCnPr>
                          <a:cxnSpLocks/>
                        </wps:cNvCnPr>
                        <wps:spPr bwMode="auto">
                          <a:xfrm>
                            <a:off x="556260" y="281940"/>
                            <a:ext cx="0" cy="600075"/>
                          </a:xfrm>
                          <a:prstGeom prst="line">
                            <a:avLst/>
                          </a:prstGeom>
                          <a:noFill/>
                          <a:ln w="6350" algn="ctr">
                            <a:solidFill>
                              <a:srgbClr val="000000"/>
                            </a:solidFill>
                            <a:miter lim="800000"/>
                            <a:headEnd/>
                            <a:tailEnd/>
                          </a:ln>
                        </wps:spPr>
                        <wps:bodyPr/>
                      </wps:wsp>
                      <wps:wsp>
                        <wps:cNvPr id="1956958340" name="Straight Arrow Connector 22"/>
                        <wps:cNvCnPr>
                          <a:cxnSpLocks/>
                        </wps:cNvCnPr>
                        <wps:spPr bwMode="auto">
                          <a:xfrm>
                            <a:off x="6469380" y="281940"/>
                            <a:ext cx="0" cy="608965"/>
                          </a:xfrm>
                          <a:prstGeom prst="straightConnector1">
                            <a:avLst/>
                          </a:prstGeom>
                          <a:noFill/>
                          <a:ln w="6350" algn="ctr">
                            <a:solidFill>
                              <a:srgbClr val="000000"/>
                            </a:solidFill>
                            <a:miter lim="800000"/>
                            <a:headEnd/>
                            <a:tailEnd type="triangle" w="med" len="med"/>
                          </a:ln>
                        </wps:spPr>
                        <wps:bodyPr/>
                      </wps:wsp>
                      <wps:wsp>
                        <wps:cNvPr id="1802964832" name="Text Box 23"/>
                        <wps:cNvSpPr txBox="1">
                          <a:spLocks/>
                        </wps:cNvSpPr>
                        <wps:spPr bwMode="auto">
                          <a:xfrm>
                            <a:off x="3162300" y="0"/>
                            <a:ext cx="438150" cy="275590"/>
                          </a:xfrm>
                          <a:prstGeom prst="rect">
                            <a:avLst/>
                          </a:prstGeom>
                          <a:solidFill>
                            <a:srgbClr val="FFFFFF"/>
                          </a:solidFill>
                          <a:ln w="9525">
                            <a:solidFill>
                              <a:srgbClr val="FFFFFF"/>
                            </a:solidFill>
                            <a:miter lim="800000"/>
                            <a:headEnd/>
                            <a:tailEnd/>
                          </a:ln>
                        </wps:spPr>
                        <wps:txbx>
                          <w:txbxContent>
                            <w:p w14:paraId="01714630" w14:textId="77777777" w:rsidR="00BF7C29" w:rsidRDefault="00BF7C29" w:rsidP="00F265AF">
                              <w:pPr>
                                <w:rPr>
                                  <w:b/>
                                  <w:sz w:val="22"/>
                                </w:rPr>
                              </w:pPr>
                              <w:r>
                                <w:rPr>
                                  <w:b/>
                                  <w:sz w:val="22"/>
                                </w:rPr>
                                <w:t>H0</w:t>
                              </w:r>
                              <w:r>
                                <w:rPr>
                                  <w:b/>
                                  <w:sz w:val="22"/>
                                  <w:vertAlign w:val="subscript"/>
                                </w:rPr>
                                <w:t>1</w:t>
                              </w:r>
                            </w:p>
                          </w:txbxContent>
                        </wps:txbx>
                        <wps:bodyPr rot="0" vert="horz" wrap="square" lIns="91440" tIns="45720" rIns="91440" bIns="45720" anchor="t" anchorCtr="0" upright="1">
                          <a:noAutofit/>
                        </wps:bodyPr>
                      </wps:wsp>
                      <wps:wsp>
                        <wps:cNvPr id="171657916" name="Straight Connector 6"/>
                        <wps:cNvCnPr>
                          <a:cxnSpLocks/>
                        </wps:cNvCnPr>
                        <wps:spPr bwMode="auto">
                          <a:xfrm>
                            <a:off x="3436620" y="2103120"/>
                            <a:ext cx="0" cy="716915"/>
                          </a:xfrm>
                          <a:prstGeom prst="line">
                            <a:avLst/>
                          </a:prstGeom>
                          <a:noFill/>
                          <a:ln w="6350" algn="ctr">
                            <a:solidFill>
                              <a:srgbClr val="000000"/>
                            </a:solidFill>
                            <a:miter lim="800000"/>
                            <a:headEnd/>
                            <a:tailEnd/>
                          </a:ln>
                        </wps:spPr>
                        <wps:bodyPr/>
                      </wps:wsp>
                      <wps:wsp>
                        <wps:cNvPr id="2122404474" name="Straight Connector 9"/>
                        <wps:cNvCnPr>
                          <a:cxnSpLocks/>
                        </wps:cNvCnPr>
                        <wps:spPr bwMode="auto">
                          <a:xfrm flipV="1">
                            <a:off x="2987040" y="1790700"/>
                            <a:ext cx="0" cy="313690"/>
                          </a:xfrm>
                          <a:prstGeom prst="line">
                            <a:avLst/>
                          </a:prstGeom>
                          <a:noFill/>
                          <a:ln w="6350" algn="ctr">
                            <a:solidFill>
                              <a:srgbClr val="000000"/>
                            </a:solidFill>
                            <a:miter lim="800000"/>
                            <a:headEnd/>
                            <a:tailEnd/>
                          </a:ln>
                        </wps:spPr>
                        <wps:bodyPr/>
                      </wps:wsp>
                      <wps:wsp>
                        <wps:cNvPr id="1224671241" name="Straight Arrow Connector 1"/>
                        <wps:cNvCnPr>
                          <a:cxnSpLocks/>
                        </wps:cNvCnPr>
                        <wps:spPr bwMode="auto">
                          <a:xfrm>
                            <a:off x="1371600" y="2103120"/>
                            <a:ext cx="4250690" cy="0"/>
                          </a:xfrm>
                          <a:prstGeom prst="straightConnector1">
                            <a:avLst/>
                          </a:prstGeom>
                          <a:noFill/>
                          <a:ln w="6350" algn="ctr">
                            <a:solidFill>
                              <a:srgbClr val="000000"/>
                            </a:solidFill>
                            <a:miter lim="800000"/>
                            <a:headEnd/>
                            <a:tailEnd type="triangle" w="med" len="med"/>
                          </a:ln>
                        </wps:spPr>
                        <wps:bodyPr/>
                      </wps:wsp>
                    </wpg:wgp>
                  </a:graphicData>
                </a:graphic>
                <wp14:sizeRelH relativeFrom="page">
                  <wp14:pctWidth>0</wp14:pctWidth>
                </wp14:sizeRelH>
                <wp14:sizeRelV relativeFrom="page">
                  <wp14:pctHeight>0</wp14:pctHeight>
                </wp14:sizeRelV>
              </wp:anchor>
            </w:drawing>
          </mc:Choice>
          <mc:Fallback>
            <w:pict>
              <v:group w14:anchorId="67206323" id="Group 27" o:spid="_x0000_s1026" style="position:absolute;left:0;text-align:left;margin-left:52.2pt;margin-top:-21.6pt;width:578.8pt;height:404.05pt;z-index:251658240" coordsize="73507,51314"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">
                <v:shapetype id="_x0000_t202" coordsize="21600,21600" o:spt="202" path="m,l,21600r21600,l21600,xe">
                  <v:stroke joinstyle="miter"/>
                  <v:path gradientshapeok="t" o:connecttype="rect"/>
                </v:shapetype>
                <v:shape id="Text Box 18" o:spid="_x0000_s1027" type="#_x0000_t202" style="position:absolute;left:56235;top:9144;width:14383;height:20961;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" strokeweight="1.5pt">
                  <v:path arrowok="t"/>
                  <v:textbox>
                    <w:txbxContent>
                      <w:p w14:paraId="5DF7A5FD" w14:textId="77777777" w:rsidR="00BF7C29" w:rsidRDefault="00BF7C29">
                        <w:pPr>
                          <w:spacing w:after="0" w:line="240" w:lineRule="auto"/>
                          <w:jc w:val="center"/>
                          <w:rPr>
                            <w:rFonts w:eastAsia="Times New Roman"/>
                            <w:b/>
                            <w:bCs/>
                          </w:rPr>
                        </w:pPr>
                      </w:p>
                      <w:p w14:paraId="00A7B1C2" w14:textId="77777777" w:rsidR="00BF7C29" w:rsidRDefault="00BF7C29">
                        <w:pPr>
                          <w:spacing w:after="0" w:line="240" w:lineRule="auto"/>
                          <w:jc w:val="center"/>
                          <w:rPr>
                            <w:rFonts w:eastAsia="Times New Roman"/>
                            <w:b/>
                            <w:bCs/>
                          </w:rPr>
                        </w:pPr>
                      </w:p>
                      <w:p w14:paraId="3C5B0098" w14:textId="77777777" w:rsidR="00BF7C29" w:rsidRDefault="00BF7C29">
                        <w:pPr>
                          <w:spacing w:after="0" w:line="240" w:lineRule="auto"/>
                          <w:jc w:val="center"/>
                          <w:rPr>
                            <w:rFonts w:eastAsia="Times New Roman"/>
                            <w:b/>
                            <w:bCs/>
                          </w:rPr>
                        </w:pPr>
                      </w:p>
                      <w:p w14:paraId="0A32AC01" w14:textId="77777777" w:rsidR="00BF7C29" w:rsidRDefault="00BF7C29">
                        <w:pPr>
                          <w:spacing w:after="0" w:line="240" w:lineRule="auto"/>
                          <w:jc w:val="center"/>
                          <w:rPr>
                            <w:b/>
                            <w:bCs/>
                          </w:rPr>
                        </w:pPr>
                        <w:r>
                          <w:rPr>
                            <w:b/>
                            <w:bCs/>
                          </w:rPr>
                          <w:t xml:space="preserve">Organisational Performance of </w:t>
                        </w:r>
                        <w:r>
                          <w:rPr>
                            <w:b/>
                            <w:bCs/>
                            <w:lang w:val="en"/>
                          </w:rPr>
                          <w:t>Faith-based Hospital</w:t>
                        </w:r>
                        <w:r>
                          <w:rPr>
                            <w:b/>
                            <w:bCs/>
                          </w:rPr>
                          <w:t>s</w:t>
                        </w:r>
                        <w:r>
                          <w:rPr>
                            <w:b/>
                            <w:bCs/>
                            <w:lang w:val="en"/>
                          </w:rPr>
                          <w:t xml:space="preserve"> in Kenya</w:t>
                        </w:r>
                      </w:p>
                    </w:txbxContent>
                  </v:textbox>
                </v:shape>
                <v:shape id="Text Box 20" o:spid="_x0000_s1028" type="#_x0000_t202" style="position:absolute;top:8839;width:13804;height:23012;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" strokeweight="1.5pt">
                  <v:path arrowok="t"/>
                  <v:textbox>
                    <w:txbxContent>
                      <w:p w14:paraId="138E44E7" w14:textId="77777777" w:rsidR="00BF7C29" w:rsidRDefault="00BF7C29">
                        <w:pPr>
                          <w:pStyle w:val="Heading7"/>
                          <w:spacing w:before="0"/>
                          <w:jc w:val="center"/>
                          <w:rPr>
                            <w:rFonts w:ascii="Times New Roman" w:hAnsi="Times New Roman"/>
                            <w:b/>
                            <w:bCs/>
                          </w:rPr>
                        </w:pPr>
                      </w:p>
                      <w:p w14:paraId="53F61FC4" w14:textId="77777777" w:rsidR="00BF7C29" w:rsidRDefault="00BF7C29">
                        <w:pPr>
                          <w:pStyle w:val="Heading7"/>
                          <w:spacing w:before="0"/>
                          <w:jc w:val="center"/>
                          <w:rPr>
                            <w:rFonts w:ascii="Times New Roman" w:hAnsi="Times New Roman"/>
                            <w:b/>
                            <w:bCs/>
                          </w:rPr>
                        </w:pPr>
                      </w:p>
                      <w:p w14:paraId="242D97D8" w14:textId="77777777" w:rsidR="00BF7C29" w:rsidRDefault="00BF7C29">
                        <w:pPr>
                          <w:pStyle w:val="Heading7"/>
                          <w:spacing w:before="0"/>
                          <w:jc w:val="center"/>
                          <w:rPr>
                            <w:rFonts w:ascii="Times New Roman" w:hAnsi="Times New Roman"/>
                            <w:b/>
                            <w:bCs/>
                          </w:rPr>
                        </w:pPr>
                      </w:p>
                      <w:p w14:paraId="0426F3B1" w14:textId="77777777" w:rsidR="00BF7C29" w:rsidRDefault="00BF7C29">
                        <w:pPr>
                          <w:jc w:val="center"/>
                          <w:rPr>
                            <w:b/>
                            <w:bCs/>
                          </w:rPr>
                        </w:pPr>
                        <w:r>
                          <w:rPr>
                            <w:b/>
                            <w:bCs/>
                          </w:rPr>
                          <w:t xml:space="preserve">Corporate Governance </w:t>
                        </w:r>
                      </w:p>
                      <w:p w14:paraId="655F85F2" w14:textId="77777777" w:rsidR="00BF7C29" w:rsidRDefault="00BF7C29">
                        <w:pPr>
                          <w:jc w:val="center"/>
                          <w:rPr>
                            <w:b/>
                            <w:bCs/>
                          </w:rPr>
                        </w:pPr>
                      </w:p>
                      <w:p w14:paraId="1CA27B0B" w14:textId="77777777" w:rsidR="00BF7C29" w:rsidRDefault="00BF7C29">
                        <w:pPr>
                          <w:pStyle w:val="ListParagraph"/>
                          <w:spacing w:line="240" w:lineRule="auto"/>
                        </w:pPr>
                      </w:p>
                      <w:p w14:paraId="20571E94" w14:textId="77777777" w:rsidR="00BF7C29" w:rsidRDefault="00BF7C29">
                        <w:pPr>
                          <w:pStyle w:val="ListParagraph"/>
                          <w:spacing w:line="240" w:lineRule="auto"/>
                        </w:pPr>
                      </w:p>
                      <w:p w14:paraId="493CD57A" w14:textId="77777777" w:rsidR="00BF7C29" w:rsidRDefault="00BF7C29">
                        <w:pPr>
                          <w:ind w:left="360"/>
                          <w:rPr>
                            <w:sz w:val="22"/>
                          </w:rPr>
                        </w:pPr>
                      </w:p>
                      <w:p w14:paraId="3DD68EA0" w14:textId="77777777" w:rsidR="00BF7C29" w:rsidRDefault="00BF7C29">
                        <w:pPr>
                          <w:ind w:left="360"/>
                          <w:rPr>
                            <w:sz w:val="22"/>
                          </w:rPr>
                        </w:pPr>
                      </w:p>
                      <w:p w14:paraId="6B2A59C7" w14:textId="77777777" w:rsidR="00BF7C29" w:rsidRDefault="00BF7C29">
                        <w:pPr>
                          <w:rPr>
                            <w:b/>
                            <w:sz w:val="22"/>
                          </w:rPr>
                        </w:pPr>
                      </w:p>
                    </w:txbxContent>
                  </v:textbox>
                </v:shape>
                <v:shape id="Text Box 15" o:spid="_x0000_s1029" type="#_x0000_t202" style="position:absolute;left:609;top:47853;width:16383;height:3461;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" stroked="f">
                  <v:textbox>
                    <w:txbxContent>
                      <w:p w14:paraId="213CC26D" w14:textId="77777777" w:rsidR="00BF7C29" w:rsidRDefault="00BF7C29">
                        <w:pPr>
                          <w:rPr>
                            <w:b/>
                            <w:szCs w:val="28"/>
                          </w:rPr>
                        </w:pPr>
                        <w:r>
                          <w:rPr>
                            <w:b/>
                            <w:szCs w:val="28"/>
                          </w:rPr>
                          <w:t>Independent Variable</w:t>
                        </w:r>
                      </w:p>
                    </w:txbxContent>
                  </v:textbox>
                </v:shape>
                <v:shape id="Text Box 16" o:spid="_x0000_s1030" type="#_x0000_t202" style="position:absolute;left:27279;top:10287;width:18212;height:7531;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" strokeweight="1.5pt">
                  <v:path arrowok="t"/>
                  <v:textbox>
                    <w:txbxContent>
                      <w:p w14:paraId="79417AA5" w14:textId="77777777" w:rsidR="00BF7C29" w:rsidRDefault="00BF7C29">
                        <w:pPr>
                          <w:spacing w:after="0"/>
                          <w:jc w:val="center"/>
                          <w:rPr>
                            <w:b/>
                            <w:bCs/>
                          </w:rPr>
                        </w:pPr>
                      </w:p>
                      <w:p w14:paraId="600AFEE1" w14:textId="77777777" w:rsidR="00BF7C29" w:rsidRDefault="00BF7C29">
                        <w:pPr>
                          <w:spacing w:after="0"/>
                          <w:jc w:val="center"/>
                          <w:rPr>
                            <w:b/>
                            <w:bCs/>
                            <w:sz w:val="20"/>
                            <w:szCs w:val="20"/>
                          </w:rPr>
                        </w:pPr>
                        <w:r>
                          <w:rPr>
                            <w:b/>
                            <w:bCs/>
                          </w:rPr>
                          <w:t>Service Innovations</w:t>
                        </w:r>
                      </w:p>
                    </w:txbxContent>
                  </v:textbox>
                </v:shape>
                <v:shape id="Text Box 17" o:spid="_x0000_s1031" type="#_x0000_t202" style="position:absolute;left:48920;top:10134;width:4381;height:2756;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" strokecolor="white">
                  <v:path arrowok="t"/>
                  <v:textbox>
                    <w:txbxContent>
                      <w:p w14:paraId="70643046" w14:textId="77777777" w:rsidR="00BF7C29" w:rsidRDefault="00BF7C29">
                        <w:pPr>
                          <w:rPr>
                            <w:b/>
                            <w:sz w:val="22"/>
                          </w:rPr>
                        </w:pPr>
                        <w:r>
                          <w:rPr>
                            <w:b/>
                            <w:sz w:val="22"/>
                          </w:rPr>
                          <w:t>H0</w:t>
                        </w:r>
                        <w:r>
                          <w:rPr>
                            <w:b/>
                            <w:sz w:val="22"/>
                            <w:vertAlign w:val="subscript"/>
                          </w:rPr>
                          <w:t>2</w:t>
                        </w:r>
                      </w:p>
                    </w:txbxContent>
                  </v:textbox>
                </v:shape>
                <v:shape id="Text Box 8" o:spid="_x0000_s1032" type="#_x0000_t202" style="position:absolute;left:40157;top:21564;width:4381;height:2953;flip:x;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" strokecolor="white">
                  <v:path arrowok="t"/>
                  <v:textbox>
                    <w:txbxContent>
                      <w:p w14:paraId="752733AA" w14:textId="77777777" w:rsidR="00BF7C29" w:rsidRDefault="00BF7C29">
                        <w:pPr>
                          <w:spacing w:after="0"/>
                          <w:rPr>
                            <w:b/>
                            <w:sz w:val="22"/>
                          </w:rPr>
                        </w:pPr>
                        <w:r>
                          <w:rPr>
                            <w:b/>
                            <w:sz w:val="22"/>
                          </w:rPr>
                          <w:t>H0</w:t>
                        </w:r>
                        <w:r>
                          <w:rPr>
                            <w:b/>
                            <w:sz w:val="22"/>
                            <w:vertAlign w:val="subscript"/>
                          </w:rPr>
                          <w:t>4</w:t>
                        </w:r>
                      </w:p>
                    </w:txbxContent>
                  </v:textbox>
                </v:shape>
                <v:shape id="Text Box 14" o:spid="_x0000_s1033" type="#_x0000_t202" style="position:absolute;left:32232;top:41148;width:4382;height:2762;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" strokecolor="white">
                  <v:path arrowok="t"/>
                  <v:textbox>
                    <w:txbxContent>
                      <w:p w14:paraId="26EBD66A" w14:textId="77777777" w:rsidR="00BF7C29" w:rsidRDefault="00BF7C29">
                        <w:pPr>
                          <w:spacing w:after="0"/>
                          <w:rPr>
                            <w:b/>
                            <w:sz w:val="22"/>
                          </w:rPr>
                        </w:pPr>
                        <w:r>
                          <w:rPr>
                            <w:b/>
                            <w:sz w:val="22"/>
                          </w:rPr>
                          <w:t>H0</w:t>
                        </w:r>
                        <w:r>
                          <w:rPr>
                            <w:b/>
                            <w:sz w:val="22"/>
                            <w:vertAlign w:val="subscript"/>
                          </w:rPr>
                          <w:t>3</w:t>
                        </w:r>
                      </w:p>
                    </w:txbxContent>
                  </v:textbox>
                </v:shape>
                <v:shape id="Text Box 5" o:spid="_x0000_s1034" type="#_x0000_t202" style="position:absolute;left:17754;top:28270;width:21336;height:8617;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" strokeweight="1.5pt">
                  <v:path arrowok="t"/>
                  <v:textbox>
                    <w:txbxContent>
                      <w:p w14:paraId="098274B9" w14:textId="77777777" w:rsidR="00BF7C29" w:rsidRDefault="00BF7C29">
                        <w:pPr>
                          <w:pStyle w:val="Heading8"/>
                          <w:spacing w:before="0"/>
                          <w:jc w:val="center"/>
                          <w:rPr>
                            <w:rFonts w:ascii="Times New Roman" w:hAnsi="Times New Roman"/>
                            <w:b/>
                            <w:bCs/>
                            <w:i w:val="0"/>
                            <w:iCs w:val="0"/>
                          </w:rPr>
                        </w:pPr>
                      </w:p>
                      <w:p w14:paraId="6CC48764" w14:textId="77777777" w:rsidR="00BF7C29" w:rsidRDefault="00BF7C29">
                        <w:pPr>
                          <w:jc w:val="center"/>
                          <w:rPr>
                            <w:b/>
                            <w:bCs/>
                          </w:rPr>
                        </w:pPr>
                        <w:r>
                          <w:rPr>
                            <w:b/>
                            <w:bCs/>
                          </w:rPr>
                          <w:t>Government Regulations</w:t>
                        </w:r>
                      </w:p>
                    </w:txbxContent>
                  </v:textbox>
                </v:shape>
                <v:line id="Straight Connector 3" o:spid="_x0000_s1035" style="position:absolute;flip:x;visibility:visible;mso-wrap-style:square" from="5791,31851" to="5791,44507"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" strokeweight=".5pt">
                  <v:stroke joinstyle="miter"/>
                  <o:lock v:ext="edit" shapetype="f"/>
                </v:line>
                <v:shapetype id="_x0000_t32" coordsize="21600,21600" o:spt="32" o:oned="t" path="m,l21600,21600e" filled="f">
                  <v:path arrowok="t" fillok="f" o:connecttype="none"/>
                  <o:lock v:ext="edit" shapetype="t"/>
                </v:shapetype>
                <v:shape id="Straight Arrow Connector 4" o:spid="_x0000_s1036" type="#_x0000_t32" style="position:absolute;left:64922;top:30327;width:0;height:14192;flip:y;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" strokeweight=".5pt">
                  <v:stroke endarrow="block" joinstyle="miter"/>
                  <o:lock v:ext="edit" shapetype="f"/>
                </v:shape>
                <v:line id="Straight Connector 1" o:spid="_x0000_s1037" style="position:absolute;visibility:visible;mso-wrap-style:square" from="5867,44500" to="64922,44500"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" strokeweight=".5pt">
                  <v:stroke joinstyle="miter"/>
                  <o:lock v:ext="edit" shapetype="f"/>
                </v:line>
                <v:line id="Straight Connector 2" o:spid="_x0000_s1038" style="position:absolute;visibility:visible;mso-wrap-style:square" from="29413,36804" to="29413,44615"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" strokeweight=".5pt">
                  <v:stroke joinstyle="miter"/>
                  <o:lock v:ext="edit" shapetype="f"/>
                </v:line>
                <v:shape id="Text Box 13" o:spid="_x0000_s1039" type="#_x0000_t202" style="position:absolute;left:57988;top:47472;width:15519;height:2794;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" stroked="f">
                  <v:textbox>
                    <w:txbxContent>
                      <w:p w14:paraId="4E710ED5" w14:textId="77777777" w:rsidR="00BF7C29" w:rsidRDefault="00BF7C29">
                        <w:pPr>
                          <w:rPr>
                            <w:b/>
                            <w:szCs w:val="28"/>
                          </w:rPr>
                        </w:pPr>
                        <w:r>
                          <w:rPr>
                            <w:b/>
                            <w:szCs w:val="28"/>
                          </w:rPr>
                          <w:t>Dependent Variable</w:t>
                        </w:r>
                      </w:p>
                    </w:txbxContent>
                  </v:textbox>
                </v:shape>
                <v:shape id="Text Box 12" o:spid="_x0000_s1040" type="#_x0000_t202" style="position:absolute;left:26670;top:47396;width:16954;height:3461;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" stroked="f">
                  <v:textbox>
                    <w:txbxContent>
                      <w:p w14:paraId="227C84D1" w14:textId="77777777" w:rsidR="00BF7C29" w:rsidRDefault="00BF7C29">
                        <w:pPr>
                          <w:rPr>
                            <w:b/>
                            <w:szCs w:val="28"/>
                          </w:rPr>
                        </w:pPr>
                        <w:r>
                          <w:rPr>
                            <w:b/>
                            <w:szCs w:val="28"/>
                          </w:rPr>
                          <w:t>Moderating Variable</w:t>
                        </w:r>
                      </w:p>
                    </w:txbxContent>
                  </v:textbox>
                </v:shape>
                <v:shape id="Straight Arrow Connector 11" o:spid="_x0000_s1041" type="#_x0000_t32" style="position:absolute;left:45415;top:14478;width:10807;height: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" strokeweight=".5pt">
                  <v:stroke endarrow="block" joinstyle="miter"/>
                  <o:lock v:ext="edit" shapetype="f"/>
                </v:shape>
                <v:line id="Straight Connector 10" o:spid="_x0000_s1042" style="position:absolute;visibility:visible;mso-wrap-style:square" from="13944,13944" to="27120,13944"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" strokeweight=".5pt">
                  <v:stroke joinstyle="miter"/>
                  <o:lock v:ext="edit" shapetype="f"/>
                </v:line>
                <v:line id="Straight Connector 21" o:spid="_x0000_s1043" style="position:absolute;visibility:visible;mso-wrap-style:square" from="5562,2819" to="64617,2819"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" strokeweight=".5pt">
                  <v:stroke joinstyle="miter"/>
                  <o:lock v:ext="edit" shapetype="f"/>
                </v:line>
                <v:line id="Straight Connector 24" o:spid="_x0000_s1044" style="position:absolute;visibility:visible;mso-wrap-style:square" from="5562,2819" to="5562,8820"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" strokeweight=".5pt">
                  <v:stroke joinstyle="miter"/>
                  <o:lock v:ext="edit" shapetype="f"/>
                </v:line>
                <v:shape id="Straight Arrow Connector 22" o:spid="_x0000_s1045" type="#_x0000_t32" style="position:absolute;left:64693;top:2819;width:0;height:609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" strokeweight=".5pt">
                  <v:stroke endarrow="block" joinstyle="miter"/>
                  <o:lock v:ext="edit" shapetype="f"/>
                </v:shape>
                <v:shape id="Text Box 23" o:spid="_x0000_s1046" type="#_x0000_t202" style="position:absolute;left:31623;width:4381;height:2755;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" strokecolor="white">
                  <v:path arrowok="t"/>
                  <v:textbox>
                    <w:txbxContent>
                      <w:p w14:paraId="01714630" w14:textId="77777777" w:rsidR="00BF7C29" w:rsidRDefault="00BF7C29" w:rsidP="00F265AF">
                        <w:pPr>
                          <w:rPr>
                            <w:b/>
                            <w:sz w:val="22"/>
                          </w:rPr>
                        </w:pPr>
                        <w:r>
                          <w:rPr>
                            <w:b/>
                            <w:sz w:val="22"/>
                          </w:rPr>
                          <w:t>H0</w:t>
                        </w:r>
                        <w:r>
                          <w:rPr>
                            <w:b/>
                            <w:sz w:val="22"/>
                            <w:vertAlign w:val="subscript"/>
                          </w:rPr>
                          <w:t>1</w:t>
                        </w:r>
                      </w:p>
                    </w:txbxContent>
                  </v:textbox>
                </v:shape>
                <v:line id="Straight Connector 6" o:spid="_x0000_s1047" style="position:absolute;visibility:visible;mso-wrap-style:square" from="34366,21031" to="34366,28200"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" strokeweight=".5pt">
                  <v:stroke joinstyle="miter"/>
                  <o:lock v:ext="edit" shapetype="f"/>
                </v:line>
                <v:line id="Straight Connector 9" o:spid="_x0000_s1048" style="position:absolute;flip:y;visibility:visible;mso-wrap-style:square" from="29870,17907" to="29870,21043"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" strokeweight=".5pt">
                  <v:stroke joinstyle="miter"/>
                  <o:lock v:ext="edit" shapetype="f"/>
                </v:line>
                <v:shape id="Straight Arrow Connector 1" o:spid="_x0000_s1049" type="#_x0000_t32" style="position:absolute;left:13716;top:21031;width:42506;height: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" strokeweight=".5pt">
                  <v:stroke endarrow="block" joinstyle="miter"/>
                  <o:lock v:ext="edit" shapetype="f"/>
                </v:shape>
              </v:group>
            </w:pict>
          </mc:Fallback>
        </mc:AlternateContent>
      </w:r>
      <w:r>
        <w:rPr>
          <w:noProof/>
        </w:rPr>
        <mc:AlternateContent>
          <mc:Choice Requires="wps">
            <w:drawing>
              <wp:anchor distT="0" distB="0" distL="114300" distR="114300" simplePos="0" relativeHeight="251657216" behindDoc="0" locked="0" layoutInCell="1" allowOverlap="1" wp14:anchorId="63DCD1CD" wp14:editId="29698FF3">
                <wp:simplePos x="0" y="0"/>
                <wp:positionH relativeFrom="margin">
                  <wp:posOffset>3489960</wp:posOffset>
                </wp:positionH>
                <wp:positionV relativeFrom="paragraph">
                  <wp:posOffset>174625</wp:posOffset>
                </wp:positionV>
                <wp:extent cx="1562100" cy="314325"/>
                <wp:effectExtent l="0" t="0" r="0" b="0"/>
                <wp:wrapNone/>
                <wp:docPr id="1681250315"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562100" cy="314325"/>
                        </a:xfrm>
                        <a:prstGeom prst="rect">
                          <a:avLst/>
                        </a:prstGeom>
                        <a:solidFill>
                          <a:srgbClr val="FFFFFF"/>
                        </a:solidFill>
                        <a:ln w="9525">
                          <a:noFill/>
                          <a:miter lim="800000"/>
                        </a:ln>
                      </wps:spPr>
                      <wps:txbx>
                        <w:txbxContent>
                          <w:p w14:paraId="60951B8D" w14:textId="77777777" w:rsidR="00BF7C29" w:rsidRDefault="00BF7C29">
                            <w:pPr>
                              <w:rPr>
                                <w:b/>
                                <w:szCs w:val="28"/>
                              </w:rPr>
                            </w:pPr>
                            <w:r>
                              <w:rPr>
                                <w:b/>
                                <w:szCs w:val="28"/>
                              </w:rPr>
                              <w:t>Mediating Variable</w:t>
                            </w:r>
                          </w:p>
                        </w:txbxContent>
                      </wps:txbx>
                      <wps:bodyPr rot="0" vertOverflow="clip" horzOverflow="clip"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w14:anchorId="63DCD1CD" id="Text Box 26" o:spid="_x0000_s1050" type="#_x0000_t202" style="position:absolute;left:0;text-align:left;margin-left:274.8pt;margin-top:13.75pt;width:123pt;height:24.7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" stroked="f">
                <v:textbox>
                  <w:txbxContent>
                    <w:p w14:paraId="60951B8D" w14:textId="77777777" w:rsidR="00BF7C29" w:rsidRDefault="00BF7C29">
                      <w:pPr>
                        <w:rPr>
                          <w:b/>
                          <w:szCs w:val="28"/>
                        </w:rPr>
                      </w:pPr>
                      <w:r>
                        <w:rPr>
                          <w:b/>
                          <w:szCs w:val="28"/>
                        </w:rPr>
                        <w:t>Mediating Variable</w:t>
                      </w:r>
                    </w:p>
                  </w:txbxContent>
                </v:textbox>
                <w10:wrap anchorx="margin"/>
              </v:shape>
            </w:pict>
          </mc:Fallback>
        </mc:AlternateContent>
      </w:r>
    </w:p>
    <w:p w14:paraId="04E64305" w14:textId="77777777" w:rsidR="00DC0D7C" w:rsidRPr="00EB11D3" w:rsidRDefault="00DC0D7C">
      <w:pPr>
        <w:spacing w:after="160" w:line="360" w:lineRule="auto"/>
        <w:rPr>
          <w:rFonts w:eastAsia="DengXian"/>
          <w:szCs w:val="24"/>
          <w:lang w:val="zh-CN" w:eastAsia="zh-CN"/>
        </w:rPr>
      </w:pPr>
    </w:p>
    <w:p w14:paraId="10A5B8E9" w14:textId="77777777" w:rsidR="00DC0D7C" w:rsidRPr="00EB11D3" w:rsidRDefault="00DC0D7C">
      <w:pPr>
        <w:spacing w:after="160" w:line="360" w:lineRule="auto"/>
        <w:rPr>
          <w:rFonts w:eastAsia="DengXian"/>
          <w:szCs w:val="24"/>
          <w:lang w:val="zh-CN"/>
        </w:rPr>
      </w:pPr>
    </w:p>
    <w:p w14:paraId="40B38EEC" w14:textId="77777777" w:rsidR="00DC0D7C" w:rsidRPr="00EB11D3" w:rsidRDefault="00DC0D7C">
      <w:pPr>
        <w:spacing w:after="160" w:line="360" w:lineRule="auto"/>
        <w:rPr>
          <w:rFonts w:eastAsia="DengXian"/>
          <w:szCs w:val="24"/>
          <w:lang w:val="zh-CN"/>
        </w:rPr>
      </w:pPr>
    </w:p>
    <w:p w14:paraId="437ECA20" w14:textId="77777777" w:rsidR="00DC0D7C" w:rsidRPr="00EB11D3" w:rsidRDefault="00DC0D7C">
      <w:pPr>
        <w:spacing w:after="160" w:line="360" w:lineRule="auto"/>
        <w:rPr>
          <w:rFonts w:eastAsia="DengXian"/>
          <w:szCs w:val="24"/>
          <w:lang w:val="zh-CN"/>
        </w:rPr>
      </w:pPr>
    </w:p>
    <w:p w14:paraId="721D1805" w14:textId="77777777" w:rsidR="00DC0D7C" w:rsidRPr="00EB11D3" w:rsidRDefault="00DC0D7C">
      <w:pPr>
        <w:spacing w:after="160" w:line="360" w:lineRule="auto"/>
        <w:rPr>
          <w:rFonts w:eastAsia="DengXian"/>
          <w:szCs w:val="24"/>
          <w:lang w:val="zh-CN"/>
        </w:rPr>
      </w:pPr>
    </w:p>
    <w:p w14:paraId="612F7552" w14:textId="77777777" w:rsidR="00DC0D7C" w:rsidRPr="00EB11D3" w:rsidRDefault="00DC0D7C">
      <w:pPr>
        <w:spacing w:after="160" w:line="360" w:lineRule="auto"/>
        <w:rPr>
          <w:rFonts w:eastAsia="DengXian"/>
          <w:szCs w:val="24"/>
          <w:lang w:val="zh-CN"/>
        </w:rPr>
      </w:pPr>
    </w:p>
    <w:p w14:paraId="74B4AE37" w14:textId="77777777" w:rsidR="00DC0D7C" w:rsidRPr="00EB11D3" w:rsidRDefault="00DC0D7C">
      <w:pPr>
        <w:spacing w:after="160" w:line="360" w:lineRule="auto"/>
        <w:rPr>
          <w:rFonts w:eastAsia="DengXian"/>
          <w:szCs w:val="24"/>
          <w:lang w:val="zh-CN"/>
        </w:rPr>
      </w:pPr>
    </w:p>
    <w:p w14:paraId="528C759B" w14:textId="77777777" w:rsidR="00DC0D7C" w:rsidRPr="00EB11D3" w:rsidRDefault="00DC0D7C">
      <w:pPr>
        <w:spacing w:after="160" w:line="360" w:lineRule="auto"/>
        <w:rPr>
          <w:rFonts w:eastAsia="DengXian"/>
          <w:szCs w:val="24"/>
          <w:lang w:val="zh-CN"/>
        </w:rPr>
      </w:pPr>
    </w:p>
    <w:p w14:paraId="71889E49" w14:textId="77777777" w:rsidR="00DC0D7C" w:rsidRPr="00EB11D3" w:rsidRDefault="00DC0D7C">
      <w:pPr>
        <w:spacing w:after="160" w:line="360" w:lineRule="auto"/>
        <w:rPr>
          <w:rFonts w:eastAsia="DengXian"/>
          <w:szCs w:val="24"/>
        </w:rPr>
      </w:pPr>
    </w:p>
    <w:p w14:paraId="212D54B3" w14:textId="77777777" w:rsidR="00DC0D7C" w:rsidRPr="00EB11D3" w:rsidRDefault="00DC0D7C">
      <w:pPr>
        <w:spacing w:after="160" w:line="360" w:lineRule="auto"/>
        <w:rPr>
          <w:rFonts w:eastAsia="DengXian"/>
          <w:szCs w:val="24"/>
          <w:lang w:val="zh-CN"/>
        </w:rPr>
      </w:pPr>
    </w:p>
    <w:p w14:paraId="63172C5E" w14:textId="77777777" w:rsidR="00DC0D7C" w:rsidRPr="00EB11D3" w:rsidRDefault="00DC0D7C">
      <w:pPr>
        <w:spacing w:after="160" w:line="360" w:lineRule="auto"/>
        <w:rPr>
          <w:rFonts w:eastAsia="DengXian"/>
          <w:szCs w:val="24"/>
          <w:lang w:val="zh-CN"/>
        </w:rPr>
      </w:pPr>
    </w:p>
    <w:p w14:paraId="0B0E0E15" w14:textId="77777777" w:rsidR="00DC0D7C" w:rsidRPr="00EB11D3" w:rsidRDefault="00DC0D7C">
      <w:pPr>
        <w:spacing w:after="160" w:line="360" w:lineRule="auto"/>
        <w:rPr>
          <w:rFonts w:eastAsia="DengXian"/>
          <w:szCs w:val="24"/>
          <w:lang w:val="zh-CN"/>
        </w:rPr>
      </w:pPr>
    </w:p>
    <w:p w14:paraId="353EFFBD" w14:textId="77777777" w:rsidR="00DC0D7C" w:rsidRPr="00EB11D3" w:rsidRDefault="00DC0D7C">
      <w:pPr>
        <w:spacing w:after="160" w:line="360" w:lineRule="auto"/>
        <w:rPr>
          <w:rFonts w:eastAsia="DengXian"/>
          <w:b/>
          <w:bCs/>
          <w:szCs w:val="24"/>
        </w:rPr>
      </w:pPr>
    </w:p>
    <w:p w14:paraId="4CE5D3C5" w14:textId="77777777" w:rsidR="00DC0D7C" w:rsidRPr="00EB11D3" w:rsidRDefault="00212BDF">
      <w:pPr>
        <w:spacing w:after="160" w:line="360" w:lineRule="auto"/>
        <w:rPr>
          <w:rFonts w:eastAsia="DengXian"/>
          <w:b/>
          <w:bCs/>
          <w:szCs w:val="24"/>
        </w:rPr>
      </w:pPr>
      <w:bookmarkStart w:id="310" w:name="_Toc132696696"/>
      <w:bookmarkStart w:id="311" w:name="_Toc177387973"/>
      <w:r w:rsidRPr="00EB11D3">
        <w:rPr>
          <w:rFonts w:eastAsia="DengXian"/>
          <w:b/>
          <w:bCs/>
          <w:szCs w:val="24"/>
        </w:rPr>
        <w:t xml:space="preserve">Figure </w:t>
      </w:r>
      <w:r w:rsidRPr="00EB11D3">
        <w:rPr>
          <w:rFonts w:eastAsia="DengXian"/>
          <w:szCs w:val="24"/>
          <w:lang w:val="zh-CN"/>
        </w:rPr>
        <w:fldChar w:fldCharType="begin"/>
      </w:r>
      <w:r w:rsidRPr="00EB11D3">
        <w:rPr>
          <w:rFonts w:eastAsia="DengXian"/>
          <w:b/>
          <w:bCs/>
          <w:szCs w:val="24"/>
        </w:rPr>
        <w:instrText xml:space="preserve"> SEQ Figure \* ARABIC </w:instrText>
      </w:r>
      <w:r w:rsidRPr="00EB11D3">
        <w:rPr>
          <w:rFonts w:eastAsia="DengXian"/>
          <w:szCs w:val="24"/>
          <w:lang w:val="zh-CN"/>
        </w:rPr>
        <w:fldChar w:fldCharType="separate"/>
      </w:r>
      <w:r w:rsidR="00A80224" w:rsidRPr="00EB11D3">
        <w:rPr>
          <w:rFonts w:eastAsia="DengXian"/>
          <w:b/>
          <w:bCs/>
          <w:noProof/>
          <w:szCs w:val="24"/>
        </w:rPr>
        <w:t>1</w:t>
      </w:r>
      <w:r w:rsidRPr="00EB11D3">
        <w:rPr>
          <w:rFonts w:eastAsia="DengXian"/>
          <w:szCs w:val="24"/>
          <w:lang w:val="zh-CN"/>
        </w:rPr>
        <w:fldChar w:fldCharType="end"/>
      </w:r>
      <w:r w:rsidRPr="00EB11D3">
        <w:rPr>
          <w:rFonts w:eastAsia="DengXian"/>
          <w:b/>
          <w:bCs/>
          <w:szCs w:val="24"/>
        </w:rPr>
        <w:t>: Conceptual Model</w:t>
      </w:r>
      <w:bookmarkEnd w:id="310"/>
      <w:bookmarkEnd w:id="311"/>
    </w:p>
    <w:p w14:paraId="27FA0BCD" w14:textId="77777777" w:rsidR="00DC0D7C" w:rsidRPr="00EB11D3" w:rsidRDefault="00DC0D7C">
      <w:pPr>
        <w:spacing w:after="160" w:line="259" w:lineRule="auto"/>
        <w:jc w:val="left"/>
        <w:rPr>
          <w:rFonts w:eastAsia="Calibri"/>
          <w:b/>
          <w:bCs/>
          <w:szCs w:val="24"/>
        </w:rPr>
        <w:sectPr w:rsidR="00DC0D7C" w:rsidRPr="00EB11D3" w:rsidSect="005F6C66">
          <w:pgSz w:w="15840" w:h="12240" w:orient="landscape"/>
          <w:pgMar w:top="1440" w:right="1440" w:bottom="1440" w:left="1440" w:header="720" w:footer="720" w:gutter="0"/>
          <w:cols w:space="720"/>
          <w:docGrid w:linePitch="360"/>
        </w:sectPr>
      </w:pPr>
    </w:p>
    <w:p w14:paraId="3EA38C24" w14:textId="77777777" w:rsidR="00DC0D7C" w:rsidRPr="00EB11D3" w:rsidRDefault="00212BDF">
      <w:pPr>
        <w:pStyle w:val="Heading2"/>
        <w:keepNext w:val="0"/>
        <w:keepLines w:val="0"/>
        <w:spacing w:before="100" w:beforeAutospacing="1" w:after="100" w:afterAutospacing="1" w:line="240" w:lineRule="auto"/>
        <w:jc w:val="both"/>
        <w:rPr>
          <w:bCs/>
          <w:szCs w:val="24"/>
        </w:rPr>
      </w:pPr>
      <w:bookmarkStart w:id="312" w:name="_Toc177387837"/>
      <w:r w:rsidRPr="00EB11D3">
        <w:rPr>
          <w:bCs/>
          <w:szCs w:val="24"/>
        </w:rPr>
        <w:t>2.6 Operationalization of Research Variables</w:t>
      </w:r>
      <w:bookmarkEnd w:id="312"/>
    </w:p>
    <w:p w14:paraId="234424A9" w14:textId="77777777" w:rsidR="00DC0D7C" w:rsidRPr="00EB11D3" w:rsidRDefault="00C8754A">
      <w:pPr>
        <w:pStyle w:val="Caption"/>
        <w:keepNext/>
        <w:spacing w:line="360" w:lineRule="auto"/>
        <w:jc w:val="both"/>
        <w:rPr>
          <w:rFonts w:ascii="Times New Roman" w:eastAsia="DengXian" w:hAnsi="Times New Roman"/>
          <w:b w:val="0"/>
          <w:bCs w:val="0"/>
          <w:color w:val="auto"/>
          <w:sz w:val="24"/>
          <w:szCs w:val="24"/>
        </w:rPr>
      </w:pPr>
      <w:bookmarkStart w:id="313" w:name="_Toc82946489"/>
      <w:bookmarkStart w:id="314" w:name="_Toc114474767"/>
      <w:bookmarkStart w:id="315" w:name="_Toc100987953"/>
      <w:bookmarkStart w:id="316" w:name="_Toc62560595"/>
      <w:bookmarkStart w:id="317" w:name="_Toc500171353"/>
      <w:r w:rsidRPr="00EB11D3">
        <w:rPr>
          <w:rFonts w:ascii="Times New Roman" w:eastAsia="DengXian" w:hAnsi="Times New Roman"/>
          <w:b w:val="0"/>
          <w:bCs w:val="0"/>
          <w:color w:val="auto"/>
          <w:sz w:val="24"/>
          <w:szCs w:val="24"/>
        </w:rPr>
        <w:t xml:space="preserve">The operationalization of the variables </w:t>
      </w:r>
      <w:r w:rsidR="009C5E5A" w:rsidRPr="00EB11D3">
        <w:rPr>
          <w:rFonts w:ascii="Times New Roman" w:eastAsia="DengXian" w:hAnsi="Times New Roman"/>
          <w:b w:val="0"/>
          <w:bCs w:val="0"/>
          <w:color w:val="auto"/>
          <w:sz w:val="24"/>
          <w:szCs w:val="24"/>
        </w:rPr>
        <w:t xml:space="preserve">was </w:t>
      </w:r>
      <w:r w:rsidRPr="00EB11D3">
        <w:rPr>
          <w:rFonts w:ascii="Times New Roman" w:eastAsia="DengXian" w:hAnsi="Times New Roman"/>
          <w:b w:val="0"/>
          <w:bCs w:val="0"/>
          <w:color w:val="auto"/>
          <w:sz w:val="24"/>
          <w:szCs w:val="24"/>
        </w:rPr>
        <w:t xml:space="preserve">described in table 2 below. Corporate governance </w:t>
      </w:r>
      <w:r w:rsidR="009C5E5A" w:rsidRPr="00EB11D3">
        <w:rPr>
          <w:rFonts w:ascii="Times New Roman" w:eastAsia="DengXian" w:hAnsi="Times New Roman"/>
          <w:b w:val="0"/>
          <w:bCs w:val="0"/>
          <w:color w:val="auto"/>
          <w:sz w:val="24"/>
          <w:szCs w:val="24"/>
        </w:rPr>
        <w:t xml:space="preserve">was </w:t>
      </w:r>
      <w:r w:rsidRPr="00EB11D3">
        <w:rPr>
          <w:rFonts w:ascii="Times New Roman" w:eastAsia="DengXian" w:hAnsi="Times New Roman"/>
          <w:b w:val="0"/>
          <w:bCs w:val="0"/>
          <w:color w:val="auto"/>
          <w:sz w:val="24"/>
          <w:szCs w:val="24"/>
        </w:rPr>
        <w:t xml:space="preserve">an independent variable, service innovation </w:t>
      </w:r>
      <w:r w:rsidR="009C5E5A" w:rsidRPr="00EB11D3">
        <w:rPr>
          <w:rFonts w:ascii="Times New Roman" w:eastAsia="DengXian" w:hAnsi="Times New Roman"/>
          <w:b w:val="0"/>
          <w:bCs w:val="0"/>
          <w:color w:val="auto"/>
          <w:sz w:val="24"/>
          <w:szCs w:val="24"/>
        </w:rPr>
        <w:t xml:space="preserve">was </w:t>
      </w:r>
      <w:r w:rsidRPr="00EB11D3">
        <w:rPr>
          <w:rFonts w:ascii="Times New Roman" w:eastAsia="DengXian" w:hAnsi="Times New Roman"/>
          <w:b w:val="0"/>
          <w:bCs w:val="0"/>
          <w:color w:val="auto"/>
          <w:sz w:val="24"/>
          <w:szCs w:val="24"/>
        </w:rPr>
        <w:t xml:space="preserve">a mediating variable, government regulations </w:t>
      </w:r>
      <w:r w:rsidR="009C5E5A" w:rsidRPr="00EB11D3">
        <w:rPr>
          <w:rFonts w:ascii="Times New Roman" w:eastAsia="DengXian" w:hAnsi="Times New Roman"/>
          <w:b w:val="0"/>
          <w:bCs w:val="0"/>
          <w:color w:val="auto"/>
          <w:sz w:val="24"/>
          <w:szCs w:val="24"/>
        </w:rPr>
        <w:t xml:space="preserve">was </w:t>
      </w:r>
      <w:r w:rsidRPr="00EB11D3">
        <w:rPr>
          <w:rFonts w:ascii="Times New Roman" w:eastAsia="DengXian" w:hAnsi="Times New Roman"/>
          <w:b w:val="0"/>
          <w:bCs w:val="0"/>
          <w:color w:val="auto"/>
          <w:sz w:val="24"/>
          <w:szCs w:val="24"/>
        </w:rPr>
        <w:t>the moderating variable while </w:t>
      </w:r>
      <w:r w:rsidR="006D5C62" w:rsidRPr="00EB11D3">
        <w:rPr>
          <w:rFonts w:ascii="Times New Roman" w:eastAsia="DengXian" w:hAnsi="Times New Roman"/>
          <w:b w:val="0"/>
          <w:bCs w:val="0"/>
          <w:color w:val="auto"/>
          <w:sz w:val="24"/>
          <w:szCs w:val="24"/>
        </w:rPr>
        <w:t>organisational performance of Faith-Based Hospitals</w:t>
      </w:r>
      <w:r w:rsidRPr="00EB11D3">
        <w:rPr>
          <w:rFonts w:ascii="Times New Roman" w:eastAsia="DengXian" w:hAnsi="Times New Roman"/>
          <w:b w:val="0"/>
          <w:bCs w:val="0"/>
          <w:color w:val="auto"/>
          <w:sz w:val="24"/>
          <w:szCs w:val="24"/>
        </w:rPr>
        <w:t xml:space="preserve"> in Kenya </w:t>
      </w:r>
      <w:r w:rsidR="009C5E5A" w:rsidRPr="00EB11D3">
        <w:rPr>
          <w:rFonts w:ascii="Times New Roman" w:eastAsia="DengXian" w:hAnsi="Times New Roman"/>
          <w:b w:val="0"/>
          <w:bCs w:val="0"/>
          <w:color w:val="auto"/>
          <w:sz w:val="24"/>
          <w:szCs w:val="24"/>
        </w:rPr>
        <w:t>was the</w:t>
      </w:r>
      <w:r w:rsidRPr="00EB11D3">
        <w:rPr>
          <w:rFonts w:ascii="Times New Roman" w:eastAsia="DengXian" w:hAnsi="Times New Roman"/>
          <w:b w:val="0"/>
          <w:bCs w:val="0"/>
          <w:color w:val="auto"/>
          <w:sz w:val="24"/>
          <w:szCs w:val="24"/>
        </w:rPr>
        <w:t xml:space="preserve"> dependent variable.</w:t>
      </w:r>
    </w:p>
    <w:p w14:paraId="083F2A3C" w14:textId="77777777" w:rsidR="00DC0D7C" w:rsidRPr="00EB11D3" w:rsidRDefault="00212BDF">
      <w:pPr>
        <w:pStyle w:val="Caption"/>
        <w:keepNext/>
        <w:rPr>
          <w:rFonts w:ascii="Times New Roman" w:eastAsia="Times New Roman" w:hAnsi="Times New Roman"/>
          <w:bCs w:val="0"/>
          <w:color w:val="auto"/>
          <w:sz w:val="24"/>
          <w:szCs w:val="24"/>
        </w:rPr>
      </w:pPr>
      <w:bookmarkStart w:id="318" w:name="_Toc132696648"/>
      <w:bookmarkStart w:id="319" w:name="_Toc177387933"/>
      <w:r w:rsidRPr="00EB11D3">
        <w:rPr>
          <w:rFonts w:ascii="Times New Roman" w:eastAsia="Times New Roman" w:hAnsi="Times New Roman"/>
          <w:bCs w:val="0"/>
          <w:color w:val="auto"/>
          <w:sz w:val="24"/>
          <w:szCs w:val="24"/>
        </w:rPr>
        <w:t xml:space="preserve">Table </w:t>
      </w:r>
      <w:r w:rsidRPr="00EB11D3">
        <w:rPr>
          <w:rFonts w:ascii="Times New Roman" w:eastAsia="Times New Roman" w:hAnsi="Times New Roman"/>
          <w:bCs w:val="0"/>
          <w:color w:val="auto"/>
          <w:sz w:val="24"/>
          <w:szCs w:val="24"/>
        </w:rPr>
        <w:fldChar w:fldCharType="begin"/>
      </w:r>
      <w:r w:rsidRPr="00EB11D3">
        <w:rPr>
          <w:rFonts w:ascii="Times New Roman" w:eastAsia="Times New Roman" w:hAnsi="Times New Roman"/>
          <w:bCs w:val="0"/>
          <w:color w:val="auto"/>
          <w:sz w:val="24"/>
          <w:szCs w:val="24"/>
        </w:rPr>
        <w:instrText xml:space="preserve"> SEQ Table \* ARABIC </w:instrText>
      </w:r>
      <w:r w:rsidRPr="00EB11D3">
        <w:rPr>
          <w:rFonts w:ascii="Times New Roman" w:eastAsia="Times New Roman" w:hAnsi="Times New Roman"/>
          <w:bCs w:val="0"/>
          <w:color w:val="auto"/>
          <w:sz w:val="24"/>
          <w:szCs w:val="24"/>
        </w:rPr>
        <w:fldChar w:fldCharType="separate"/>
      </w:r>
      <w:r w:rsidR="00A80224" w:rsidRPr="00EB11D3">
        <w:rPr>
          <w:rFonts w:ascii="Times New Roman" w:eastAsia="Times New Roman" w:hAnsi="Times New Roman"/>
          <w:bCs w:val="0"/>
          <w:noProof/>
          <w:color w:val="auto"/>
          <w:sz w:val="24"/>
          <w:szCs w:val="24"/>
        </w:rPr>
        <w:t>2</w:t>
      </w:r>
      <w:r w:rsidRPr="00EB11D3">
        <w:rPr>
          <w:rFonts w:ascii="Times New Roman" w:eastAsia="Times New Roman" w:hAnsi="Times New Roman"/>
          <w:bCs w:val="0"/>
          <w:color w:val="auto"/>
          <w:sz w:val="24"/>
          <w:szCs w:val="24"/>
        </w:rPr>
        <w:fldChar w:fldCharType="end"/>
      </w:r>
      <w:r w:rsidRPr="00EB11D3">
        <w:rPr>
          <w:rFonts w:ascii="Times New Roman" w:eastAsia="Times New Roman" w:hAnsi="Times New Roman"/>
          <w:bCs w:val="0"/>
          <w:color w:val="auto"/>
          <w:sz w:val="24"/>
          <w:szCs w:val="24"/>
        </w:rPr>
        <w:t>: Operationalization of Variables</w:t>
      </w:r>
      <w:bookmarkEnd w:id="313"/>
      <w:bookmarkEnd w:id="314"/>
      <w:bookmarkEnd w:id="315"/>
      <w:bookmarkEnd w:id="316"/>
      <w:bookmarkEnd w:id="317"/>
      <w:bookmarkEnd w:id="318"/>
      <w:bookmarkEnd w:id="319"/>
      <w:r w:rsidRPr="00EB11D3">
        <w:rPr>
          <w:rFonts w:ascii="Times New Roman" w:eastAsia="Times New Roman" w:hAnsi="Times New Roman"/>
          <w:bCs w:val="0"/>
          <w:color w:val="auto"/>
          <w:sz w:val="24"/>
          <w:szCs w:val="24"/>
        </w:rPr>
        <w:t xml:space="preserve"> </w:t>
      </w:r>
    </w:p>
    <w:tbl>
      <w:tblPr>
        <w:tblW w:w="5000" w:type="pct"/>
        <w:jc w:val="right"/>
        <w:tblBorders>
          <w:top w:val="single" w:sz="8" w:space="0" w:color="000000"/>
          <w:bottom w:val="single" w:sz="8" w:space="0" w:color="000000"/>
        </w:tblBorders>
        <w:shd w:val="clear" w:color="auto" w:fill="FFFFFF"/>
        <w:tblLayout w:type="fixed"/>
        <w:tblLook w:val="04A0" w:firstRow="1" w:lastRow="0" w:firstColumn="1" w:lastColumn="0" w:noHBand="0" w:noVBand="1"/>
      </w:tblPr>
      <w:tblGrid>
        <w:gridCol w:w="1866"/>
        <w:gridCol w:w="2726"/>
        <w:gridCol w:w="1496"/>
        <w:gridCol w:w="1056"/>
        <w:gridCol w:w="2216"/>
      </w:tblGrid>
      <w:tr w:rsidR="0039483D" w:rsidRPr="00EB11D3" w14:paraId="794AB7AF" w14:textId="77777777" w:rsidTr="00C83017">
        <w:trPr>
          <w:trHeight w:val="660"/>
          <w:jc w:val="right"/>
        </w:trPr>
        <w:tc>
          <w:tcPr>
            <w:tcW w:w="997" w:type="pct"/>
            <w:tcBorders>
              <w:top w:val="single" w:sz="8" w:space="0" w:color="000000"/>
              <w:left w:val="nil"/>
              <w:bottom w:val="single" w:sz="8" w:space="0" w:color="000000"/>
              <w:right w:val="nil"/>
            </w:tcBorders>
            <w:shd w:val="clear" w:color="auto" w:fill="FFFFFF"/>
          </w:tcPr>
          <w:p w14:paraId="7A43F42B" w14:textId="77777777" w:rsidR="00DC0D7C" w:rsidRPr="00EB11D3" w:rsidRDefault="00212BDF" w:rsidP="00CB14A6">
            <w:pPr>
              <w:spacing w:after="0"/>
              <w:jc w:val="center"/>
              <w:rPr>
                <w:b/>
                <w:bCs/>
                <w:sz w:val="22"/>
              </w:rPr>
            </w:pPr>
            <w:r w:rsidRPr="00EB11D3">
              <w:rPr>
                <w:b/>
                <w:bCs/>
                <w:sz w:val="22"/>
              </w:rPr>
              <w:t>Study Variables</w:t>
            </w:r>
          </w:p>
        </w:tc>
        <w:tc>
          <w:tcPr>
            <w:tcW w:w="1456" w:type="pct"/>
            <w:tcBorders>
              <w:top w:val="single" w:sz="8" w:space="0" w:color="000000"/>
              <w:left w:val="nil"/>
              <w:bottom w:val="single" w:sz="8" w:space="0" w:color="000000"/>
              <w:right w:val="nil"/>
            </w:tcBorders>
            <w:shd w:val="clear" w:color="auto" w:fill="FFFFFF"/>
          </w:tcPr>
          <w:p w14:paraId="1BFB148D" w14:textId="77777777" w:rsidR="00DC0D7C" w:rsidRPr="00EB11D3" w:rsidRDefault="00212BDF" w:rsidP="00CB14A6">
            <w:pPr>
              <w:spacing w:after="0"/>
              <w:rPr>
                <w:b/>
                <w:bCs/>
                <w:sz w:val="22"/>
              </w:rPr>
            </w:pPr>
            <w:r w:rsidRPr="00EB11D3">
              <w:rPr>
                <w:b/>
                <w:bCs/>
                <w:sz w:val="22"/>
              </w:rPr>
              <w:t>Indicators</w:t>
            </w:r>
          </w:p>
        </w:tc>
        <w:tc>
          <w:tcPr>
            <w:tcW w:w="799" w:type="pct"/>
            <w:tcBorders>
              <w:top w:val="single" w:sz="8" w:space="0" w:color="000000"/>
              <w:left w:val="nil"/>
              <w:bottom w:val="single" w:sz="8" w:space="0" w:color="000000"/>
              <w:right w:val="nil"/>
            </w:tcBorders>
            <w:shd w:val="clear" w:color="auto" w:fill="FFFFFF"/>
          </w:tcPr>
          <w:p w14:paraId="0A503387" w14:textId="77777777" w:rsidR="00DC0D7C" w:rsidRPr="00EB11D3" w:rsidRDefault="00212BDF" w:rsidP="00CB14A6">
            <w:pPr>
              <w:spacing w:after="0"/>
              <w:jc w:val="center"/>
              <w:rPr>
                <w:b/>
                <w:bCs/>
                <w:sz w:val="22"/>
              </w:rPr>
            </w:pPr>
            <w:r w:rsidRPr="00EB11D3">
              <w:rPr>
                <w:b/>
                <w:bCs/>
                <w:sz w:val="22"/>
              </w:rPr>
              <w:t>Measurement Scale</w:t>
            </w:r>
          </w:p>
        </w:tc>
        <w:tc>
          <w:tcPr>
            <w:tcW w:w="564" w:type="pct"/>
            <w:tcBorders>
              <w:top w:val="single" w:sz="8" w:space="0" w:color="000000"/>
              <w:left w:val="nil"/>
              <w:bottom w:val="single" w:sz="8" w:space="0" w:color="000000"/>
              <w:right w:val="nil"/>
            </w:tcBorders>
            <w:shd w:val="clear" w:color="auto" w:fill="FFFFFF"/>
          </w:tcPr>
          <w:p w14:paraId="41D56E67" w14:textId="77777777" w:rsidR="00DC0D7C" w:rsidRPr="00EB11D3" w:rsidRDefault="00212BDF" w:rsidP="00CB14A6">
            <w:pPr>
              <w:tabs>
                <w:tab w:val="left" w:pos="2732"/>
              </w:tabs>
              <w:spacing w:after="0"/>
              <w:jc w:val="center"/>
              <w:rPr>
                <w:b/>
                <w:bCs/>
                <w:sz w:val="22"/>
              </w:rPr>
            </w:pPr>
            <w:r w:rsidRPr="00EB11D3">
              <w:rPr>
                <w:b/>
                <w:bCs/>
                <w:sz w:val="22"/>
              </w:rPr>
              <w:t>Question</w:t>
            </w:r>
          </w:p>
        </w:tc>
        <w:tc>
          <w:tcPr>
            <w:tcW w:w="1184" w:type="pct"/>
            <w:tcBorders>
              <w:top w:val="single" w:sz="8" w:space="0" w:color="000000"/>
              <w:left w:val="nil"/>
              <w:bottom w:val="single" w:sz="8" w:space="0" w:color="000000"/>
              <w:right w:val="nil"/>
            </w:tcBorders>
            <w:shd w:val="clear" w:color="auto" w:fill="FFFFFF"/>
          </w:tcPr>
          <w:p w14:paraId="33F92D46" w14:textId="77777777" w:rsidR="00DC0D7C" w:rsidRPr="00EB11D3" w:rsidRDefault="00212BDF" w:rsidP="00CB14A6">
            <w:pPr>
              <w:tabs>
                <w:tab w:val="left" w:pos="2732"/>
              </w:tabs>
              <w:spacing w:after="0"/>
              <w:ind w:right="162"/>
              <w:jc w:val="center"/>
              <w:rPr>
                <w:b/>
                <w:bCs/>
                <w:sz w:val="22"/>
              </w:rPr>
            </w:pPr>
            <w:r w:rsidRPr="00EB11D3">
              <w:rPr>
                <w:b/>
                <w:bCs/>
                <w:sz w:val="22"/>
              </w:rPr>
              <w:t>Tools of Analysis</w:t>
            </w:r>
          </w:p>
        </w:tc>
      </w:tr>
      <w:tr w:rsidR="0039483D" w:rsidRPr="00EB11D3" w14:paraId="6D6346AA" w14:textId="77777777" w:rsidTr="00C83017">
        <w:trPr>
          <w:trHeight w:val="1340"/>
          <w:jc w:val="right"/>
        </w:trPr>
        <w:tc>
          <w:tcPr>
            <w:tcW w:w="997" w:type="pct"/>
            <w:tcBorders>
              <w:top w:val="nil"/>
              <w:left w:val="nil"/>
              <w:bottom w:val="nil"/>
              <w:right w:val="nil"/>
            </w:tcBorders>
            <w:shd w:val="clear" w:color="auto" w:fill="FFFFFF"/>
          </w:tcPr>
          <w:p w14:paraId="4275ABEF" w14:textId="77777777" w:rsidR="009F5337" w:rsidRPr="00EB11D3" w:rsidRDefault="009F5337">
            <w:pPr>
              <w:rPr>
                <w:sz w:val="22"/>
              </w:rPr>
            </w:pPr>
          </w:p>
          <w:p w14:paraId="3751D74D" w14:textId="77777777" w:rsidR="00DC0D7C" w:rsidRPr="00EB11D3" w:rsidRDefault="00212BDF">
            <w:pPr>
              <w:rPr>
                <w:sz w:val="22"/>
              </w:rPr>
            </w:pPr>
            <w:r w:rsidRPr="00EB11D3">
              <w:rPr>
                <w:sz w:val="22"/>
              </w:rPr>
              <w:t xml:space="preserve">Corporate Governance </w:t>
            </w:r>
          </w:p>
        </w:tc>
        <w:tc>
          <w:tcPr>
            <w:tcW w:w="1456" w:type="pct"/>
            <w:tcBorders>
              <w:left w:val="nil"/>
              <w:bottom w:val="nil"/>
              <w:right w:val="nil"/>
            </w:tcBorders>
            <w:shd w:val="clear" w:color="auto" w:fill="FFFFFF"/>
          </w:tcPr>
          <w:p w14:paraId="59BD78E4" w14:textId="77777777" w:rsidR="00DC0D7C" w:rsidRPr="00EB11D3" w:rsidRDefault="00212BDF">
            <w:pPr>
              <w:spacing w:after="0"/>
              <w:rPr>
                <w:sz w:val="22"/>
              </w:rPr>
            </w:pPr>
            <w:bookmarkStart w:id="320" w:name="_Hlk107821844"/>
            <w:bookmarkStart w:id="321" w:name="_Hlk123361204"/>
            <w:r w:rsidRPr="00EB11D3">
              <w:rPr>
                <w:sz w:val="22"/>
              </w:rPr>
              <w:t xml:space="preserve">- </w:t>
            </w:r>
            <w:bookmarkStart w:id="322" w:name="_Hlk141687481"/>
            <w:r w:rsidRPr="00EB11D3">
              <w:rPr>
                <w:sz w:val="22"/>
              </w:rPr>
              <w:t>Board Composition</w:t>
            </w:r>
          </w:p>
          <w:p w14:paraId="54D3AD73" w14:textId="77777777" w:rsidR="00DC0D7C" w:rsidRPr="00EB11D3" w:rsidRDefault="00212BDF">
            <w:pPr>
              <w:spacing w:after="0"/>
              <w:rPr>
                <w:sz w:val="22"/>
              </w:rPr>
            </w:pPr>
            <w:r w:rsidRPr="00EB11D3">
              <w:rPr>
                <w:sz w:val="22"/>
              </w:rPr>
              <w:t>-</w:t>
            </w:r>
            <w:r w:rsidR="001D4CD6" w:rsidRPr="00EB11D3">
              <w:rPr>
                <w:sz w:val="22"/>
              </w:rPr>
              <w:t xml:space="preserve"> </w:t>
            </w:r>
            <w:r w:rsidRPr="00EB11D3">
              <w:rPr>
                <w:sz w:val="22"/>
              </w:rPr>
              <w:t>Accountability</w:t>
            </w:r>
          </w:p>
          <w:p w14:paraId="57B200D3" w14:textId="77777777" w:rsidR="00DC0D7C" w:rsidRPr="00EB11D3" w:rsidRDefault="00212BDF">
            <w:pPr>
              <w:spacing w:after="0"/>
              <w:rPr>
                <w:sz w:val="22"/>
              </w:rPr>
            </w:pPr>
            <w:r w:rsidRPr="00EB11D3">
              <w:rPr>
                <w:sz w:val="22"/>
              </w:rPr>
              <w:t>- Transparency</w:t>
            </w:r>
          </w:p>
          <w:p w14:paraId="62D675A4" w14:textId="77777777" w:rsidR="00DC0D7C" w:rsidRPr="00EB11D3" w:rsidRDefault="00212BDF">
            <w:pPr>
              <w:spacing w:after="0"/>
              <w:rPr>
                <w:sz w:val="22"/>
              </w:rPr>
            </w:pPr>
            <w:r w:rsidRPr="00EB11D3">
              <w:rPr>
                <w:sz w:val="22"/>
              </w:rPr>
              <w:t>- Responsibility</w:t>
            </w:r>
          </w:p>
          <w:bookmarkEnd w:id="320"/>
          <w:bookmarkEnd w:id="321"/>
          <w:bookmarkEnd w:id="322"/>
          <w:p w14:paraId="586C105C" w14:textId="77777777" w:rsidR="00DC0D7C" w:rsidRPr="00EB11D3" w:rsidRDefault="00DC0D7C">
            <w:pPr>
              <w:spacing w:after="0"/>
              <w:rPr>
                <w:sz w:val="22"/>
              </w:rPr>
            </w:pPr>
          </w:p>
        </w:tc>
        <w:tc>
          <w:tcPr>
            <w:tcW w:w="799" w:type="pct"/>
            <w:tcBorders>
              <w:top w:val="nil"/>
              <w:left w:val="nil"/>
              <w:bottom w:val="nil"/>
              <w:right w:val="nil"/>
            </w:tcBorders>
            <w:shd w:val="clear" w:color="auto" w:fill="FFFFFF"/>
          </w:tcPr>
          <w:p w14:paraId="44BC75F5" w14:textId="77777777" w:rsidR="00DC0D7C" w:rsidRPr="00EB11D3" w:rsidRDefault="00212BDF">
            <w:pPr>
              <w:jc w:val="center"/>
              <w:rPr>
                <w:sz w:val="22"/>
              </w:rPr>
            </w:pPr>
            <w:r w:rsidRPr="00EB11D3">
              <w:rPr>
                <w:sz w:val="22"/>
              </w:rPr>
              <w:t>Interval</w:t>
            </w:r>
          </w:p>
        </w:tc>
        <w:tc>
          <w:tcPr>
            <w:tcW w:w="564" w:type="pct"/>
            <w:tcBorders>
              <w:left w:val="nil"/>
              <w:bottom w:val="nil"/>
              <w:right w:val="nil"/>
            </w:tcBorders>
            <w:shd w:val="clear" w:color="auto" w:fill="FFFFFF"/>
          </w:tcPr>
          <w:p w14:paraId="0D061E5C" w14:textId="77777777" w:rsidR="00C83017" w:rsidRDefault="00212BDF" w:rsidP="00C83017">
            <w:pPr>
              <w:spacing w:after="0"/>
              <w:jc w:val="center"/>
              <w:rPr>
                <w:sz w:val="22"/>
              </w:rPr>
            </w:pPr>
            <w:r w:rsidRPr="00EB11D3">
              <w:rPr>
                <w:sz w:val="22"/>
              </w:rPr>
              <w:t xml:space="preserve">Section </w:t>
            </w:r>
          </w:p>
          <w:p w14:paraId="3EC7678B" w14:textId="77777777" w:rsidR="00DC0D7C" w:rsidRPr="00EB11D3" w:rsidRDefault="00212BDF" w:rsidP="00C83017">
            <w:pPr>
              <w:spacing w:after="0"/>
              <w:jc w:val="center"/>
              <w:rPr>
                <w:sz w:val="22"/>
              </w:rPr>
            </w:pPr>
            <w:r w:rsidRPr="00EB11D3">
              <w:rPr>
                <w:sz w:val="22"/>
              </w:rPr>
              <w:t>B</w:t>
            </w:r>
          </w:p>
        </w:tc>
        <w:tc>
          <w:tcPr>
            <w:tcW w:w="1184" w:type="pct"/>
            <w:tcBorders>
              <w:top w:val="nil"/>
              <w:left w:val="nil"/>
              <w:bottom w:val="nil"/>
              <w:right w:val="nil"/>
            </w:tcBorders>
            <w:shd w:val="clear" w:color="auto" w:fill="FFFFFF"/>
          </w:tcPr>
          <w:p w14:paraId="02DC1B36" w14:textId="77777777" w:rsidR="00315796" w:rsidRPr="00EB11D3" w:rsidRDefault="00315796" w:rsidP="00C83017">
            <w:pPr>
              <w:jc w:val="center"/>
              <w:rPr>
                <w:sz w:val="22"/>
              </w:rPr>
            </w:pPr>
            <w:r w:rsidRPr="00EB11D3">
              <w:rPr>
                <w:sz w:val="22"/>
              </w:rPr>
              <w:t>Frequencies, percentages,</w:t>
            </w:r>
          </w:p>
          <w:p w14:paraId="510CA6AE" w14:textId="77777777" w:rsidR="00DC0D7C" w:rsidRPr="00EB11D3" w:rsidRDefault="00315796" w:rsidP="00315796">
            <w:pPr>
              <w:rPr>
                <w:sz w:val="22"/>
              </w:rPr>
            </w:pPr>
            <w:r w:rsidRPr="00EB11D3">
              <w:rPr>
                <w:sz w:val="22"/>
              </w:rPr>
              <w:t>Correlation &amp; Multiple regression Analysis</w:t>
            </w:r>
          </w:p>
        </w:tc>
      </w:tr>
      <w:tr w:rsidR="0039483D" w:rsidRPr="00EB11D3" w14:paraId="583DD659" w14:textId="77777777" w:rsidTr="00C83017">
        <w:trPr>
          <w:trHeight w:val="1575"/>
          <w:jc w:val="right"/>
        </w:trPr>
        <w:tc>
          <w:tcPr>
            <w:tcW w:w="997" w:type="pct"/>
            <w:tcBorders>
              <w:top w:val="nil"/>
              <w:left w:val="nil"/>
              <w:bottom w:val="nil"/>
              <w:right w:val="nil"/>
            </w:tcBorders>
            <w:shd w:val="clear" w:color="auto" w:fill="auto"/>
          </w:tcPr>
          <w:p w14:paraId="149AD65B" w14:textId="77777777" w:rsidR="00DC0D7C" w:rsidRPr="00EB11D3" w:rsidRDefault="00212BDF">
            <w:pPr>
              <w:rPr>
                <w:rFonts w:eastAsia="Times New Roman"/>
                <w:sz w:val="22"/>
              </w:rPr>
            </w:pPr>
            <w:bookmarkStart w:id="323" w:name="_Hlk60930673"/>
            <w:r w:rsidRPr="00EB11D3">
              <w:rPr>
                <w:sz w:val="22"/>
                <w:lang w:val="en"/>
              </w:rPr>
              <w:t>Service Innovation</w:t>
            </w:r>
          </w:p>
        </w:tc>
        <w:tc>
          <w:tcPr>
            <w:tcW w:w="1456" w:type="pct"/>
            <w:tcBorders>
              <w:bottom w:val="nil"/>
            </w:tcBorders>
            <w:shd w:val="clear" w:color="auto" w:fill="auto"/>
          </w:tcPr>
          <w:p w14:paraId="131E186F" w14:textId="77777777" w:rsidR="00951E6F" w:rsidRPr="00EB11D3" w:rsidRDefault="00951E6F" w:rsidP="002A5ADE">
            <w:pPr>
              <w:spacing w:after="0"/>
              <w:rPr>
                <w:sz w:val="22"/>
              </w:rPr>
            </w:pPr>
            <w:r w:rsidRPr="00EB11D3">
              <w:rPr>
                <w:sz w:val="22"/>
              </w:rPr>
              <w:t xml:space="preserve">-Diversification of </w:t>
            </w:r>
            <w:r w:rsidR="0009683A" w:rsidRPr="00EB11D3">
              <w:rPr>
                <w:sz w:val="22"/>
              </w:rPr>
              <w:t>S</w:t>
            </w:r>
            <w:r w:rsidRPr="00EB11D3">
              <w:rPr>
                <w:sz w:val="22"/>
              </w:rPr>
              <w:t xml:space="preserve">ervices </w:t>
            </w:r>
          </w:p>
          <w:p w14:paraId="049C16B8" w14:textId="77777777" w:rsidR="00951E6F" w:rsidRPr="00EB11D3" w:rsidRDefault="00951E6F" w:rsidP="002A5ADE">
            <w:pPr>
              <w:spacing w:after="0"/>
              <w:rPr>
                <w:sz w:val="22"/>
              </w:rPr>
            </w:pPr>
            <w:r w:rsidRPr="00EB11D3">
              <w:rPr>
                <w:sz w:val="22"/>
              </w:rPr>
              <w:t xml:space="preserve">-Technological </w:t>
            </w:r>
            <w:r w:rsidR="0009683A" w:rsidRPr="00EB11D3">
              <w:rPr>
                <w:sz w:val="22"/>
              </w:rPr>
              <w:t>I</w:t>
            </w:r>
            <w:r w:rsidRPr="00EB11D3">
              <w:rPr>
                <w:sz w:val="22"/>
              </w:rPr>
              <w:t>ntegration</w:t>
            </w:r>
          </w:p>
          <w:p w14:paraId="732053C0" w14:textId="77777777" w:rsidR="00951E6F" w:rsidRPr="00EB11D3" w:rsidRDefault="00951E6F" w:rsidP="002A5ADE">
            <w:pPr>
              <w:spacing w:after="0"/>
              <w:rPr>
                <w:sz w:val="22"/>
              </w:rPr>
            </w:pPr>
            <w:r w:rsidRPr="00EB11D3">
              <w:rPr>
                <w:sz w:val="22"/>
              </w:rPr>
              <w:t>-Process Improvement</w:t>
            </w:r>
          </w:p>
          <w:p w14:paraId="3A39F4D2" w14:textId="77777777" w:rsidR="00951E6F" w:rsidRPr="00EB11D3" w:rsidRDefault="00951E6F" w:rsidP="002A5ADE">
            <w:pPr>
              <w:spacing w:after="0"/>
              <w:rPr>
                <w:sz w:val="22"/>
              </w:rPr>
            </w:pPr>
            <w:r w:rsidRPr="00EB11D3">
              <w:rPr>
                <w:sz w:val="22"/>
              </w:rPr>
              <w:t xml:space="preserve">-Customer-centric </w:t>
            </w:r>
            <w:r w:rsidR="0009683A" w:rsidRPr="00EB11D3">
              <w:rPr>
                <w:sz w:val="22"/>
              </w:rPr>
              <w:t>S</w:t>
            </w:r>
            <w:r w:rsidRPr="00EB11D3">
              <w:rPr>
                <w:sz w:val="22"/>
              </w:rPr>
              <w:t xml:space="preserve">ervices </w:t>
            </w:r>
          </w:p>
          <w:p w14:paraId="5C71F0BB" w14:textId="77777777" w:rsidR="002A5ADE" w:rsidRPr="00EB11D3" w:rsidRDefault="002A5ADE" w:rsidP="002A5ADE">
            <w:pPr>
              <w:spacing w:after="0"/>
              <w:rPr>
                <w:sz w:val="22"/>
              </w:rPr>
            </w:pPr>
          </w:p>
        </w:tc>
        <w:tc>
          <w:tcPr>
            <w:tcW w:w="799" w:type="pct"/>
            <w:tcBorders>
              <w:top w:val="nil"/>
              <w:left w:val="nil"/>
              <w:bottom w:val="nil"/>
              <w:right w:val="nil"/>
            </w:tcBorders>
            <w:shd w:val="clear" w:color="auto" w:fill="auto"/>
          </w:tcPr>
          <w:p w14:paraId="1A2D2AF9" w14:textId="77777777" w:rsidR="00DC0D7C" w:rsidRPr="00EB11D3" w:rsidRDefault="00212BDF">
            <w:pPr>
              <w:jc w:val="center"/>
              <w:rPr>
                <w:sz w:val="22"/>
              </w:rPr>
            </w:pPr>
            <w:r w:rsidRPr="00EB11D3">
              <w:rPr>
                <w:sz w:val="22"/>
              </w:rPr>
              <w:t>Interval</w:t>
            </w:r>
          </w:p>
        </w:tc>
        <w:tc>
          <w:tcPr>
            <w:tcW w:w="564" w:type="pct"/>
            <w:tcBorders>
              <w:bottom w:val="nil"/>
            </w:tcBorders>
            <w:shd w:val="clear" w:color="auto" w:fill="auto"/>
          </w:tcPr>
          <w:p w14:paraId="51D661A8" w14:textId="77777777" w:rsidR="00C83017" w:rsidRDefault="00212BDF" w:rsidP="00C83017">
            <w:pPr>
              <w:spacing w:after="0"/>
              <w:jc w:val="center"/>
              <w:rPr>
                <w:sz w:val="22"/>
              </w:rPr>
            </w:pPr>
            <w:r w:rsidRPr="00EB11D3">
              <w:rPr>
                <w:sz w:val="22"/>
              </w:rPr>
              <w:t xml:space="preserve">Section </w:t>
            </w:r>
          </w:p>
          <w:p w14:paraId="286D43A6" w14:textId="77777777" w:rsidR="00DC0D7C" w:rsidRPr="00EB11D3" w:rsidRDefault="00212BDF" w:rsidP="00C83017">
            <w:pPr>
              <w:spacing w:after="0"/>
              <w:jc w:val="center"/>
              <w:rPr>
                <w:sz w:val="22"/>
              </w:rPr>
            </w:pPr>
            <w:r w:rsidRPr="00EB11D3">
              <w:rPr>
                <w:sz w:val="22"/>
              </w:rPr>
              <w:t>C</w:t>
            </w:r>
          </w:p>
        </w:tc>
        <w:tc>
          <w:tcPr>
            <w:tcW w:w="1184" w:type="pct"/>
            <w:tcBorders>
              <w:top w:val="nil"/>
              <w:left w:val="nil"/>
              <w:bottom w:val="nil"/>
              <w:right w:val="nil"/>
            </w:tcBorders>
            <w:shd w:val="clear" w:color="auto" w:fill="auto"/>
          </w:tcPr>
          <w:p w14:paraId="02C8F413" w14:textId="77777777" w:rsidR="00315796" w:rsidRPr="00EB11D3" w:rsidRDefault="00315796" w:rsidP="00315796">
            <w:pPr>
              <w:jc w:val="center"/>
              <w:rPr>
                <w:sz w:val="22"/>
              </w:rPr>
            </w:pPr>
            <w:r w:rsidRPr="00EB11D3">
              <w:rPr>
                <w:sz w:val="22"/>
              </w:rPr>
              <w:t>Frequencies, percentages,</w:t>
            </w:r>
          </w:p>
          <w:p w14:paraId="72483C4A" w14:textId="77777777" w:rsidR="00DC0D7C" w:rsidRPr="00EB11D3" w:rsidRDefault="00315796" w:rsidP="00315796">
            <w:pPr>
              <w:jc w:val="center"/>
              <w:rPr>
                <w:sz w:val="22"/>
              </w:rPr>
            </w:pPr>
            <w:r w:rsidRPr="00EB11D3">
              <w:rPr>
                <w:sz w:val="22"/>
              </w:rPr>
              <w:t>Correlation &amp; Multiple regression Analysis</w:t>
            </w:r>
          </w:p>
        </w:tc>
        <w:bookmarkEnd w:id="323"/>
      </w:tr>
      <w:tr w:rsidR="0039483D" w:rsidRPr="00EB11D3" w14:paraId="4F352BEC" w14:textId="77777777" w:rsidTr="00C83017">
        <w:trPr>
          <w:trHeight w:val="1341"/>
          <w:jc w:val="right"/>
        </w:trPr>
        <w:tc>
          <w:tcPr>
            <w:tcW w:w="997" w:type="pct"/>
            <w:tcBorders>
              <w:top w:val="nil"/>
              <w:left w:val="nil"/>
              <w:bottom w:val="nil"/>
              <w:right w:val="nil"/>
            </w:tcBorders>
            <w:shd w:val="clear" w:color="auto" w:fill="FFFFFF"/>
          </w:tcPr>
          <w:p w14:paraId="575501A7" w14:textId="77777777" w:rsidR="00DC0D7C" w:rsidRPr="00EB11D3" w:rsidRDefault="00212BDF">
            <w:pPr>
              <w:spacing w:after="0"/>
              <w:rPr>
                <w:sz w:val="22"/>
              </w:rPr>
            </w:pPr>
            <w:r w:rsidRPr="00EB11D3">
              <w:rPr>
                <w:sz w:val="22"/>
              </w:rPr>
              <w:t>Government</w:t>
            </w:r>
            <w:r w:rsidR="00945A41" w:rsidRPr="00EB11D3">
              <w:rPr>
                <w:sz w:val="22"/>
              </w:rPr>
              <w:t xml:space="preserve"> </w:t>
            </w:r>
            <w:r w:rsidRPr="00EB11D3">
              <w:rPr>
                <w:sz w:val="22"/>
              </w:rPr>
              <w:t>Regulations</w:t>
            </w:r>
          </w:p>
        </w:tc>
        <w:tc>
          <w:tcPr>
            <w:tcW w:w="1456" w:type="pct"/>
            <w:tcBorders>
              <w:left w:val="nil"/>
              <w:bottom w:val="nil"/>
              <w:right w:val="nil"/>
            </w:tcBorders>
            <w:shd w:val="clear" w:color="auto" w:fill="FFFFFF"/>
          </w:tcPr>
          <w:p w14:paraId="732D3E07" w14:textId="77777777" w:rsidR="008E6822" w:rsidRPr="00EB11D3" w:rsidRDefault="00212BDF">
            <w:pPr>
              <w:spacing w:after="0"/>
              <w:rPr>
                <w:sz w:val="22"/>
              </w:rPr>
            </w:pPr>
            <w:bookmarkStart w:id="324" w:name="_Hlk116564949"/>
            <w:r w:rsidRPr="00EB11D3">
              <w:rPr>
                <w:sz w:val="22"/>
              </w:rPr>
              <w:t>-</w:t>
            </w:r>
            <w:r w:rsidR="003536FF" w:rsidRPr="00EB11D3">
              <w:rPr>
                <w:sz w:val="22"/>
              </w:rPr>
              <w:t xml:space="preserve"> </w:t>
            </w:r>
            <w:bookmarkEnd w:id="324"/>
            <w:r w:rsidR="008E6822" w:rsidRPr="00EB11D3">
              <w:rPr>
                <w:sz w:val="22"/>
              </w:rPr>
              <w:t>Law</w:t>
            </w:r>
            <w:r w:rsidR="00DC1C52" w:rsidRPr="00EB11D3">
              <w:rPr>
                <w:sz w:val="22"/>
              </w:rPr>
              <w:t xml:space="preserve"> and </w:t>
            </w:r>
            <w:r w:rsidR="008E6822" w:rsidRPr="00EB11D3">
              <w:rPr>
                <w:sz w:val="22"/>
              </w:rPr>
              <w:t>Regulations</w:t>
            </w:r>
            <w:r w:rsidR="008E6822" w:rsidRPr="00EB11D3" w:rsidDel="008E6822">
              <w:rPr>
                <w:sz w:val="22"/>
              </w:rPr>
              <w:t xml:space="preserve"> </w:t>
            </w:r>
          </w:p>
          <w:p w14:paraId="29B194FF" w14:textId="77777777" w:rsidR="008E6822" w:rsidRPr="00EB11D3" w:rsidRDefault="008E6822">
            <w:pPr>
              <w:spacing w:after="0"/>
              <w:rPr>
                <w:sz w:val="22"/>
              </w:rPr>
            </w:pPr>
            <w:r w:rsidRPr="00EB11D3">
              <w:rPr>
                <w:sz w:val="22"/>
              </w:rPr>
              <w:t>- Professional Ethics</w:t>
            </w:r>
          </w:p>
          <w:p w14:paraId="1CADB742" w14:textId="77777777" w:rsidR="009641B1" w:rsidRPr="00EB11D3" w:rsidRDefault="00E04E70">
            <w:pPr>
              <w:spacing w:after="0"/>
              <w:rPr>
                <w:sz w:val="22"/>
              </w:rPr>
            </w:pPr>
            <w:r w:rsidRPr="00EB11D3">
              <w:rPr>
                <w:sz w:val="22"/>
              </w:rPr>
              <w:t xml:space="preserve">- </w:t>
            </w:r>
            <w:r w:rsidR="008E6822" w:rsidRPr="00EB11D3">
              <w:rPr>
                <w:sz w:val="22"/>
              </w:rPr>
              <w:t>Professional Standards</w:t>
            </w:r>
            <w:r w:rsidR="008E6822" w:rsidRPr="00EB11D3" w:rsidDel="008E6822">
              <w:rPr>
                <w:sz w:val="22"/>
              </w:rPr>
              <w:t xml:space="preserve"> </w:t>
            </w:r>
          </w:p>
          <w:p w14:paraId="4F5C106E" w14:textId="77777777" w:rsidR="008542BA" w:rsidRPr="00EB11D3" w:rsidRDefault="008542BA">
            <w:pPr>
              <w:spacing w:after="0"/>
              <w:rPr>
                <w:sz w:val="22"/>
              </w:rPr>
            </w:pPr>
          </w:p>
        </w:tc>
        <w:tc>
          <w:tcPr>
            <w:tcW w:w="799" w:type="pct"/>
            <w:tcBorders>
              <w:top w:val="nil"/>
              <w:left w:val="nil"/>
              <w:bottom w:val="nil"/>
              <w:right w:val="nil"/>
            </w:tcBorders>
            <w:shd w:val="clear" w:color="auto" w:fill="FFFFFF"/>
          </w:tcPr>
          <w:p w14:paraId="19EF214F" w14:textId="77777777" w:rsidR="00DC0D7C" w:rsidRPr="00EB11D3" w:rsidRDefault="00212BDF">
            <w:pPr>
              <w:jc w:val="center"/>
              <w:rPr>
                <w:sz w:val="22"/>
              </w:rPr>
            </w:pPr>
            <w:r w:rsidRPr="00EB11D3">
              <w:rPr>
                <w:sz w:val="22"/>
              </w:rPr>
              <w:t>Interval</w:t>
            </w:r>
          </w:p>
        </w:tc>
        <w:tc>
          <w:tcPr>
            <w:tcW w:w="564" w:type="pct"/>
            <w:tcBorders>
              <w:left w:val="nil"/>
              <w:bottom w:val="nil"/>
              <w:right w:val="nil"/>
            </w:tcBorders>
            <w:shd w:val="clear" w:color="auto" w:fill="FFFFFF"/>
          </w:tcPr>
          <w:p w14:paraId="05DD82E8" w14:textId="77777777" w:rsidR="00DC0D7C" w:rsidRPr="00EB11D3" w:rsidRDefault="00212BDF">
            <w:pPr>
              <w:jc w:val="center"/>
              <w:rPr>
                <w:sz w:val="22"/>
              </w:rPr>
            </w:pPr>
            <w:r w:rsidRPr="00EB11D3">
              <w:rPr>
                <w:sz w:val="22"/>
              </w:rPr>
              <w:t>Section D</w:t>
            </w:r>
          </w:p>
        </w:tc>
        <w:tc>
          <w:tcPr>
            <w:tcW w:w="1184" w:type="pct"/>
            <w:tcBorders>
              <w:top w:val="nil"/>
              <w:left w:val="nil"/>
              <w:bottom w:val="nil"/>
              <w:right w:val="nil"/>
            </w:tcBorders>
            <w:shd w:val="clear" w:color="auto" w:fill="FFFFFF"/>
          </w:tcPr>
          <w:p w14:paraId="1DF3C265" w14:textId="77777777" w:rsidR="00315796" w:rsidRPr="00EB11D3" w:rsidRDefault="00315796" w:rsidP="00315796">
            <w:pPr>
              <w:jc w:val="center"/>
              <w:rPr>
                <w:sz w:val="22"/>
              </w:rPr>
            </w:pPr>
            <w:r w:rsidRPr="00EB11D3">
              <w:rPr>
                <w:sz w:val="22"/>
              </w:rPr>
              <w:t>Frequencies, percentages,</w:t>
            </w:r>
          </w:p>
          <w:p w14:paraId="2B755471" w14:textId="77777777" w:rsidR="00DC0D7C" w:rsidRPr="00EB11D3" w:rsidRDefault="00315796" w:rsidP="00315796">
            <w:pPr>
              <w:jc w:val="center"/>
              <w:rPr>
                <w:sz w:val="22"/>
              </w:rPr>
            </w:pPr>
            <w:r w:rsidRPr="00EB11D3">
              <w:rPr>
                <w:sz w:val="22"/>
              </w:rPr>
              <w:t>Correlation &amp; Multiple regression Analysis</w:t>
            </w:r>
          </w:p>
        </w:tc>
      </w:tr>
      <w:tr w:rsidR="0039483D" w:rsidRPr="00EB11D3" w14:paraId="3EE098DC" w14:textId="77777777" w:rsidTr="00C83017">
        <w:trPr>
          <w:trHeight w:val="1509"/>
          <w:jc w:val="right"/>
        </w:trPr>
        <w:tc>
          <w:tcPr>
            <w:tcW w:w="997" w:type="pct"/>
            <w:tcBorders>
              <w:top w:val="nil"/>
              <w:left w:val="nil"/>
              <w:bottom w:val="single" w:sz="4" w:space="0" w:color="auto"/>
              <w:right w:val="nil"/>
            </w:tcBorders>
            <w:shd w:val="clear" w:color="auto" w:fill="FFFFFF"/>
          </w:tcPr>
          <w:p w14:paraId="45E2D167" w14:textId="77777777" w:rsidR="00DC0D7C" w:rsidRPr="00EB11D3" w:rsidRDefault="006D5C62" w:rsidP="00F97D9E">
            <w:pPr>
              <w:spacing w:after="0"/>
              <w:contextualSpacing/>
              <w:jc w:val="left"/>
              <w:rPr>
                <w:sz w:val="22"/>
                <w:lang w:eastAsia="zh-CN"/>
              </w:rPr>
            </w:pPr>
            <w:r w:rsidRPr="00EB11D3">
              <w:rPr>
                <w:rFonts w:eastAsia="Times New Roman"/>
                <w:sz w:val="22"/>
              </w:rPr>
              <w:t>Organisational performance of Faith-Based Hospitals</w:t>
            </w:r>
          </w:p>
        </w:tc>
        <w:tc>
          <w:tcPr>
            <w:tcW w:w="1456" w:type="pct"/>
            <w:tcBorders>
              <w:top w:val="nil"/>
              <w:left w:val="nil"/>
              <w:bottom w:val="single" w:sz="4" w:space="0" w:color="auto"/>
              <w:right w:val="nil"/>
            </w:tcBorders>
            <w:shd w:val="clear" w:color="auto" w:fill="FFFFFF"/>
          </w:tcPr>
          <w:p w14:paraId="29884000" w14:textId="77777777" w:rsidR="001F647B" w:rsidRPr="00EB11D3" w:rsidRDefault="001F647B" w:rsidP="00886823">
            <w:pPr>
              <w:spacing w:after="0"/>
              <w:rPr>
                <w:sz w:val="22"/>
              </w:rPr>
            </w:pPr>
            <w:bookmarkStart w:id="325" w:name="_Hlk129105712"/>
            <w:r w:rsidRPr="00EB11D3">
              <w:rPr>
                <w:rFonts w:eastAsia="Cambria"/>
                <w:sz w:val="22"/>
                <w:lang w:val="en-GB"/>
              </w:rPr>
              <w:t xml:space="preserve">- </w:t>
            </w:r>
            <w:r w:rsidRPr="00EB11D3">
              <w:rPr>
                <w:sz w:val="22"/>
              </w:rPr>
              <w:t xml:space="preserve">Efficiency </w:t>
            </w:r>
          </w:p>
          <w:p w14:paraId="6B0C02D5" w14:textId="77777777" w:rsidR="001F647B" w:rsidRPr="00EB11D3" w:rsidRDefault="001F647B" w:rsidP="00886823">
            <w:pPr>
              <w:spacing w:after="0"/>
              <w:rPr>
                <w:sz w:val="22"/>
              </w:rPr>
            </w:pPr>
            <w:r w:rsidRPr="00EB11D3">
              <w:rPr>
                <w:rFonts w:eastAsia="Cambria"/>
                <w:sz w:val="22"/>
                <w:lang w:val="en-GB"/>
              </w:rPr>
              <w:t xml:space="preserve">- </w:t>
            </w:r>
            <w:r w:rsidR="00B43DB8" w:rsidRPr="00EB11D3">
              <w:rPr>
                <w:sz w:val="22"/>
              </w:rPr>
              <w:t xml:space="preserve">Customer </w:t>
            </w:r>
            <w:r w:rsidRPr="00EB11D3">
              <w:rPr>
                <w:sz w:val="22"/>
              </w:rPr>
              <w:t xml:space="preserve">Satisfaction </w:t>
            </w:r>
          </w:p>
          <w:p w14:paraId="46D5A67B" w14:textId="77777777" w:rsidR="00DC0D7C" w:rsidRPr="00EB11D3" w:rsidRDefault="001F647B">
            <w:pPr>
              <w:spacing w:after="0"/>
              <w:rPr>
                <w:sz w:val="22"/>
              </w:rPr>
            </w:pPr>
            <w:r w:rsidRPr="00EB11D3">
              <w:rPr>
                <w:rFonts w:eastAsia="Cambria"/>
                <w:sz w:val="22"/>
                <w:lang w:val="en-GB"/>
              </w:rPr>
              <w:t xml:space="preserve">- </w:t>
            </w:r>
            <w:r w:rsidRPr="00EB11D3">
              <w:rPr>
                <w:sz w:val="22"/>
              </w:rPr>
              <w:t>Effectiveness</w:t>
            </w:r>
            <w:bookmarkEnd w:id="325"/>
          </w:p>
          <w:p w14:paraId="0D609554" w14:textId="77777777" w:rsidR="00B43DB8" w:rsidRPr="00EB11D3" w:rsidRDefault="00B43DB8">
            <w:pPr>
              <w:spacing w:after="0"/>
              <w:rPr>
                <w:rFonts w:eastAsia="Cambria"/>
                <w:sz w:val="22"/>
                <w:lang w:val="en-GB"/>
              </w:rPr>
            </w:pPr>
            <w:r w:rsidRPr="00EB11D3">
              <w:rPr>
                <w:sz w:val="22"/>
                <w:lang w:val="en-GB"/>
              </w:rPr>
              <w:t>- Productivity</w:t>
            </w:r>
          </w:p>
        </w:tc>
        <w:tc>
          <w:tcPr>
            <w:tcW w:w="799" w:type="pct"/>
            <w:tcBorders>
              <w:top w:val="nil"/>
              <w:left w:val="nil"/>
              <w:bottom w:val="single" w:sz="4" w:space="0" w:color="auto"/>
              <w:right w:val="nil"/>
            </w:tcBorders>
            <w:shd w:val="clear" w:color="auto" w:fill="FFFFFF"/>
          </w:tcPr>
          <w:p w14:paraId="4D4D666C" w14:textId="77777777" w:rsidR="00DC0D7C" w:rsidRPr="00EB11D3" w:rsidRDefault="00212BDF">
            <w:pPr>
              <w:jc w:val="center"/>
              <w:rPr>
                <w:b/>
                <w:bCs/>
                <w:sz w:val="22"/>
              </w:rPr>
            </w:pPr>
            <w:r w:rsidRPr="00EB11D3">
              <w:rPr>
                <w:sz w:val="22"/>
              </w:rPr>
              <w:t>Interval</w:t>
            </w:r>
          </w:p>
        </w:tc>
        <w:tc>
          <w:tcPr>
            <w:tcW w:w="564" w:type="pct"/>
            <w:tcBorders>
              <w:top w:val="nil"/>
              <w:left w:val="nil"/>
              <w:bottom w:val="single" w:sz="4" w:space="0" w:color="auto"/>
              <w:right w:val="nil"/>
            </w:tcBorders>
            <w:shd w:val="clear" w:color="auto" w:fill="FFFFFF"/>
          </w:tcPr>
          <w:p w14:paraId="2D5F0BD6" w14:textId="77777777" w:rsidR="00C83017" w:rsidRDefault="00212BDF" w:rsidP="00C83017">
            <w:pPr>
              <w:spacing w:after="0"/>
              <w:jc w:val="center"/>
              <w:rPr>
                <w:sz w:val="22"/>
              </w:rPr>
            </w:pPr>
            <w:r w:rsidRPr="00EB11D3">
              <w:rPr>
                <w:sz w:val="22"/>
              </w:rPr>
              <w:t>Section</w:t>
            </w:r>
          </w:p>
          <w:p w14:paraId="3255D8F9" w14:textId="77777777" w:rsidR="00DC0D7C" w:rsidRPr="00EB11D3" w:rsidRDefault="00212BDF" w:rsidP="00C83017">
            <w:pPr>
              <w:spacing w:after="0"/>
              <w:jc w:val="center"/>
              <w:rPr>
                <w:b/>
                <w:bCs/>
                <w:sz w:val="22"/>
              </w:rPr>
            </w:pPr>
            <w:r w:rsidRPr="00EB11D3">
              <w:rPr>
                <w:sz w:val="22"/>
              </w:rPr>
              <w:t>E</w:t>
            </w:r>
          </w:p>
        </w:tc>
        <w:tc>
          <w:tcPr>
            <w:tcW w:w="1184" w:type="pct"/>
            <w:tcBorders>
              <w:top w:val="nil"/>
              <w:left w:val="nil"/>
              <w:bottom w:val="single" w:sz="4" w:space="0" w:color="auto"/>
              <w:right w:val="nil"/>
            </w:tcBorders>
            <w:shd w:val="clear" w:color="auto" w:fill="FFFFFF"/>
          </w:tcPr>
          <w:p w14:paraId="2271A632" w14:textId="77777777" w:rsidR="00315796" w:rsidRPr="00EB11D3" w:rsidRDefault="00315796" w:rsidP="00315796">
            <w:pPr>
              <w:jc w:val="center"/>
              <w:rPr>
                <w:sz w:val="22"/>
              </w:rPr>
            </w:pPr>
            <w:r w:rsidRPr="00EB11D3">
              <w:rPr>
                <w:sz w:val="22"/>
              </w:rPr>
              <w:t>Frequencies, percentages,</w:t>
            </w:r>
          </w:p>
          <w:p w14:paraId="7D01888E" w14:textId="77777777" w:rsidR="00DC0D7C" w:rsidRPr="00EB11D3" w:rsidRDefault="00315796" w:rsidP="00C83017">
            <w:pPr>
              <w:spacing w:after="0"/>
              <w:jc w:val="center"/>
              <w:rPr>
                <w:sz w:val="22"/>
              </w:rPr>
            </w:pPr>
            <w:r w:rsidRPr="00EB11D3">
              <w:rPr>
                <w:sz w:val="22"/>
              </w:rPr>
              <w:t>Correlation &amp; Multiple regression Analysis</w:t>
            </w:r>
          </w:p>
        </w:tc>
      </w:tr>
    </w:tbl>
    <w:p w14:paraId="495511B4" w14:textId="77777777" w:rsidR="00DC0D7C" w:rsidRPr="00EB11D3" w:rsidRDefault="00212BDF" w:rsidP="009308A0">
      <w:pPr>
        <w:pStyle w:val="Heading2"/>
        <w:keepNext w:val="0"/>
        <w:keepLines w:val="0"/>
        <w:spacing w:before="100" w:beforeAutospacing="1" w:line="360" w:lineRule="auto"/>
        <w:jc w:val="both"/>
        <w:rPr>
          <w:bCs/>
          <w:szCs w:val="24"/>
        </w:rPr>
      </w:pPr>
      <w:bookmarkStart w:id="326" w:name="_Toc177387838"/>
      <w:r w:rsidRPr="00EB11D3">
        <w:rPr>
          <w:bCs/>
          <w:szCs w:val="24"/>
        </w:rPr>
        <w:t>2.7 Chapter Summary</w:t>
      </w:r>
      <w:bookmarkEnd w:id="326"/>
      <w:r w:rsidRPr="00EB11D3">
        <w:rPr>
          <w:bCs/>
          <w:szCs w:val="24"/>
        </w:rPr>
        <w:t xml:space="preserve"> </w:t>
      </w:r>
    </w:p>
    <w:p w14:paraId="5F9501CD" w14:textId="77777777" w:rsidR="00DC0D7C" w:rsidRPr="00EB11D3" w:rsidRDefault="00212BDF" w:rsidP="009308A0">
      <w:pPr>
        <w:spacing w:after="0" w:line="360" w:lineRule="auto"/>
        <w:rPr>
          <w:rFonts w:eastAsia="Calibri"/>
          <w:szCs w:val="24"/>
        </w:rPr>
      </w:pPr>
      <w:r w:rsidRPr="00EB11D3">
        <w:rPr>
          <w:rFonts w:eastAsia="Calibri"/>
          <w:szCs w:val="24"/>
        </w:rPr>
        <w:t>The contextual, conceptual and methodological developments have been highlighted in this section on corporate governance, service innovation, government regulations and organisational performance. An empirical discussion on the relationship between study variables has also been presented. An operationalization presentation of study variables and a conceptual framework is highlighted. The philosophical underpinnings and research methodologies follows in the next chapter.</w:t>
      </w:r>
    </w:p>
    <w:p w14:paraId="72730663" w14:textId="77777777" w:rsidR="00DC0D7C" w:rsidRPr="00EB11D3" w:rsidRDefault="008542BA" w:rsidP="004F2FB6">
      <w:pPr>
        <w:pStyle w:val="Heading1"/>
        <w:spacing w:before="0" w:line="360" w:lineRule="auto"/>
        <w:rPr>
          <w:szCs w:val="24"/>
        </w:rPr>
      </w:pPr>
      <w:r w:rsidRPr="00EB11D3">
        <w:rPr>
          <w:szCs w:val="24"/>
        </w:rPr>
        <w:br w:type="page"/>
      </w:r>
      <w:bookmarkStart w:id="327" w:name="_Toc177387839"/>
      <w:r w:rsidR="00212BDF" w:rsidRPr="00EB11D3">
        <w:rPr>
          <w:szCs w:val="24"/>
        </w:rPr>
        <w:t>CHAPTER THREE</w:t>
      </w:r>
      <w:bookmarkEnd w:id="327"/>
    </w:p>
    <w:p w14:paraId="41C8F9E7" w14:textId="77777777" w:rsidR="00DC0D7C" w:rsidRPr="00EB11D3" w:rsidRDefault="00212BDF" w:rsidP="004F2FB6">
      <w:pPr>
        <w:pStyle w:val="Heading1"/>
        <w:spacing w:before="0" w:line="360" w:lineRule="auto"/>
        <w:rPr>
          <w:szCs w:val="24"/>
        </w:rPr>
      </w:pPr>
      <w:bookmarkStart w:id="328" w:name="_Toc177387840"/>
      <w:r w:rsidRPr="00EB11D3">
        <w:rPr>
          <w:szCs w:val="24"/>
        </w:rPr>
        <w:t>RESEARCH METHODOLOGY</w:t>
      </w:r>
      <w:bookmarkEnd w:id="328"/>
    </w:p>
    <w:p w14:paraId="5627E902" w14:textId="77777777" w:rsidR="00DC0D7C" w:rsidRPr="00EB11D3" w:rsidRDefault="00212BDF">
      <w:pPr>
        <w:pStyle w:val="Heading2"/>
        <w:spacing w:line="360" w:lineRule="auto"/>
        <w:rPr>
          <w:szCs w:val="24"/>
        </w:rPr>
      </w:pPr>
      <w:bookmarkStart w:id="329" w:name="_Toc177387841"/>
      <w:r w:rsidRPr="00EB11D3">
        <w:rPr>
          <w:szCs w:val="24"/>
        </w:rPr>
        <w:t>3.</w:t>
      </w:r>
      <w:r w:rsidR="00934063" w:rsidRPr="00EB11D3">
        <w:rPr>
          <w:szCs w:val="24"/>
        </w:rPr>
        <w:t>0</w:t>
      </w:r>
      <w:r w:rsidRPr="00EB11D3">
        <w:rPr>
          <w:szCs w:val="24"/>
        </w:rPr>
        <w:t xml:space="preserve"> Introduction</w:t>
      </w:r>
      <w:bookmarkEnd w:id="329"/>
      <w:r w:rsidRPr="00EB11D3">
        <w:rPr>
          <w:szCs w:val="24"/>
        </w:rPr>
        <w:t xml:space="preserve"> </w:t>
      </w:r>
    </w:p>
    <w:p w14:paraId="5422E69D" w14:textId="77777777" w:rsidR="00067477" w:rsidRPr="00EB11D3" w:rsidRDefault="00E079A0" w:rsidP="004E005E">
      <w:pPr>
        <w:spacing w:line="360" w:lineRule="auto"/>
        <w:rPr>
          <w:strike/>
          <w:szCs w:val="24"/>
        </w:rPr>
      </w:pPr>
      <w:r w:rsidRPr="00EB11D3">
        <w:rPr>
          <w:szCs w:val="24"/>
        </w:rPr>
        <w:t xml:space="preserve">This chapter describes the approach that </w:t>
      </w:r>
      <w:r w:rsidR="00016BD0" w:rsidRPr="00EB11D3">
        <w:rPr>
          <w:szCs w:val="24"/>
        </w:rPr>
        <w:t>was</w:t>
      </w:r>
      <w:r w:rsidRPr="00EB11D3">
        <w:rPr>
          <w:szCs w:val="24"/>
        </w:rPr>
        <w:t xml:space="preserve"> employed in the research to answer the research hypotheses. The study philosophy, research design, target population, sample and sampling techniques, data collection instruments, measurement scale validity and reliability, data collection procedure, data analysis techniques, and ethical issues are all discussed in this chapter</w:t>
      </w:r>
      <w:r w:rsidR="00067477" w:rsidRPr="00EB11D3">
        <w:rPr>
          <w:szCs w:val="24"/>
        </w:rPr>
        <w:t xml:space="preserve">. </w:t>
      </w:r>
    </w:p>
    <w:p w14:paraId="59F5FCA9" w14:textId="77777777" w:rsidR="00DC0D7C" w:rsidRPr="00EB11D3" w:rsidRDefault="00212BDF">
      <w:pPr>
        <w:pStyle w:val="Heading2"/>
        <w:spacing w:before="0" w:line="360" w:lineRule="auto"/>
        <w:rPr>
          <w:szCs w:val="24"/>
        </w:rPr>
      </w:pPr>
      <w:bookmarkStart w:id="330" w:name="_Toc177387842"/>
      <w:r w:rsidRPr="00EB11D3">
        <w:rPr>
          <w:szCs w:val="24"/>
        </w:rPr>
        <w:t>3.</w:t>
      </w:r>
      <w:r w:rsidR="000B78D6" w:rsidRPr="00EB11D3">
        <w:rPr>
          <w:szCs w:val="24"/>
        </w:rPr>
        <w:t>1</w:t>
      </w:r>
      <w:r w:rsidRPr="00EB11D3">
        <w:rPr>
          <w:szCs w:val="24"/>
        </w:rPr>
        <w:t xml:space="preserve"> Research Philosophy</w:t>
      </w:r>
      <w:bookmarkEnd w:id="330"/>
      <w:r w:rsidRPr="00EB11D3">
        <w:rPr>
          <w:szCs w:val="24"/>
        </w:rPr>
        <w:t xml:space="preserve"> </w:t>
      </w:r>
    </w:p>
    <w:p w14:paraId="4CEAC140" w14:textId="77777777" w:rsidR="00DC5261" w:rsidRPr="00EB11D3" w:rsidRDefault="00103FD2">
      <w:pPr>
        <w:spacing w:line="360" w:lineRule="auto"/>
        <w:rPr>
          <w:szCs w:val="24"/>
          <w:shd w:val="clear" w:color="auto" w:fill="FFFFFF"/>
        </w:rPr>
      </w:pPr>
      <w:r w:rsidRPr="00EB11D3">
        <w:rPr>
          <w:szCs w:val="24"/>
          <w:lang w:val="en"/>
        </w:rPr>
        <w:t>R</w:t>
      </w:r>
      <w:r w:rsidR="00F97D9E" w:rsidRPr="00EB11D3">
        <w:rPr>
          <w:szCs w:val="24"/>
          <w:lang w:val="en"/>
        </w:rPr>
        <w:t xml:space="preserve">esearch </w:t>
      </w:r>
      <w:r w:rsidR="00F97D9E" w:rsidRPr="00EB11D3">
        <w:rPr>
          <w:szCs w:val="24"/>
          <w:shd w:val="clear" w:color="auto" w:fill="FFFFFF"/>
        </w:rPr>
        <w:t>philosophy</w:t>
      </w:r>
      <w:r w:rsidRPr="00EB11D3">
        <w:rPr>
          <w:szCs w:val="24"/>
          <w:shd w:val="clear" w:color="auto" w:fill="FFFFFF"/>
        </w:rPr>
        <w:t xml:space="preserve"> refers to the principles and ideals that guide study design, data collecting, and analysis</w:t>
      </w:r>
      <w:r w:rsidR="00A949F6" w:rsidRPr="00EB11D3">
        <w:rPr>
          <w:szCs w:val="24"/>
          <w:shd w:val="clear" w:color="auto" w:fill="FFFFFF"/>
        </w:rPr>
        <w:t xml:space="preserve"> (Bell, Bryman, &amp; Harley, 2019)</w:t>
      </w:r>
      <w:r w:rsidRPr="00EB11D3">
        <w:rPr>
          <w:szCs w:val="24"/>
          <w:shd w:val="clear" w:color="auto" w:fill="FFFFFF"/>
        </w:rPr>
        <w:t>.</w:t>
      </w:r>
      <w:r w:rsidR="00F97D9E" w:rsidRPr="00EB11D3">
        <w:rPr>
          <w:szCs w:val="24"/>
          <w:shd w:val="clear" w:color="auto" w:fill="FFFFFF"/>
        </w:rPr>
        <w:t xml:space="preserve"> </w:t>
      </w:r>
      <w:r w:rsidR="000B78D6" w:rsidRPr="00EB11D3">
        <w:rPr>
          <w:szCs w:val="24"/>
          <w:shd w:val="clear" w:color="auto" w:fill="FFFFFF"/>
        </w:rPr>
        <w:t xml:space="preserve">The research philosophy can be pragmatism, positivism, realism or interpretivism (Bell, Bryman, &amp; Harley, 2019). </w:t>
      </w:r>
      <w:r w:rsidR="00DC5261" w:rsidRPr="00EB11D3">
        <w:rPr>
          <w:szCs w:val="24"/>
          <w:shd w:val="clear" w:color="auto" w:fill="FFFFFF"/>
        </w:rPr>
        <w:t xml:space="preserve">Pragmatism is considered to be one of the significant approaches and asserts that the only data that can be considered legitimate and trustworthy is factual knowledge that has been gathered through measurements (Saunder, Lewis, &amp; Thornhill, 2019). </w:t>
      </w:r>
    </w:p>
    <w:p w14:paraId="650496A1" w14:textId="77777777" w:rsidR="00DC5261" w:rsidRPr="00EB11D3" w:rsidRDefault="009A572F">
      <w:pPr>
        <w:spacing w:line="360" w:lineRule="auto"/>
        <w:rPr>
          <w:szCs w:val="24"/>
          <w:shd w:val="clear" w:color="auto" w:fill="FFFFFF"/>
        </w:rPr>
      </w:pPr>
      <w:r w:rsidRPr="00EB11D3">
        <w:rPr>
          <w:szCs w:val="24"/>
          <w:shd w:val="clear" w:color="auto" w:fill="FFFFFF"/>
        </w:rPr>
        <w:t xml:space="preserve">In the process of analysing a research topic, pragmatism offers a fresh point of view. According to </w:t>
      </w:r>
      <w:r w:rsidR="002D29AC" w:rsidRPr="00EB11D3">
        <w:t>Bell, Harley and Bryman (2022</w:t>
      </w:r>
      <w:r w:rsidRPr="00EB11D3">
        <w:rPr>
          <w:szCs w:val="24"/>
          <w:shd w:val="clear" w:color="auto" w:fill="FFFFFF"/>
        </w:rPr>
        <w:t>), this philosophy does not position itself in either an objective or subjective perspective; rather, it accepts work that incorporates both approaches. The practical concerns that bring about an examination are the primary focus of this position, which acknowledges that a single approach is not sufficient to obtain a comprehensive understanding of the social phenomena.</w:t>
      </w:r>
      <w:r w:rsidR="00EE653E" w:rsidRPr="00EB11D3">
        <w:rPr>
          <w:szCs w:val="24"/>
          <w:shd w:val="clear" w:color="auto" w:fill="FFFFFF"/>
        </w:rPr>
        <w:t xml:space="preserve"> The realism approach holds that the mind and reality are incompatible. This technique also assumes scientific principles for knowledge development. Realism and philosophy emphasise the independence of social phenomena, making it difficult for researchers to be objective due to their own experiences, values, and views (</w:t>
      </w:r>
      <w:r w:rsidR="00F10BE9" w:rsidRPr="00EB11D3">
        <w:t>Bell, et al</w:t>
      </w:r>
      <w:r w:rsidR="00AE35EC" w:rsidRPr="00EB11D3">
        <w:t xml:space="preserve">., </w:t>
      </w:r>
      <w:r w:rsidR="00F10BE9" w:rsidRPr="00EB11D3">
        <w:t>2022</w:t>
      </w:r>
      <w:r w:rsidR="008F1E3D" w:rsidRPr="00EB11D3">
        <w:t xml:space="preserve">; </w:t>
      </w:r>
      <w:r w:rsidR="00EE653E" w:rsidRPr="00EB11D3">
        <w:rPr>
          <w:szCs w:val="24"/>
          <w:shd w:val="clear" w:color="auto" w:fill="FFFFFF"/>
        </w:rPr>
        <w:t>Saunder</w:t>
      </w:r>
      <w:r w:rsidR="008F1E3D" w:rsidRPr="00EB11D3">
        <w:rPr>
          <w:szCs w:val="24"/>
          <w:shd w:val="clear" w:color="auto" w:fill="FFFFFF"/>
        </w:rPr>
        <w:t xml:space="preserve"> et al.</w:t>
      </w:r>
      <w:r w:rsidR="00EE653E" w:rsidRPr="00EB11D3">
        <w:rPr>
          <w:szCs w:val="24"/>
          <w:shd w:val="clear" w:color="auto" w:fill="FFFFFF"/>
        </w:rPr>
        <w:t>, 2019).</w:t>
      </w:r>
      <w:r w:rsidR="006E50A4" w:rsidRPr="00EB11D3">
        <w:rPr>
          <w:szCs w:val="24"/>
          <w:shd w:val="clear" w:color="auto" w:fill="FFFFFF"/>
        </w:rPr>
        <w:t xml:space="preserve"> Interpretivism holds that studying people and their social contexts is not comparable to studying scientific facts (</w:t>
      </w:r>
      <w:r w:rsidR="006E50A4" w:rsidRPr="00EB11D3">
        <w:t>Ryan, 2018)</w:t>
      </w:r>
      <w:r w:rsidR="0026304B" w:rsidRPr="00EB11D3">
        <w:t>. Researchers that have an interpretive paradigm seek to account for this complexity by acquiring evidence that is personally relevant to the persons they investigate (Saunders &amp; Thornhill, 2019).</w:t>
      </w:r>
    </w:p>
    <w:p w14:paraId="7C138B48" w14:textId="77777777" w:rsidR="00DC0D7C" w:rsidRPr="00EB11D3" w:rsidRDefault="000A49C7">
      <w:pPr>
        <w:spacing w:line="360" w:lineRule="auto"/>
        <w:rPr>
          <w:szCs w:val="24"/>
          <w:lang w:eastAsia="zh-CN"/>
        </w:rPr>
      </w:pPr>
      <w:r w:rsidRPr="00EB11D3">
        <w:rPr>
          <w:szCs w:val="24"/>
          <w:shd w:val="clear" w:color="auto" w:fill="FFFFFF"/>
        </w:rPr>
        <w:t>Positivism</w:t>
      </w:r>
      <w:r w:rsidRPr="00EB11D3">
        <w:rPr>
          <w:szCs w:val="24"/>
        </w:rPr>
        <w:t xml:space="preserve"> refers to a philosophy in</w:t>
      </w:r>
      <w:r w:rsidRPr="00EB11D3">
        <w:rPr>
          <w:szCs w:val="24"/>
          <w:lang w:val="en"/>
        </w:rPr>
        <w:t xml:space="preserve"> social science that</w:t>
      </w:r>
      <w:r w:rsidR="00212BDF" w:rsidRPr="00EB11D3">
        <w:rPr>
          <w:szCs w:val="24"/>
        </w:rPr>
        <w:t xml:space="preserve"> </w:t>
      </w:r>
      <w:r w:rsidRPr="00EB11D3">
        <w:rPr>
          <w:szCs w:val="24"/>
        </w:rPr>
        <w:t xml:space="preserve">is </w:t>
      </w:r>
      <w:r w:rsidR="00212BDF" w:rsidRPr="00EB11D3">
        <w:rPr>
          <w:szCs w:val="24"/>
        </w:rPr>
        <w:t xml:space="preserve">evidence </w:t>
      </w:r>
      <w:r w:rsidRPr="00EB11D3">
        <w:rPr>
          <w:szCs w:val="24"/>
        </w:rPr>
        <w:t>based with pure data and facts (</w:t>
      </w:r>
      <w:r w:rsidR="00B973B9" w:rsidRPr="00EB11D3">
        <w:t>Bell et al., 2019;</w:t>
      </w:r>
      <w:r w:rsidR="00682A86" w:rsidRPr="00EB11D3">
        <w:t xml:space="preserve"> </w:t>
      </w:r>
      <w:r w:rsidRPr="00EB11D3">
        <w:rPr>
          <w:szCs w:val="24"/>
          <w:shd w:val="clear" w:color="auto" w:fill="FFFFFF"/>
        </w:rPr>
        <w:t>Park, Konge, &amp; Artino, 2020)</w:t>
      </w:r>
      <w:r w:rsidR="00452122" w:rsidRPr="00EB11D3">
        <w:rPr>
          <w:szCs w:val="24"/>
        </w:rPr>
        <w:t>.</w:t>
      </w:r>
      <w:r w:rsidR="00212BDF" w:rsidRPr="00EB11D3">
        <w:rPr>
          <w:szCs w:val="24"/>
        </w:rPr>
        <w:t xml:space="preserve"> Positivists base their deductions on quantitative observations that make statistical analysis easier</w:t>
      </w:r>
      <w:r w:rsidR="00F97D9E" w:rsidRPr="00EB11D3">
        <w:rPr>
          <w:szCs w:val="24"/>
        </w:rPr>
        <w:t xml:space="preserve"> (</w:t>
      </w:r>
      <w:r w:rsidR="00D43225" w:rsidRPr="00EB11D3">
        <w:rPr>
          <w:szCs w:val="24"/>
        </w:rPr>
        <w:t>Bell, et al, 2019</w:t>
      </w:r>
      <w:r w:rsidR="00C743ED" w:rsidRPr="00EB11D3">
        <w:rPr>
          <w:szCs w:val="24"/>
        </w:rPr>
        <w:t xml:space="preserve">; </w:t>
      </w:r>
      <w:r w:rsidR="00F74F54" w:rsidRPr="00EB11D3">
        <w:rPr>
          <w:szCs w:val="24"/>
          <w:shd w:val="clear" w:color="auto" w:fill="FFFFFF"/>
        </w:rPr>
        <w:t>Bougie, Uma Sekaran &amp; Wiley, 2020</w:t>
      </w:r>
      <w:r w:rsidR="00F97D9E" w:rsidRPr="00EB11D3">
        <w:rPr>
          <w:szCs w:val="24"/>
        </w:rPr>
        <w:t>)</w:t>
      </w:r>
      <w:r w:rsidR="00452122" w:rsidRPr="00EB11D3">
        <w:rPr>
          <w:szCs w:val="24"/>
        </w:rPr>
        <w:t>.</w:t>
      </w:r>
      <w:r w:rsidR="00212BDF" w:rsidRPr="00EB11D3">
        <w:rPr>
          <w:szCs w:val="24"/>
        </w:rPr>
        <w:t xml:space="preserve"> </w:t>
      </w:r>
      <w:r w:rsidR="00FA63F6" w:rsidRPr="00EB11D3">
        <w:rPr>
          <w:szCs w:val="24"/>
        </w:rPr>
        <w:t xml:space="preserve">From the perspective of the positivist philosophy, a researcher is able to think about reality as an observable phenomenon, from which accurate </w:t>
      </w:r>
      <w:r w:rsidR="00200C5B" w:rsidRPr="00EB11D3">
        <w:rPr>
          <w:szCs w:val="24"/>
        </w:rPr>
        <w:t>information</w:t>
      </w:r>
      <w:r w:rsidR="00FA63F6" w:rsidRPr="00EB11D3">
        <w:rPr>
          <w:szCs w:val="24"/>
        </w:rPr>
        <w:t xml:space="preserve"> can be gathered (Saunder et al., 2019). Positivism enables the testing of hypotheses, as well as the collection and analysis of evidence, in order to generate a wider spectrum of truth (Bell et al., 2019). </w:t>
      </w:r>
      <w:r w:rsidR="00682A86" w:rsidRPr="00EB11D3">
        <w:rPr>
          <w:szCs w:val="24"/>
        </w:rPr>
        <w:t xml:space="preserve">The epistemological goal of positivist research is to find observable and quantifiable facts and regularities. They measure and monitor occurrences in order to produce data that is trustworthy and meaningful (Kirongo &amp; Odoyo, 2020). </w:t>
      </w:r>
      <w:r w:rsidR="00655B23" w:rsidRPr="00EB11D3">
        <w:rPr>
          <w:szCs w:val="24"/>
          <w:shd w:val="clear" w:color="auto" w:fill="FFFFFF"/>
        </w:rPr>
        <w:t>This study employ</w:t>
      </w:r>
      <w:r w:rsidR="009C5E5A" w:rsidRPr="00EB11D3">
        <w:rPr>
          <w:szCs w:val="24"/>
          <w:shd w:val="clear" w:color="auto" w:fill="FFFFFF"/>
        </w:rPr>
        <w:t>ed</w:t>
      </w:r>
      <w:r w:rsidR="00655B23" w:rsidRPr="00EB11D3">
        <w:rPr>
          <w:szCs w:val="24"/>
          <w:shd w:val="clear" w:color="auto" w:fill="FFFFFF"/>
        </w:rPr>
        <w:t xml:space="preserve"> p</w:t>
      </w:r>
      <w:r w:rsidR="00212BDF" w:rsidRPr="00EB11D3">
        <w:rPr>
          <w:szCs w:val="24"/>
          <w:shd w:val="clear" w:color="auto" w:fill="FFFFFF"/>
        </w:rPr>
        <w:t xml:space="preserve">ositivism philosophy </w:t>
      </w:r>
      <w:r w:rsidR="00655B23" w:rsidRPr="00EB11D3">
        <w:rPr>
          <w:szCs w:val="24"/>
          <w:shd w:val="clear" w:color="auto" w:fill="FFFFFF"/>
        </w:rPr>
        <w:t xml:space="preserve">since it </w:t>
      </w:r>
      <w:r w:rsidR="00212BDF" w:rsidRPr="00EB11D3">
        <w:rPr>
          <w:szCs w:val="24"/>
          <w:shd w:val="clear" w:color="auto" w:fill="FFFFFF"/>
        </w:rPr>
        <w:t>allows for the identification of gaps, testing of hypotheses, and knowledge inference from the</w:t>
      </w:r>
      <w:r w:rsidR="00212BDF" w:rsidRPr="00EB11D3">
        <w:rPr>
          <w:szCs w:val="24"/>
        </w:rPr>
        <w:t xml:space="preserve"> observations that </w:t>
      </w:r>
      <w:r w:rsidR="00A42A2E" w:rsidRPr="00EB11D3">
        <w:rPr>
          <w:szCs w:val="24"/>
        </w:rPr>
        <w:t xml:space="preserve">informs </w:t>
      </w:r>
      <w:r w:rsidR="00212BDF" w:rsidRPr="00EB11D3">
        <w:rPr>
          <w:szCs w:val="24"/>
        </w:rPr>
        <w:t>result (</w:t>
      </w:r>
      <w:r w:rsidR="00530579" w:rsidRPr="00EB11D3">
        <w:rPr>
          <w:szCs w:val="24"/>
        </w:rPr>
        <w:t>Nyein, Caylor, Duong, Fry, &amp; Wildman, 2020</w:t>
      </w:r>
      <w:r w:rsidR="00B44CFE" w:rsidRPr="00EB11D3">
        <w:rPr>
          <w:szCs w:val="24"/>
        </w:rPr>
        <w:t>; Park</w:t>
      </w:r>
      <w:r w:rsidRPr="00EB11D3">
        <w:rPr>
          <w:szCs w:val="24"/>
        </w:rPr>
        <w:t xml:space="preserve"> et al.</w:t>
      </w:r>
      <w:r w:rsidR="00B44CFE" w:rsidRPr="00EB11D3">
        <w:rPr>
          <w:szCs w:val="24"/>
        </w:rPr>
        <w:t>, 2020</w:t>
      </w:r>
      <w:r w:rsidR="008236A5" w:rsidRPr="00EB11D3">
        <w:rPr>
          <w:szCs w:val="24"/>
        </w:rPr>
        <w:t>).</w:t>
      </w:r>
    </w:p>
    <w:p w14:paraId="14D33F79" w14:textId="77777777" w:rsidR="00DC0D7C" w:rsidRPr="00EB11D3" w:rsidRDefault="00212BDF">
      <w:pPr>
        <w:pStyle w:val="Heading2"/>
        <w:spacing w:before="0" w:line="360" w:lineRule="auto"/>
        <w:rPr>
          <w:szCs w:val="24"/>
        </w:rPr>
      </w:pPr>
      <w:bookmarkStart w:id="331" w:name="_Toc177387843"/>
      <w:bookmarkStart w:id="332" w:name="_Toc477811020"/>
      <w:bookmarkStart w:id="333" w:name="_Toc527985908"/>
      <w:bookmarkStart w:id="334" w:name="_Toc477942445"/>
      <w:r w:rsidRPr="00EB11D3">
        <w:rPr>
          <w:szCs w:val="24"/>
        </w:rPr>
        <w:t>3.</w:t>
      </w:r>
      <w:r w:rsidR="000B78D6" w:rsidRPr="00EB11D3">
        <w:rPr>
          <w:szCs w:val="24"/>
        </w:rPr>
        <w:t>2</w:t>
      </w:r>
      <w:r w:rsidRPr="00EB11D3">
        <w:rPr>
          <w:szCs w:val="24"/>
        </w:rPr>
        <w:t xml:space="preserve"> Research Design</w:t>
      </w:r>
      <w:bookmarkEnd w:id="331"/>
      <w:r w:rsidRPr="00EB11D3">
        <w:rPr>
          <w:szCs w:val="24"/>
        </w:rPr>
        <w:t xml:space="preserve"> </w:t>
      </w:r>
    </w:p>
    <w:p w14:paraId="0736B13E" w14:textId="77777777" w:rsidR="00FE7399" w:rsidRPr="00EB11D3" w:rsidRDefault="009C34B2">
      <w:pPr>
        <w:spacing w:line="360" w:lineRule="auto"/>
        <w:rPr>
          <w:szCs w:val="24"/>
        </w:rPr>
      </w:pPr>
      <w:r w:rsidRPr="00EB11D3">
        <w:rPr>
          <w:szCs w:val="24"/>
        </w:rPr>
        <w:t xml:space="preserve">Research design can be divided into four </w:t>
      </w:r>
      <w:r w:rsidR="00FE7399" w:rsidRPr="00EB11D3">
        <w:rPr>
          <w:szCs w:val="24"/>
        </w:rPr>
        <w:t>groups</w:t>
      </w:r>
      <w:r w:rsidRPr="00EB11D3">
        <w:rPr>
          <w:szCs w:val="24"/>
        </w:rPr>
        <w:t xml:space="preserve"> namely; </w:t>
      </w:r>
      <w:r w:rsidR="00FE7399" w:rsidRPr="00EB11D3">
        <w:rPr>
          <w:szCs w:val="24"/>
        </w:rPr>
        <w:t>cohort study,</w:t>
      </w:r>
      <w:r w:rsidR="00FE7399" w:rsidRPr="00EB11D3">
        <w:t xml:space="preserve"> </w:t>
      </w:r>
      <w:r w:rsidR="00FE7399" w:rsidRPr="00EB11D3">
        <w:rPr>
          <w:szCs w:val="24"/>
        </w:rPr>
        <w:t>cross-sectional study, longitudinal study and cross-sequential study (Leavy, 2022). In longitudinal studies, the same variables are observed repeatedly over a length of time or a short period of time. It is often a type of observational study, although they can also be structured as longitudinal randomized experiments</w:t>
      </w:r>
      <w:r w:rsidR="0059412F" w:rsidRPr="00EB11D3">
        <w:rPr>
          <w:szCs w:val="24"/>
        </w:rPr>
        <w:t xml:space="preserve"> (Pawar, 2020)</w:t>
      </w:r>
      <w:r w:rsidR="00FE7399" w:rsidRPr="00EB11D3">
        <w:rPr>
          <w:szCs w:val="24"/>
        </w:rPr>
        <w:t>. Cohort studies are a kind of longitudinal research in which a cross-section is conducted at predetermined intervals</w:t>
      </w:r>
      <w:r w:rsidR="0059412F" w:rsidRPr="00EB11D3">
        <w:rPr>
          <w:szCs w:val="24"/>
        </w:rPr>
        <w:t xml:space="preserve"> and each</w:t>
      </w:r>
      <w:r w:rsidR="00FE7399" w:rsidRPr="00EB11D3">
        <w:rPr>
          <w:szCs w:val="24"/>
        </w:rPr>
        <w:t xml:space="preserve"> member of the panel has a shared trait</w:t>
      </w:r>
      <w:r w:rsidR="0059412F" w:rsidRPr="00EB11D3">
        <w:rPr>
          <w:szCs w:val="24"/>
        </w:rPr>
        <w:t xml:space="preserve"> (Pawar, 2020; Leavy, 2022)</w:t>
      </w:r>
      <w:r w:rsidR="00FE7399" w:rsidRPr="00EB11D3">
        <w:rPr>
          <w:szCs w:val="24"/>
        </w:rPr>
        <w:t xml:space="preserve">. </w:t>
      </w:r>
      <w:r w:rsidR="0059412F" w:rsidRPr="00EB11D3">
        <w:rPr>
          <w:szCs w:val="24"/>
        </w:rPr>
        <w:t>Combining longitudinal and cross-sectional research designs, cross-sequential research aims to solve some of the challenges inherent in those two methods.</w:t>
      </w:r>
    </w:p>
    <w:p w14:paraId="583A5869" w14:textId="77777777" w:rsidR="00DC0D7C" w:rsidRPr="00EB11D3" w:rsidRDefault="00212BDF">
      <w:pPr>
        <w:spacing w:line="360" w:lineRule="auto"/>
        <w:rPr>
          <w:szCs w:val="24"/>
          <w:lang w:eastAsia="zh-CN"/>
        </w:rPr>
      </w:pPr>
      <w:bookmarkStart w:id="335" w:name="_Hlk170493056"/>
      <w:r w:rsidRPr="00EB11D3">
        <w:rPr>
          <w:szCs w:val="24"/>
        </w:rPr>
        <w:t>This study use</w:t>
      </w:r>
      <w:r w:rsidR="00263829" w:rsidRPr="00EB11D3">
        <w:rPr>
          <w:szCs w:val="24"/>
        </w:rPr>
        <w:t>d</w:t>
      </w:r>
      <w:r w:rsidRPr="00EB11D3">
        <w:rPr>
          <w:szCs w:val="24"/>
        </w:rPr>
        <w:t xml:space="preserve"> </w:t>
      </w:r>
      <w:r w:rsidR="00353419">
        <w:rPr>
          <w:szCs w:val="24"/>
        </w:rPr>
        <w:t xml:space="preserve">a </w:t>
      </w:r>
      <w:r w:rsidRPr="00EB11D3">
        <w:rPr>
          <w:szCs w:val="24"/>
        </w:rPr>
        <w:t xml:space="preserve">cross-sectional survey research </w:t>
      </w:r>
      <w:r w:rsidR="000C7A90" w:rsidRPr="00EB11D3">
        <w:rPr>
          <w:szCs w:val="24"/>
        </w:rPr>
        <w:t>design</w:t>
      </w:r>
      <w:r w:rsidRPr="00EB11D3">
        <w:rPr>
          <w:szCs w:val="24"/>
        </w:rPr>
        <w:t xml:space="preserve">. </w:t>
      </w:r>
      <w:r w:rsidR="001754DA" w:rsidRPr="00EB11D3">
        <w:rPr>
          <w:szCs w:val="24"/>
        </w:rPr>
        <w:t xml:space="preserve">A cross-sectional survey design refers to an observational </w:t>
      </w:r>
      <w:r w:rsidR="008B6704" w:rsidRPr="00EB11D3">
        <w:rPr>
          <w:szCs w:val="24"/>
        </w:rPr>
        <w:t>study</w:t>
      </w:r>
      <w:r w:rsidR="001754DA" w:rsidRPr="00EB11D3">
        <w:rPr>
          <w:szCs w:val="24"/>
        </w:rPr>
        <w:t xml:space="preserve"> that measures the study participants' exposures and outcomes simultaneously</w:t>
      </w:r>
      <w:r w:rsidR="008B6704" w:rsidRPr="00EB11D3">
        <w:rPr>
          <w:szCs w:val="24"/>
        </w:rPr>
        <w:t xml:space="preserve"> (</w:t>
      </w:r>
      <w:r w:rsidR="008B6704" w:rsidRPr="00EB11D3">
        <w:rPr>
          <w:szCs w:val="24"/>
          <w:shd w:val="clear" w:color="auto" w:fill="FFFFFF"/>
        </w:rPr>
        <w:t>Wang &amp; Cheng, 2020)</w:t>
      </w:r>
      <w:r w:rsidR="001754DA" w:rsidRPr="00EB11D3">
        <w:rPr>
          <w:szCs w:val="24"/>
        </w:rPr>
        <w:t xml:space="preserve">. </w:t>
      </w:r>
      <w:r w:rsidR="000C7A90" w:rsidRPr="00EB11D3">
        <w:rPr>
          <w:szCs w:val="24"/>
        </w:rPr>
        <w:t>In</w:t>
      </w:r>
      <w:r w:rsidR="00353419">
        <w:rPr>
          <w:szCs w:val="24"/>
        </w:rPr>
        <w:t xml:space="preserve"> cross-sectiona</w:t>
      </w:r>
      <w:r w:rsidR="000C7A90" w:rsidRPr="00EB11D3">
        <w:rPr>
          <w:szCs w:val="24"/>
        </w:rPr>
        <w:t>l survey design, d</w:t>
      </w:r>
      <w:r w:rsidRPr="00EB11D3">
        <w:rPr>
          <w:szCs w:val="24"/>
        </w:rPr>
        <w:t xml:space="preserve">ata can be acquired more quickly and cheaply using a cross-sectional survey design than with other survey types.  </w:t>
      </w:r>
      <w:r w:rsidR="000C7A90" w:rsidRPr="00EB11D3">
        <w:rPr>
          <w:szCs w:val="24"/>
        </w:rPr>
        <w:t>T</w:t>
      </w:r>
      <w:r w:rsidRPr="00EB11D3">
        <w:rPr>
          <w:szCs w:val="24"/>
        </w:rPr>
        <w:t xml:space="preserve">he cross-sectional survey </w:t>
      </w:r>
      <w:r w:rsidR="00016BD0" w:rsidRPr="00EB11D3">
        <w:rPr>
          <w:szCs w:val="24"/>
        </w:rPr>
        <w:t>makes</w:t>
      </w:r>
      <w:r w:rsidR="00B7740D" w:rsidRPr="00EB11D3">
        <w:rPr>
          <w:szCs w:val="24"/>
        </w:rPr>
        <w:t xml:space="preserve"> </w:t>
      </w:r>
      <w:r w:rsidRPr="00EB11D3">
        <w:rPr>
          <w:szCs w:val="24"/>
        </w:rPr>
        <w:t>it possible to gather primary data that aid</w:t>
      </w:r>
      <w:r w:rsidR="00804584" w:rsidRPr="00EB11D3">
        <w:rPr>
          <w:szCs w:val="24"/>
        </w:rPr>
        <w:t>s</w:t>
      </w:r>
      <w:r w:rsidRPr="00EB11D3">
        <w:rPr>
          <w:szCs w:val="24"/>
        </w:rPr>
        <w:t xml:space="preserve"> in </w:t>
      </w:r>
      <w:r w:rsidRPr="00EB11D3">
        <w:rPr>
          <w:szCs w:val="24"/>
          <w:shd w:val="clear" w:color="auto" w:fill="FFFFFF"/>
        </w:rPr>
        <w:t>identifying correlations between various factors</w:t>
      </w:r>
      <w:r w:rsidR="00F97D9E" w:rsidRPr="00EB11D3">
        <w:rPr>
          <w:szCs w:val="24"/>
          <w:shd w:val="clear" w:color="auto" w:fill="FFFFFF"/>
        </w:rPr>
        <w:t xml:space="preserve"> (</w:t>
      </w:r>
      <w:r w:rsidR="00372DD4" w:rsidRPr="00EB11D3">
        <w:rPr>
          <w:szCs w:val="24"/>
          <w:shd w:val="clear" w:color="auto" w:fill="FFFFFF"/>
        </w:rPr>
        <w:t>Patten &amp; Newhart, 2018</w:t>
      </w:r>
      <w:r w:rsidR="00016BD0" w:rsidRPr="00EB11D3">
        <w:rPr>
          <w:szCs w:val="24"/>
          <w:shd w:val="clear" w:color="auto" w:fill="FFFFFF"/>
        </w:rPr>
        <w:t xml:space="preserve">; </w:t>
      </w:r>
      <w:r w:rsidR="00016BD0" w:rsidRPr="00EB11D3">
        <w:rPr>
          <w:szCs w:val="24"/>
        </w:rPr>
        <w:t>Shanmugam, 2020</w:t>
      </w:r>
      <w:r w:rsidR="00F97D9E" w:rsidRPr="00EB11D3">
        <w:rPr>
          <w:szCs w:val="24"/>
          <w:shd w:val="clear" w:color="auto" w:fill="FFFFFF"/>
        </w:rPr>
        <w:t>)</w:t>
      </w:r>
      <w:r w:rsidR="000C7A90" w:rsidRPr="00EB11D3">
        <w:rPr>
          <w:szCs w:val="24"/>
          <w:shd w:val="clear" w:color="auto" w:fill="FFFFFF"/>
        </w:rPr>
        <w:t>.</w:t>
      </w:r>
      <w:r w:rsidRPr="00EB11D3">
        <w:rPr>
          <w:szCs w:val="24"/>
          <w:shd w:val="clear" w:color="auto" w:fill="FFFFFF"/>
        </w:rPr>
        <w:t xml:space="preserve"> </w:t>
      </w:r>
      <w:r w:rsidR="0059412F" w:rsidRPr="00EB11D3">
        <w:rPr>
          <w:szCs w:val="24"/>
          <w:shd w:val="clear" w:color="auto" w:fill="FFFFFF"/>
        </w:rPr>
        <w:t>Cross-sectional studies are observational research projects that examine demographic data collected at one particular period in time.</w:t>
      </w:r>
      <w:bookmarkEnd w:id="335"/>
      <w:r w:rsidR="0059412F" w:rsidRPr="00EB11D3">
        <w:rPr>
          <w:szCs w:val="24"/>
          <w:shd w:val="clear" w:color="auto" w:fill="FFFFFF"/>
        </w:rPr>
        <w:t xml:space="preserve"> In contrast to other kinds of observational research, cross-sectional studies don't keep track of participants across time. They are typically simple to carry out and reasonably priced. They are helpful in establishing preliminary data for organising a more in-depth investigation in the future. </w:t>
      </w:r>
      <w:r w:rsidR="00C41CF4" w:rsidRPr="00EB11D3">
        <w:rPr>
          <w:szCs w:val="24"/>
          <w:shd w:val="clear" w:color="auto" w:fill="FFFFFF"/>
        </w:rPr>
        <w:t xml:space="preserve">This design is suitable since it is time-bound and enables for data collecting at a specific point in time. </w:t>
      </w:r>
      <w:r w:rsidR="00B44CFE" w:rsidRPr="00EB11D3">
        <w:rPr>
          <w:szCs w:val="24"/>
          <w:shd w:val="clear" w:color="auto" w:fill="FFFFFF"/>
        </w:rPr>
        <w:t>The</w:t>
      </w:r>
      <w:r w:rsidRPr="00EB11D3">
        <w:rPr>
          <w:szCs w:val="24"/>
          <w:shd w:val="clear" w:color="auto" w:fill="FFFFFF"/>
        </w:rPr>
        <w:t xml:space="preserve"> design utilized </w:t>
      </w:r>
      <w:r w:rsidRPr="00EB11D3">
        <w:rPr>
          <w:szCs w:val="24"/>
        </w:rPr>
        <w:t xml:space="preserve">quantitative data since it </w:t>
      </w:r>
      <w:r w:rsidR="00B7740D" w:rsidRPr="00EB11D3">
        <w:rPr>
          <w:szCs w:val="24"/>
        </w:rPr>
        <w:t xml:space="preserve">was </w:t>
      </w:r>
      <w:r w:rsidRPr="00EB11D3">
        <w:rPr>
          <w:szCs w:val="24"/>
        </w:rPr>
        <w:t>based on numerical measurement and statistical methodologies (</w:t>
      </w:r>
      <w:r w:rsidR="00372DD4" w:rsidRPr="00EB11D3">
        <w:rPr>
          <w:szCs w:val="24"/>
          <w:shd w:val="clear" w:color="auto" w:fill="FFFFFF"/>
        </w:rPr>
        <w:t xml:space="preserve">Creswell &amp; Creswell, 2017; </w:t>
      </w:r>
      <w:r w:rsidRPr="00EB11D3">
        <w:rPr>
          <w:szCs w:val="24"/>
        </w:rPr>
        <w:t>Patten &amp; Newhart, 2018). The design enable</w:t>
      </w:r>
      <w:r w:rsidR="00B7740D" w:rsidRPr="00EB11D3">
        <w:rPr>
          <w:szCs w:val="24"/>
        </w:rPr>
        <w:t>d</w:t>
      </w:r>
      <w:r w:rsidRPr="00EB11D3">
        <w:rPr>
          <w:szCs w:val="24"/>
        </w:rPr>
        <w:t xml:space="preserve"> </w:t>
      </w:r>
      <w:r w:rsidR="00EF748D" w:rsidRPr="00EB11D3">
        <w:rPr>
          <w:szCs w:val="24"/>
        </w:rPr>
        <w:t xml:space="preserve">the researcher </w:t>
      </w:r>
      <w:r w:rsidRPr="00EB11D3">
        <w:rPr>
          <w:szCs w:val="24"/>
        </w:rPr>
        <w:t xml:space="preserve">obtain pertinent information about how much government regulations and the service innovation influence the </w:t>
      </w:r>
      <w:r w:rsidR="006D5C62" w:rsidRPr="00EB11D3">
        <w:rPr>
          <w:szCs w:val="24"/>
        </w:rPr>
        <w:t>organisational performance of Faith-Based Hospitals</w:t>
      </w:r>
      <w:r w:rsidRPr="00EB11D3">
        <w:rPr>
          <w:rFonts w:eastAsia="Calibri"/>
          <w:szCs w:val="24"/>
        </w:rPr>
        <w:t xml:space="preserve"> in Kenya</w:t>
      </w:r>
      <w:r w:rsidR="000C7A90" w:rsidRPr="00EB11D3">
        <w:rPr>
          <w:rFonts w:eastAsia="Calibri"/>
          <w:szCs w:val="24"/>
        </w:rPr>
        <w:t xml:space="preserve"> </w:t>
      </w:r>
      <w:r w:rsidR="000C7A90" w:rsidRPr="00EB11D3">
        <w:rPr>
          <w:szCs w:val="24"/>
        </w:rPr>
        <w:t>(Patten &amp; Newhart, 2018; Kesmodel, 2018</w:t>
      </w:r>
      <w:r w:rsidR="00CE688B" w:rsidRPr="00EB11D3">
        <w:rPr>
          <w:szCs w:val="24"/>
        </w:rPr>
        <w:t>).</w:t>
      </w:r>
    </w:p>
    <w:p w14:paraId="515E9986" w14:textId="77777777" w:rsidR="00DC0D7C" w:rsidRPr="00EB11D3" w:rsidRDefault="00212BDF">
      <w:pPr>
        <w:pStyle w:val="Heading2"/>
        <w:spacing w:before="0" w:line="360" w:lineRule="auto"/>
        <w:jc w:val="both"/>
        <w:rPr>
          <w:szCs w:val="24"/>
        </w:rPr>
      </w:pPr>
      <w:bookmarkStart w:id="336" w:name="_Toc177387844"/>
      <w:r w:rsidRPr="00EB11D3">
        <w:rPr>
          <w:szCs w:val="24"/>
        </w:rPr>
        <w:t>3.</w:t>
      </w:r>
      <w:r w:rsidR="000B78D6" w:rsidRPr="00EB11D3">
        <w:rPr>
          <w:szCs w:val="24"/>
        </w:rPr>
        <w:t>3</w:t>
      </w:r>
      <w:r w:rsidR="003F0603" w:rsidRPr="00EB11D3">
        <w:rPr>
          <w:szCs w:val="24"/>
        </w:rPr>
        <w:t xml:space="preserve"> </w:t>
      </w:r>
      <w:r w:rsidRPr="00EB11D3">
        <w:rPr>
          <w:szCs w:val="24"/>
        </w:rPr>
        <w:t>Target Population</w:t>
      </w:r>
      <w:bookmarkEnd w:id="332"/>
      <w:bookmarkEnd w:id="333"/>
      <w:bookmarkEnd w:id="334"/>
      <w:bookmarkEnd w:id="336"/>
    </w:p>
    <w:p w14:paraId="35347A4E" w14:textId="77777777" w:rsidR="00B32358" w:rsidRPr="00EB11D3" w:rsidRDefault="00B32358" w:rsidP="00B32358">
      <w:pPr>
        <w:spacing w:before="240" w:line="360" w:lineRule="auto"/>
        <w:rPr>
          <w:szCs w:val="24"/>
        </w:rPr>
      </w:pPr>
      <w:bookmarkStart w:id="337" w:name="_Toc526935000"/>
      <w:bookmarkStart w:id="338" w:name="_Toc525549557"/>
      <w:bookmarkStart w:id="339" w:name="_Toc525231265"/>
      <w:bookmarkStart w:id="340" w:name="_Toc515997265"/>
      <w:bookmarkStart w:id="341" w:name="_Toc525231152"/>
      <w:r w:rsidRPr="00EB11D3">
        <w:rPr>
          <w:szCs w:val="24"/>
        </w:rPr>
        <w:t>The target population refers to a well-defined group of possible participants that the researcher can potentially reach and that accurately represents the characteristics of the population of interest (</w:t>
      </w:r>
      <w:r w:rsidRPr="00EB11D3">
        <w:t>Ackerman et al., 2019</w:t>
      </w:r>
      <w:r w:rsidR="0043444B" w:rsidRPr="00EB11D3">
        <w:t>)</w:t>
      </w:r>
      <w:r w:rsidRPr="00EB11D3">
        <w:rPr>
          <w:szCs w:val="24"/>
        </w:rPr>
        <w:t xml:space="preserve">. </w:t>
      </w:r>
      <w:bookmarkStart w:id="342" w:name="_Hlk170493091"/>
      <w:r w:rsidR="00212BDF" w:rsidRPr="00EB11D3">
        <w:rPr>
          <w:szCs w:val="24"/>
        </w:rPr>
        <w:t xml:space="preserve">The study </w:t>
      </w:r>
      <w:r w:rsidR="00AB078E" w:rsidRPr="00EB11D3">
        <w:rPr>
          <w:szCs w:val="24"/>
        </w:rPr>
        <w:t xml:space="preserve">population </w:t>
      </w:r>
      <w:r w:rsidR="009F2A00" w:rsidRPr="00EB11D3">
        <w:rPr>
          <w:szCs w:val="24"/>
        </w:rPr>
        <w:t>were</w:t>
      </w:r>
      <w:r w:rsidR="00AB078E" w:rsidRPr="00EB11D3">
        <w:rPr>
          <w:szCs w:val="24"/>
        </w:rPr>
        <w:t xml:space="preserve"> </w:t>
      </w:r>
      <w:r w:rsidR="00212BDF" w:rsidRPr="00EB11D3">
        <w:rPr>
          <w:szCs w:val="24"/>
        </w:rPr>
        <w:t>level 4 and 5 Faith-</w:t>
      </w:r>
      <w:r w:rsidR="00016BD0" w:rsidRPr="00EB11D3">
        <w:rPr>
          <w:szCs w:val="24"/>
        </w:rPr>
        <w:t xml:space="preserve">based </w:t>
      </w:r>
      <w:r w:rsidR="00212BDF" w:rsidRPr="00EB11D3">
        <w:rPr>
          <w:szCs w:val="24"/>
        </w:rPr>
        <w:t>Hospitals</w:t>
      </w:r>
      <w:r w:rsidR="0082650A" w:rsidRPr="00EB11D3">
        <w:rPr>
          <w:szCs w:val="24"/>
        </w:rPr>
        <w:t xml:space="preserve"> (FBHs)</w:t>
      </w:r>
      <w:r w:rsidR="00212BDF" w:rsidRPr="00EB11D3">
        <w:rPr>
          <w:szCs w:val="24"/>
        </w:rPr>
        <w:t xml:space="preserve"> in Kenya. According to Kenya Master Health Facility List </w:t>
      </w:r>
      <w:r w:rsidR="008236A5" w:rsidRPr="00EB11D3">
        <w:rPr>
          <w:szCs w:val="24"/>
        </w:rPr>
        <w:t>2023</w:t>
      </w:r>
      <w:r w:rsidR="002609F2" w:rsidRPr="00EB11D3">
        <w:rPr>
          <w:szCs w:val="24"/>
        </w:rPr>
        <w:t xml:space="preserve"> </w:t>
      </w:r>
      <w:r w:rsidR="00212BDF" w:rsidRPr="00EB11D3">
        <w:rPr>
          <w:szCs w:val="24"/>
        </w:rPr>
        <w:t xml:space="preserve">statistics, there are </w:t>
      </w:r>
      <w:r w:rsidR="002609F2" w:rsidRPr="00EB11D3">
        <w:rPr>
          <w:szCs w:val="24"/>
        </w:rPr>
        <w:t>115</w:t>
      </w:r>
      <w:r w:rsidR="00DD71D1" w:rsidRPr="00EB11D3">
        <w:rPr>
          <w:szCs w:val="24"/>
        </w:rPr>
        <w:t xml:space="preserve"> </w:t>
      </w:r>
      <w:r w:rsidR="00212BDF" w:rsidRPr="00EB11D3">
        <w:rPr>
          <w:szCs w:val="24"/>
        </w:rPr>
        <w:t xml:space="preserve">level 4 and 5 Faith-Based Hospitals in Kenya. </w:t>
      </w:r>
      <w:r w:rsidR="00F97D9E" w:rsidRPr="00EB11D3">
        <w:rPr>
          <w:szCs w:val="24"/>
        </w:rPr>
        <w:t xml:space="preserve">The </w:t>
      </w:r>
      <w:r w:rsidR="00212BDF" w:rsidRPr="00EB11D3">
        <w:rPr>
          <w:szCs w:val="24"/>
        </w:rPr>
        <w:t>units of analysis</w:t>
      </w:r>
      <w:r w:rsidR="00F97D9E" w:rsidRPr="00EB11D3">
        <w:rPr>
          <w:szCs w:val="24"/>
        </w:rPr>
        <w:t xml:space="preserve"> comprise</w:t>
      </w:r>
      <w:r w:rsidR="000A2D67" w:rsidRPr="00EB11D3">
        <w:rPr>
          <w:szCs w:val="24"/>
        </w:rPr>
        <w:t>d</w:t>
      </w:r>
      <w:r w:rsidR="00F97D9E" w:rsidRPr="00EB11D3">
        <w:rPr>
          <w:szCs w:val="24"/>
        </w:rPr>
        <w:t xml:space="preserve"> the 115 </w:t>
      </w:r>
      <w:r w:rsidR="00E048BC" w:rsidRPr="00EB11D3">
        <w:rPr>
          <w:szCs w:val="24"/>
        </w:rPr>
        <w:t xml:space="preserve">Level 4 and 5 </w:t>
      </w:r>
      <w:r w:rsidR="00F97D9E" w:rsidRPr="00EB11D3">
        <w:rPr>
          <w:szCs w:val="24"/>
        </w:rPr>
        <w:t>Faith-Based Hospitals in Kenya.</w:t>
      </w:r>
      <w:r w:rsidR="00212BDF" w:rsidRPr="00EB11D3">
        <w:rPr>
          <w:szCs w:val="24"/>
        </w:rPr>
        <w:t xml:space="preserve"> </w:t>
      </w:r>
      <w:r w:rsidR="00F5606F" w:rsidRPr="00EB11D3">
        <w:rPr>
          <w:szCs w:val="24"/>
        </w:rPr>
        <w:t>According to the Kenya Master Facility List of 2023, some hospitals namely; Tenwek</w:t>
      </w:r>
      <w:r w:rsidR="008F4BFB" w:rsidRPr="00EB11D3">
        <w:rPr>
          <w:szCs w:val="24"/>
        </w:rPr>
        <w:t xml:space="preserve"> and </w:t>
      </w:r>
      <w:r w:rsidR="00F5606F" w:rsidRPr="00EB11D3">
        <w:rPr>
          <w:szCs w:val="24"/>
        </w:rPr>
        <w:t>Mater hospital have satellite facilities registered independently from the mother hospital</w:t>
      </w:r>
      <w:r w:rsidR="00AB078E" w:rsidRPr="00EB11D3">
        <w:rPr>
          <w:szCs w:val="24"/>
        </w:rPr>
        <w:t xml:space="preserve">. </w:t>
      </w:r>
      <w:bookmarkEnd w:id="342"/>
      <w:r w:rsidRPr="00EB11D3">
        <w:rPr>
          <w:szCs w:val="24"/>
        </w:rPr>
        <w:t>The unit of analysis refers to the specific thing that is being characterised by the collected data and is the subject of the analysis. The data's essence is in their relevance to addressing the research topic and in establishing the parameters of what is included or excluded from the study (</w:t>
      </w:r>
      <w:r w:rsidR="00B80101" w:rsidRPr="00EB11D3">
        <w:t>Ritella, Rajala &amp; Renshaw</w:t>
      </w:r>
      <w:r w:rsidRPr="00EB11D3">
        <w:rPr>
          <w:szCs w:val="24"/>
        </w:rPr>
        <w:t>, 2020).</w:t>
      </w:r>
    </w:p>
    <w:p w14:paraId="3944C6E5" w14:textId="77777777" w:rsidR="00F5606F" w:rsidRPr="00EB11D3" w:rsidRDefault="00AB078E" w:rsidP="00E11CF7">
      <w:pPr>
        <w:spacing w:before="240" w:line="360" w:lineRule="auto"/>
        <w:rPr>
          <w:szCs w:val="24"/>
        </w:rPr>
      </w:pPr>
      <w:r w:rsidRPr="00EB11D3">
        <w:rPr>
          <w:szCs w:val="24"/>
        </w:rPr>
        <w:t>A hospital with satellite facilities typically refers to a main hospital that has additional smaller healthcare facilities in different locations. T</w:t>
      </w:r>
      <w:r w:rsidR="00F5606F" w:rsidRPr="00EB11D3">
        <w:rPr>
          <w:szCs w:val="24"/>
        </w:rPr>
        <w:t>hese satellite facilities are administratively managed under the umbrella of the host facility. Each hospital</w:t>
      </w:r>
      <w:r w:rsidR="008F4BFB" w:rsidRPr="00EB11D3">
        <w:rPr>
          <w:szCs w:val="24"/>
        </w:rPr>
        <w:t xml:space="preserve"> satellite </w:t>
      </w:r>
      <w:r w:rsidR="00F5606F" w:rsidRPr="00EB11D3">
        <w:rPr>
          <w:szCs w:val="24"/>
        </w:rPr>
        <w:t xml:space="preserve">is individually registered under the ministry of health. These satellite facilities are strategically placed to provide healthcare services to a broader population, particularly in areas where access to the main hospital might be limited. </w:t>
      </w:r>
      <w:r w:rsidR="00E11CF7" w:rsidRPr="00EB11D3">
        <w:rPr>
          <w:szCs w:val="24"/>
        </w:rPr>
        <w:t>The target population include</w:t>
      </w:r>
      <w:r w:rsidR="00016BD0" w:rsidRPr="00EB11D3">
        <w:rPr>
          <w:szCs w:val="24"/>
        </w:rPr>
        <w:t>d</w:t>
      </w:r>
      <w:r w:rsidR="00E11CF7" w:rsidRPr="00EB11D3">
        <w:rPr>
          <w:szCs w:val="24"/>
        </w:rPr>
        <w:t xml:space="preserve"> </w:t>
      </w:r>
      <w:r w:rsidR="008F4BFB" w:rsidRPr="00EB11D3">
        <w:rPr>
          <w:szCs w:val="24"/>
        </w:rPr>
        <w:t>all registered hospitals in the Ministry of health master facility list of 2023.</w:t>
      </w:r>
    </w:p>
    <w:p w14:paraId="1E8F20C0" w14:textId="77777777" w:rsidR="00A368CE" w:rsidRPr="00EB11D3" w:rsidRDefault="00CB66C7" w:rsidP="00E11CF7">
      <w:pPr>
        <w:spacing w:line="360" w:lineRule="auto"/>
        <w:rPr>
          <w:rFonts w:eastAsia="Times New Roman"/>
          <w:b/>
          <w:bCs/>
          <w:szCs w:val="24"/>
          <w:lang w:eastAsia="en-GB"/>
        </w:rPr>
      </w:pPr>
      <w:r>
        <w:rPr>
          <w:b/>
          <w:bCs/>
          <w:szCs w:val="24"/>
        </w:rPr>
        <w:br w:type="page"/>
      </w:r>
      <w:bookmarkStart w:id="343" w:name="_Toc177387934"/>
      <w:r w:rsidR="00A368CE" w:rsidRPr="00EB11D3">
        <w:rPr>
          <w:b/>
          <w:bCs/>
          <w:szCs w:val="24"/>
        </w:rPr>
        <w:t xml:space="preserve">Table </w:t>
      </w:r>
      <w:r w:rsidR="00A368CE" w:rsidRPr="00EB11D3">
        <w:rPr>
          <w:b/>
          <w:bCs/>
          <w:szCs w:val="24"/>
        </w:rPr>
        <w:fldChar w:fldCharType="begin"/>
      </w:r>
      <w:r w:rsidR="00A368CE" w:rsidRPr="00EB11D3">
        <w:rPr>
          <w:b/>
          <w:bCs/>
          <w:szCs w:val="24"/>
        </w:rPr>
        <w:instrText xml:space="preserve"> SEQ Table \* ARABIC </w:instrText>
      </w:r>
      <w:r w:rsidR="00A368CE" w:rsidRPr="00EB11D3">
        <w:rPr>
          <w:b/>
          <w:bCs/>
          <w:szCs w:val="24"/>
        </w:rPr>
        <w:fldChar w:fldCharType="separate"/>
      </w:r>
      <w:r w:rsidR="00A80224" w:rsidRPr="00EB11D3">
        <w:rPr>
          <w:b/>
          <w:bCs/>
          <w:noProof/>
          <w:szCs w:val="24"/>
        </w:rPr>
        <w:t>3</w:t>
      </w:r>
      <w:r w:rsidR="00A368CE" w:rsidRPr="00EB11D3">
        <w:rPr>
          <w:b/>
          <w:bCs/>
          <w:szCs w:val="24"/>
        </w:rPr>
        <w:fldChar w:fldCharType="end"/>
      </w:r>
      <w:r w:rsidR="00A368CE" w:rsidRPr="00EB11D3">
        <w:rPr>
          <w:b/>
          <w:bCs/>
          <w:szCs w:val="24"/>
        </w:rPr>
        <w:t>: Distribution of Study Population</w:t>
      </w:r>
      <w:bookmarkEnd w:id="343"/>
    </w:p>
    <w:tbl>
      <w:tblPr>
        <w:tblW w:w="5000" w:type="pct"/>
        <w:tblBorders>
          <w:top w:val="single" w:sz="4" w:space="0" w:color="auto"/>
          <w:bottom w:val="single" w:sz="4" w:space="0" w:color="auto"/>
        </w:tblBorders>
        <w:shd w:val="clear" w:color="auto" w:fill="FFFFFF"/>
        <w:tblLook w:val="04A0" w:firstRow="1" w:lastRow="0" w:firstColumn="1" w:lastColumn="0" w:noHBand="0" w:noVBand="1"/>
      </w:tblPr>
      <w:tblGrid>
        <w:gridCol w:w="5073"/>
        <w:gridCol w:w="4287"/>
      </w:tblGrid>
      <w:tr w:rsidR="0039483D" w:rsidRPr="00EB11D3" w14:paraId="0FD33DA5" w14:textId="77777777" w:rsidTr="00607BA0">
        <w:trPr>
          <w:trHeight w:val="546"/>
        </w:trPr>
        <w:tc>
          <w:tcPr>
            <w:tcW w:w="2710" w:type="pct"/>
            <w:tcBorders>
              <w:top w:val="single" w:sz="4" w:space="0" w:color="auto"/>
              <w:bottom w:val="single" w:sz="4" w:space="0" w:color="auto"/>
            </w:tcBorders>
            <w:shd w:val="clear" w:color="auto" w:fill="FFFFFF"/>
          </w:tcPr>
          <w:p w14:paraId="73E82C41" w14:textId="77777777" w:rsidR="00560760" w:rsidRPr="00EB11D3" w:rsidRDefault="0072178F" w:rsidP="00607BA0">
            <w:pPr>
              <w:spacing w:after="0" w:line="240" w:lineRule="auto"/>
              <w:jc w:val="center"/>
              <w:rPr>
                <w:rFonts w:eastAsia="Calibri"/>
                <w:b/>
                <w:bCs/>
                <w:szCs w:val="24"/>
              </w:rPr>
            </w:pPr>
            <w:r>
              <w:rPr>
                <w:rFonts w:eastAsia="Calibri"/>
                <w:b/>
                <w:bCs/>
                <w:szCs w:val="24"/>
              </w:rPr>
              <w:t>Population</w:t>
            </w:r>
          </w:p>
        </w:tc>
        <w:tc>
          <w:tcPr>
            <w:tcW w:w="2290" w:type="pct"/>
            <w:tcBorders>
              <w:top w:val="single" w:sz="4" w:space="0" w:color="auto"/>
              <w:bottom w:val="single" w:sz="4" w:space="0" w:color="auto"/>
            </w:tcBorders>
            <w:shd w:val="clear" w:color="auto" w:fill="FFFFFF"/>
          </w:tcPr>
          <w:p w14:paraId="2CF6B6E5" w14:textId="77777777" w:rsidR="00560760" w:rsidRPr="00EB11D3" w:rsidRDefault="00560760" w:rsidP="00607BA0">
            <w:pPr>
              <w:spacing w:after="0" w:line="240" w:lineRule="auto"/>
              <w:jc w:val="center"/>
              <w:rPr>
                <w:rFonts w:eastAsia="Calibri"/>
                <w:b/>
                <w:bCs/>
                <w:szCs w:val="24"/>
              </w:rPr>
            </w:pPr>
            <w:r w:rsidRPr="00EB11D3">
              <w:rPr>
                <w:rFonts w:eastAsia="Calibri"/>
                <w:b/>
                <w:bCs/>
                <w:szCs w:val="24"/>
              </w:rPr>
              <w:t>Frequency</w:t>
            </w:r>
          </w:p>
        </w:tc>
      </w:tr>
      <w:tr w:rsidR="0039483D" w:rsidRPr="00EB11D3" w14:paraId="52A449EF" w14:textId="77777777" w:rsidTr="00607BA0">
        <w:tc>
          <w:tcPr>
            <w:tcW w:w="2710" w:type="pct"/>
            <w:tcBorders>
              <w:top w:val="single" w:sz="4" w:space="0" w:color="auto"/>
            </w:tcBorders>
            <w:shd w:val="clear" w:color="auto" w:fill="FFFFFF"/>
          </w:tcPr>
          <w:p w14:paraId="35F09D3D" w14:textId="77777777" w:rsidR="00560760" w:rsidRPr="00EB11D3" w:rsidRDefault="0038019E" w:rsidP="00607BA0">
            <w:pPr>
              <w:spacing w:after="0" w:line="240" w:lineRule="auto"/>
              <w:rPr>
                <w:rFonts w:eastAsia="Calibri"/>
                <w:b/>
                <w:bCs/>
                <w:szCs w:val="24"/>
              </w:rPr>
            </w:pPr>
            <w:r w:rsidRPr="00EB11D3">
              <w:rPr>
                <w:rFonts w:eastAsia="Calibri"/>
                <w:szCs w:val="24"/>
              </w:rPr>
              <w:t>Faith-based</w:t>
            </w:r>
            <w:r w:rsidR="00560760" w:rsidRPr="00EB11D3">
              <w:rPr>
                <w:rFonts w:eastAsia="Calibri"/>
                <w:szCs w:val="24"/>
              </w:rPr>
              <w:t xml:space="preserve"> Hospitals </w:t>
            </w:r>
            <w:r w:rsidR="002609F2" w:rsidRPr="00EB11D3">
              <w:rPr>
                <w:rFonts w:eastAsia="Calibri"/>
                <w:szCs w:val="24"/>
              </w:rPr>
              <w:t>115</w:t>
            </w:r>
            <w:r w:rsidR="00DD71D1" w:rsidRPr="00EB11D3">
              <w:rPr>
                <w:rFonts w:eastAsia="Calibri"/>
                <w:szCs w:val="24"/>
              </w:rPr>
              <w:t xml:space="preserve"> </w:t>
            </w:r>
            <w:r w:rsidR="00560760" w:rsidRPr="00EB11D3">
              <w:rPr>
                <w:rFonts w:eastAsia="Calibri"/>
                <w:szCs w:val="24"/>
              </w:rPr>
              <w:t>(N)</w:t>
            </w:r>
          </w:p>
        </w:tc>
        <w:tc>
          <w:tcPr>
            <w:tcW w:w="2290" w:type="pct"/>
            <w:tcBorders>
              <w:top w:val="single" w:sz="4" w:space="0" w:color="auto"/>
            </w:tcBorders>
            <w:shd w:val="clear" w:color="auto" w:fill="FFFFFF"/>
          </w:tcPr>
          <w:p w14:paraId="6ACCECC6" w14:textId="77777777" w:rsidR="00560760" w:rsidRPr="00EB11D3" w:rsidRDefault="00560760" w:rsidP="00607BA0">
            <w:pPr>
              <w:spacing w:after="0" w:line="240" w:lineRule="auto"/>
              <w:jc w:val="center"/>
              <w:rPr>
                <w:rFonts w:eastAsia="Calibri"/>
                <w:szCs w:val="24"/>
              </w:rPr>
            </w:pPr>
          </w:p>
        </w:tc>
      </w:tr>
      <w:tr w:rsidR="0039483D" w:rsidRPr="00EB11D3" w14:paraId="1FA1928D" w14:textId="77777777" w:rsidTr="00607BA0">
        <w:tc>
          <w:tcPr>
            <w:tcW w:w="2710" w:type="pct"/>
            <w:shd w:val="clear" w:color="auto" w:fill="FFFFFF"/>
          </w:tcPr>
          <w:p w14:paraId="03B54625" w14:textId="77777777" w:rsidR="00710569" w:rsidRPr="00EB11D3" w:rsidRDefault="00710569" w:rsidP="00607BA0">
            <w:pPr>
              <w:spacing w:after="0" w:line="240" w:lineRule="auto"/>
              <w:jc w:val="left"/>
              <w:rPr>
                <w:rFonts w:eastAsia="Calibri"/>
                <w:b/>
                <w:bCs/>
                <w:szCs w:val="24"/>
              </w:rPr>
            </w:pPr>
            <w:r w:rsidRPr="00EB11D3">
              <w:rPr>
                <w:rFonts w:eastAsia="Calibri"/>
                <w:szCs w:val="24"/>
              </w:rPr>
              <w:t>Level 4 FBHs</w:t>
            </w:r>
          </w:p>
        </w:tc>
        <w:tc>
          <w:tcPr>
            <w:tcW w:w="2290" w:type="pct"/>
            <w:shd w:val="clear" w:color="auto" w:fill="FFFFFF"/>
          </w:tcPr>
          <w:p w14:paraId="5C50B7A1" w14:textId="77777777" w:rsidR="00710569" w:rsidRPr="00EB11D3" w:rsidRDefault="005C369B" w:rsidP="00607BA0">
            <w:pPr>
              <w:spacing w:after="0" w:line="240" w:lineRule="auto"/>
              <w:jc w:val="center"/>
              <w:rPr>
                <w:rFonts w:eastAsia="Calibri"/>
                <w:szCs w:val="24"/>
              </w:rPr>
            </w:pPr>
            <w:r w:rsidRPr="00EB11D3">
              <w:rPr>
                <w:rFonts w:eastAsia="Calibri"/>
                <w:szCs w:val="24"/>
              </w:rPr>
              <w:t>9</w:t>
            </w:r>
            <w:r w:rsidR="002A572C" w:rsidRPr="00EB11D3">
              <w:rPr>
                <w:rFonts w:eastAsia="Calibri"/>
                <w:szCs w:val="24"/>
              </w:rPr>
              <w:t>8</w:t>
            </w:r>
          </w:p>
        </w:tc>
      </w:tr>
      <w:tr w:rsidR="0039483D" w:rsidRPr="00EB11D3" w14:paraId="427C5552" w14:textId="77777777" w:rsidTr="00607BA0">
        <w:tc>
          <w:tcPr>
            <w:tcW w:w="2710" w:type="pct"/>
            <w:tcBorders>
              <w:bottom w:val="single" w:sz="4" w:space="0" w:color="auto"/>
            </w:tcBorders>
            <w:shd w:val="clear" w:color="auto" w:fill="FFFFFF"/>
          </w:tcPr>
          <w:p w14:paraId="147FF6C1" w14:textId="77777777" w:rsidR="00710569" w:rsidRPr="00EB11D3" w:rsidRDefault="00710569" w:rsidP="00607BA0">
            <w:pPr>
              <w:spacing w:after="0" w:line="240" w:lineRule="auto"/>
              <w:jc w:val="left"/>
              <w:rPr>
                <w:rFonts w:eastAsia="Calibri"/>
                <w:b/>
                <w:bCs/>
                <w:szCs w:val="24"/>
              </w:rPr>
            </w:pPr>
            <w:r w:rsidRPr="00EB11D3">
              <w:rPr>
                <w:rFonts w:eastAsia="Calibri"/>
                <w:szCs w:val="24"/>
              </w:rPr>
              <w:t>Level 5 FBHs</w:t>
            </w:r>
          </w:p>
        </w:tc>
        <w:tc>
          <w:tcPr>
            <w:tcW w:w="2290" w:type="pct"/>
            <w:tcBorders>
              <w:bottom w:val="single" w:sz="4" w:space="0" w:color="auto"/>
            </w:tcBorders>
            <w:shd w:val="clear" w:color="auto" w:fill="FFFFFF"/>
          </w:tcPr>
          <w:p w14:paraId="0C2A0130" w14:textId="77777777" w:rsidR="00710569" w:rsidRPr="00EB11D3" w:rsidRDefault="00710569" w:rsidP="00607BA0">
            <w:pPr>
              <w:spacing w:after="0" w:line="240" w:lineRule="auto"/>
              <w:jc w:val="center"/>
              <w:rPr>
                <w:rFonts w:eastAsia="Calibri"/>
                <w:szCs w:val="24"/>
              </w:rPr>
            </w:pPr>
            <w:r w:rsidRPr="00EB11D3">
              <w:rPr>
                <w:rFonts w:eastAsia="Calibri"/>
                <w:szCs w:val="24"/>
              </w:rPr>
              <w:t>1</w:t>
            </w:r>
            <w:r w:rsidR="002A572C" w:rsidRPr="00EB11D3">
              <w:rPr>
                <w:rFonts w:eastAsia="Calibri"/>
                <w:szCs w:val="24"/>
              </w:rPr>
              <w:t>7</w:t>
            </w:r>
          </w:p>
        </w:tc>
      </w:tr>
      <w:tr w:rsidR="0039483D" w:rsidRPr="00EB11D3" w14:paraId="582C79B0" w14:textId="77777777" w:rsidTr="00607BA0">
        <w:tc>
          <w:tcPr>
            <w:tcW w:w="2710" w:type="pct"/>
            <w:tcBorders>
              <w:top w:val="single" w:sz="4" w:space="0" w:color="auto"/>
              <w:bottom w:val="single" w:sz="4" w:space="0" w:color="auto"/>
            </w:tcBorders>
            <w:shd w:val="clear" w:color="auto" w:fill="FFFFFF"/>
          </w:tcPr>
          <w:p w14:paraId="36E1FE2F" w14:textId="77777777" w:rsidR="00710569" w:rsidRPr="0072178F" w:rsidRDefault="00710569" w:rsidP="00607BA0">
            <w:pPr>
              <w:spacing w:after="0" w:line="240" w:lineRule="auto"/>
              <w:jc w:val="left"/>
              <w:rPr>
                <w:rFonts w:eastAsia="Calibri"/>
                <w:b/>
                <w:bCs/>
                <w:szCs w:val="24"/>
              </w:rPr>
            </w:pPr>
            <w:r w:rsidRPr="0072178F">
              <w:rPr>
                <w:rFonts w:eastAsia="Calibri"/>
                <w:b/>
                <w:bCs/>
                <w:szCs w:val="24"/>
              </w:rPr>
              <w:t>Total</w:t>
            </w:r>
            <w:r w:rsidRPr="0072178F">
              <w:rPr>
                <w:rFonts w:eastAsia="Calibri"/>
                <w:b/>
                <w:bCs/>
                <w:szCs w:val="24"/>
              </w:rPr>
              <w:tab/>
            </w:r>
          </w:p>
        </w:tc>
        <w:tc>
          <w:tcPr>
            <w:tcW w:w="2290" w:type="pct"/>
            <w:tcBorders>
              <w:top w:val="single" w:sz="4" w:space="0" w:color="auto"/>
              <w:bottom w:val="single" w:sz="4" w:space="0" w:color="auto"/>
            </w:tcBorders>
            <w:shd w:val="clear" w:color="auto" w:fill="FFFFFF"/>
          </w:tcPr>
          <w:p w14:paraId="16E13149" w14:textId="77777777" w:rsidR="00710569" w:rsidRPr="0072178F" w:rsidRDefault="002609F2" w:rsidP="00607BA0">
            <w:pPr>
              <w:spacing w:after="0" w:line="240" w:lineRule="auto"/>
              <w:jc w:val="center"/>
              <w:rPr>
                <w:rFonts w:eastAsia="Calibri"/>
                <w:b/>
                <w:bCs/>
                <w:szCs w:val="24"/>
              </w:rPr>
            </w:pPr>
            <w:r w:rsidRPr="0072178F">
              <w:rPr>
                <w:rFonts w:eastAsia="Calibri"/>
                <w:b/>
                <w:bCs/>
                <w:szCs w:val="24"/>
              </w:rPr>
              <w:t>115</w:t>
            </w:r>
          </w:p>
        </w:tc>
      </w:tr>
    </w:tbl>
    <w:p w14:paraId="3D45294F" w14:textId="77777777" w:rsidR="004624B4" w:rsidRPr="00EB11D3" w:rsidRDefault="004624B4" w:rsidP="00765C89">
      <w:pPr>
        <w:spacing w:after="0" w:line="360" w:lineRule="auto"/>
        <w:rPr>
          <w:szCs w:val="24"/>
        </w:rPr>
      </w:pPr>
    </w:p>
    <w:p w14:paraId="214E8368" w14:textId="77777777" w:rsidR="009F5337" w:rsidRPr="00EB11D3" w:rsidRDefault="009F5337" w:rsidP="008A09BE">
      <w:pPr>
        <w:pStyle w:val="Heading2"/>
        <w:spacing w:before="0" w:line="360" w:lineRule="auto"/>
        <w:jc w:val="both"/>
        <w:rPr>
          <w:szCs w:val="24"/>
        </w:rPr>
      </w:pPr>
      <w:bookmarkStart w:id="344" w:name="_Toc177387845"/>
      <w:r w:rsidRPr="00EB11D3">
        <w:rPr>
          <w:szCs w:val="24"/>
        </w:rPr>
        <w:t>3.</w:t>
      </w:r>
      <w:r w:rsidR="000B78D6" w:rsidRPr="00EB11D3">
        <w:rPr>
          <w:szCs w:val="24"/>
        </w:rPr>
        <w:t>4</w:t>
      </w:r>
      <w:r w:rsidRPr="00EB11D3">
        <w:rPr>
          <w:szCs w:val="24"/>
        </w:rPr>
        <w:t xml:space="preserve"> </w:t>
      </w:r>
      <w:r w:rsidR="00CD16AE" w:rsidRPr="00EB11D3">
        <w:rPr>
          <w:szCs w:val="24"/>
        </w:rPr>
        <w:t>Sample and Sampling Techniques</w:t>
      </w:r>
      <w:bookmarkEnd w:id="344"/>
      <w:r w:rsidR="00CD16AE" w:rsidRPr="00EB11D3">
        <w:rPr>
          <w:szCs w:val="24"/>
        </w:rPr>
        <w:t xml:space="preserve"> </w:t>
      </w:r>
    </w:p>
    <w:p w14:paraId="5C14001A" w14:textId="77777777" w:rsidR="00E11CF7" w:rsidRPr="00EB11D3" w:rsidRDefault="00266275" w:rsidP="00214B5B">
      <w:pPr>
        <w:spacing w:before="240" w:after="0" w:line="360" w:lineRule="auto"/>
        <w:rPr>
          <w:szCs w:val="24"/>
        </w:rPr>
      </w:pPr>
      <w:r w:rsidRPr="00EB11D3">
        <w:rPr>
          <w:szCs w:val="24"/>
          <w:lang w:val="en-GB"/>
        </w:rPr>
        <w:t xml:space="preserve">A census method </w:t>
      </w:r>
      <w:r w:rsidR="003224DE" w:rsidRPr="00EB11D3">
        <w:rPr>
          <w:szCs w:val="24"/>
          <w:lang w:val="en-GB"/>
        </w:rPr>
        <w:t>was</w:t>
      </w:r>
      <w:r w:rsidRPr="00EB11D3">
        <w:rPr>
          <w:szCs w:val="24"/>
          <w:lang w:val="en-GB"/>
        </w:rPr>
        <w:t xml:space="preserve"> adopted since the population </w:t>
      </w:r>
      <w:r w:rsidR="000C589F" w:rsidRPr="00EB11D3">
        <w:rPr>
          <w:szCs w:val="24"/>
          <w:lang w:val="en-GB"/>
        </w:rPr>
        <w:t xml:space="preserve">was </w:t>
      </w:r>
      <w:r w:rsidRPr="00EB11D3">
        <w:rPr>
          <w:szCs w:val="24"/>
          <w:lang w:val="en-GB"/>
        </w:rPr>
        <w:t>manageable. As argued by Kothari and Garg (2014), census approach enhances the generalizability of the research findings</w:t>
      </w:r>
      <w:r w:rsidR="00153B80">
        <w:rPr>
          <w:szCs w:val="24"/>
          <w:lang w:val="en-GB"/>
        </w:rPr>
        <w:t xml:space="preserve"> since </w:t>
      </w:r>
      <w:r w:rsidRPr="00EB11D3">
        <w:rPr>
          <w:szCs w:val="24"/>
          <w:lang w:val="en-GB"/>
        </w:rPr>
        <w:t xml:space="preserve">it </w:t>
      </w:r>
      <w:r w:rsidR="000C589F" w:rsidRPr="00EB11D3">
        <w:rPr>
          <w:szCs w:val="24"/>
          <w:lang w:val="en-GB"/>
        </w:rPr>
        <w:t>eliminate</w:t>
      </w:r>
      <w:r w:rsidR="00153B80">
        <w:rPr>
          <w:szCs w:val="24"/>
          <w:lang w:val="en-GB"/>
        </w:rPr>
        <w:t>s</w:t>
      </w:r>
      <w:r w:rsidR="000C589F" w:rsidRPr="00EB11D3">
        <w:rPr>
          <w:szCs w:val="24"/>
          <w:lang w:val="en-GB"/>
        </w:rPr>
        <w:t xml:space="preserve"> </w:t>
      </w:r>
      <w:r w:rsidRPr="00EB11D3">
        <w:rPr>
          <w:szCs w:val="24"/>
          <w:lang w:val="en-GB"/>
        </w:rPr>
        <w:t>both the sampling error and sampling bias</w:t>
      </w:r>
      <w:r w:rsidR="000C751B">
        <w:rPr>
          <w:szCs w:val="24"/>
          <w:lang w:val="en-GB"/>
        </w:rPr>
        <w:t xml:space="preserve"> in addition to providing accurate information on the sub-divisions of the population</w:t>
      </w:r>
      <w:r w:rsidRPr="00EB11D3">
        <w:rPr>
          <w:szCs w:val="24"/>
          <w:lang w:val="en-GB"/>
        </w:rPr>
        <w:t xml:space="preserve">. </w:t>
      </w:r>
      <w:r w:rsidR="00F10E4A" w:rsidRPr="00EB11D3">
        <w:rPr>
          <w:szCs w:val="24"/>
        </w:rPr>
        <w:t xml:space="preserve">The </w:t>
      </w:r>
      <w:r w:rsidR="004F595D">
        <w:rPr>
          <w:szCs w:val="24"/>
        </w:rPr>
        <w:t xml:space="preserve">respondents were selected purposively </w:t>
      </w:r>
      <w:r w:rsidR="00FB7D81" w:rsidRPr="00EB11D3">
        <w:rPr>
          <w:szCs w:val="24"/>
        </w:rPr>
        <w:t xml:space="preserve">based on predefined criteria. </w:t>
      </w:r>
      <w:r w:rsidR="00F6722F" w:rsidRPr="00EB11D3">
        <w:rPr>
          <w:szCs w:val="24"/>
        </w:rPr>
        <w:t xml:space="preserve">Significant practical advantages of the </w:t>
      </w:r>
      <w:r w:rsidR="000A1238" w:rsidRPr="00EB11D3">
        <w:rPr>
          <w:szCs w:val="24"/>
        </w:rPr>
        <w:t xml:space="preserve">purposive </w:t>
      </w:r>
      <w:r w:rsidR="00F6722F" w:rsidRPr="00EB11D3">
        <w:rPr>
          <w:szCs w:val="24"/>
        </w:rPr>
        <w:t xml:space="preserve">sample strategy include cost savings and accelerated data collecting (Lohr, 2021; Turner, 2020; Latpate et al., 2021). To guarantee the least amount of subjectivity and marginal errors, however, and to enhance the representation of the entire population to a greater degree, the sampling technique must have the highest level of precision possible (Latpate et al., 2021). </w:t>
      </w:r>
      <w:r w:rsidR="00214B5B" w:rsidRPr="00EB11D3">
        <w:rPr>
          <w:szCs w:val="24"/>
        </w:rPr>
        <w:t>The study respondents include</w:t>
      </w:r>
      <w:r w:rsidR="00016BD0" w:rsidRPr="00EB11D3">
        <w:rPr>
          <w:szCs w:val="24"/>
        </w:rPr>
        <w:t>d</w:t>
      </w:r>
      <w:r w:rsidR="00214B5B" w:rsidRPr="00EB11D3">
        <w:rPr>
          <w:szCs w:val="24"/>
        </w:rPr>
        <w:t xml:space="preserve"> </w:t>
      </w:r>
      <w:r w:rsidR="00CD7952" w:rsidRPr="00EB11D3">
        <w:rPr>
          <w:szCs w:val="24"/>
        </w:rPr>
        <w:t>head of</w:t>
      </w:r>
      <w:r w:rsidR="00214B5B" w:rsidRPr="00EB11D3">
        <w:rPr>
          <w:szCs w:val="24"/>
        </w:rPr>
        <w:t xml:space="preserve"> Administration, Finance and Clinical services departments of each Faith-based hospital</w:t>
      </w:r>
      <w:r w:rsidR="00114998" w:rsidRPr="00EB11D3">
        <w:rPr>
          <w:szCs w:val="24"/>
        </w:rPr>
        <w:t xml:space="preserve"> summing to three (3) </w:t>
      </w:r>
      <w:r w:rsidR="00295276" w:rsidRPr="00EB11D3">
        <w:rPr>
          <w:szCs w:val="24"/>
        </w:rPr>
        <w:t xml:space="preserve">respondents </w:t>
      </w:r>
      <w:r w:rsidR="00114998" w:rsidRPr="00EB11D3">
        <w:rPr>
          <w:szCs w:val="24"/>
        </w:rPr>
        <w:t>per institution</w:t>
      </w:r>
      <w:r w:rsidR="00214B5B" w:rsidRPr="00EB11D3">
        <w:rPr>
          <w:szCs w:val="24"/>
        </w:rPr>
        <w:t xml:space="preserve">. </w:t>
      </w:r>
    </w:p>
    <w:p w14:paraId="0654BEB0" w14:textId="77777777" w:rsidR="00214B5B" w:rsidRPr="00EB11D3" w:rsidRDefault="00114998" w:rsidP="00214B5B">
      <w:pPr>
        <w:spacing w:before="240" w:after="0" w:line="360" w:lineRule="auto"/>
        <w:rPr>
          <w:szCs w:val="24"/>
        </w:rPr>
      </w:pPr>
      <w:r w:rsidRPr="00EB11D3">
        <w:rPr>
          <w:szCs w:val="24"/>
          <w:lang w:val="en"/>
        </w:rPr>
        <w:t>The researcher purposively select</w:t>
      </w:r>
      <w:r w:rsidR="00016BD0" w:rsidRPr="00EB11D3">
        <w:rPr>
          <w:szCs w:val="24"/>
          <w:lang w:val="en"/>
        </w:rPr>
        <w:t>ed</w:t>
      </w:r>
      <w:r w:rsidRPr="00EB11D3">
        <w:rPr>
          <w:szCs w:val="24"/>
          <w:lang w:val="en"/>
        </w:rPr>
        <w:t xml:space="preserve"> </w:t>
      </w:r>
      <w:bookmarkStart w:id="345" w:name="_Hlk164764576"/>
      <w:r w:rsidRPr="00EB11D3">
        <w:rPr>
          <w:szCs w:val="24"/>
          <w:lang w:val="en"/>
        </w:rPr>
        <w:t xml:space="preserve">Finance Director, Executive Director and Medical director </w:t>
      </w:r>
      <w:bookmarkEnd w:id="345"/>
      <w:r w:rsidR="00214B5B" w:rsidRPr="00EB11D3">
        <w:rPr>
          <w:szCs w:val="24"/>
        </w:rPr>
        <w:t>who are senior officers of the hospitals</w:t>
      </w:r>
      <w:r w:rsidR="006B0257" w:rsidRPr="00EB11D3">
        <w:rPr>
          <w:szCs w:val="24"/>
        </w:rPr>
        <w:t xml:space="preserve"> and they form part </w:t>
      </w:r>
      <w:r w:rsidR="00BC1464" w:rsidRPr="00EB11D3">
        <w:rPr>
          <w:szCs w:val="24"/>
        </w:rPr>
        <w:t xml:space="preserve">of </w:t>
      </w:r>
      <w:r w:rsidR="004F595D">
        <w:rPr>
          <w:szCs w:val="24"/>
        </w:rPr>
        <w:t xml:space="preserve">the </w:t>
      </w:r>
      <w:r w:rsidR="00BC1464" w:rsidRPr="00EB11D3">
        <w:rPr>
          <w:szCs w:val="24"/>
        </w:rPr>
        <w:t>hospital governing structure of respective hospitals</w:t>
      </w:r>
      <w:r w:rsidR="00214B5B" w:rsidRPr="00EB11D3">
        <w:rPr>
          <w:szCs w:val="24"/>
        </w:rPr>
        <w:t xml:space="preserve"> and are most knowledgeable about the hospital operations and have and considered to have vast management experience. </w:t>
      </w:r>
    </w:p>
    <w:p w14:paraId="7C242639" w14:textId="77777777" w:rsidR="004624B4" w:rsidRPr="00EB11D3" w:rsidRDefault="004624B4" w:rsidP="004624B4">
      <w:pPr>
        <w:pStyle w:val="Caption"/>
        <w:rPr>
          <w:rFonts w:ascii="Times New Roman" w:hAnsi="Times New Roman"/>
          <w:color w:val="auto"/>
          <w:sz w:val="24"/>
          <w:szCs w:val="24"/>
        </w:rPr>
      </w:pPr>
      <w:bookmarkStart w:id="346" w:name="_Toc177387935"/>
      <w:r w:rsidRPr="00EB11D3">
        <w:rPr>
          <w:rFonts w:ascii="Times New Roman" w:hAnsi="Times New Roman"/>
          <w:color w:val="auto"/>
          <w:sz w:val="24"/>
          <w:szCs w:val="24"/>
        </w:rPr>
        <w:t xml:space="preserve">Table </w:t>
      </w:r>
      <w:r w:rsidRPr="00EB11D3">
        <w:rPr>
          <w:rFonts w:ascii="Times New Roman" w:hAnsi="Times New Roman"/>
          <w:color w:val="auto"/>
          <w:sz w:val="24"/>
          <w:szCs w:val="24"/>
        </w:rPr>
        <w:fldChar w:fldCharType="begin"/>
      </w:r>
      <w:r w:rsidRPr="00EB11D3">
        <w:rPr>
          <w:rFonts w:ascii="Times New Roman" w:hAnsi="Times New Roman"/>
          <w:color w:val="auto"/>
          <w:sz w:val="24"/>
          <w:szCs w:val="24"/>
        </w:rPr>
        <w:instrText xml:space="preserve"> SEQ Table \* ARABIC </w:instrText>
      </w:r>
      <w:r w:rsidRPr="00EB11D3">
        <w:rPr>
          <w:rFonts w:ascii="Times New Roman" w:hAnsi="Times New Roman"/>
          <w:color w:val="auto"/>
          <w:sz w:val="24"/>
          <w:szCs w:val="24"/>
        </w:rPr>
        <w:fldChar w:fldCharType="separate"/>
      </w:r>
      <w:r w:rsidR="00A80224" w:rsidRPr="00EB11D3">
        <w:rPr>
          <w:rFonts w:ascii="Times New Roman" w:hAnsi="Times New Roman"/>
          <w:noProof/>
          <w:color w:val="auto"/>
          <w:sz w:val="24"/>
          <w:szCs w:val="24"/>
        </w:rPr>
        <w:t>4</w:t>
      </w:r>
      <w:r w:rsidRPr="00EB11D3">
        <w:rPr>
          <w:rFonts w:ascii="Times New Roman" w:hAnsi="Times New Roman"/>
          <w:color w:val="auto"/>
          <w:sz w:val="24"/>
          <w:szCs w:val="24"/>
        </w:rPr>
        <w:fldChar w:fldCharType="end"/>
      </w:r>
      <w:r w:rsidRPr="00EB11D3">
        <w:rPr>
          <w:rFonts w:ascii="Times New Roman" w:hAnsi="Times New Roman"/>
          <w:color w:val="auto"/>
          <w:sz w:val="24"/>
          <w:szCs w:val="24"/>
        </w:rPr>
        <w:t xml:space="preserve">: </w:t>
      </w:r>
      <w:r w:rsidR="00F022AA">
        <w:rPr>
          <w:rFonts w:ascii="Times New Roman" w:hAnsi="Times New Roman"/>
          <w:color w:val="auto"/>
          <w:sz w:val="24"/>
          <w:szCs w:val="24"/>
        </w:rPr>
        <w:t>Population</w:t>
      </w:r>
      <w:r w:rsidRPr="00EB11D3">
        <w:rPr>
          <w:rFonts w:ascii="Times New Roman" w:hAnsi="Times New Roman"/>
          <w:color w:val="auto"/>
          <w:sz w:val="24"/>
          <w:szCs w:val="24"/>
        </w:rPr>
        <w:t xml:space="preserve"> Distribution</w:t>
      </w:r>
      <w:bookmarkEnd w:id="346"/>
    </w:p>
    <w:tbl>
      <w:tblPr>
        <w:tblW w:w="4901" w:type="pct"/>
        <w:tblBorders>
          <w:top w:val="single" w:sz="4" w:space="0" w:color="auto"/>
          <w:bottom w:val="single" w:sz="4" w:space="0" w:color="auto"/>
        </w:tblBorders>
        <w:shd w:val="clear" w:color="auto" w:fill="FFFFFF"/>
        <w:tblLook w:val="04A0" w:firstRow="1" w:lastRow="0" w:firstColumn="1" w:lastColumn="0" w:noHBand="0" w:noVBand="1"/>
      </w:tblPr>
      <w:tblGrid>
        <w:gridCol w:w="3599"/>
        <w:gridCol w:w="118"/>
        <w:gridCol w:w="2787"/>
        <w:gridCol w:w="117"/>
        <w:gridCol w:w="2554"/>
      </w:tblGrid>
      <w:tr w:rsidR="00F022AA" w:rsidRPr="00EB11D3" w14:paraId="2DFCFA3A" w14:textId="77777777" w:rsidTr="00F022AA">
        <w:trPr>
          <w:trHeight w:val="512"/>
        </w:trPr>
        <w:tc>
          <w:tcPr>
            <w:tcW w:w="1961" w:type="pct"/>
            <w:tcBorders>
              <w:top w:val="single" w:sz="4" w:space="0" w:color="auto"/>
              <w:bottom w:val="single" w:sz="4" w:space="0" w:color="auto"/>
            </w:tcBorders>
            <w:shd w:val="clear" w:color="auto" w:fill="FFFFFF"/>
          </w:tcPr>
          <w:p w14:paraId="11DB5311" w14:textId="77777777" w:rsidR="00F022AA" w:rsidRPr="00EB11D3" w:rsidRDefault="00F022AA" w:rsidP="000B78D6">
            <w:pPr>
              <w:spacing w:after="0" w:line="240" w:lineRule="auto"/>
              <w:jc w:val="center"/>
              <w:rPr>
                <w:rFonts w:eastAsia="Calibri"/>
                <w:b/>
                <w:bCs/>
                <w:szCs w:val="24"/>
              </w:rPr>
            </w:pPr>
            <w:r w:rsidRPr="00EB11D3">
              <w:rPr>
                <w:rFonts w:eastAsia="Calibri"/>
                <w:b/>
                <w:bCs/>
                <w:szCs w:val="24"/>
              </w:rPr>
              <w:t>Stratum</w:t>
            </w:r>
          </w:p>
        </w:tc>
        <w:tc>
          <w:tcPr>
            <w:tcW w:w="1582" w:type="pct"/>
            <w:gridSpan w:val="2"/>
            <w:tcBorders>
              <w:top w:val="single" w:sz="4" w:space="0" w:color="auto"/>
              <w:bottom w:val="single" w:sz="4" w:space="0" w:color="auto"/>
            </w:tcBorders>
            <w:shd w:val="clear" w:color="auto" w:fill="FFFFFF"/>
          </w:tcPr>
          <w:p w14:paraId="260E7E7B" w14:textId="77777777" w:rsidR="00F022AA" w:rsidRPr="00EB11D3" w:rsidRDefault="00F022AA" w:rsidP="000B78D6">
            <w:pPr>
              <w:spacing w:after="0" w:line="240" w:lineRule="auto"/>
              <w:jc w:val="center"/>
              <w:rPr>
                <w:rFonts w:eastAsia="Calibri"/>
                <w:b/>
                <w:bCs/>
                <w:szCs w:val="24"/>
              </w:rPr>
            </w:pPr>
            <w:r w:rsidRPr="00EB11D3">
              <w:rPr>
                <w:rFonts w:eastAsia="Calibri"/>
                <w:b/>
                <w:bCs/>
                <w:szCs w:val="24"/>
              </w:rPr>
              <w:t xml:space="preserve"> Frequency (N)</w:t>
            </w:r>
          </w:p>
        </w:tc>
        <w:tc>
          <w:tcPr>
            <w:tcW w:w="1456" w:type="pct"/>
            <w:gridSpan w:val="2"/>
            <w:tcBorders>
              <w:top w:val="single" w:sz="4" w:space="0" w:color="auto"/>
              <w:bottom w:val="single" w:sz="4" w:space="0" w:color="auto"/>
            </w:tcBorders>
            <w:shd w:val="clear" w:color="auto" w:fill="FFFFFF"/>
          </w:tcPr>
          <w:p w14:paraId="1516FD38" w14:textId="77777777" w:rsidR="00F022AA" w:rsidRPr="00EB11D3" w:rsidRDefault="00F022AA" w:rsidP="000B78D6">
            <w:pPr>
              <w:spacing w:after="0" w:line="240" w:lineRule="auto"/>
              <w:jc w:val="center"/>
              <w:rPr>
                <w:rFonts w:eastAsia="Calibri"/>
                <w:b/>
                <w:bCs/>
                <w:szCs w:val="24"/>
              </w:rPr>
            </w:pPr>
            <w:r w:rsidRPr="00EB11D3">
              <w:rPr>
                <w:b/>
                <w:bCs/>
                <w:szCs w:val="24"/>
              </w:rPr>
              <w:t>Computation</w:t>
            </w:r>
          </w:p>
        </w:tc>
      </w:tr>
      <w:tr w:rsidR="00F022AA" w:rsidRPr="00EB11D3" w14:paraId="479CBDDC" w14:textId="77777777" w:rsidTr="00F022AA">
        <w:trPr>
          <w:gridAfter w:val="1"/>
          <w:wAfter w:w="1392" w:type="pct"/>
          <w:trHeight w:val="258"/>
        </w:trPr>
        <w:tc>
          <w:tcPr>
            <w:tcW w:w="2025" w:type="pct"/>
            <w:gridSpan w:val="2"/>
            <w:tcBorders>
              <w:top w:val="single" w:sz="4" w:space="0" w:color="auto"/>
            </w:tcBorders>
            <w:shd w:val="clear" w:color="auto" w:fill="FFFFFF"/>
          </w:tcPr>
          <w:p w14:paraId="5D185557" w14:textId="77777777" w:rsidR="00F022AA" w:rsidRPr="00EB11D3" w:rsidRDefault="00F022AA" w:rsidP="000B78D6">
            <w:pPr>
              <w:spacing w:after="0" w:line="240" w:lineRule="auto"/>
              <w:rPr>
                <w:rFonts w:eastAsia="Calibri"/>
                <w:b/>
                <w:bCs/>
                <w:szCs w:val="24"/>
              </w:rPr>
            </w:pPr>
            <w:r w:rsidRPr="00EB11D3">
              <w:rPr>
                <w:rFonts w:eastAsia="Calibri"/>
                <w:szCs w:val="24"/>
              </w:rPr>
              <w:t>Faith-based Hospitals (115)</w:t>
            </w:r>
          </w:p>
        </w:tc>
        <w:tc>
          <w:tcPr>
            <w:tcW w:w="1582" w:type="pct"/>
            <w:gridSpan w:val="2"/>
            <w:tcBorders>
              <w:top w:val="single" w:sz="4" w:space="0" w:color="auto"/>
            </w:tcBorders>
            <w:shd w:val="clear" w:color="auto" w:fill="FFFFFF"/>
          </w:tcPr>
          <w:p w14:paraId="098ED562" w14:textId="77777777" w:rsidR="00F022AA" w:rsidRPr="00EB11D3" w:rsidRDefault="00F022AA" w:rsidP="000B78D6">
            <w:pPr>
              <w:spacing w:after="0" w:line="240" w:lineRule="auto"/>
              <w:jc w:val="center"/>
              <w:rPr>
                <w:rFonts w:eastAsia="Calibri"/>
                <w:szCs w:val="24"/>
              </w:rPr>
            </w:pPr>
          </w:p>
        </w:tc>
      </w:tr>
      <w:tr w:rsidR="00F022AA" w:rsidRPr="00EB11D3" w14:paraId="708E9B66" w14:textId="77777777" w:rsidTr="00F022AA">
        <w:trPr>
          <w:trHeight w:val="289"/>
        </w:trPr>
        <w:tc>
          <w:tcPr>
            <w:tcW w:w="1961" w:type="pct"/>
            <w:shd w:val="clear" w:color="auto" w:fill="FFFFFF"/>
          </w:tcPr>
          <w:p w14:paraId="632C6FAB" w14:textId="77777777" w:rsidR="00F022AA" w:rsidRPr="00EB11D3" w:rsidRDefault="00F022AA" w:rsidP="000B78D6">
            <w:pPr>
              <w:spacing w:after="0" w:line="240" w:lineRule="auto"/>
              <w:jc w:val="left"/>
              <w:rPr>
                <w:rFonts w:eastAsia="Calibri"/>
                <w:szCs w:val="24"/>
              </w:rPr>
            </w:pPr>
            <w:r w:rsidRPr="00EB11D3">
              <w:rPr>
                <w:rFonts w:eastAsia="Calibri"/>
                <w:szCs w:val="24"/>
              </w:rPr>
              <w:t>Level 4 FBHs</w:t>
            </w:r>
          </w:p>
        </w:tc>
        <w:tc>
          <w:tcPr>
            <w:tcW w:w="1582" w:type="pct"/>
            <w:gridSpan w:val="2"/>
            <w:shd w:val="clear" w:color="auto" w:fill="FFFFFF"/>
          </w:tcPr>
          <w:p w14:paraId="3AC4EFA7" w14:textId="77777777" w:rsidR="00F022AA" w:rsidRPr="00EB11D3" w:rsidRDefault="00F022AA" w:rsidP="000B78D6">
            <w:pPr>
              <w:spacing w:after="0" w:line="240" w:lineRule="auto"/>
              <w:jc w:val="center"/>
              <w:rPr>
                <w:rFonts w:eastAsia="Calibri"/>
                <w:szCs w:val="24"/>
              </w:rPr>
            </w:pPr>
            <w:r w:rsidRPr="00EB11D3">
              <w:rPr>
                <w:rFonts w:eastAsia="Calibri"/>
                <w:szCs w:val="24"/>
              </w:rPr>
              <w:t>98</w:t>
            </w:r>
          </w:p>
        </w:tc>
        <w:tc>
          <w:tcPr>
            <w:tcW w:w="1456" w:type="pct"/>
            <w:gridSpan w:val="2"/>
            <w:shd w:val="clear" w:color="auto" w:fill="FFFFFF"/>
          </w:tcPr>
          <w:p w14:paraId="302AAF2A" w14:textId="77777777" w:rsidR="00F022AA" w:rsidRPr="00EB11D3" w:rsidRDefault="00F022AA" w:rsidP="000B78D6">
            <w:pPr>
              <w:spacing w:after="0" w:line="240" w:lineRule="auto"/>
              <w:jc w:val="center"/>
              <w:rPr>
                <w:szCs w:val="24"/>
              </w:rPr>
            </w:pPr>
            <w:r w:rsidRPr="00EB11D3">
              <w:rPr>
                <w:szCs w:val="24"/>
              </w:rPr>
              <w:t>98*3</w:t>
            </w:r>
          </w:p>
        </w:tc>
      </w:tr>
      <w:tr w:rsidR="00F022AA" w:rsidRPr="00EB11D3" w14:paraId="5C2EDDAC" w14:textId="77777777" w:rsidTr="00F022AA">
        <w:trPr>
          <w:trHeight w:val="289"/>
        </w:trPr>
        <w:tc>
          <w:tcPr>
            <w:tcW w:w="1961" w:type="pct"/>
            <w:shd w:val="clear" w:color="auto" w:fill="FFFFFF"/>
          </w:tcPr>
          <w:p w14:paraId="29EC7A4A" w14:textId="77777777" w:rsidR="00F022AA" w:rsidRPr="00EB11D3" w:rsidRDefault="00F022AA" w:rsidP="000B78D6">
            <w:pPr>
              <w:spacing w:after="0" w:line="240" w:lineRule="auto"/>
              <w:jc w:val="left"/>
              <w:rPr>
                <w:rFonts w:eastAsia="Calibri"/>
                <w:b/>
                <w:bCs/>
                <w:szCs w:val="24"/>
              </w:rPr>
            </w:pPr>
            <w:r w:rsidRPr="00EB11D3">
              <w:rPr>
                <w:rFonts w:eastAsia="Calibri"/>
                <w:szCs w:val="24"/>
              </w:rPr>
              <w:t>Level 5 FBHs</w:t>
            </w:r>
          </w:p>
        </w:tc>
        <w:tc>
          <w:tcPr>
            <w:tcW w:w="1582" w:type="pct"/>
            <w:gridSpan w:val="2"/>
            <w:shd w:val="clear" w:color="auto" w:fill="FFFFFF"/>
          </w:tcPr>
          <w:p w14:paraId="701C2173" w14:textId="77777777" w:rsidR="00F022AA" w:rsidRPr="00EB11D3" w:rsidRDefault="00F022AA" w:rsidP="000B78D6">
            <w:pPr>
              <w:spacing w:after="0" w:line="240" w:lineRule="auto"/>
              <w:jc w:val="center"/>
              <w:rPr>
                <w:rFonts w:eastAsia="Calibri"/>
                <w:szCs w:val="24"/>
              </w:rPr>
            </w:pPr>
            <w:r w:rsidRPr="00EB11D3">
              <w:rPr>
                <w:rFonts w:eastAsia="Calibri"/>
                <w:szCs w:val="24"/>
              </w:rPr>
              <w:t>17</w:t>
            </w:r>
          </w:p>
        </w:tc>
        <w:tc>
          <w:tcPr>
            <w:tcW w:w="1456" w:type="pct"/>
            <w:gridSpan w:val="2"/>
            <w:shd w:val="clear" w:color="auto" w:fill="FFFFFF"/>
          </w:tcPr>
          <w:p w14:paraId="023C3E4E" w14:textId="77777777" w:rsidR="00F022AA" w:rsidRPr="00EB11D3" w:rsidRDefault="00F022AA" w:rsidP="000B78D6">
            <w:pPr>
              <w:spacing w:after="0" w:line="240" w:lineRule="auto"/>
              <w:jc w:val="center"/>
              <w:rPr>
                <w:szCs w:val="24"/>
              </w:rPr>
            </w:pPr>
            <w:r w:rsidRPr="00EB11D3">
              <w:rPr>
                <w:szCs w:val="24"/>
              </w:rPr>
              <w:t>17*3</w:t>
            </w:r>
          </w:p>
        </w:tc>
      </w:tr>
      <w:tr w:rsidR="00F022AA" w:rsidRPr="00EB11D3" w14:paraId="715C942A" w14:textId="77777777" w:rsidTr="00F022AA">
        <w:trPr>
          <w:trHeight w:val="247"/>
        </w:trPr>
        <w:tc>
          <w:tcPr>
            <w:tcW w:w="1961" w:type="pct"/>
            <w:tcBorders>
              <w:top w:val="single" w:sz="4" w:space="0" w:color="auto"/>
              <w:bottom w:val="single" w:sz="4" w:space="0" w:color="auto"/>
            </w:tcBorders>
            <w:shd w:val="clear" w:color="auto" w:fill="FFFFFF"/>
          </w:tcPr>
          <w:p w14:paraId="0CFAF731" w14:textId="77777777" w:rsidR="00F022AA" w:rsidRPr="00EB11D3" w:rsidRDefault="00F022AA" w:rsidP="000B78D6">
            <w:pPr>
              <w:spacing w:after="0" w:line="240" w:lineRule="auto"/>
              <w:jc w:val="left"/>
              <w:rPr>
                <w:rFonts w:eastAsia="Calibri"/>
                <w:b/>
                <w:bCs/>
                <w:szCs w:val="24"/>
              </w:rPr>
            </w:pPr>
            <w:r w:rsidRPr="00EB11D3">
              <w:rPr>
                <w:rFonts w:eastAsia="Calibri"/>
                <w:szCs w:val="24"/>
              </w:rPr>
              <w:t>Total</w:t>
            </w:r>
            <w:r w:rsidRPr="00EB11D3">
              <w:rPr>
                <w:rFonts w:eastAsia="Calibri"/>
                <w:szCs w:val="24"/>
              </w:rPr>
              <w:tab/>
            </w:r>
          </w:p>
        </w:tc>
        <w:tc>
          <w:tcPr>
            <w:tcW w:w="1582" w:type="pct"/>
            <w:gridSpan w:val="2"/>
            <w:tcBorders>
              <w:top w:val="single" w:sz="4" w:space="0" w:color="auto"/>
              <w:bottom w:val="single" w:sz="4" w:space="0" w:color="auto"/>
            </w:tcBorders>
            <w:shd w:val="clear" w:color="auto" w:fill="FFFFFF"/>
          </w:tcPr>
          <w:p w14:paraId="12E9C5E8" w14:textId="77777777" w:rsidR="00F022AA" w:rsidRPr="00EB11D3" w:rsidRDefault="00F022AA" w:rsidP="000B78D6">
            <w:pPr>
              <w:spacing w:after="0" w:line="240" w:lineRule="auto"/>
              <w:jc w:val="center"/>
              <w:rPr>
                <w:rFonts w:eastAsia="Calibri"/>
                <w:szCs w:val="24"/>
              </w:rPr>
            </w:pPr>
            <w:r w:rsidRPr="00EB11D3">
              <w:rPr>
                <w:rFonts w:eastAsia="Calibri"/>
                <w:szCs w:val="24"/>
              </w:rPr>
              <w:t>115</w:t>
            </w:r>
          </w:p>
        </w:tc>
        <w:tc>
          <w:tcPr>
            <w:tcW w:w="1456" w:type="pct"/>
            <w:gridSpan w:val="2"/>
            <w:tcBorders>
              <w:top w:val="single" w:sz="4" w:space="0" w:color="auto"/>
              <w:bottom w:val="single" w:sz="4" w:space="0" w:color="auto"/>
            </w:tcBorders>
            <w:shd w:val="clear" w:color="auto" w:fill="FFFFFF"/>
          </w:tcPr>
          <w:p w14:paraId="2D5A041D" w14:textId="77777777" w:rsidR="00F022AA" w:rsidRPr="00EB11D3" w:rsidRDefault="00F022AA" w:rsidP="000B78D6">
            <w:pPr>
              <w:spacing w:after="0" w:line="240" w:lineRule="auto"/>
              <w:jc w:val="center"/>
              <w:rPr>
                <w:rFonts w:eastAsia="Calibri"/>
                <w:szCs w:val="24"/>
              </w:rPr>
            </w:pPr>
            <w:r w:rsidRPr="00EB11D3">
              <w:rPr>
                <w:rFonts w:eastAsia="Calibri"/>
                <w:szCs w:val="24"/>
              </w:rPr>
              <w:t>345</w:t>
            </w:r>
          </w:p>
        </w:tc>
      </w:tr>
    </w:tbl>
    <w:p w14:paraId="07AD01FA" w14:textId="77777777" w:rsidR="00BE70AA" w:rsidRDefault="00BE70AA">
      <w:pPr>
        <w:pStyle w:val="Heading2"/>
        <w:keepNext w:val="0"/>
        <w:keepLines w:val="0"/>
        <w:spacing w:before="100" w:beforeAutospacing="1" w:after="100" w:afterAutospacing="1" w:line="240" w:lineRule="auto"/>
        <w:jc w:val="both"/>
        <w:rPr>
          <w:szCs w:val="24"/>
        </w:rPr>
      </w:pPr>
    </w:p>
    <w:p w14:paraId="13318AE5" w14:textId="77777777" w:rsidR="00DC0D7C" w:rsidRPr="00EB11D3" w:rsidRDefault="00BE70AA">
      <w:pPr>
        <w:pStyle w:val="Heading2"/>
        <w:keepNext w:val="0"/>
        <w:keepLines w:val="0"/>
        <w:spacing w:before="100" w:beforeAutospacing="1" w:after="100" w:afterAutospacing="1" w:line="240" w:lineRule="auto"/>
        <w:jc w:val="both"/>
        <w:rPr>
          <w:szCs w:val="24"/>
          <w:lang w:eastAsia="zh-CN"/>
        </w:rPr>
      </w:pPr>
      <w:r>
        <w:rPr>
          <w:szCs w:val="24"/>
        </w:rPr>
        <w:br w:type="page"/>
      </w:r>
      <w:bookmarkStart w:id="347" w:name="_Toc177387846"/>
      <w:r w:rsidR="00212BDF" w:rsidRPr="00EB11D3">
        <w:rPr>
          <w:szCs w:val="24"/>
        </w:rPr>
        <w:t>3.</w:t>
      </w:r>
      <w:bookmarkStart w:id="348" w:name="_Toc515997266"/>
      <w:bookmarkEnd w:id="337"/>
      <w:bookmarkEnd w:id="338"/>
      <w:bookmarkEnd w:id="339"/>
      <w:bookmarkEnd w:id="340"/>
      <w:bookmarkEnd w:id="341"/>
      <w:r w:rsidR="00B60CD7" w:rsidRPr="00EB11D3">
        <w:rPr>
          <w:szCs w:val="24"/>
        </w:rPr>
        <w:t>5</w:t>
      </w:r>
      <w:r w:rsidR="003F0603" w:rsidRPr="00EB11D3">
        <w:rPr>
          <w:szCs w:val="24"/>
        </w:rPr>
        <w:t xml:space="preserve"> </w:t>
      </w:r>
      <w:r w:rsidR="00212BDF" w:rsidRPr="00EB11D3">
        <w:rPr>
          <w:bCs/>
          <w:szCs w:val="24"/>
        </w:rPr>
        <w:t>Data Collection Instruments</w:t>
      </w:r>
      <w:bookmarkEnd w:id="347"/>
    </w:p>
    <w:p w14:paraId="6EAA3A12" w14:textId="77777777" w:rsidR="00DC0D7C" w:rsidRPr="00EB11D3" w:rsidRDefault="009B433B" w:rsidP="00BC2395">
      <w:pPr>
        <w:spacing w:line="360" w:lineRule="auto"/>
        <w:rPr>
          <w:rFonts w:eastAsia="Calibri"/>
          <w:szCs w:val="24"/>
        </w:rPr>
      </w:pPr>
      <w:r w:rsidRPr="00EB11D3">
        <w:rPr>
          <w:rFonts w:eastAsia="Calibri"/>
          <w:szCs w:val="24"/>
        </w:rPr>
        <w:t xml:space="preserve">Primary data </w:t>
      </w:r>
      <w:r w:rsidR="00CD6BB9" w:rsidRPr="00EB11D3">
        <w:rPr>
          <w:rFonts w:eastAsia="Calibri"/>
          <w:szCs w:val="24"/>
        </w:rPr>
        <w:t>was</w:t>
      </w:r>
      <w:r w:rsidRPr="00EB11D3">
        <w:rPr>
          <w:rFonts w:eastAsia="Calibri"/>
          <w:szCs w:val="24"/>
        </w:rPr>
        <w:t xml:space="preserve"> used in this study. A structured questionnaire </w:t>
      </w:r>
      <w:r w:rsidR="00CD6BB9" w:rsidRPr="00EB11D3">
        <w:rPr>
          <w:rFonts w:eastAsia="Calibri"/>
          <w:szCs w:val="24"/>
        </w:rPr>
        <w:t>was</w:t>
      </w:r>
      <w:r w:rsidRPr="00EB11D3">
        <w:rPr>
          <w:rFonts w:eastAsia="Calibri"/>
          <w:szCs w:val="24"/>
        </w:rPr>
        <w:t xml:space="preserve"> used to obtain primary data. The structured questions </w:t>
      </w:r>
      <w:r w:rsidR="00CD6BB9" w:rsidRPr="00EB11D3">
        <w:rPr>
          <w:rFonts w:eastAsia="Calibri"/>
          <w:szCs w:val="24"/>
        </w:rPr>
        <w:t>were</w:t>
      </w:r>
      <w:r w:rsidRPr="00EB11D3">
        <w:rPr>
          <w:rFonts w:eastAsia="Calibri"/>
          <w:szCs w:val="24"/>
        </w:rPr>
        <w:t xml:space="preserve"> answered by respondents on a 5 (five) point Likert type scale, with responses ranging from "Strongly agree" to "Strongly disagree." </w:t>
      </w:r>
      <w:r w:rsidR="00F13477" w:rsidRPr="00EB11D3">
        <w:rPr>
          <w:rFonts w:eastAsia="Calibri"/>
          <w:szCs w:val="24"/>
        </w:rPr>
        <w:t>Structured questions give respondents a number of options to choose from.</w:t>
      </w:r>
      <w:r w:rsidRPr="00EB11D3">
        <w:rPr>
          <w:rFonts w:eastAsia="Calibri"/>
          <w:szCs w:val="24"/>
        </w:rPr>
        <w:t xml:space="preserve"> </w:t>
      </w:r>
      <w:r w:rsidR="002F2B0F" w:rsidRPr="00EB11D3">
        <w:rPr>
          <w:rFonts w:eastAsia="Calibri"/>
          <w:szCs w:val="24"/>
        </w:rPr>
        <w:t>This approach is</w:t>
      </w:r>
      <w:r w:rsidR="00F016F6" w:rsidRPr="00EB11D3">
        <w:rPr>
          <w:rFonts w:eastAsia="Calibri"/>
          <w:szCs w:val="24"/>
        </w:rPr>
        <w:t xml:space="preserve"> simple to conduct, guarantee quick delivery and</w:t>
      </w:r>
      <w:r w:rsidR="00EF7E07" w:rsidRPr="00EB11D3">
        <w:rPr>
          <w:rFonts w:eastAsia="Calibri"/>
          <w:szCs w:val="24"/>
        </w:rPr>
        <w:t xml:space="preserve"> allows respondents to response at their own </w:t>
      </w:r>
      <w:r w:rsidR="00F016F6" w:rsidRPr="00EB11D3">
        <w:rPr>
          <w:rFonts w:eastAsia="Calibri"/>
          <w:szCs w:val="24"/>
        </w:rPr>
        <w:t>convenience</w:t>
      </w:r>
      <w:r w:rsidR="002F2B0F" w:rsidRPr="00EB11D3">
        <w:rPr>
          <w:rFonts w:eastAsia="Calibri"/>
          <w:szCs w:val="24"/>
        </w:rPr>
        <w:t>.</w:t>
      </w:r>
      <w:r w:rsidR="00641F58" w:rsidRPr="00EB11D3">
        <w:rPr>
          <w:rFonts w:eastAsia="Calibri"/>
          <w:szCs w:val="24"/>
        </w:rPr>
        <w:t xml:space="preserve"> </w:t>
      </w:r>
      <w:r w:rsidR="00C45190" w:rsidRPr="00EB11D3">
        <w:rPr>
          <w:rFonts w:eastAsia="Calibri"/>
          <w:szCs w:val="24"/>
        </w:rPr>
        <w:t xml:space="preserve">The questionnaire </w:t>
      </w:r>
      <w:r w:rsidR="00CD6BB9" w:rsidRPr="00EB11D3">
        <w:rPr>
          <w:rFonts w:eastAsia="Calibri"/>
          <w:szCs w:val="24"/>
        </w:rPr>
        <w:t>was</w:t>
      </w:r>
      <w:r w:rsidR="00C45190" w:rsidRPr="00EB11D3">
        <w:rPr>
          <w:rFonts w:eastAsia="Calibri"/>
          <w:szCs w:val="24"/>
        </w:rPr>
        <w:t xml:space="preserve"> divided into five sections. The demographic information of the respondents </w:t>
      </w:r>
      <w:r w:rsidR="006E4629" w:rsidRPr="00EB11D3">
        <w:rPr>
          <w:rFonts w:eastAsia="Calibri"/>
          <w:szCs w:val="24"/>
        </w:rPr>
        <w:t>was</w:t>
      </w:r>
      <w:r w:rsidR="00C45190" w:rsidRPr="00EB11D3">
        <w:rPr>
          <w:rFonts w:eastAsia="Calibri"/>
          <w:szCs w:val="24"/>
        </w:rPr>
        <w:t xml:space="preserve"> included in Section A of the questionnaire. Section B include</w:t>
      </w:r>
      <w:r w:rsidR="006E4629" w:rsidRPr="00EB11D3">
        <w:rPr>
          <w:rFonts w:eastAsia="Calibri"/>
          <w:szCs w:val="24"/>
        </w:rPr>
        <w:t>d</w:t>
      </w:r>
      <w:r w:rsidR="00C45190" w:rsidRPr="00EB11D3">
        <w:rPr>
          <w:rFonts w:eastAsia="Calibri"/>
          <w:szCs w:val="24"/>
        </w:rPr>
        <w:t xml:space="preserve"> questions about corporate governance, while Sections C and D include</w:t>
      </w:r>
      <w:r w:rsidR="006E4629" w:rsidRPr="00EB11D3">
        <w:rPr>
          <w:rFonts w:eastAsia="Calibri"/>
          <w:szCs w:val="24"/>
        </w:rPr>
        <w:t>d</w:t>
      </w:r>
      <w:r w:rsidR="00C45190" w:rsidRPr="00EB11D3">
        <w:rPr>
          <w:rFonts w:eastAsia="Calibri"/>
          <w:szCs w:val="24"/>
        </w:rPr>
        <w:t xml:space="preserve"> service innovations and government regulations, respectively. Finally, in section E, the performance of faith-based hospitals </w:t>
      </w:r>
      <w:r w:rsidR="006E4629" w:rsidRPr="00EB11D3">
        <w:rPr>
          <w:rFonts w:eastAsia="Calibri"/>
          <w:szCs w:val="24"/>
        </w:rPr>
        <w:t>was</w:t>
      </w:r>
      <w:r w:rsidR="00C45190" w:rsidRPr="00EB11D3">
        <w:rPr>
          <w:rFonts w:eastAsia="Calibri"/>
          <w:szCs w:val="24"/>
        </w:rPr>
        <w:t xml:space="preserve"> highlighted.</w:t>
      </w:r>
    </w:p>
    <w:p w14:paraId="1382BE4D" w14:textId="77777777" w:rsidR="00DC0D7C" w:rsidRPr="00EB11D3" w:rsidRDefault="00212BDF">
      <w:pPr>
        <w:pStyle w:val="Heading2"/>
        <w:keepNext w:val="0"/>
        <w:keepLines w:val="0"/>
        <w:spacing w:before="100" w:beforeAutospacing="1" w:after="100" w:afterAutospacing="1" w:line="240" w:lineRule="auto"/>
        <w:jc w:val="both"/>
        <w:rPr>
          <w:bCs/>
          <w:szCs w:val="24"/>
        </w:rPr>
      </w:pPr>
      <w:bookmarkStart w:id="349" w:name="_Toc525549558"/>
      <w:bookmarkStart w:id="350" w:name="_Toc525231266"/>
      <w:bookmarkStart w:id="351" w:name="_Toc526935001"/>
      <w:bookmarkStart w:id="352" w:name="_Toc525231153"/>
      <w:bookmarkStart w:id="353" w:name="_Toc177387847"/>
      <w:r w:rsidRPr="00EB11D3">
        <w:rPr>
          <w:szCs w:val="24"/>
        </w:rPr>
        <w:t>3.</w:t>
      </w:r>
      <w:bookmarkStart w:id="354" w:name="_Toc515997267"/>
      <w:bookmarkStart w:id="355" w:name="_Toc525231154"/>
      <w:bookmarkStart w:id="356" w:name="_Toc526935002"/>
      <w:bookmarkStart w:id="357" w:name="_Toc525231267"/>
      <w:bookmarkStart w:id="358" w:name="_Toc525549559"/>
      <w:bookmarkEnd w:id="348"/>
      <w:bookmarkEnd w:id="349"/>
      <w:bookmarkEnd w:id="350"/>
      <w:bookmarkEnd w:id="351"/>
      <w:bookmarkEnd w:id="352"/>
      <w:r w:rsidR="00B60CD7" w:rsidRPr="00EB11D3">
        <w:rPr>
          <w:szCs w:val="24"/>
        </w:rPr>
        <w:t>6</w:t>
      </w:r>
      <w:r w:rsidR="003F0603" w:rsidRPr="00EB11D3">
        <w:rPr>
          <w:szCs w:val="24"/>
        </w:rPr>
        <w:t xml:space="preserve"> </w:t>
      </w:r>
      <w:r w:rsidRPr="00EB11D3">
        <w:rPr>
          <w:bCs/>
          <w:szCs w:val="24"/>
        </w:rPr>
        <w:t>Pilot Study</w:t>
      </w:r>
      <w:bookmarkEnd w:id="353"/>
    </w:p>
    <w:p w14:paraId="19CB49E5" w14:textId="77777777" w:rsidR="00860C0E" w:rsidRPr="00EB11D3" w:rsidRDefault="00860C0E" w:rsidP="00A35B7A">
      <w:pPr>
        <w:spacing w:line="360" w:lineRule="auto"/>
        <w:rPr>
          <w:szCs w:val="24"/>
          <w:lang w:eastAsia="zh-CN"/>
        </w:rPr>
      </w:pPr>
      <w:r w:rsidRPr="00EB11D3">
        <w:rPr>
          <w:szCs w:val="24"/>
          <w:lang w:eastAsia="zh-CN"/>
        </w:rPr>
        <w:t xml:space="preserve">Pilot </w:t>
      </w:r>
      <w:r w:rsidR="008B1B2D">
        <w:rPr>
          <w:szCs w:val="24"/>
          <w:lang w:eastAsia="zh-CN"/>
        </w:rPr>
        <w:t>study</w:t>
      </w:r>
      <w:r w:rsidRPr="00EB11D3">
        <w:rPr>
          <w:szCs w:val="24"/>
          <w:lang w:eastAsia="zh-CN"/>
        </w:rPr>
        <w:t xml:space="preserve"> </w:t>
      </w:r>
      <w:r w:rsidR="006E4629" w:rsidRPr="00EB11D3">
        <w:rPr>
          <w:szCs w:val="24"/>
          <w:lang w:eastAsia="zh-CN"/>
        </w:rPr>
        <w:t>was</w:t>
      </w:r>
      <w:r w:rsidRPr="00EB11D3">
        <w:rPr>
          <w:szCs w:val="24"/>
          <w:lang w:eastAsia="zh-CN"/>
        </w:rPr>
        <w:t xml:space="preserve"> carried out to ensure that the questionnaires are reliable and evaluate the expected outcomes. A pilot study is designed to test how well a questionnaire communicates (Malmqvist, Hellberg, Mölls, Rose, &amp; Shevlin, 2019; Bond, 2023). A pilot test assures the researcher that the respondents understand the questions in the research tool (Dwigo, 2020).</w:t>
      </w:r>
    </w:p>
    <w:p w14:paraId="26DE9954" w14:textId="77777777" w:rsidR="00DC0D7C" w:rsidRPr="00EB11D3" w:rsidRDefault="00212BDF">
      <w:pPr>
        <w:spacing w:line="360" w:lineRule="auto"/>
        <w:rPr>
          <w:szCs w:val="24"/>
          <w:lang w:eastAsia="zh-CN"/>
        </w:rPr>
      </w:pPr>
      <w:r w:rsidRPr="00EB11D3">
        <w:rPr>
          <w:szCs w:val="24"/>
          <w:lang w:eastAsia="zh-CN"/>
        </w:rPr>
        <w:t xml:space="preserve">Pilot testing, in particular, aids in identifying design and equipment flaws and provides proxies for sample selection. </w:t>
      </w:r>
      <w:r w:rsidR="00860C0E" w:rsidRPr="00EB11D3">
        <w:rPr>
          <w:szCs w:val="24"/>
          <w:lang w:eastAsia="zh-CN"/>
        </w:rPr>
        <w:t xml:space="preserve">To obtain a pilot group, a sample of 10% of the research population </w:t>
      </w:r>
      <w:r w:rsidR="006E4629" w:rsidRPr="00EB11D3">
        <w:rPr>
          <w:szCs w:val="24"/>
          <w:lang w:eastAsia="zh-CN"/>
        </w:rPr>
        <w:t>was</w:t>
      </w:r>
      <w:r w:rsidR="00860C0E" w:rsidRPr="00EB11D3">
        <w:rPr>
          <w:szCs w:val="24"/>
          <w:lang w:eastAsia="zh-CN"/>
        </w:rPr>
        <w:t xml:space="preserve"> employed, as suggested by Koopman (2015), resulting in twelve faith-based hospitals at levels 4 and 5. </w:t>
      </w:r>
      <w:r w:rsidR="00A074C2" w:rsidRPr="00EB11D3">
        <w:rPr>
          <w:szCs w:val="24"/>
          <w:lang w:eastAsia="zh-CN"/>
        </w:rPr>
        <w:t xml:space="preserve">Out of 115 level 4 and 5 faith-based hospitals, </w:t>
      </w:r>
      <w:r w:rsidR="00F41FB8" w:rsidRPr="00EB11D3">
        <w:rPr>
          <w:szCs w:val="24"/>
          <w:lang w:eastAsia="zh-CN"/>
        </w:rPr>
        <w:t>twelve hospitals</w:t>
      </w:r>
      <w:r w:rsidR="00A074C2" w:rsidRPr="00EB11D3">
        <w:rPr>
          <w:szCs w:val="24"/>
          <w:lang w:eastAsia="zh-CN"/>
        </w:rPr>
        <w:t xml:space="preserve"> </w:t>
      </w:r>
      <w:r w:rsidR="006E4629" w:rsidRPr="00EB11D3">
        <w:rPr>
          <w:szCs w:val="24"/>
          <w:lang w:eastAsia="zh-CN"/>
        </w:rPr>
        <w:t>were</w:t>
      </w:r>
      <w:r w:rsidR="00A074C2" w:rsidRPr="00EB11D3">
        <w:rPr>
          <w:szCs w:val="24"/>
          <w:lang w:eastAsia="zh-CN"/>
        </w:rPr>
        <w:t xml:space="preserve"> selected </w:t>
      </w:r>
      <w:r w:rsidR="0082650A" w:rsidRPr="00EB11D3">
        <w:rPr>
          <w:szCs w:val="24"/>
          <w:lang w:eastAsia="zh-CN"/>
        </w:rPr>
        <w:t xml:space="preserve">using </w:t>
      </w:r>
      <w:r w:rsidR="008B1B2D">
        <w:rPr>
          <w:szCs w:val="24"/>
          <w:lang w:eastAsia="zh-CN"/>
        </w:rPr>
        <w:t>random</w:t>
      </w:r>
      <w:r w:rsidR="0082650A" w:rsidRPr="00EB11D3">
        <w:rPr>
          <w:szCs w:val="24"/>
          <w:lang w:eastAsia="zh-CN"/>
        </w:rPr>
        <w:t xml:space="preserve"> sampling.</w:t>
      </w:r>
      <w:r w:rsidR="00A074C2" w:rsidRPr="00EB11D3">
        <w:rPr>
          <w:szCs w:val="24"/>
          <w:lang w:eastAsia="zh-CN"/>
        </w:rPr>
        <w:t xml:space="preserve"> </w:t>
      </w:r>
      <w:r w:rsidR="00A0592E" w:rsidRPr="00EB11D3">
        <w:rPr>
          <w:szCs w:val="24"/>
          <w:lang w:eastAsia="zh-CN"/>
        </w:rPr>
        <w:t>P</w:t>
      </w:r>
      <w:r w:rsidRPr="00EB11D3">
        <w:rPr>
          <w:szCs w:val="24"/>
          <w:lang w:eastAsia="zh-CN"/>
        </w:rPr>
        <w:t xml:space="preserve">ilot group </w:t>
      </w:r>
      <w:r w:rsidR="006E4629" w:rsidRPr="00EB11D3">
        <w:rPr>
          <w:szCs w:val="24"/>
          <w:lang w:eastAsia="zh-CN"/>
        </w:rPr>
        <w:t xml:space="preserve">were </w:t>
      </w:r>
      <w:r w:rsidRPr="00EB11D3">
        <w:rPr>
          <w:szCs w:val="24"/>
          <w:lang w:eastAsia="zh-CN"/>
        </w:rPr>
        <w:t>not be allowed to participate in the main study because they bring biased outcome and replications</w:t>
      </w:r>
      <w:r w:rsidR="00A0592E" w:rsidRPr="00EB11D3">
        <w:rPr>
          <w:szCs w:val="24"/>
          <w:lang w:eastAsia="zh-CN"/>
        </w:rPr>
        <w:t xml:space="preserve"> (Kothari &amp; Garg, 2014; Althubaiti, 2023)</w:t>
      </w:r>
      <w:r w:rsidRPr="00EB11D3">
        <w:rPr>
          <w:szCs w:val="24"/>
          <w:lang w:eastAsia="zh-CN"/>
        </w:rPr>
        <w:t>.</w:t>
      </w:r>
    </w:p>
    <w:p w14:paraId="44ACFBC4" w14:textId="77777777" w:rsidR="00DC0D7C" w:rsidRPr="00EB11D3" w:rsidRDefault="00212BDF" w:rsidP="00AD1CB7">
      <w:pPr>
        <w:pStyle w:val="Heading3"/>
      </w:pPr>
      <w:bookmarkStart w:id="359" w:name="_Toc132031174"/>
      <w:bookmarkStart w:id="360" w:name="_Toc132709942"/>
      <w:bookmarkStart w:id="361" w:name="_Toc93944415"/>
      <w:bookmarkStart w:id="362" w:name="_Toc126142603"/>
      <w:bookmarkStart w:id="363" w:name="_Toc114214686"/>
      <w:bookmarkStart w:id="364" w:name="_Toc126572577"/>
      <w:bookmarkStart w:id="365" w:name="_Toc134174666"/>
      <w:bookmarkStart w:id="366" w:name="_Toc135405883"/>
      <w:bookmarkStart w:id="367" w:name="_Toc135938094"/>
      <w:bookmarkStart w:id="368" w:name="_Toc135938300"/>
      <w:bookmarkStart w:id="369" w:name="_Toc140111863"/>
      <w:bookmarkStart w:id="370" w:name="_Toc153052091"/>
      <w:bookmarkStart w:id="371" w:name="_Toc164148968"/>
      <w:bookmarkStart w:id="372" w:name="_Toc164151229"/>
      <w:bookmarkStart w:id="373" w:name="_Toc168673421"/>
      <w:bookmarkStart w:id="374" w:name="_Toc168737863"/>
      <w:bookmarkStart w:id="375" w:name="_Toc171602616"/>
      <w:bookmarkStart w:id="376" w:name="_Toc171603443"/>
      <w:bookmarkStart w:id="377" w:name="_Toc177387848"/>
      <w:bookmarkStart w:id="378" w:name="_Toc515997270"/>
      <w:bookmarkStart w:id="379" w:name="_Toc389246372"/>
      <w:bookmarkStart w:id="380" w:name="_Toc525231158"/>
      <w:bookmarkStart w:id="381" w:name="_Toc526935006"/>
      <w:bookmarkStart w:id="382" w:name="_Toc525231271"/>
      <w:bookmarkStart w:id="383" w:name="_Toc525549563"/>
      <w:bookmarkEnd w:id="354"/>
      <w:bookmarkEnd w:id="355"/>
      <w:bookmarkEnd w:id="356"/>
      <w:bookmarkEnd w:id="357"/>
      <w:bookmarkEnd w:id="358"/>
      <w:r w:rsidRPr="00EB11D3">
        <w:t>3.</w:t>
      </w:r>
      <w:r w:rsidR="00B60CD7" w:rsidRPr="00EB11D3">
        <w:t>6</w:t>
      </w:r>
      <w:r w:rsidRPr="00EB11D3">
        <w:t xml:space="preserve">.1 </w:t>
      </w:r>
      <w:bookmarkStart w:id="384" w:name="_Toc132031175"/>
      <w:bookmarkStart w:id="385" w:name="_Toc114214687"/>
      <w:bookmarkStart w:id="386" w:name="_Toc93944416"/>
      <w:bookmarkStart w:id="387" w:name="_Toc126572578"/>
      <w:bookmarkStart w:id="388" w:name="_Toc132709943"/>
      <w:bookmarkStart w:id="389" w:name="_Toc126142604"/>
      <w:bookmarkStart w:id="390" w:name="_Toc134174667"/>
      <w:bookmarkStart w:id="391" w:name="_Toc135405884"/>
      <w:bookmarkStart w:id="392" w:name="_Toc135938095"/>
      <w:bookmarkStart w:id="393" w:name="_Toc135938301"/>
      <w:bookmarkStart w:id="394" w:name="_Toc140111864"/>
      <w:bookmarkEnd w:id="359"/>
      <w:bookmarkEnd w:id="360"/>
      <w:bookmarkEnd w:id="361"/>
      <w:bookmarkEnd w:id="362"/>
      <w:bookmarkEnd w:id="363"/>
      <w:bookmarkEnd w:id="364"/>
      <w:bookmarkEnd w:id="365"/>
      <w:bookmarkEnd w:id="366"/>
      <w:bookmarkEnd w:id="367"/>
      <w:bookmarkEnd w:id="368"/>
      <w:bookmarkEnd w:id="369"/>
      <w:r w:rsidRPr="00EB11D3">
        <w:t>Validity</w:t>
      </w:r>
      <w:bookmarkEnd w:id="370"/>
      <w:bookmarkEnd w:id="371"/>
      <w:bookmarkEnd w:id="372"/>
      <w:bookmarkEnd w:id="373"/>
      <w:bookmarkEnd w:id="374"/>
      <w:bookmarkEnd w:id="375"/>
      <w:bookmarkEnd w:id="376"/>
      <w:bookmarkEnd w:id="377"/>
      <w:bookmarkEnd w:id="384"/>
      <w:bookmarkEnd w:id="385"/>
      <w:bookmarkEnd w:id="386"/>
      <w:bookmarkEnd w:id="387"/>
      <w:bookmarkEnd w:id="388"/>
      <w:bookmarkEnd w:id="389"/>
      <w:bookmarkEnd w:id="390"/>
      <w:bookmarkEnd w:id="391"/>
      <w:bookmarkEnd w:id="392"/>
      <w:bookmarkEnd w:id="393"/>
      <w:bookmarkEnd w:id="394"/>
    </w:p>
    <w:p w14:paraId="3B435649" w14:textId="77777777" w:rsidR="0065342A" w:rsidRPr="00EB11D3" w:rsidRDefault="00381F56" w:rsidP="004E005E">
      <w:pPr>
        <w:spacing w:line="360" w:lineRule="auto"/>
        <w:rPr>
          <w:szCs w:val="24"/>
          <w:lang w:eastAsia="zh-CN"/>
        </w:rPr>
      </w:pPr>
      <w:r w:rsidRPr="00EB11D3">
        <w:rPr>
          <w:szCs w:val="24"/>
          <w:lang w:eastAsia="zh-CN"/>
        </w:rPr>
        <w:t xml:space="preserve">Validity refers to a test's ability to meaningfully measure the internal, external, construct, or discriminant variables that it is supposed to measure. External validity refers to the capacity of data to be generalised, whereas internal validity refers to a research instrument's ability to measure what it is intended to measure (Clark, &amp; Watson, 2019). Content validity, face validity, concept validity, and criterion-related validity are the four types of validity tests (Alarcón, Sánchez, &amp; De Olavide, 2015; Creswell &amp; Creswell, 2017). </w:t>
      </w:r>
    </w:p>
    <w:p w14:paraId="2151FE52" w14:textId="77777777" w:rsidR="00D966AD" w:rsidRPr="00EB11D3" w:rsidRDefault="004E48A0" w:rsidP="004E005E">
      <w:pPr>
        <w:spacing w:line="360" w:lineRule="auto"/>
        <w:rPr>
          <w:szCs w:val="24"/>
          <w:lang w:eastAsia="zh-CN"/>
        </w:rPr>
      </w:pPr>
      <w:r w:rsidRPr="00EB11D3">
        <w:rPr>
          <w:szCs w:val="24"/>
          <w:lang w:eastAsia="zh-CN"/>
        </w:rPr>
        <w:t xml:space="preserve">An instrument's construct validity is a measure of how well it is able to measure the concept for which it was developed (Creswell &amp; Creswell, 2017). </w:t>
      </w:r>
      <w:r w:rsidR="00693938" w:rsidRPr="00EB11D3">
        <w:rPr>
          <w:szCs w:val="24"/>
          <w:lang w:eastAsia="zh-CN"/>
        </w:rPr>
        <w:t xml:space="preserve">A </w:t>
      </w:r>
      <w:bookmarkStart w:id="395" w:name="_Hlk141672477"/>
      <w:r w:rsidR="00693938" w:rsidRPr="00EB11D3">
        <w:rPr>
          <w:szCs w:val="24"/>
          <w:lang w:eastAsia="zh-CN"/>
        </w:rPr>
        <w:t xml:space="preserve">construct validity </w:t>
      </w:r>
      <w:bookmarkEnd w:id="395"/>
      <w:r w:rsidR="00693938" w:rsidRPr="00EB11D3">
        <w:rPr>
          <w:szCs w:val="24"/>
          <w:lang w:eastAsia="zh-CN"/>
        </w:rPr>
        <w:t xml:space="preserve">assessment is based on evidence obtained from multiple studies that have used a certain measurement tool (Mohajan, 2017). </w:t>
      </w:r>
      <w:r w:rsidR="00F9358B" w:rsidRPr="00EB11D3">
        <w:rPr>
          <w:szCs w:val="24"/>
          <w:lang w:eastAsia="zh-CN"/>
        </w:rPr>
        <w:t xml:space="preserve">Construct validity is further divided into convergent validity and discriminant. The degree to which results on one scale coincide with those on other scales intended to measure the same construct is known as convergent validity (Duckett, 2021). The assumption of discriminant validity is that the scale's results do not correlate with those from scales meant to measure other constructs (Duckett, 2021). </w:t>
      </w:r>
      <w:r w:rsidR="0066658F" w:rsidRPr="0066658F">
        <w:rPr>
          <w:szCs w:val="24"/>
          <w:lang w:eastAsia="zh-CN"/>
        </w:rPr>
        <w:t xml:space="preserve">Correlations were used to examine the convergent and discriminant validity of the current test, determining if the results are </w:t>
      </w:r>
      <w:r w:rsidR="0066658F">
        <w:rPr>
          <w:szCs w:val="24"/>
          <w:lang w:eastAsia="zh-CN"/>
        </w:rPr>
        <w:t>positive</w:t>
      </w:r>
      <w:r w:rsidR="0066658F" w:rsidRPr="0066658F">
        <w:rPr>
          <w:szCs w:val="24"/>
          <w:lang w:eastAsia="zh-CN"/>
        </w:rPr>
        <w:t>ly or negatively correlated with those of other previously validated tests.</w:t>
      </w:r>
      <w:r w:rsidR="0066658F">
        <w:rPr>
          <w:szCs w:val="24"/>
          <w:lang w:eastAsia="zh-CN"/>
        </w:rPr>
        <w:t xml:space="preserve"> </w:t>
      </w:r>
      <w:r w:rsidR="00D966AD" w:rsidRPr="00EB11D3">
        <w:rPr>
          <w:szCs w:val="24"/>
          <w:lang w:eastAsia="zh-CN"/>
        </w:rPr>
        <w:t>The association between scale scores and a particular quantifiable criterion is the subject of criterion-related validity (Burns et al., 2017).</w:t>
      </w:r>
    </w:p>
    <w:p w14:paraId="6196546C" w14:textId="77777777" w:rsidR="00DC0D7C" w:rsidRPr="00EB11D3" w:rsidRDefault="00693938" w:rsidP="00DE0E7E">
      <w:pPr>
        <w:spacing w:line="360" w:lineRule="auto"/>
        <w:rPr>
          <w:szCs w:val="24"/>
          <w:lang w:eastAsia="zh-CN"/>
        </w:rPr>
      </w:pPr>
      <w:r w:rsidRPr="00EB11D3">
        <w:rPr>
          <w:szCs w:val="24"/>
          <w:lang w:eastAsia="zh-CN"/>
        </w:rPr>
        <w:t xml:space="preserve">Despite its rapid assessment of what a test measures, face validity carries some bias due to the assessors' subject matter knowledge (Mohajan, 2017). </w:t>
      </w:r>
      <w:r w:rsidR="005871E7">
        <w:rPr>
          <w:szCs w:val="24"/>
          <w:lang w:eastAsia="zh-CN"/>
        </w:rPr>
        <w:t>C</w:t>
      </w:r>
      <w:r w:rsidR="004E48A0" w:rsidRPr="00EB11D3">
        <w:rPr>
          <w:szCs w:val="24"/>
          <w:lang w:eastAsia="zh-CN"/>
        </w:rPr>
        <w:t>ontent validity</w:t>
      </w:r>
      <w:r w:rsidR="005871E7">
        <w:rPr>
          <w:szCs w:val="24"/>
          <w:lang w:eastAsia="zh-CN"/>
        </w:rPr>
        <w:t xml:space="preserve"> test</w:t>
      </w:r>
      <w:r w:rsidR="004E48A0" w:rsidRPr="00EB11D3">
        <w:rPr>
          <w:szCs w:val="24"/>
          <w:lang w:eastAsia="zh-CN"/>
        </w:rPr>
        <w:t xml:space="preserve"> is determined by how well it measures the construct it is intended to measure (Ryan, 2019; Lea, O’Driscoll, Coleman, &amp; Wiles, 2021). </w:t>
      </w:r>
      <w:r w:rsidR="0065342A" w:rsidRPr="00EB11D3">
        <w:rPr>
          <w:szCs w:val="24"/>
          <w:lang w:eastAsia="zh-CN"/>
        </w:rPr>
        <w:t>The sample population's representativeness is critical for content validity.</w:t>
      </w:r>
      <w:r w:rsidR="004E48A0" w:rsidRPr="00EB11D3">
        <w:rPr>
          <w:szCs w:val="24"/>
          <w:lang w:eastAsia="zh-CN"/>
        </w:rPr>
        <w:t xml:space="preserve"> </w:t>
      </w:r>
      <w:r w:rsidR="009D028C" w:rsidRPr="009D028C">
        <w:rPr>
          <w:szCs w:val="24"/>
          <w:lang w:eastAsia="zh-CN"/>
        </w:rPr>
        <w:t xml:space="preserve">Content validity </w:t>
      </w:r>
      <w:r w:rsidR="009D028C">
        <w:rPr>
          <w:szCs w:val="24"/>
          <w:lang w:eastAsia="zh-CN"/>
        </w:rPr>
        <w:t>examined</w:t>
      </w:r>
      <w:r w:rsidR="009D028C" w:rsidRPr="009D028C">
        <w:rPr>
          <w:szCs w:val="24"/>
          <w:lang w:eastAsia="zh-CN"/>
        </w:rPr>
        <w:t xml:space="preserve"> whether the assessment tool contain</w:t>
      </w:r>
      <w:r w:rsidR="009D028C">
        <w:rPr>
          <w:szCs w:val="24"/>
          <w:lang w:eastAsia="zh-CN"/>
        </w:rPr>
        <w:t>ed</w:t>
      </w:r>
      <w:r w:rsidR="009D028C" w:rsidRPr="009D028C">
        <w:rPr>
          <w:szCs w:val="24"/>
          <w:lang w:eastAsia="zh-CN"/>
        </w:rPr>
        <w:t xml:space="preserve"> </w:t>
      </w:r>
      <w:r w:rsidR="009D028C">
        <w:rPr>
          <w:szCs w:val="24"/>
          <w:lang w:eastAsia="zh-CN"/>
        </w:rPr>
        <w:t>sufficient elements</w:t>
      </w:r>
      <w:r w:rsidR="009D028C" w:rsidRPr="009D028C">
        <w:rPr>
          <w:szCs w:val="24"/>
          <w:lang w:eastAsia="zh-CN"/>
        </w:rPr>
        <w:t xml:space="preserve"> to allow inferences about the intended construct and whether the items, activities, or questions are appropriate for the particular domain being measured.</w:t>
      </w:r>
      <w:r w:rsidR="009D028C">
        <w:rPr>
          <w:szCs w:val="24"/>
          <w:lang w:eastAsia="zh-CN"/>
        </w:rPr>
        <w:t xml:space="preserve"> </w:t>
      </w:r>
      <w:r w:rsidR="00D43AC9" w:rsidRPr="00EB11D3">
        <w:rPr>
          <w:szCs w:val="24"/>
          <w:lang w:eastAsia="zh-CN"/>
        </w:rPr>
        <w:t>Each section contain</w:t>
      </w:r>
      <w:r w:rsidR="006E4629" w:rsidRPr="00EB11D3">
        <w:rPr>
          <w:szCs w:val="24"/>
          <w:lang w:eastAsia="zh-CN"/>
        </w:rPr>
        <w:t>ed</w:t>
      </w:r>
      <w:r w:rsidR="00D43AC9" w:rsidRPr="00EB11D3">
        <w:rPr>
          <w:szCs w:val="24"/>
          <w:lang w:eastAsia="zh-CN"/>
        </w:rPr>
        <w:t xml:space="preserve"> specific variables, and expert judgments and guidance from the supervisors </w:t>
      </w:r>
      <w:r w:rsidR="009D028C">
        <w:rPr>
          <w:szCs w:val="24"/>
          <w:lang w:eastAsia="zh-CN"/>
        </w:rPr>
        <w:t>were</w:t>
      </w:r>
      <w:r w:rsidR="00D43AC9" w:rsidRPr="00EB11D3">
        <w:rPr>
          <w:szCs w:val="24"/>
          <w:lang w:eastAsia="zh-CN"/>
        </w:rPr>
        <w:t xml:space="preserve"> used to ensure that the conceptual dimensions </w:t>
      </w:r>
      <w:r w:rsidR="009D028C">
        <w:rPr>
          <w:szCs w:val="24"/>
          <w:lang w:eastAsia="zh-CN"/>
        </w:rPr>
        <w:t>were achieved</w:t>
      </w:r>
      <w:r w:rsidR="00D43AC9" w:rsidRPr="00EB11D3">
        <w:rPr>
          <w:szCs w:val="24"/>
          <w:lang w:eastAsia="zh-CN"/>
        </w:rPr>
        <w:t xml:space="preserve"> as intended</w:t>
      </w:r>
      <w:r w:rsidR="00CD7952" w:rsidRPr="00EB11D3">
        <w:rPr>
          <w:szCs w:val="24"/>
          <w:lang w:eastAsia="zh-CN"/>
        </w:rPr>
        <w:t xml:space="preserve">. </w:t>
      </w:r>
      <w:r w:rsidR="008553A5" w:rsidRPr="00EB11D3">
        <w:rPr>
          <w:szCs w:val="24"/>
          <w:lang w:eastAsia="zh-CN"/>
        </w:rPr>
        <w:t xml:space="preserve">Furthermore, the researcher </w:t>
      </w:r>
      <w:r w:rsidR="003C10E9">
        <w:rPr>
          <w:szCs w:val="24"/>
          <w:lang w:eastAsia="zh-CN"/>
        </w:rPr>
        <w:t>ensured that</w:t>
      </w:r>
      <w:r w:rsidR="008553A5" w:rsidRPr="00EB11D3">
        <w:rPr>
          <w:szCs w:val="24"/>
          <w:lang w:eastAsia="zh-CN"/>
        </w:rPr>
        <w:t xml:space="preserve"> the research design </w:t>
      </w:r>
      <w:r w:rsidR="003C10E9">
        <w:rPr>
          <w:szCs w:val="24"/>
          <w:lang w:eastAsia="zh-CN"/>
        </w:rPr>
        <w:t>gave</w:t>
      </w:r>
      <w:r w:rsidR="008553A5" w:rsidRPr="00EB11D3">
        <w:rPr>
          <w:szCs w:val="24"/>
          <w:lang w:eastAsia="zh-CN"/>
        </w:rPr>
        <w:t xml:space="preserve"> trustworthy conclusions and interpretation</w:t>
      </w:r>
      <w:r w:rsidR="003C10E9">
        <w:rPr>
          <w:szCs w:val="24"/>
          <w:lang w:eastAsia="zh-CN"/>
        </w:rPr>
        <w:t>s</w:t>
      </w:r>
      <w:r w:rsidR="008553A5" w:rsidRPr="00EB11D3">
        <w:rPr>
          <w:szCs w:val="24"/>
          <w:lang w:eastAsia="zh-CN"/>
        </w:rPr>
        <w:t>.</w:t>
      </w:r>
      <w:r w:rsidR="00212BDF" w:rsidRPr="00EB11D3">
        <w:rPr>
          <w:szCs w:val="24"/>
          <w:lang w:eastAsia="zh-CN"/>
        </w:rPr>
        <w:t xml:space="preserve"> </w:t>
      </w:r>
    </w:p>
    <w:p w14:paraId="5F319BC2" w14:textId="77777777" w:rsidR="009D7540" w:rsidRPr="00EB11D3" w:rsidRDefault="009D7540" w:rsidP="00AD1CB7">
      <w:pPr>
        <w:pStyle w:val="Heading3"/>
      </w:pPr>
      <w:bookmarkStart w:id="396" w:name="_Toc153052092"/>
      <w:bookmarkStart w:id="397" w:name="_Toc164148969"/>
      <w:bookmarkStart w:id="398" w:name="_Toc164151230"/>
      <w:bookmarkStart w:id="399" w:name="_Toc168673422"/>
      <w:bookmarkStart w:id="400" w:name="_Toc168737864"/>
      <w:bookmarkStart w:id="401" w:name="_Toc171602617"/>
      <w:bookmarkStart w:id="402" w:name="_Toc171603444"/>
      <w:bookmarkStart w:id="403" w:name="_Toc177387849"/>
      <w:r w:rsidRPr="00EB11D3">
        <w:t>3.</w:t>
      </w:r>
      <w:r w:rsidR="00B60CD7" w:rsidRPr="00EB11D3">
        <w:t>6</w:t>
      </w:r>
      <w:r w:rsidRPr="00EB11D3">
        <w:t>.2 Reliability</w:t>
      </w:r>
      <w:bookmarkEnd w:id="396"/>
      <w:bookmarkEnd w:id="397"/>
      <w:bookmarkEnd w:id="398"/>
      <w:bookmarkEnd w:id="399"/>
      <w:bookmarkEnd w:id="400"/>
      <w:bookmarkEnd w:id="401"/>
      <w:bookmarkEnd w:id="402"/>
      <w:bookmarkEnd w:id="403"/>
    </w:p>
    <w:p w14:paraId="0D314A3B" w14:textId="77777777" w:rsidR="00BE70AA" w:rsidRDefault="009D7540" w:rsidP="009D7540">
      <w:pPr>
        <w:spacing w:line="360" w:lineRule="auto"/>
        <w:rPr>
          <w:szCs w:val="24"/>
          <w:lang w:eastAsia="zh-CN"/>
        </w:rPr>
      </w:pPr>
      <w:r w:rsidRPr="00EB11D3">
        <w:rPr>
          <w:szCs w:val="24"/>
          <w:lang w:eastAsia="zh-CN"/>
        </w:rPr>
        <w:t xml:space="preserve">The consistency with which a measurement, technique, or tool produces the same outcome throughout time is known as reliability (Revelle &amp; Condon, 2019; Sürücü, &amp; Maslakçi, 2020). </w:t>
      </w:r>
      <w:r w:rsidR="00B1789E" w:rsidRPr="00EB11D3">
        <w:rPr>
          <w:szCs w:val="24"/>
          <w:lang w:eastAsia="zh-CN"/>
        </w:rPr>
        <w:t xml:space="preserve">The consistency with which a research instrument provides results or data after several trials is referred to as reliability (Corry, Porter, &amp; McKenna, 2018). </w:t>
      </w:r>
      <w:r w:rsidRPr="00EB11D3">
        <w:rPr>
          <w:szCs w:val="24"/>
          <w:lang w:eastAsia="zh-CN"/>
        </w:rPr>
        <w:t xml:space="preserve">Tests for reliability include split-half, internal consistency, alternate forms, inter-rater, parallel reliability, and test-retest (Sürücü, &amp; Maslakçi, 2020; Taylor, 2021). </w:t>
      </w:r>
    </w:p>
    <w:p w14:paraId="36F96A5D" w14:textId="77777777" w:rsidR="00BE70AA" w:rsidRDefault="009D7540" w:rsidP="00691B04">
      <w:pPr>
        <w:spacing w:line="360" w:lineRule="auto"/>
        <w:rPr>
          <w:szCs w:val="24"/>
          <w:lang w:eastAsia="zh-CN"/>
        </w:rPr>
      </w:pPr>
      <w:r w:rsidRPr="00EB11D3">
        <w:rPr>
          <w:szCs w:val="24"/>
          <w:lang w:eastAsia="zh-CN"/>
        </w:rPr>
        <w:t xml:space="preserve">Parallel reliability involves using distinct versions of an assessment to examine the same construct as opposed to the test-retest method, which requires giving the same test twice (Corry et al., 2018; Revelle &amp; Condon, 2019).  </w:t>
      </w:r>
      <w:r w:rsidR="00691B04" w:rsidRPr="00EB11D3">
        <w:rPr>
          <w:szCs w:val="24"/>
          <w:lang w:eastAsia="zh-CN"/>
        </w:rPr>
        <w:t xml:space="preserve">Reliability </w:t>
      </w:r>
      <w:r w:rsidR="001D3B37" w:rsidRPr="00EB11D3">
        <w:rPr>
          <w:szCs w:val="24"/>
          <w:lang w:eastAsia="zh-CN"/>
        </w:rPr>
        <w:t>was</w:t>
      </w:r>
      <w:r w:rsidR="00691B04" w:rsidRPr="00EB11D3">
        <w:rPr>
          <w:szCs w:val="24"/>
          <w:lang w:eastAsia="zh-CN"/>
        </w:rPr>
        <w:t xml:space="preserve"> measured with 'split-halves' and 'internal consistency' methods. To identify similarities between the two halves of the responses, split-half method </w:t>
      </w:r>
      <w:r w:rsidR="001D3B37" w:rsidRPr="00EB11D3">
        <w:rPr>
          <w:szCs w:val="24"/>
          <w:lang w:eastAsia="zh-CN"/>
        </w:rPr>
        <w:t>was</w:t>
      </w:r>
      <w:r w:rsidR="00691B04" w:rsidRPr="00EB11D3">
        <w:rPr>
          <w:szCs w:val="24"/>
          <w:lang w:eastAsia="zh-CN"/>
        </w:rPr>
        <w:t xml:space="preserve"> used. </w:t>
      </w:r>
      <w:r w:rsidR="003C10E9">
        <w:rPr>
          <w:szCs w:val="24"/>
          <w:lang w:eastAsia="zh-CN"/>
        </w:rPr>
        <w:t xml:space="preserve">This was done by dividing the pilot group into two </w:t>
      </w:r>
      <w:r w:rsidR="000A6ED6">
        <w:rPr>
          <w:szCs w:val="24"/>
          <w:lang w:eastAsia="zh-CN"/>
        </w:rPr>
        <w:t>sub-sets</w:t>
      </w:r>
      <w:r w:rsidR="003C10E9">
        <w:rPr>
          <w:szCs w:val="24"/>
          <w:lang w:eastAsia="zh-CN"/>
        </w:rPr>
        <w:t xml:space="preserve"> </w:t>
      </w:r>
      <w:r w:rsidR="00FC1220">
        <w:rPr>
          <w:szCs w:val="24"/>
          <w:lang w:eastAsia="zh-CN"/>
        </w:rPr>
        <w:t xml:space="preserve">and </w:t>
      </w:r>
      <w:r w:rsidR="003C10E9">
        <w:rPr>
          <w:szCs w:val="24"/>
          <w:lang w:eastAsia="zh-CN"/>
        </w:rPr>
        <w:t xml:space="preserve">then administering </w:t>
      </w:r>
      <w:r w:rsidR="000A6ED6">
        <w:rPr>
          <w:szCs w:val="24"/>
          <w:lang w:eastAsia="zh-CN"/>
        </w:rPr>
        <w:t>the</w:t>
      </w:r>
      <w:r w:rsidR="003C10E9">
        <w:rPr>
          <w:szCs w:val="24"/>
          <w:lang w:eastAsia="zh-CN"/>
        </w:rPr>
        <w:t xml:space="preserve"> research tools equally</w:t>
      </w:r>
      <w:r w:rsidR="000A6ED6">
        <w:rPr>
          <w:szCs w:val="24"/>
          <w:lang w:eastAsia="zh-CN"/>
        </w:rPr>
        <w:t xml:space="preserve"> among the two groups</w:t>
      </w:r>
      <w:r w:rsidR="003C10E9">
        <w:rPr>
          <w:szCs w:val="24"/>
          <w:lang w:eastAsia="zh-CN"/>
        </w:rPr>
        <w:t xml:space="preserve">. </w:t>
      </w:r>
      <w:r w:rsidR="00691B04" w:rsidRPr="00EB11D3">
        <w:rPr>
          <w:szCs w:val="24"/>
          <w:lang w:eastAsia="zh-CN"/>
        </w:rPr>
        <w:t xml:space="preserve">An empirical indicator's reliability is determined by the degree to which it is consistent across multiple attempts to measure a theoretical concept. </w:t>
      </w:r>
      <w:r w:rsidRPr="00EB11D3">
        <w:rPr>
          <w:szCs w:val="24"/>
          <w:lang w:eastAsia="zh-CN"/>
        </w:rPr>
        <w:t xml:space="preserve">The inter-ratter dependability </w:t>
      </w:r>
      <w:r w:rsidR="001D3B37" w:rsidRPr="00EB11D3">
        <w:rPr>
          <w:szCs w:val="24"/>
          <w:lang w:eastAsia="zh-CN"/>
        </w:rPr>
        <w:t>was</w:t>
      </w:r>
      <w:r w:rsidRPr="00EB11D3">
        <w:rPr>
          <w:szCs w:val="24"/>
          <w:lang w:eastAsia="zh-CN"/>
        </w:rPr>
        <w:t xml:space="preserve"> employed in this study in order ensure reliability. This </w:t>
      </w:r>
      <w:r w:rsidR="00432ABE" w:rsidRPr="00EB11D3">
        <w:rPr>
          <w:szCs w:val="24"/>
          <w:lang w:eastAsia="zh-CN"/>
        </w:rPr>
        <w:t>was</w:t>
      </w:r>
      <w:r w:rsidRPr="00EB11D3">
        <w:rPr>
          <w:szCs w:val="24"/>
          <w:lang w:eastAsia="zh-CN"/>
        </w:rPr>
        <w:t xml:space="preserve"> accomplished by distributing data collection instruments, like as questionnaires, to several senior executives of the same </w:t>
      </w:r>
      <w:r w:rsidR="00813F2C" w:rsidRPr="00EB11D3">
        <w:rPr>
          <w:szCs w:val="24"/>
          <w:lang w:eastAsia="zh-CN"/>
        </w:rPr>
        <w:t>organisat</w:t>
      </w:r>
      <w:r w:rsidRPr="00EB11D3">
        <w:rPr>
          <w:szCs w:val="24"/>
          <w:lang w:eastAsia="zh-CN"/>
        </w:rPr>
        <w:t xml:space="preserve">ions in order to determine whether their assessments of the same constructs would yield comparable outcomes. </w:t>
      </w:r>
    </w:p>
    <w:p w14:paraId="19723CB7" w14:textId="77777777" w:rsidR="009D7540" w:rsidRPr="00EB11D3" w:rsidRDefault="009D7540" w:rsidP="00691B04">
      <w:pPr>
        <w:spacing w:line="360" w:lineRule="auto"/>
        <w:rPr>
          <w:rFonts w:eastAsia="Calibri"/>
          <w:szCs w:val="24"/>
          <w:lang w:val="zh-CN"/>
        </w:rPr>
      </w:pPr>
      <w:r w:rsidRPr="00EB11D3">
        <w:rPr>
          <w:szCs w:val="24"/>
          <w:lang w:eastAsia="zh-CN"/>
        </w:rPr>
        <w:t xml:space="preserve">Cronbach's alpha, </w:t>
      </w:r>
      <w:r w:rsidR="00384560">
        <w:rPr>
          <w:szCs w:val="24"/>
          <w:lang w:eastAsia="zh-CN"/>
        </w:rPr>
        <w:t xml:space="preserve">which is used to </w:t>
      </w:r>
      <w:r w:rsidRPr="00EB11D3">
        <w:rPr>
          <w:szCs w:val="24"/>
          <w:lang w:eastAsia="zh-CN"/>
        </w:rPr>
        <w:t xml:space="preserve">measure reliability, </w:t>
      </w:r>
      <w:r w:rsidR="00622BEF" w:rsidRPr="00EB11D3">
        <w:rPr>
          <w:szCs w:val="24"/>
          <w:lang w:eastAsia="zh-CN"/>
        </w:rPr>
        <w:t>was also</w:t>
      </w:r>
      <w:r w:rsidRPr="00EB11D3">
        <w:rPr>
          <w:szCs w:val="24"/>
          <w:lang w:eastAsia="zh-CN"/>
        </w:rPr>
        <w:t xml:space="preserve"> used </w:t>
      </w:r>
      <w:r w:rsidR="00384560">
        <w:rPr>
          <w:szCs w:val="24"/>
          <w:lang w:eastAsia="zh-CN"/>
        </w:rPr>
        <w:t xml:space="preserve">to </w:t>
      </w:r>
      <w:r w:rsidRPr="00EB11D3">
        <w:rPr>
          <w:szCs w:val="24"/>
          <w:lang w:eastAsia="zh-CN"/>
        </w:rPr>
        <w:t>assess internal consistency</w:t>
      </w:r>
      <w:r w:rsidR="00384560" w:rsidRPr="00384560">
        <w:rPr>
          <w:szCs w:val="24"/>
          <w:lang w:eastAsia="zh-CN"/>
        </w:rPr>
        <w:t xml:space="preserve"> </w:t>
      </w:r>
      <w:r w:rsidR="00384560" w:rsidRPr="00EB11D3">
        <w:rPr>
          <w:szCs w:val="24"/>
          <w:lang w:eastAsia="zh-CN"/>
        </w:rPr>
        <w:t>in this study</w:t>
      </w:r>
      <w:r w:rsidRPr="00EB11D3">
        <w:rPr>
          <w:szCs w:val="24"/>
          <w:lang w:eastAsia="zh-CN"/>
        </w:rPr>
        <w:t xml:space="preserve">. </w:t>
      </w:r>
      <w:r w:rsidR="00B1789E" w:rsidRPr="00EB11D3">
        <w:rPr>
          <w:szCs w:val="24"/>
          <w:lang w:eastAsia="zh-CN"/>
        </w:rPr>
        <w:t xml:space="preserve">The internal consistency technique </w:t>
      </w:r>
      <w:r w:rsidR="00622BEF" w:rsidRPr="00EB11D3">
        <w:rPr>
          <w:szCs w:val="24"/>
          <w:lang w:eastAsia="zh-CN"/>
        </w:rPr>
        <w:t>was</w:t>
      </w:r>
      <w:r w:rsidR="00B1789E" w:rsidRPr="00EB11D3">
        <w:rPr>
          <w:szCs w:val="24"/>
          <w:lang w:eastAsia="zh-CN"/>
        </w:rPr>
        <w:t xml:space="preserve"> evaluated using Cronbach's Alpha. </w:t>
      </w:r>
      <w:r w:rsidR="00231B3C" w:rsidRPr="00EB11D3">
        <w:rPr>
          <w:szCs w:val="24"/>
          <w:lang w:eastAsia="zh-CN"/>
        </w:rPr>
        <w:t xml:space="preserve">Cronbach's alpha measures internal consistency, or how closely related a group of things are to one another. A "high" alpha value is commonly used to demonstrate that the questions measure an underlying or hidden component (McNeish, 2018). </w:t>
      </w:r>
      <w:r w:rsidRPr="00EB11D3">
        <w:rPr>
          <w:szCs w:val="24"/>
          <w:lang w:eastAsia="zh-CN"/>
        </w:rPr>
        <w:t>A preset threshold of 0.7 is required to guarantee reliability</w:t>
      </w:r>
      <w:r w:rsidR="00FC5BC5">
        <w:rPr>
          <w:szCs w:val="24"/>
          <w:lang w:eastAsia="zh-CN"/>
        </w:rPr>
        <w:t xml:space="preserve"> (</w:t>
      </w:r>
      <w:r w:rsidR="00FC5BC5" w:rsidRPr="00EB11D3">
        <w:rPr>
          <w:szCs w:val="24"/>
          <w:lang w:eastAsia="zh-CN"/>
        </w:rPr>
        <w:t>McNeish, 2018</w:t>
      </w:r>
      <w:r w:rsidR="00FC5BC5">
        <w:rPr>
          <w:szCs w:val="24"/>
          <w:lang w:eastAsia="zh-CN"/>
        </w:rPr>
        <w:t>)</w:t>
      </w:r>
      <w:r w:rsidRPr="00EB11D3">
        <w:rPr>
          <w:szCs w:val="24"/>
          <w:lang w:eastAsia="zh-CN"/>
        </w:rPr>
        <w:t xml:space="preserve">. </w:t>
      </w:r>
      <w:r w:rsidR="000A5FBD" w:rsidRPr="00EB11D3">
        <w:rPr>
          <w:szCs w:val="24"/>
          <w:lang w:eastAsia="zh-CN"/>
        </w:rPr>
        <w:t>There is a normal range of 0 to 1 for Cronbach's alpha reliability coefficient.</w:t>
      </w:r>
      <w:r w:rsidRPr="00EB11D3">
        <w:rPr>
          <w:szCs w:val="24"/>
          <w:lang w:eastAsia="zh-CN"/>
        </w:rPr>
        <w:t xml:space="preserve"> </w:t>
      </w:r>
      <w:r w:rsidR="00A074C2" w:rsidRPr="00EB11D3">
        <w:rPr>
          <w:szCs w:val="24"/>
          <w:lang w:eastAsia="zh-CN"/>
        </w:rPr>
        <w:t xml:space="preserve">The provided indicators </w:t>
      </w:r>
      <w:r w:rsidR="00622BEF" w:rsidRPr="00EB11D3">
        <w:rPr>
          <w:szCs w:val="24"/>
          <w:lang w:eastAsia="zh-CN"/>
        </w:rPr>
        <w:t>were</w:t>
      </w:r>
      <w:r w:rsidR="00A074C2" w:rsidRPr="00EB11D3">
        <w:rPr>
          <w:szCs w:val="24"/>
          <w:lang w:eastAsia="zh-CN"/>
        </w:rPr>
        <w:t xml:space="preserve"> considered adequate for representing the constructs since the majority of studies have adopted the suggested threshold of 0.70 and higher.</w:t>
      </w:r>
    </w:p>
    <w:p w14:paraId="4E900488" w14:textId="77777777" w:rsidR="00DC0D7C" w:rsidRPr="00EB11D3" w:rsidRDefault="00212BDF">
      <w:pPr>
        <w:pStyle w:val="Heading2"/>
        <w:spacing w:line="360" w:lineRule="auto"/>
        <w:rPr>
          <w:szCs w:val="24"/>
        </w:rPr>
      </w:pPr>
      <w:bookmarkStart w:id="404" w:name="_Toc177387850"/>
      <w:r w:rsidRPr="00EB11D3">
        <w:rPr>
          <w:szCs w:val="24"/>
        </w:rPr>
        <w:t>3.</w:t>
      </w:r>
      <w:bookmarkStart w:id="405" w:name="_Toc526935007"/>
      <w:bookmarkStart w:id="406" w:name="_Toc525549564"/>
      <w:bookmarkStart w:id="407" w:name="_Toc525231272"/>
      <w:bookmarkStart w:id="408" w:name="_Toc525231159"/>
      <w:bookmarkEnd w:id="378"/>
      <w:bookmarkEnd w:id="379"/>
      <w:bookmarkEnd w:id="380"/>
      <w:bookmarkEnd w:id="381"/>
      <w:bookmarkEnd w:id="382"/>
      <w:bookmarkEnd w:id="383"/>
      <w:r w:rsidR="00B60CD7" w:rsidRPr="00EB11D3">
        <w:rPr>
          <w:szCs w:val="24"/>
        </w:rPr>
        <w:t>7</w:t>
      </w:r>
      <w:r w:rsidR="003F0603" w:rsidRPr="00EB11D3">
        <w:rPr>
          <w:szCs w:val="24"/>
        </w:rPr>
        <w:t xml:space="preserve"> </w:t>
      </w:r>
      <w:r w:rsidRPr="00EB11D3">
        <w:rPr>
          <w:bCs/>
          <w:szCs w:val="24"/>
        </w:rPr>
        <w:t>Data Collection Procedure</w:t>
      </w:r>
      <w:bookmarkEnd w:id="404"/>
    </w:p>
    <w:p w14:paraId="060ABD43" w14:textId="77777777" w:rsidR="00DC0D7C" w:rsidRPr="00EB11D3" w:rsidRDefault="00C4475D">
      <w:pPr>
        <w:spacing w:line="360" w:lineRule="auto"/>
        <w:rPr>
          <w:szCs w:val="24"/>
          <w:lang w:eastAsia="zh-CN"/>
        </w:rPr>
      </w:pPr>
      <w:bookmarkStart w:id="409" w:name="_Hlk170493152"/>
      <w:r w:rsidRPr="00EB11D3">
        <w:rPr>
          <w:szCs w:val="24"/>
          <w:lang w:eastAsia="zh-CN"/>
        </w:rPr>
        <w:t xml:space="preserve">Structured questionnaires </w:t>
      </w:r>
      <w:r w:rsidR="00552A3D" w:rsidRPr="00EB11D3">
        <w:rPr>
          <w:szCs w:val="24"/>
          <w:lang w:eastAsia="zh-CN"/>
        </w:rPr>
        <w:t>were</w:t>
      </w:r>
      <w:r w:rsidRPr="00EB11D3">
        <w:rPr>
          <w:szCs w:val="24"/>
          <w:lang w:eastAsia="zh-CN"/>
        </w:rPr>
        <w:t xml:space="preserve"> used to obtain primary data for the study. </w:t>
      </w:r>
      <w:r w:rsidR="0024570B" w:rsidRPr="00EB11D3">
        <w:rPr>
          <w:szCs w:val="24"/>
          <w:lang w:eastAsia="zh-CN"/>
        </w:rPr>
        <w:t>Q</w:t>
      </w:r>
      <w:r w:rsidR="00212BDF" w:rsidRPr="00EB11D3">
        <w:rPr>
          <w:szCs w:val="24"/>
          <w:lang w:eastAsia="zh-CN"/>
        </w:rPr>
        <w:t xml:space="preserve">uestionnaires </w:t>
      </w:r>
      <w:r w:rsidR="00552A3D" w:rsidRPr="00EB11D3">
        <w:rPr>
          <w:szCs w:val="24"/>
          <w:lang w:eastAsia="zh-CN"/>
        </w:rPr>
        <w:t>were</w:t>
      </w:r>
      <w:r w:rsidR="0024570B" w:rsidRPr="00EB11D3">
        <w:rPr>
          <w:szCs w:val="24"/>
          <w:lang w:eastAsia="zh-CN"/>
        </w:rPr>
        <w:t xml:space="preserve"> </w:t>
      </w:r>
      <w:r w:rsidR="00DB5E23" w:rsidRPr="00EB11D3">
        <w:rPr>
          <w:szCs w:val="24"/>
          <w:lang w:eastAsia="zh-CN"/>
        </w:rPr>
        <w:t>preferred in this study because they are</w:t>
      </w:r>
      <w:r w:rsidR="00212BDF" w:rsidRPr="00EB11D3">
        <w:rPr>
          <w:szCs w:val="24"/>
          <w:lang w:eastAsia="zh-CN"/>
        </w:rPr>
        <w:t xml:space="preserve"> simple to conduct, guarantee quick delivery, and allow respondents to respond at their convenience. </w:t>
      </w:r>
      <w:bookmarkEnd w:id="409"/>
      <w:r w:rsidRPr="00EB11D3">
        <w:rPr>
          <w:szCs w:val="24"/>
          <w:lang w:eastAsia="zh-CN"/>
        </w:rPr>
        <w:t>Following receipt of the University's introduction letter and the research permit from the National Commission for Science, Technology and Innovation (NACOSTI), the researcher request</w:t>
      </w:r>
      <w:r w:rsidR="00552A3D" w:rsidRPr="00EB11D3">
        <w:rPr>
          <w:szCs w:val="24"/>
          <w:lang w:eastAsia="zh-CN"/>
        </w:rPr>
        <w:t>ed</w:t>
      </w:r>
      <w:r w:rsidRPr="00EB11D3">
        <w:rPr>
          <w:szCs w:val="24"/>
          <w:lang w:eastAsia="zh-CN"/>
        </w:rPr>
        <w:t xml:space="preserve"> permission or authorization letter from the hospital's authorities to gather data. </w:t>
      </w:r>
      <w:r w:rsidR="00212BDF" w:rsidRPr="00EB11D3">
        <w:rPr>
          <w:szCs w:val="24"/>
          <w:lang w:eastAsia="zh-CN"/>
        </w:rPr>
        <w:t xml:space="preserve">The study </w:t>
      </w:r>
      <w:r w:rsidR="00DB5E23" w:rsidRPr="00EB11D3">
        <w:rPr>
          <w:szCs w:val="24"/>
          <w:lang w:eastAsia="zh-CN"/>
        </w:rPr>
        <w:t>adhere</w:t>
      </w:r>
      <w:r w:rsidR="00D23D6D" w:rsidRPr="00EB11D3">
        <w:rPr>
          <w:szCs w:val="24"/>
          <w:lang w:eastAsia="zh-CN"/>
        </w:rPr>
        <w:t>d</w:t>
      </w:r>
      <w:r w:rsidR="00DB5E23" w:rsidRPr="00EB11D3">
        <w:rPr>
          <w:szCs w:val="24"/>
          <w:lang w:eastAsia="zh-CN"/>
        </w:rPr>
        <w:t xml:space="preserve"> to </w:t>
      </w:r>
      <w:r w:rsidR="00212BDF" w:rsidRPr="00EB11D3">
        <w:rPr>
          <w:szCs w:val="24"/>
          <w:lang w:eastAsia="zh-CN"/>
        </w:rPr>
        <w:t xml:space="preserve">research ethics </w:t>
      </w:r>
      <w:r w:rsidR="00DB5E23" w:rsidRPr="00EB11D3">
        <w:rPr>
          <w:szCs w:val="24"/>
          <w:lang w:eastAsia="zh-CN"/>
        </w:rPr>
        <w:t xml:space="preserve">by ensuring privacy and anonymity of the participant’s identities. </w:t>
      </w:r>
      <w:r w:rsidR="00EA5158" w:rsidRPr="00EB11D3">
        <w:rPr>
          <w:szCs w:val="24"/>
          <w:lang w:eastAsia="zh-CN"/>
        </w:rPr>
        <w:t xml:space="preserve">Informed consent </w:t>
      </w:r>
      <w:r w:rsidR="00D23D6D" w:rsidRPr="00EB11D3">
        <w:rPr>
          <w:szCs w:val="24"/>
          <w:lang w:eastAsia="zh-CN"/>
        </w:rPr>
        <w:t>was</w:t>
      </w:r>
      <w:r w:rsidR="00EA5158" w:rsidRPr="00EB11D3">
        <w:rPr>
          <w:szCs w:val="24"/>
          <w:lang w:eastAsia="zh-CN"/>
        </w:rPr>
        <w:t xml:space="preserve"> sought from the participants. </w:t>
      </w:r>
    </w:p>
    <w:p w14:paraId="650B5D5F" w14:textId="77777777" w:rsidR="00DC0D7C" w:rsidRPr="00EB11D3" w:rsidRDefault="00BB2460">
      <w:pPr>
        <w:spacing w:line="360" w:lineRule="auto"/>
        <w:rPr>
          <w:szCs w:val="24"/>
          <w:lang w:eastAsia="zh-CN"/>
        </w:rPr>
      </w:pPr>
      <w:r w:rsidRPr="00EB11D3">
        <w:rPr>
          <w:szCs w:val="24"/>
          <w:lang w:eastAsia="zh-CN"/>
        </w:rPr>
        <w:t>Using the research assistants, the</w:t>
      </w:r>
      <w:r w:rsidR="00CC1174" w:rsidRPr="00EB11D3">
        <w:rPr>
          <w:szCs w:val="24"/>
          <w:lang w:eastAsia="zh-CN"/>
        </w:rPr>
        <w:t xml:space="preserve"> researcher </w:t>
      </w:r>
      <w:r w:rsidR="00CD7952" w:rsidRPr="00EB11D3">
        <w:rPr>
          <w:szCs w:val="24"/>
          <w:lang w:eastAsia="zh-CN"/>
        </w:rPr>
        <w:t>administer</w:t>
      </w:r>
      <w:r w:rsidR="00804584" w:rsidRPr="00EB11D3">
        <w:rPr>
          <w:szCs w:val="24"/>
          <w:lang w:eastAsia="zh-CN"/>
        </w:rPr>
        <w:t>ed</w:t>
      </w:r>
      <w:r w:rsidR="00CD7952" w:rsidRPr="00EB11D3">
        <w:rPr>
          <w:szCs w:val="24"/>
          <w:lang w:eastAsia="zh-CN"/>
        </w:rPr>
        <w:t xml:space="preserve"> </w:t>
      </w:r>
      <w:r w:rsidR="00CC1174" w:rsidRPr="00EB11D3">
        <w:rPr>
          <w:szCs w:val="24"/>
          <w:lang w:eastAsia="zh-CN"/>
        </w:rPr>
        <w:t>the questionnaires using the drop-and-pick-later procedure. This provide</w:t>
      </w:r>
      <w:r w:rsidR="00804584" w:rsidRPr="00EB11D3">
        <w:rPr>
          <w:szCs w:val="24"/>
          <w:lang w:eastAsia="zh-CN"/>
        </w:rPr>
        <w:t>d</w:t>
      </w:r>
      <w:r w:rsidR="00CC1174" w:rsidRPr="00EB11D3">
        <w:rPr>
          <w:szCs w:val="24"/>
          <w:lang w:eastAsia="zh-CN"/>
        </w:rPr>
        <w:t xml:space="preserve"> participants enough time to respond to the tools, resulting in a high response rate. The researcher ask</w:t>
      </w:r>
      <w:r w:rsidR="00804584" w:rsidRPr="00EB11D3">
        <w:rPr>
          <w:szCs w:val="24"/>
          <w:lang w:eastAsia="zh-CN"/>
        </w:rPr>
        <w:t>ed</w:t>
      </w:r>
      <w:r w:rsidR="00CC1174" w:rsidRPr="00EB11D3">
        <w:rPr>
          <w:szCs w:val="24"/>
          <w:lang w:eastAsia="zh-CN"/>
        </w:rPr>
        <w:t xml:space="preserve"> the respondents to complete and submit the questionnaires on time. Each respondent receive</w:t>
      </w:r>
      <w:r w:rsidR="00804584" w:rsidRPr="00EB11D3">
        <w:rPr>
          <w:szCs w:val="24"/>
          <w:lang w:eastAsia="zh-CN"/>
        </w:rPr>
        <w:t>d</w:t>
      </w:r>
      <w:r w:rsidR="00CC1174" w:rsidRPr="00EB11D3">
        <w:rPr>
          <w:szCs w:val="24"/>
          <w:lang w:eastAsia="zh-CN"/>
        </w:rPr>
        <w:t xml:space="preserve"> only one set of the questionnaire. </w:t>
      </w:r>
      <w:r w:rsidR="00212BDF" w:rsidRPr="00EB11D3">
        <w:rPr>
          <w:szCs w:val="24"/>
          <w:lang w:eastAsia="zh-CN"/>
        </w:rPr>
        <w:t xml:space="preserve">Follow up </w:t>
      </w:r>
      <w:r w:rsidR="00804584" w:rsidRPr="00EB11D3">
        <w:rPr>
          <w:szCs w:val="24"/>
          <w:lang w:eastAsia="zh-CN"/>
        </w:rPr>
        <w:t>was</w:t>
      </w:r>
      <w:r w:rsidR="00212BDF" w:rsidRPr="00EB11D3">
        <w:rPr>
          <w:szCs w:val="24"/>
          <w:lang w:eastAsia="zh-CN"/>
        </w:rPr>
        <w:t xml:space="preserve"> done through telephone calls</w:t>
      </w:r>
      <w:r w:rsidR="00D85F4B" w:rsidRPr="00EB11D3">
        <w:rPr>
          <w:szCs w:val="24"/>
          <w:lang w:eastAsia="zh-CN"/>
        </w:rPr>
        <w:t xml:space="preserve"> </w:t>
      </w:r>
      <w:r w:rsidR="00212BDF" w:rsidRPr="00EB11D3">
        <w:rPr>
          <w:szCs w:val="24"/>
          <w:lang w:eastAsia="zh-CN"/>
        </w:rPr>
        <w:t xml:space="preserve">and visits to the hospitals </w:t>
      </w:r>
      <w:r w:rsidR="00D85F4B" w:rsidRPr="00EB11D3">
        <w:rPr>
          <w:szCs w:val="24"/>
          <w:lang w:eastAsia="zh-CN"/>
        </w:rPr>
        <w:t>in an attempt</w:t>
      </w:r>
      <w:r w:rsidR="00212BDF" w:rsidRPr="00EB11D3">
        <w:rPr>
          <w:szCs w:val="24"/>
          <w:lang w:eastAsia="zh-CN"/>
        </w:rPr>
        <w:t xml:space="preserve"> to enhance a high response rate.  </w:t>
      </w:r>
    </w:p>
    <w:p w14:paraId="000A01E6" w14:textId="77777777" w:rsidR="00DC0D7C" w:rsidRPr="00EB11D3" w:rsidRDefault="00212BDF">
      <w:pPr>
        <w:pStyle w:val="Heading2"/>
        <w:keepNext w:val="0"/>
        <w:keepLines w:val="0"/>
        <w:spacing w:before="100" w:beforeAutospacing="1" w:after="100" w:afterAutospacing="1" w:line="240" w:lineRule="auto"/>
        <w:jc w:val="both"/>
        <w:rPr>
          <w:bCs/>
          <w:szCs w:val="24"/>
        </w:rPr>
      </w:pPr>
      <w:bookmarkStart w:id="410" w:name="_Toc177387851"/>
      <w:r w:rsidRPr="00EB11D3">
        <w:rPr>
          <w:szCs w:val="24"/>
        </w:rPr>
        <w:t>3.</w:t>
      </w:r>
      <w:r w:rsidR="00B60CD7" w:rsidRPr="00EB11D3">
        <w:rPr>
          <w:szCs w:val="24"/>
        </w:rPr>
        <w:t>8</w:t>
      </w:r>
      <w:r w:rsidR="003F0603" w:rsidRPr="00EB11D3">
        <w:rPr>
          <w:szCs w:val="24"/>
        </w:rPr>
        <w:t xml:space="preserve"> </w:t>
      </w:r>
      <w:r w:rsidRPr="00EB11D3">
        <w:rPr>
          <w:bCs/>
          <w:szCs w:val="24"/>
        </w:rPr>
        <w:t>Data Analysis and Presentation</w:t>
      </w:r>
      <w:bookmarkEnd w:id="410"/>
    </w:p>
    <w:p w14:paraId="1AF775C0" w14:textId="77777777" w:rsidR="00CE410E" w:rsidRPr="00EB11D3" w:rsidRDefault="00D23D6D" w:rsidP="00CD7952">
      <w:pPr>
        <w:spacing w:line="360" w:lineRule="auto"/>
        <w:rPr>
          <w:szCs w:val="24"/>
          <w:lang w:eastAsia="zh-CN"/>
        </w:rPr>
      </w:pPr>
      <w:r w:rsidRPr="00EB11D3">
        <w:rPr>
          <w:szCs w:val="24"/>
          <w:lang w:eastAsia="zh-CN"/>
        </w:rPr>
        <w:t>Data from the questionnaires were manually cleaned by checking them for errors. This ensure</w:t>
      </w:r>
      <w:r w:rsidR="00BB2460" w:rsidRPr="00EB11D3">
        <w:rPr>
          <w:szCs w:val="24"/>
          <w:lang w:eastAsia="zh-CN"/>
        </w:rPr>
        <w:t>d</w:t>
      </w:r>
      <w:r w:rsidRPr="00EB11D3">
        <w:rPr>
          <w:szCs w:val="24"/>
          <w:lang w:eastAsia="zh-CN"/>
        </w:rPr>
        <w:t xml:space="preserve"> there </w:t>
      </w:r>
      <w:r w:rsidR="00BB2460" w:rsidRPr="00EB11D3">
        <w:rPr>
          <w:szCs w:val="24"/>
          <w:lang w:eastAsia="zh-CN"/>
        </w:rPr>
        <w:t>was</w:t>
      </w:r>
      <w:r w:rsidRPr="00EB11D3">
        <w:rPr>
          <w:szCs w:val="24"/>
          <w:lang w:eastAsia="zh-CN"/>
        </w:rPr>
        <w:t xml:space="preserve"> no duplicat</w:t>
      </w:r>
      <w:r w:rsidR="00BB2460" w:rsidRPr="00EB11D3">
        <w:rPr>
          <w:szCs w:val="24"/>
          <w:lang w:eastAsia="zh-CN"/>
        </w:rPr>
        <w:t>ion</w:t>
      </w:r>
      <w:r w:rsidRPr="00EB11D3">
        <w:rPr>
          <w:szCs w:val="24"/>
          <w:lang w:eastAsia="zh-CN"/>
        </w:rPr>
        <w:t xml:space="preserve"> and incomplete cases, and that the answers </w:t>
      </w:r>
      <w:r w:rsidR="002765E8" w:rsidRPr="00EB11D3">
        <w:rPr>
          <w:szCs w:val="24"/>
          <w:lang w:eastAsia="zh-CN"/>
        </w:rPr>
        <w:t>were</w:t>
      </w:r>
      <w:r w:rsidRPr="00EB11D3">
        <w:rPr>
          <w:szCs w:val="24"/>
          <w:lang w:eastAsia="zh-CN"/>
        </w:rPr>
        <w:t xml:space="preserve"> formatted correctly and the outliers reviewed. Those that meet the criterion were given a code number and entered in the computer for analysis. Quantitative data was the analyzed using SPSS version 29. </w:t>
      </w:r>
      <w:r w:rsidR="004F5138" w:rsidRPr="00EB11D3">
        <w:rPr>
          <w:szCs w:val="24"/>
          <w:lang w:eastAsia="zh-CN"/>
        </w:rPr>
        <w:t xml:space="preserve">Prior to beginning the real data analysis, the researcher </w:t>
      </w:r>
      <w:r w:rsidR="008A3790" w:rsidRPr="00EB11D3">
        <w:rPr>
          <w:szCs w:val="24"/>
          <w:lang w:eastAsia="zh-CN"/>
        </w:rPr>
        <w:t>did</w:t>
      </w:r>
      <w:r w:rsidR="004F5138" w:rsidRPr="00EB11D3">
        <w:rPr>
          <w:szCs w:val="24"/>
          <w:lang w:eastAsia="zh-CN"/>
        </w:rPr>
        <w:t xml:space="preserve"> diagnostic tests to verify the normality, linearity, and multicollinearity of the data. The researcher employ</w:t>
      </w:r>
      <w:r w:rsidR="008A3790" w:rsidRPr="00EB11D3">
        <w:rPr>
          <w:szCs w:val="24"/>
          <w:lang w:eastAsia="zh-CN"/>
        </w:rPr>
        <w:t>ed</w:t>
      </w:r>
      <w:r w:rsidR="004F5138" w:rsidRPr="00EB11D3">
        <w:rPr>
          <w:szCs w:val="24"/>
          <w:lang w:eastAsia="zh-CN"/>
        </w:rPr>
        <w:t xml:space="preserve"> Shapiro-Wilk's test, skewness, kurtosis, and P-P (probability) plots to quantitatively assess normalcy. This is significant because data normality is a prerequisite for many statistical tests, including analysis of variance, regression, chi-tests, t-tests, and correlation. Scatterplots and analysis of variance (ANOVA) </w:t>
      </w:r>
      <w:r w:rsidR="008A3790" w:rsidRPr="00EB11D3">
        <w:rPr>
          <w:szCs w:val="24"/>
          <w:lang w:eastAsia="zh-CN"/>
        </w:rPr>
        <w:t>was</w:t>
      </w:r>
      <w:r w:rsidR="004F5138" w:rsidRPr="00EB11D3">
        <w:rPr>
          <w:szCs w:val="24"/>
          <w:lang w:eastAsia="zh-CN"/>
        </w:rPr>
        <w:t xml:space="preserve"> used to evaluate linearity, and tolerance and the variance inflation factor (VIF) used to assess multicollinearity. The relative importance of each variable on the impact of service innovation, corporate governance, and legal requirements on the </w:t>
      </w:r>
      <w:r w:rsidR="006D5C62" w:rsidRPr="00EB11D3">
        <w:rPr>
          <w:szCs w:val="24"/>
          <w:lang w:eastAsia="zh-CN"/>
        </w:rPr>
        <w:t>organisational performance of Faith-Based Hospitals</w:t>
      </w:r>
      <w:r w:rsidR="004F5138" w:rsidRPr="00EB11D3">
        <w:rPr>
          <w:szCs w:val="24"/>
          <w:lang w:eastAsia="zh-CN"/>
        </w:rPr>
        <w:t xml:space="preserve"> in Kenya </w:t>
      </w:r>
      <w:r w:rsidR="008A3790" w:rsidRPr="00EB11D3">
        <w:rPr>
          <w:szCs w:val="24"/>
          <w:lang w:eastAsia="zh-CN"/>
        </w:rPr>
        <w:t>was</w:t>
      </w:r>
      <w:r w:rsidR="004F5138" w:rsidRPr="00EB11D3">
        <w:rPr>
          <w:szCs w:val="24"/>
          <w:lang w:eastAsia="zh-CN"/>
        </w:rPr>
        <w:t xml:space="preserve"> determined by regression analysis.  </w:t>
      </w:r>
    </w:p>
    <w:p w14:paraId="226D0C23" w14:textId="77777777" w:rsidR="00CE410E" w:rsidRPr="00EB11D3" w:rsidRDefault="00CF3597" w:rsidP="00CD7952">
      <w:pPr>
        <w:spacing w:line="360" w:lineRule="auto"/>
        <w:rPr>
          <w:szCs w:val="24"/>
          <w:lang w:eastAsia="zh-CN"/>
        </w:rPr>
      </w:pPr>
      <w:r w:rsidRPr="00EB11D3">
        <w:rPr>
          <w:szCs w:val="24"/>
          <w:lang w:eastAsia="zh-CN"/>
        </w:rPr>
        <w:t xml:space="preserve">The Kolmogorov-Smirnov and Shapiro-Wilk tests </w:t>
      </w:r>
      <w:r w:rsidR="00355F73" w:rsidRPr="00EB11D3">
        <w:rPr>
          <w:szCs w:val="24"/>
          <w:lang w:eastAsia="zh-CN"/>
        </w:rPr>
        <w:t>was</w:t>
      </w:r>
      <w:r w:rsidRPr="00EB11D3">
        <w:rPr>
          <w:szCs w:val="24"/>
          <w:lang w:eastAsia="zh-CN"/>
        </w:rPr>
        <w:t xml:space="preserve"> used to determine the normality of the data. A probability is normally assigned when it surpasses 0.05 (Saunders &amp; Thornhill, 2012). </w:t>
      </w:r>
      <w:r w:rsidR="000953E2" w:rsidRPr="00EB11D3">
        <w:rPr>
          <w:szCs w:val="24"/>
          <w:lang w:eastAsia="zh-CN"/>
        </w:rPr>
        <w:t xml:space="preserve">In order to determine whether the error term was normal or abnormal, the Shapiro-Wilk test </w:t>
      </w:r>
      <w:r w:rsidR="005D54BD" w:rsidRPr="00EB11D3">
        <w:rPr>
          <w:szCs w:val="24"/>
          <w:lang w:eastAsia="zh-CN"/>
        </w:rPr>
        <w:t>was</w:t>
      </w:r>
      <w:r w:rsidR="000953E2" w:rsidRPr="00EB11D3">
        <w:rPr>
          <w:szCs w:val="24"/>
          <w:lang w:eastAsia="zh-CN"/>
        </w:rPr>
        <w:t xml:space="preserve"> used.</w:t>
      </w:r>
      <w:r w:rsidR="000953E2" w:rsidRPr="00EB11D3" w:rsidDel="007550F9">
        <w:rPr>
          <w:szCs w:val="24"/>
          <w:lang w:eastAsia="zh-CN"/>
        </w:rPr>
        <w:t xml:space="preserve"> </w:t>
      </w:r>
      <w:r w:rsidR="00F26FE5" w:rsidRPr="00EB11D3">
        <w:rPr>
          <w:rStyle w:val="selectable-text"/>
        </w:rPr>
        <w:t>A p-value for the Shapiro-</w:t>
      </w:r>
      <w:r w:rsidR="00F26FE5" w:rsidRPr="00EB11D3">
        <w:rPr>
          <w:szCs w:val="24"/>
          <w:lang w:eastAsia="zh-CN"/>
        </w:rPr>
        <w:t xml:space="preserve">Wilk test statistic that </w:t>
      </w:r>
      <w:r w:rsidR="00A40528" w:rsidRPr="00EB11D3">
        <w:rPr>
          <w:szCs w:val="24"/>
          <w:lang w:eastAsia="zh-CN"/>
        </w:rPr>
        <w:t xml:space="preserve">is </w:t>
      </w:r>
      <w:r w:rsidR="00F26FE5" w:rsidRPr="00EB11D3">
        <w:rPr>
          <w:szCs w:val="24"/>
          <w:lang w:eastAsia="zh-CN"/>
        </w:rPr>
        <w:t>greater than 0.05 (level of significance) implie</w:t>
      </w:r>
      <w:r w:rsidR="00A40528" w:rsidRPr="00EB11D3">
        <w:rPr>
          <w:szCs w:val="24"/>
          <w:lang w:eastAsia="zh-CN"/>
        </w:rPr>
        <w:t xml:space="preserve">s </w:t>
      </w:r>
      <w:r w:rsidR="00F26FE5" w:rsidRPr="00EB11D3">
        <w:rPr>
          <w:szCs w:val="24"/>
          <w:lang w:eastAsia="zh-CN"/>
        </w:rPr>
        <w:t>that the data is normally distributed, but a p-value less than 0.05 implied non-normal data</w:t>
      </w:r>
      <w:r w:rsidR="00813DAE" w:rsidRPr="00EB11D3">
        <w:rPr>
          <w:szCs w:val="24"/>
          <w:lang w:eastAsia="zh-CN"/>
        </w:rPr>
        <w:t xml:space="preserve"> (</w:t>
      </w:r>
      <w:r w:rsidR="00CE1E4B" w:rsidRPr="00EB11D3">
        <w:rPr>
          <w:szCs w:val="24"/>
          <w:lang w:eastAsia="zh-CN"/>
        </w:rPr>
        <w:t>González-Estrada, Villaseñor, &amp; Acosta-Pech, 2022</w:t>
      </w:r>
      <w:r w:rsidR="00813DAE" w:rsidRPr="00EB11D3">
        <w:rPr>
          <w:szCs w:val="24"/>
          <w:lang w:eastAsia="zh-CN"/>
        </w:rPr>
        <w:t>)</w:t>
      </w:r>
      <w:r w:rsidR="00F26FE5" w:rsidRPr="00EB11D3">
        <w:rPr>
          <w:szCs w:val="24"/>
          <w:lang w:eastAsia="zh-CN"/>
        </w:rPr>
        <w:t xml:space="preserve">. Normality assumption </w:t>
      </w:r>
      <w:r w:rsidR="005A31C6" w:rsidRPr="00EB11D3">
        <w:rPr>
          <w:szCs w:val="24"/>
          <w:lang w:eastAsia="zh-CN"/>
        </w:rPr>
        <w:t>was</w:t>
      </w:r>
      <w:r w:rsidR="00F26FE5" w:rsidRPr="00EB11D3">
        <w:rPr>
          <w:szCs w:val="24"/>
          <w:lang w:eastAsia="zh-CN"/>
        </w:rPr>
        <w:t xml:space="preserve"> evaluated </w:t>
      </w:r>
      <w:r w:rsidR="005A31C6" w:rsidRPr="00EB11D3">
        <w:rPr>
          <w:szCs w:val="24"/>
          <w:lang w:eastAsia="zh-CN"/>
        </w:rPr>
        <w:t xml:space="preserve">using </w:t>
      </w:r>
      <w:r w:rsidR="00F26FE5" w:rsidRPr="00EB11D3">
        <w:rPr>
          <w:szCs w:val="24"/>
          <w:lang w:eastAsia="zh-CN"/>
        </w:rPr>
        <w:t>Q-Q plots by comparing data distribution to theoretical normal distribution.</w:t>
      </w:r>
      <w:r w:rsidR="00F26FE5" w:rsidRPr="00EB11D3" w:rsidDel="007550F9">
        <w:rPr>
          <w:szCs w:val="24"/>
          <w:lang w:eastAsia="zh-CN"/>
        </w:rPr>
        <w:t xml:space="preserve"> </w:t>
      </w:r>
    </w:p>
    <w:p w14:paraId="4C776378" w14:textId="77777777" w:rsidR="00CE410E" w:rsidRPr="00EB11D3" w:rsidRDefault="000B7F91" w:rsidP="00CE410E">
      <w:pPr>
        <w:spacing w:before="240" w:after="0" w:line="360" w:lineRule="auto"/>
        <w:rPr>
          <w:szCs w:val="24"/>
          <w:lang w:eastAsia="zh-CN"/>
        </w:rPr>
      </w:pPr>
      <w:r w:rsidRPr="00EB11D3">
        <w:rPr>
          <w:szCs w:val="24"/>
          <w:lang w:eastAsia="zh-CN"/>
        </w:rPr>
        <w:t xml:space="preserve">The tolerance and multicollinearity </w:t>
      </w:r>
      <w:r w:rsidR="008B1B3C" w:rsidRPr="00EB11D3">
        <w:rPr>
          <w:szCs w:val="24"/>
          <w:lang w:eastAsia="zh-CN"/>
        </w:rPr>
        <w:t>were</w:t>
      </w:r>
      <w:r w:rsidRPr="00EB11D3">
        <w:rPr>
          <w:szCs w:val="24"/>
          <w:lang w:eastAsia="zh-CN"/>
        </w:rPr>
        <w:t xml:space="preserve"> investigated by computing the Variance Inflation Factors (VIF) and its inverse.</w:t>
      </w:r>
      <w:r w:rsidRPr="00EB11D3" w:rsidDel="000B7F91">
        <w:rPr>
          <w:szCs w:val="24"/>
          <w:lang w:eastAsia="zh-CN"/>
        </w:rPr>
        <w:t xml:space="preserve"> </w:t>
      </w:r>
      <w:r w:rsidR="007B248E" w:rsidRPr="00EB11D3">
        <w:rPr>
          <w:szCs w:val="24"/>
          <w:lang w:eastAsia="zh-CN"/>
        </w:rPr>
        <w:t>When the predictor variables in a multiple regression analysis are strongly correlated among themselves, determining the precise percentage that each predictor contributed to the variance of the dependent variable can be challenging.</w:t>
      </w:r>
      <w:r w:rsidR="00212BDF" w:rsidRPr="00EB11D3">
        <w:rPr>
          <w:szCs w:val="24"/>
          <w:lang w:eastAsia="zh-CN"/>
        </w:rPr>
        <w:t xml:space="preserve"> The maximum VIF threshold value for the multicollinearity assumption is 10 (</w:t>
      </w:r>
      <w:r w:rsidR="0072060E" w:rsidRPr="00EB11D3">
        <w:rPr>
          <w:szCs w:val="24"/>
          <w:lang w:eastAsia="zh-CN"/>
        </w:rPr>
        <w:t>Salmerón-Gómez, García-García, &amp; García-Pérez, 2021</w:t>
      </w:r>
      <w:r w:rsidR="00212BDF" w:rsidRPr="00EB11D3">
        <w:rPr>
          <w:szCs w:val="24"/>
          <w:lang w:eastAsia="zh-CN"/>
        </w:rPr>
        <w:t xml:space="preserve">). </w:t>
      </w:r>
      <w:r w:rsidR="00545D6E" w:rsidRPr="00EB11D3">
        <w:rPr>
          <w:szCs w:val="24"/>
          <w:lang w:eastAsia="zh-CN"/>
        </w:rPr>
        <w:t>If</w:t>
      </w:r>
      <w:r w:rsidR="003E5E78" w:rsidRPr="00EB11D3">
        <w:rPr>
          <w:szCs w:val="24"/>
          <w:lang w:eastAsia="zh-CN"/>
        </w:rPr>
        <w:t xml:space="preserve"> the tolerance in this study ranges from 0.40 to 0.70, its reciprocal, the VIF, will be between one and two. </w:t>
      </w:r>
      <w:r w:rsidR="00212BDF" w:rsidRPr="00EB11D3">
        <w:rPr>
          <w:szCs w:val="24"/>
          <w:lang w:eastAsia="zh-CN"/>
        </w:rPr>
        <w:t>When the data is homogeneous, all of the variances should be the same</w:t>
      </w:r>
      <w:r w:rsidR="00CF51C5" w:rsidRPr="00EB11D3">
        <w:rPr>
          <w:szCs w:val="24"/>
          <w:lang w:eastAsia="zh-CN"/>
        </w:rPr>
        <w:t xml:space="preserve"> (Assaf, Tsionas, &amp; Tasiopoulos, 2019).</w:t>
      </w:r>
      <w:r w:rsidR="00212BDF" w:rsidRPr="00EB11D3">
        <w:rPr>
          <w:szCs w:val="24"/>
          <w:lang w:eastAsia="zh-CN"/>
        </w:rPr>
        <w:t xml:space="preserve"> </w:t>
      </w:r>
      <w:r w:rsidR="00CE410E" w:rsidRPr="00EB11D3">
        <w:rPr>
          <w:szCs w:val="24"/>
          <w:lang w:eastAsia="zh-CN"/>
        </w:rPr>
        <w:t xml:space="preserve">Variance Inflation Factor (VIF) values larger than 10 indicate the presence of multicollinearity (Komlos, 2019; Assaf et al., 2019). As collinearity increases, so does the standard error of the coefficients, which lowers the dependability of multiple regression models (Salmerón et al., 2018). The ANOVA linearity test </w:t>
      </w:r>
      <w:r w:rsidR="000760FC" w:rsidRPr="00EB11D3">
        <w:rPr>
          <w:szCs w:val="24"/>
          <w:lang w:eastAsia="zh-CN"/>
        </w:rPr>
        <w:t>was</w:t>
      </w:r>
      <w:r w:rsidR="00CE410E" w:rsidRPr="00EB11D3">
        <w:rPr>
          <w:szCs w:val="24"/>
          <w:lang w:eastAsia="zh-CN"/>
        </w:rPr>
        <w:t xml:space="preserve"> used to analyse the linearity of the relationships between the independent and dependent variable data. </w:t>
      </w:r>
    </w:p>
    <w:p w14:paraId="1B2FDABF" w14:textId="77777777" w:rsidR="00A067B5" w:rsidRPr="00EB11D3" w:rsidRDefault="00545D6E" w:rsidP="00D40764">
      <w:pPr>
        <w:spacing w:before="240" w:line="360" w:lineRule="auto"/>
        <w:rPr>
          <w:szCs w:val="24"/>
          <w:lang w:eastAsia="zh-CN"/>
        </w:rPr>
      </w:pPr>
      <w:r w:rsidRPr="00EB11D3">
        <w:rPr>
          <w:szCs w:val="24"/>
          <w:lang w:eastAsia="zh-CN"/>
        </w:rPr>
        <w:t>To examine homoscedasticity, this study employ</w:t>
      </w:r>
      <w:r w:rsidR="000760FC" w:rsidRPr="00EB11D3">
        <w:rPr>
          <w:szCs w:val="24"/>
          <w:lang w:eastAsia="zh-CN"/>
        </w:rPr>
        <w:t>ed</w:t>
      </w:r>
      <w:r w:rsidRPr="00EB11D3">
        <w:rPr>
          <w:szCs w:val="24"/>
          <w:lang w:eastAsia="zh-CN"/>
        </w:rPr>
        <w:t xml:space="preserve"> Levene's test of variance homogeneity. </w:t>
      </w:r>
      <w:r w:rsidR="00212BDF" w:rsidRPr="00EB11D3">
        <w:rPr>
          <w:szCs w:val="24"/>
          <w:lang w:eastAsia="zh-CN"/>
        </w:rPr>
        <w:t xml:space="preserve">Levene's test verifies the assumption that all group variances are equal (i.e. the difference between the variances is zero). </w:t>
      </w:r>
      <w:r w:rsidRPr="00EB11D3">
        <w:rPr>
          <w:szCs w:val="24"/>
          <w:lang w:eastAsia="zh-CN"/>
        </w:rPr>
        <w:t xml:space="preserve">If the Levene statistic is significant at = 0.05, the data groupings lack equal variances (Dag, Dolgun, &amp; Konar, 2018). The Levene test examines whether or not the dependent and independent variables have equal variation. </w:t>
      </w:r>
      <w:r w:rsidR="00212BDF" w:rsidRPr="00EB11D3">
        <w:rPr>
          <w:szCs w:val="24"/>
          <w:lang w:eastAsia="zh-CN"/>
        </w:rPr>
        <w:t>Consequently, it checks to see if the variance-or range of scores-in the variables is roughly identical (</w:t>
      </w:r>
      <w:r w:rsidR="00A849C4" w:rsidRPr="00EB11D3">
        <w:rPr>
          <w:szCs w:val="24"/>
          <w:lang w:eastAsia="zh-CN"/>
        </w:rPr>
        <w:t>Dag et al., 2018</w:t>
      </w:r>
      <w:r w:rsidR="00373587" w:rsidRPr="00EB11D3">
        <w:rPr>
          <w:szCs w:val="24"/>
          <w:lang w:eastAsia="zh-CN"/>
        </w:rPr>
        <w:t>; Salmerón, García, &amp; García, 2018</w:t>
      </w:r>
      <w:r w:rsidR="00212BDF" w:rsidRPr="00EB11D3">
        <w:rPr>
          <w:szCs w:val="24"/>
          <w:lang w:eastAsia="zh-CN"/>
        </w:rPr>
        <w:t xml:space="preserve">). </w:t>
      </w:r>
      <w:r w:rsidR="00363517" w:rsidRPr="00EB11D3">
        <w:rPr>
          <w:szCs w:val="24"/>
          <w:lang w:eastAsia="zh-CN"/>
        </w:rPr>
        <w:t xml:space="preserve">If Levene's test is significant at p.05., the premise of variance homogeneity has been violated. This implies that the null hypothesis is incorrect and that the variances are significantly different. </w:t>
      </w:r>
      <w:r w:rsidR="00212BDF" w:rsidRPr="00EB11D3">
        <w:rPr>
          <w:szCs w:val="24"/>
          <w:lang w:eastAsia="zh-CN"/>
        </w:rPr>
        <w:t>At = 0.05, the test is not significant, indicating homogeneity.</w:t>
      </w:r>
      <w:r w:rsidR="00CC209D" w:rsidRPr="00EB11D3">
        <w:rPr>
          <w:szCs w:val="24"/>
          <w:lang w:eastAsia="zh-CN"/>
        </w:rPr>
        <w:t xml:space="preserve"> </w:t>
      </w:r>
    </w:p>
    <w:p w14:paraId="15E7974C" w14:textId="77777777" w:rsidR="00DC0D7C" w:rsidRPr="00EB11D3" w:rsidRDefault="00D3753E">
      <w:pPr>
        <w:spacing w:line="360" w:lineRule="auto"/>
        <w:rPr>
          <w:szCs w:val="24"/>
          <w:lang w:eastAsia="zh-CN"/>
        </w:rPr>
      </w:pPr>
      <w:r w:rsidRPr="00D3753E">
        <w:rPr>
          <w:szCs w:val="24"/>
          <w:lang w:eastAsia="zh-CN"/>
        </w:rPr>
        <w:t>The data was also run via analytical models. The association between corporate governance and organisational performance of faith-based hospitals</w:t>
      </w:r>
      <w:r w:rsidR="00EA0577">
        <w:rPr>
          <w:szCs w:val="24"/>
          <w:lang w:eastAsia="zh-CN"/>
        </w:rPr>
        <w:t xml:space="preserve"> in Kenya</w:t>
      </w:r>
      <w:r w:rsidRPr="00D3753E">
        <w:rPr>
          <w:szCs w:val="24"/>
          <w:lang w:eastAsia="zh-CN"/>
        </w:rPr>
        <w:t xml:space="preserve"> was examined using multiple regression analysis. The moderating effect of government regulations on the relationship between corporate governance and organisational performance of faith-based hospitals in Kenya was evaluated through the use of multiple regression analysis. Using both simple and multiple stepwise regression, the function of service innovation in moderating the link between corporate governance and organisational performance of Faith-Based Hospitals in Kenya was examined</w:t>
      </w:r>
      <w:r w:rsidR="00BD4B51" w:rsidRPr="00EB11D3">
        <w:rPr>
          <w:szCs w:val="24"/>
          <w:lang w:eastAsia="zh-CN"/>
        </w:rPr>
        <w:t>.</w:t>
      </w:r>
      <w:r w:rsidR="00AB0ACA" w:rsidRPr="00EB11D3">
        <w:rPr>
          <w:szCs w:val="24"/>
          <w:lang w:eastAsia="zh-CN"/>
        </w:rPr>
        <w:t xml:space="preserve"> </w:t>
      </w:r>
      <w:r w:rsidR="00212BDF" w:rsidRPr="00EB11D3">
        <w:rPr>
          <w:szCs w:val="24"/>
          <w:lang w:eastAsia="zh-CN"/>
        </w:rPr>
        <w:t xml:space="preserve">To further analyze the moderating and mediating effect of government regulations and service innovation respectively on corporate governance and organisational performance, multiple stepwise regression </w:t>
      </w:r>
      <w:r w:rsidR="001A2C73" w:rsidRPr="00EB11D3">
        <w:rPr>
          <w:szCs w:val="24"/>
          <w:lang w:eastAsia="zh-CN"/>
        </w:rPr>
        <w:t>were</w:t>
      </w:r>
      <w:r w:rsidR="00212BDF" w:rsidRPr="00EB11D3">
        <w:rPr>
          <w:szCs w:val="24"/>
          <w:lang w:eastAsia="zh-CN"/>
        </w:rPr>
        <w:t xml:space="preserve"> used respectively. </w:t>
      </w:r>
      <w:r w:rsidR="00DD78DC" w:rsidRPr="00EB11D3">
        <w:rPr>
          <w:szCs w:val="24"/>
          <w:lang w:eastAsia="zh-CN"/>
        </w:rPr>
        <w:t>Talukder, Blay-Palmer, Hipel and VanLoon (2017) consider a weighted linear aggregation rule to be the basis of a typical composite indicator.</w:t>
      </w:r>
    </w:p>
    <w:p w14:paraId="70A40424" w14:textId="77777777" w:rsidR="005753FF" w:rsidRPr="00EB11D3" w:rsidRDefault="005753FF" w:rsidP="005753FF">
      <w:pPr>
        <w:shd w:val="clear" w:color="auto" w:fill="FFFFFF"/>
        <w:spacing w:line="360" w:lineRule="auto"/>
      </w:pPr>
      <w:r w:rsidRPr="00EB11D3">
        <w:t>Where:</w:t>
      </w:r>
    </w:p>
    <w:p w14:paraId="5F3FC87F" w14:textId="77777777" w:rsidR="005753FF" w:rsidRPr="00EB11D3" w:rsidRDefault="005753FF" w:rsidP="005753FF">
      <w:pPr>
        <w:shd w:val="clear" w:color="auto" w:fill="FFFFFF"/>
      </w:pPr>
      <w:r w:rsidRPr="00EB11D3">
        <w:fldChar w:fldCharType="begin"/>
      </w:r>
      <w:r w:rsidRPr="00EB11D3">
        <w:instrText xml:space="preserve"> QUOTE </w:instrText>
      </w:r>
      <w:r w:rsidR="000B0826">
        <w:rPr>
          <w:noProof/>
          <w:position w:val="-10"/>
        </w:rPr>
      </w:r>
      <w:r w:rsidR="000B0826">
        <w:rPr>
          <w:noProof/>
          <w:position w:val="-10"/>
        </w:rPr>
        <w:pict w14:anchorId="6450411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3pt;height:16.3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4586&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56A2&quot;/&gt;&lt;wsp:rsid wsp:val=&quot;00606D98&quot;/&gt;&lt;wsp:rsid wsp:val=&quot;00607BA0&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507F&quot;/&gt;&lt;wsp:rsid wsp:val=&quot;00DD5288&quot;/&gt;&lt;wsp:rsid wsp:val=&quot;00DD612A&quot;/&gt;&lt;wsp:rsid wsp:val=&quot;00DD71D1&quot;/&gt;&lt;wsp:rsid wsp:val=&quot;00DD7209&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574586&quot; wsp:rsidRDefault=&quot;00574586&quot; wsp:rsidP=&quot;00574586&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x&lt;/m:t&gt;&lt;/m:r&gt;&lt;/m:e&gt;&lt;m:sub&gt;&lt;m:r&gt;&lt;w:rPr&gt;&lt;w:rFonts w:ascii=&quot;Cambria Math&quot; w:h-ansi=&quot;Cambria Math&quot;/&gt;&lt;wx:font wx:val=&quot;Cambria Math&quot;/&gt;&lt;w:i/&gt;&lt;/w:rPr&gt;&lt;m:t&gt;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3" o:title="" chromakey="white"/>
          </v:shape>
        </w:pict>
      </w:r>
      <w:r w:rsidRPr="00EB11D3">
        <w:instrText xml:space="preserve"> </w:instrText>
      </w:r>
      <w:r w:rsidRPr="00EB11D3">
        <w:fldChar w:fldCharType="separate"/>
      </w:r>
      <w:r w:rsidR="000B0826">
        <w:rPr>
          <w:noProof/>
          <w:position w:val="-10"/>
        </w:rPr>
      </w:r>
      <w:r w:rsidR="000B0826">
        <w:rPr>
          <w:noProof/>
          <w:position w:val="-10"/>
        </w:rPr>
        <w:pict w14:anchorId="14BD1AD1">
          <v:shape id="_x0000_i1026" type="#_x0000_t75" style="width:10.3pt;height:16.3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4586&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56A2&quot;/&gt;&lt;wsp:rsid wsp:val=&quot;00606D98&quot;/&gt;&lt;wsp:rsid wsp:val=&quot;00607BA0&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507F&quot;/&gt;&lt;wsp:rsid wsp:val=&quot;00DD5288&quot;/&gt;&lt;wsp:rsid wsp:val=&quot;00DD612A&quot;/&gt;&lt;wsp:rsid wsp:val=&quot;00DD71D1&quot;/&gt;&lt;wsp:rsid wsp:val=&quot;00DD7209&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574586&quot; wsp:rsidRDefault=&quot;00574586&quot; wsp:rsidP=&quot;00574586&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x&lt;/m:t&gt;&lt;/m:r&gt;&lt;/m:e&gt;&lt;m:sub&gt;&lt;m:r&gt;&lt;w:rPr&gt;&lt;w:rFonts w:ascii=&quot;Cambria Math&quot; w:h-ansi=&quot;Cambria Math&quot;/&gt;&lt;wx:font wx:val=&quot;Cambria Math&quot;/&gt;&lt;w:i/&gt;&lt;/w:rPr&gt;&lt;m:t&gt;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3" o:title="" chromakey="white"/>
          </v:shape>
        </w:pict>
      </w:r>
      <w:r w:rsidRPr="00EB11D3">
        <w:fldChar w:fldCharType="end"/>
      </w:r>
      <w:r w:rsidRPr="00EB11D3">
        <w:t xml:space="preserve"> = normalised variable</w:t>
      </w:r>
    </w:p>
    <w:p w14:paraId="2CFB8DE0" w14:textId="77777777" w:rsidR="005753FF" w:rsidRPr="00EB11D3" w:rsidRDefault="005753FF" w:rsidP="005753FF">
      <w:pPr>
        <w:shd w:val="clear" w:color="auto" w:fill="FFFFFF"/>
      </w:pPr>
      <w:r w:rsidRPr="00EB11D3">
        <w:fldChar w:fldCharType="begin"/>
      </w:r>
      <w:r w:rsidRPr="00EB11D3">
        <w:instrText xml:space="preserve"> QUOTE </w:instrText>
      </w:r>
      <w:r w:rsidR="000B0826">
        <w:rPr>
          <w:noProof/>
          <w:position w:val="-10"/>
        </w:rPr>
      </w:r>
      <w:r w:rsidR="000B0826">
        <w:rPr>
          <w:noProof/>
          <w:position w:val="-10"/>
        </w:rPr>
        <w:pict w14:anchorId="1E845DCD">
          <v:shape id="_x0000_i1027" type="#_x0000_t75" style="width:12pt;height:16.3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56A2&quot;/&gt;&lt;wsp:rsid wsp:val=&quot;00606D98&quot;/&gt;&lt;wsp:rsid wsp:val=&quot;00607BA0&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0DAB&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507F&quot;/&gt;&lt;wsp:rsid wsp:val=&quot;00DD5288&quot;/&gt;&lt;wsp:rsid wsp:val=&quot;00DD612A&quot;/&gt;&lt;wsp:rsid wsp:val=&quot;00DD71D1&quot;/&gt;&lt;wsp:rsid wsp:val=&quot;00DD7209&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6E0DAB&quot; wsp:rsidRDefault=&quot;006E0DAB&quot; wsp:rsidP=&quot;006E0DAB&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4" o:title="" chromakey="white"/>
          </v:shape>
        </w:pict>
      </w:r>
      <w:r w:rsidRPr="00EB11D3">
        <w:instrText xml:space="preserve"> </w:instrText>
      </w:r>
      <w:r w:rsidRPr="00EB11D3">
        <w:fldChar w:fldCharType="separate"/>
      </w:r>
      <w:r w:rsidR="000B0826">
        <w:rPr>
          <w:noProof/>
          <w:position w:val="-10"/>
        </w:rPr>
      </w:r>
      <w:r w:rsidR="000B0826">
        <w:rPr>
          <w:noProof/>
          <w:position w:val="-10"/>
        </w:rPr>
        <w:pict w14:anchorId="52AC70D1">
          <v:shape id="_x0000_i1028" type="#_x0000_t75" style="width:12pt;height:16.3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56A2&quot;/&gt;&lt;wsp:rsid wsp:val=&quot;00606D98&quot;/&gt;&lt;wsp:rsid wsp:val=&quot;00607BA0&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0DAB&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507F&quot;/&gt;&lt;wsp:rsid wsp:val=&quot;00DD5288&quot;/&gt;&lt;wsp:rsid wsp:val=&quot;00DD612A&quot;/&gt;&lt;wsp:rsid wsp:val=&quot;00DD71D1&quot;/&gt;&lt;wsp:rsid wsp:val=&quot;00DD7209&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6E0DAB&quot; wsp:rsidRDefault=&quot;006E0DAB&quot; wsp:rsidP=&quot;006E0DAB&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4" o:title="" chromakey="white"/>
          </v:shape>
        </w:pict>
      </w:r>
      <w:r w:rsidRPr="00EB11D3">
        <w:fldChar w:fldCharType="end"/>
      </w:r>
      <w:r w:rsidRPr="00EB11D3">
        <w:t xml:space="preserve"> = weight attached to </w:t>
      </w:r>
      <w:r w:rsidRPr="00EB11D3">
        <w:fldChar w:fldCharType="begin"/>
      </w:r>
      <w:r w:rsidRPr="00EB11D3">
        <w:instrText xml:space="preserve"> QUOTE </w:instrText>
      </w:r>
      <w:r w:rsidR="000B0826">
        <w:rPr>
          <w:noProof/>
          <w:position w:val="-10"/>
        </w:rPr>
      </w:r>
      <w:r w:rsidR="000B0826">
        <w:rPr>
          <w:noProof/>
          <w:position w:val="-10"/>
        </w:rPr>
        <w:pict w14:anchorId="3D2A61C5">
          <v:shape id="_x0000_i1029" type="#_x0000_t75" style="width:10.3pt;height:16.3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56A2&quot;/&gt;&lt;wsp:rsid wsp:val=&quot;00606D98&quot;/&gt;&lt;wsp:rsid wsp:val=&quot;00607BA0&quot;/&gt;&lt;wsp:rsid wsp:val=&quot;00607FEF&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507F&quot;/&gt;&lt;wsp:rsid wsp:val=&quot;00DD5288&quot;/&gt;&lt;wsp:rsid wsp:val=&quot;00DD612A&quot;/&gt;&lt;wsp:rsid wsp:val=&quot;00DD71D1&quot;/&gt;&lt;wsp:rsid wsp:val=&quot;00DD7209&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607FEF&quot; wsp:rsidRDefault=&quot;00607FEF&quot; wsp:rsidP=&quot;00607FEF&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x&lt;/m:t&gt;&lt;/m:r&gt;&lt;/m:e&gt;&lt;m:sub&gt;&lt;m:r&gt;&lt;w:rPr&gt;&lt;w:rFonts w:ascii=&quot;Cambria Math&quot; w:h-ansi=&quot;Cambria Math&quot;/&gt;&lt;wx:font wx:val=&quot;Cambria Math&quot;/&gt;&lt;w:i/&gt;&lt;/w:rPr&gt;&lt;m:t&gt;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3" o:title="" chromakey="white"/>
          </v:shape>
        </w:pict>
      </w:r>
      <w:r w:rsidRPr="00EB11D3">
        <w:instrText xml:space="preserve"> </w:instrText>
      </w:r>
      <w:r w:rsidRPr="00EB11D3">
        <w:fldChar w:fldCharType="separate"/>
      </w:r>
      <w:r w:rsidR="000B0826">
        <w:rPr>
          <w:noProof/>
          <w:position w:val="-10"/>
        </w:rPr>
      </w:r>
      <w:r w:rsidR="000B0826">
        <w:rPr>
          <w:noProof/>
          <w:position w:val="-10"/>
        </w:rPr>
        <w:pict w14:anchorId="6888017D">
          <v:shape id="_x0000_i1030" type="#_x0000_t75" style="width:10.3pt;height:16.3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56A2&quot;/&gt;&lt;wsp:rsid wsp:val=&quot;00606D98&quot;/&gt;&lt;wsp:rsid wsp:val=&quot;00607BA0&quot;/&gt;&lt;wsp:rsid wsp:val=&quot;00607FEF&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507F&quot;/&gt;&lt;wsp:rsid wsp:val=&quot;00DD5288&quot;/&gt;&lt;wsp:rsid wsp:val=&quot;00DD612A&quot;/&gt;&lt;wsp:rsid wsp:val=&quot;00DD71D1&quot;/&gt;&lt;wsp:rsid wsp:val=&quot;00DD7209&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607FEF&quot; wsp:rsidRDefault=&quot;00607FEF&quot; wsp:rsidP=&quot;00607FEF&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x&lt;/m:t&gt;&lt;/m:r&gt;&lt;/m:e&gt;&lt;m:sub&gt;&lt;m:r&gt;&lt;w:rPr&gt;&lt;w:rFonts w:ascii=&quot;Cambria Math&quot; w:h-ansi=&quot;Cambria Math&quot;/&gt;&lt;wx:font wx:val=&quot;Cambria Math&quot;/&gt;&lt;w:i/&gt;&lt;/w:rPr&gt;&lt;m:t&gt;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3" o:title="" chromakey="white"/>
          </v:shape>
        </w:pict>
      </w:r>
      <w:r w:rsidRPr="00EB11D3">
        <w:fldChar w:fldCharType="end"/>
      </w:r>
    </w:p>
    <w:p w14:paraId="497E86C4" w14:textId="77777777" w:rsidR="005753FF" w:rsidRPr="00EB11D3" w:rsidRDefault="005753FF" w:rsidP="005753FF">
      <w:pPr>
        <w:shd w:val="clear" w:color="auto" w:fill="FFFFFF"/>
      </w:pPr>
      <w:r w:rsidRPr="00EB11D3">
        <w:fldChar w:fldCharType="begin"/>
      </w:r>
      <w:r w:rsidRPr="00EB11D3">
        <w:instrText xml:space="preserve"> QUOTE </w:instrText>
      </w:r>
      <w:r w:rsidR="000B0826">
        <w:rPr>
          <w:noProof/>
          <w:position w:val="-10"/>
        </w:rPr>
      </w:r>
      <w:r w:rsidR="000B0826">
        <w:rPr>
          <w:noProof/>
          <w:position w:val="-10"/>
        </w:rPr>
        <w:pict w14:anchorId="767AF0F3">
          <v:shape id="_x0000_i1031" type="#_x0000_t75" style="width:36.85pt;height:16.3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56A2&quot;/&gt;&lt;wsp:rsid wsp:val=&quot;00606D98&quot;/&gt;&lt;wsp:rsid wsp:val=&quot;00607BA0&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0D44&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507F&quot;/&gt;&lt;wsp:rsid wsp:val=&quot;00DD5288&quot;/&gt;&lt;wsp:rsid wsp:val=&quot;00DD612A&quot;/&gt;&lt;wsp:rsid wsp:val=&quot;00DD71D1&quot;/&gt;&lt;wsp:rsid wsp:val=&quot;00DD7209&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6D0D44&quot; wsp:rsidRDefault=&quot;006D0D44&quot; wsp:rsidP=&quot;006D0D44&quot;&gt;&lt;m:oMathPara&gt;&lt;m:oMath&gt;&lt;m:nary&gt;&lt;m:naryPr&gt;&lt;m:chr m:val=&quot;âˆ‘&quot;/&gt;&lt;m:limLoc m:val=&quot;subSup&quot;/&gt;&lt;m:ctrlPr&gt;&lt;w:rPr&gt;&lt;w:rFonts w:ascii=&quot;Cambria Math&quot; w:h-ansi=&quot;Cambria Math&quot;/&gt;&lt;wx:font wx:val=&quot;Cambria Math&quot;/&gt;&lt;w:i/&gt;&lt;/w:rPr&gt;&lt;/m:ctrlPr&gt;&lt;/m:naryPr&gt;&lt;m:sub&gt;&lt;m:r&gt;&lt;w:rPr&gt;&lt;w:rFonts w:ascii=&quot;Cambria Math&quot; w:h-ansi=&quot;Cambria Math&quot;/&gt;&lt;wx:font wx:val=&quot;Cambria Math&quot;/&gt;&lt;w:i/&gt;&lt;/w:rPr&gt;&lt;m:t&gt;i=1&lt;/m:t&gt;&lt;/m:r&gt;&lt;/m:sub&gt;&lt;m:sup&gt;&lt;m:r&gt;&lt;w:rPr&gt;&lt;w:rFonts w:ascii=&quot;Cambria Math&quot; w:h-ansi=&quot;Cambria Math&quot;/&gt;&lt;wx:font wx:val=&quot;Cambria Math&quot;/&gt;&lt;w:i/&gt;&lt;/w:rPr&gt;&lt;m:t&gt;n&lt;/m:t&gt;&lt;/m:r&gt;&lt;/m:sup&gt;&lt;m:e&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i&lt;/m:t&gt;&lt;/m:r&gt;&lt;/m:sub&gt;&lt;/m:sSub&gt;&lt;/m:e&gt;&lt;/m:nary&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5" o:title="" chromakey="white"/>
          </v:shape>
        </w:pict>
      </w:r>
      <w:r w:rsidRPr="00EB11D3">
        <w:instrText xml:space="preserve"> </w:instrText>
      </w:r>
      <w:r w:rsidRPr="00EB11D3">
        <w:fldChar w:fldCharType="separate"/>
      </w:r>
      <w:r w:rsidR="000B0826">
        <w:rPr>
          <w:noProof/>
          <w:position w:val="-10"/>
        </w:rPr>
      </w:r>
      <w:r w:rsidR="000B0826">
        <w:rPr>
          <w:noProof/>
          <w:position w:val="-10"/>
        </w:rPr>
        <w:pict w14:anchorId="2C078A31">
          <v:shape id="_x0000_i1032" type="#_x0000_t75" style="width:36.85pt;height:16.3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56A2&quot;/&gt;&lt;wsp:rsid wsp:val=&quot;00606D98&quot;/&gt;&lt;wsp:rsid wsp:val=&quot;00607BA0&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0D44&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507F&quot;/&gt;&lt;wsp:rsid wsp:val=&quot;00DD5288&quot;/&gt;&lt;wsp:rsid wsp:val=&quot;00DD612A&quot;/&gt;&lt;wsp:rsid wsp:val=&quot;00DD71D1&quot;/&gt;&lt;wsp:rsid wsp:val=&quot;00DD7209&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6D0D44&quot; wsp:rsidRDefault=&quot;006D0D44&quot; wsp:rsidP=&quot;006D0D44&quot;&gt;&lt;m:oMathPara&gt;&lt;m:oMath&gt;&lt;m:nary&gt;&lt;m:naryPr&gt;&lt;m:chr m:val=&quot;âˆ‘&quot;/&gt;&lt;m:limLoc m:val=&quot;subSup&quot;/&gt;&lt;m:ctrlPr&gt;&lt;w:rPr&gt;&lt;w:rFonts w:ascii=&quot;Cambria Math&quot; w:h-ansi=&quot;Cambria Math&quot;/&gt;&lt;wx:font wx:val=&quot;Cambria Math&quot;/&gt;&lt;w:i/&gt;&lt;/w:rPr&gt;&lt;/m:ctrlPr&gt;&lt;/m:naryPr&gt;&lt;m:sub&gt;&lt;m:r&gt;&lt;w:rPr&gt;&lt;w:rFonts w:ascii=&quot;Cambria Math&quot; w:h-ansi=&quot;Cambria Math&quot;/&gt;&lt;wx:font wx:val=&quot;Cambria Math&quot;/&gt;&lt;w:i/&gt;&lt;/w:rPr&gt;&lt;m:t&gt;i=1&lt;/m:t&gt;&lt;/m:r&gt;&lt;/m:sub&gt;&lt;m:sup&gt;&lt;m:r&gt;&lt;w:rPr&gt;&lt;w:rFonts w:ascii=&quot;Cambria Math&quot; w:h-ansi=&quot;Cambria Math&quot;/&gt;&lt;wx:font wx:val=&quot;Cambria Math&quot;/&gt;&lt;w:i/&gt;&lt;/w:rPr&gt;&lt;m:t&gt;n&lt;/m:t&gt;&lt;/m:r&gt;&lt;/m:sup&gt;&lt;m:e&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i&lt;/m:t&gt;&lt;/m:r&gt;&lt;/m:sub&gt;&lt;/m:sSub&gt;&lt;/m:e&gt;&lt;/m:nary&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5" o:title="" chromakey="white"/>
          </v:shape>
        </w:pict>
      </w:r>
      <w:r w:rsidRPr="00EB11D3">
        <w:fldChar w:fldCharType="end"/>
      </w:r>
      <w:r w:rsidRPr="00EB11D3">
        <w:t xml:space="preserve">  = 1 and 0 ≤ </w:t>
      </w:r>
      <w:r w:rsidRPr="00EB11D3">
        <w:fldChar w:fldCharType="begin"/>
      </w:r>
      <w:r w:rsidRPr="00EB11D3">
        <w:instrText xml:space="preserve"> QUOTE </w:instrText>
      </w:r>
      <w:r w:rsidR="000B0826">
        <w:rPr>
          <w:noProof/>
          <w:position w:val="-10"/>
        </w:rPr>
      </w:r>
      <w:r w:rsidR="000B0826">
        <w:rPr>
          <w:noProof/>
          <w:position w:val="-10"/>
        </w:rPr>
        <w:pict w14:anchorId="00D11A86">
          <v:shape id="_x0000_i1033" type="#_x0000_t75" style="width:12pt;height:16.3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56A2&quot;/&gt;&lt;wsp:rsid wsp:val=&quot;00606D98&quot;/&gt;&lt;wsp:rsid wsp:val=&quot;00607BA0&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507F&quot;/&gt;&lt;wsp:rsid wsp:val=&quot;00DD5288&quot;/&gt;&lt;wsp:rsid wsp:val=&quot;00DD612A&quot;/&gt;&lt;wsp:rsid wsp:val=&quot;00DD71D1&quot;/&gt;&lt;wsp:rsid wsp:val=&quot;00DD7209&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3656&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E73656&quot; wsp:rsidRDefault=&quot;00E73656&quot; wsp:rsidP=&quot;00E73656&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4" o:title="" chromakey="white"/>
          </v:shape>
        </w:pict>
      </w:r>
      <w:r w:rsidRPr="00EB11D3">
        <w:instrText xml:space="preserve"> </w:instrText>
      </w:r>
      <w:r w:rsidRPr="00EB11D3">
        <w:fldChar w:fldCharType="separate"/>
      </w:r>
      <w:r w:rsidR="000B0826">
        <w:rPr>
          <w:noProof/>
          <w:position w:val="-10"/>
        </w:rPr>
      </w:r>
      <w:r w:rsidR="000B0826">
        <w:rPr>
          <w:noProof/>
          <w:position w:val="-10"/>
        </w:rPr>
        <w:pict w14:anchorId="0AB0E54B">
          <v:shape id="_x0000_i1034" type="#_x0000_t75" style="width:12pt;height:16.3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56A2&quot;/&gt;&lt;wsp:rsid wsp:val=&quot;00606D98&quot;/&gt;&lt;wsp:rsid wsp:val=&quot;00607BA0&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507F&quot;/&gt;&lt;wsp:rsid wsp:val=&quot;00DD5288&quot;/&gt;&lt;wsp:rsid wsp:val=&quot;00DD612A&quot;/&gt;&lt;wsp:rsid wsp:val=&quot;00DD71D1&quot;/&gt;&lt;wsp:rsid wsp:val=&quot;00DD7209&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3656&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E73656&quot; wsp:rsidRDefault=&quot;00E73656&quot; wsp:rsidP=&quot;00E73656&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i&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4" o:title="" chromakey="white"/>
          </v:shape>
        </w:pict>
      </w:r>
      <w:r w:rsidRPr="00EB11D3">
        <w:fldChar w:fldCharType="end"/>
      </w:r>
      <w:r w:rsidRPr="00EB11D3">
        <w:t xml:space="preserve"> ≤ 1, i = 1, 2…...n.</w:t>
      </w:r>
    </w:p>
    <w:p w14:paraId="1604F67B" w14:textId="77777777" w:rsidR="005753FF" w:rsidRPr="00EB11D3" w:rsidRDefault="005753FF" w:rsidP="005753FF">
      <w:pPr>
        <w:shd w:val="clear" w:color="auto" w:fill="FFFFFF"/>
        <w:spacing w:line="360" w:lineRule="auto"/>
      </w:pPr>
      <w:r w:rsidRPr="00EB11D3">
        <w:t xml:space="preserve">Thus, the composite variable for </w:t>
      </w:r>
      <w:r w:rsidR="00DD78DC" w:rsidRPr="00EB11D3">
        <w:rPr>
          <w:sz w:val="22"/>
        </w:rPr>
        <w:t>Corporate Governance</w:t>
      </w:r>
      <w:r w:rsidRPr="00EB11D3">
        <w:t xml:space="preserve"> was established using the following equation:</w:t>
      </w:r>
    </w:p>
    <w:p w14:paraId="57708807" w14:textId="77777777" w:rsidR="005753FF" w:rsidRPr="00EB11D3" w:rsidRDefault="005753FF" w:rsidP="00DD78DC">
      <w:r w:rsidRPr="00EB11D3">
        <w:fldChar w:fldCharType="begin"/>
      </w:r>
      <w:r w:rsidRPr="00EB11D3">
        <w:instrText xml:space="preserve"> QUOTE </w:instrText>
      </w:r>
      <w:r w:rsidR="000B0826">
        <w:rPr>
          <w:noProof/>
          <w:position w:val="-12"/>
        </w:rPr>
      </w:r>
      <w:r w:rsidR="000B0826">
        <w:rPr>
          <w:noProof/>
          <w:position w:val="-12"/>
        </w:rPr>
        <w:pict w14:anchorId="4BE025BB">
          <v:shape id="_x0000_i1035" type="#_x0000_t75" style="width:354.85pt;height:17.15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5787&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56A2&quot;/&gt;&lt;wsp:rsid wsp:val=&quot;00606D98&quot;/&gt;&lt;wsp:rsid wsp:val=&quot;00607BA0&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507F&quot;/&gt;&lt;wsp:rsid wsp:val=&quot;00DD5288&quot;/&gt;&lt;wsp:rsid wsp:val=&quot;00DD612A&quot;/&gt;&lt;wsp:rsid wsp:val=&quot;00DD71D1&quot;/&gt;&lt;wsp:rsid wsp:val=&quot;00DD7209&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505787&quot; wsp:rsidRDefault=&quot;00505787&quot; wsp:rsidP=&quot;00505787&quot;&gt;&lt;m:oMathPara&gt;&lt;m:oMath&gt;&lt;m:r&gt;&lt;w:rPr&gt;&lt;w:rFonts w:ascii=&quot;Cambria Math&quot; w:h-ansi=&quot;Cambria Math&quot;/&gt;&lt;wx:font wx:val=&quot;Cambria Math&quot;/&gt;&lt;w:i/&gt;&lt;/w:rPr&gt;&lt;m:t&gt;EM= &lt;/m:t&gt;&lt;/m:r&gt;&lt;m:nary&gt;&lt;m:naryPr&gt;&lt;m:chr m:val=&quot;âˆ‘&quot;/&gt;&lt;m:limLoc m:val=&quot;undOvr&quot;/&gt;&lt;m:subHide m:val=&quot;1&quot;/&gt;&lt;m:supHide m:val=&quot;1&quot;/&gt;&lt;m:ctrlPr&gt;&lt;w:rPr&gt;&lt;w:rFonts w:ascii=&quot;Cambria Math&quot; w:h-ansi=&quot;Cambria Math&quot;/&gt;&lt;wx:font wx:val=&quot;Cambria Math&quot;/&gt;&lt;w:i/&gt;&lt;/w:rPr&gt;&lt;/m:ctrlPr&gt;&lt;/m:naryPr&gt;&lt;m:sub/&gt;&lt;m:sup/&gt;&lt;m:e&gt;&lt;m:r&gt;&lt;w:rPr&gt;&lt;w:rFonts w:ascii=&quot;Cambria Math&quot; w:h-ansi=&quot;Cambria Math&quot;/&gt;&lt;wx:font wx:val=&quot;Cambria Math&quot;/&gt;&lt;w:i/&gt;&lt;/w:rPr&gt;&lt;m:t&gt;(&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1&lt;/m:t&gt;&lt;/m:r&gt;&lt;/m:sub&gt;&lt;/m:sSub&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P&lt;/m:t&gt;&lt;/m:r&gt;&lt;/m:e&gt;&lt;m:sub&gt;&lt;m:r&gt;&lt;w:rPr&gt;&lt;w:rFonts w:ascii=&quot;Cambria Math&quot; w:h-ansi=&quot;Cambria Math&quot;/&gt;&lt;wx:font wx:val=&quot;Cambria Math&quot;/&gt;&lt;w:i/&gt;&lt;/w:rPr&gt;&lt;m:t&gt;Sc&lt;/m:t&gt;&lt;/m:r&gt;&lt;/m:sub&gt;&lt;/m:sSub&gt;&lt;m:r&gt;&lt;w:rPr&gt;&lt;w:rFonts w:ascii=&quot;Cambria Math&quot; w:h-ansi=&quot;Cambria Math&quot;/&gt;&lt;wx:font wx:val=&quot;Cambria Math&quot;/&gt;&lt;w:i/&gt;&lt;/w:rPr&gt;&lt;m:t&gt;+&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2&lt;/m:t&gt;&lt;/m:r&gt;&lt;/m:sub&gt;&lt;/m:sSub&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P&lt;/m:t&gt;&lt;/m:r&gt;&lt;/m:e&gt;&lt;m:sub&gt;&lt;m:r&gt;&lt;w:rPr&gt;&lt;w:rFonts w:ascii=&quot;Cambria Math&quot; w:h-ansi=&quot;Cambria Math&quot;/&gt;&lt;wx:font wx:val=&quot;Cambria Math&quot;/&gt;&lt;w:i/&gt;&lt;/w:rPr&gt;&lt;m:t&gt;WE&lt;/m:t&gt;&lt;/m:r&gt;&lt;/m:sub&gt;&lt;/m:sSub&gt;&lt;m:r&gt;&lt;w:rPr&gt;&lt;w:rFonts w:ascii=&quot;Cambria Math&quot; w:h-ansi=&quot;Cambria Math&quot;/&gt;&lt;wx:font wx:val=&quot;Cambria Math&quot;/&gt;&lt;w:i/&gt;&lt;/w:rPr&gt;&lt;m:t&gt;+ &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3&lt;/m:t&gt;&lt;/m:r&gt;&lt;/m:sub&gt;&lt;/m:sSub&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P&lt;/m:t&gt;&lt;/m:r&gt;&lt;/m:e&gt;&lt;m:sub&gt;&lt;m:r&gt;&lt;w:rPr&gt;&lt;w:rFonts w:ascii=&quot;Cambria Math&quot; w:h-ansi=&quot;Cambria Math&quot;/&gt;&lt;wx:font wx:val=&quot;Cambria Math&quot;/&gt;&lt;w:i/&gt;&lt;/w:rPr&gt;&lt;m:t&gt;IR &lt;/m:t&gt;&lt;/m:r&gt;&lt;/m:sub&gt;&lt;/m:sSub&gt;&lt;m:r&gt;&lt;w:rPr&gt;&lt;w:rFonts w:ascii=&quot;Cambria Math&quot; w:h-ansi=&quot;Cambria Math&quot;/&gt;&lt;wx:font wx:val=&quot;Cambria Math&quot;/&gt;&lt;w:i/&gt;&lt;/w:rPr&gt;&lt;m:t&gt;+ &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4&lt;/m:t&gt;&lt;/m:r&gt;&lt;/m:sub&gt;&lt;/m:sSub&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P&lt;/m:t&gt;&lt;/m:r&gt;&lt;/m:e&gt;&lt;m:sub&gt;&lt;m:r&gt;&lt;w:rPr&gt;&lt;w:rFonts w:ascii=&quot;Cambria Math&quot; w:h-ansi=&quot;Cambria Math&quot;/&gt;&lt;wx:font wx:val=&quot;Cambria Math&quot;/&gt;&lt;w:i/&gt;&lt;/w:rPr&gt;&lt;m:t&gt;E &lt;/m:t&gt;&lt;/m:r&gt;&lt;/m:sub&gt;&lt;/m:sSub&gt;&lt;m:r&gt;&lt;w:rPr&gt;&lt;w:rFonts w:ascii=&quot;Cambria Math&quot; w:h-ansi=&quot;Cambria Math&quot;/&gt;&lt;wx:font wx:val=&quot;Cambria Math&quot;/&gt;&lt;w:i/&gt;&lt;/w:rPr&gt;&lt;m:t&gt;+&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5&lt;/m:t&gt;&lt;/m:r&gt;&lt;/m:sub&gt;&lt;/m:sSub&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P&lt;/m:t&gt;&lt;/m:r&gt;&lt;/m:e&gt;&lt;m:sub&gt;&lt;m:r&gt;&lt;w:rPr&gt;&lt;w:rFonts w:ascii=&quot;Cambria Math&quot; w:h-ansi=&quot;Cambria Math&quot;/&gt;&lt;wx:font wx:val=&quot;Cambria Math&quot;/&gt;&lt;w:i/&gt;&lt;/w:rPr&gt;&lt;m:t&gt;A&lt;/m:t&gt;&lt;/m:r&gt;&lt;/m:sub&gt;&lt;/m:sSub&gt;&lt;m:r&gt;&lt;w:rPr&gt;&lt;w:rFonts w:ascii=&quot;Cambria Math&quot; w:h-ansi=&quot;Cambria Math&quot;/&gt;&lt;wx:font wx:val=&quot;Cambria Math&quot;/&gt;&lt;w:i/&gt;&lt;/w:rPr&gt;&lt;m:t&gt;+&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6&lt;/m:t&gt;&lt;/m:r&gt;&lt;/m:sub&gt;&lt;/m:sSub&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P&lt;/m:t&gt;&lt;/m:r&gt;&lt;/m:e&gt;&lt;m:sub&gt;&lt;m:r&gt;&lt;w:rPr&gt;&lt;w:rFonts w:ascii=&quot;Cambria Math&quot; w:h-ansi=&quot;Cambria Math&quot;/&gt;&lt;wx:font wx:val=&quot;Cambria Math&quot;/&gt;&lt;w:i/&gt;&lt;/w:rPr&gt;&lt;m:t&gt;JS&lt;/m:t&gt;&lt;/m:r&gt;&lt;/m:sub&gt;&lt;/m:sSub&gt;&lt;m:r&gt;&lt;w:rPr&gt;&lt;w:rFonts w:ascii=&quot;Cambria Math&quot; w:h-ansi=&quot;Cambria Math&quot;/&gt;&lt;wx:font wx:val=&quot;Cambria Math&quot;/&gt;&lt;w:i/&gt;&lt;/w:rPr&gt;&lt;m:t&gt;+ &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7&lt;/m:t&gt;&lt;/m:r&gt;&lt;/m:sub&gt;&lt;/m:sSub&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P&lt;/m:t&gt;&lt;/m:r&gt;&lt;/m:e&gt;&lt;m:sub&gt;&lt;m:r&gt;&lt;w:rPr&gt;&lt;w:rFonts w:ascii=&quot;Cambria Math&quot; w:h-ansi=&quot;Cambria Math&quot;/&gt;&lt;wx:font wx:val=&quot;Cambria Math&quot;/&gt;&lt;w:i/&gt;&lt;/w:rPr&gt;&lt;m:t&gt;P &lt;/m:t&gt;&lt;/m:r&gt;&lt;/m:sub&gt;&lt;/m:sSub&gt;&lt;m:r&gt;&lt;w:rPr&gt;&lt;w:rFonts w:ascii=&quot;Cambria Math&quot; w:h-ansi=&quot;Cambria Math&quot;/&gt;&lt;wx:font wx:val=&quot;Cambria Math&quot;/&gt;&lt;w:i/&gt;&lt;/w:rPr&gt;&lt;m:t&gt;)&lt;/m:t&gt;&lt;/m:r&gt;&lt;/m:e&gt;&lt;/m:nary&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6" o:title="" chromakey="white"/>
          </v:shape>
        </w:pict>
      </w:r>
      <w:r w:rsidRPr="00EB11D3">
        <w:instrText xml:space="preserve"> </w:instrText>
      </w:r>
      <w:r w:rsidRPr="00EB11D3">
        <w:fldChar w:fldCharType="separate"/>
      </w:r>
      <w:r w:rsidR="00DD78DC" w:rsidRPr="00EB11D3">
        <w:rPr>
          <w:rFonts w:ascii="Cambria Math" w:hAnsi="Cambria Math"/>
          <w:i/>
        </w:rPr>
        <w:br/>
      </w:r>
      <w:r w:rsidR="000B0826">
        <w:rPr>
          <w:noProof/>
        </w:rPr>
      </w:r>
      <w:r w:rsidR="000B0826">
        <w:rPr>
          <w:noProof/>
        </w:rPr>
        <w:pict w14:anchorId="165FEBEE">
          <v:shape id="_x0000_i1036" type="#_x0000_t75" style="width:220.3pt;height:27.45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3EF9&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56A2&quot;/&gt;&lt;wsp:rsid wsp:val=&quot;00606D98&quot;/&gt;&lt;wsp:rsid wsp:val=&quot;00607BA0&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507F&quot;/&gt;&lt;wsp:rsid wsp:val=&quot;00DD5288&quot;/&gt;&lt;wsp:rsid wsp:val=&quot;00DD612A&quot;/&gt;&lt;wsp:rsid wsp:val=&quot;00DD71D1&quot;/&gt;&lt;wsp:rsid wsp:val=&quot;00DD7209&quot;/&gt;&lt;wsp:rsid wsp:val=&quot;00DD78DC&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283EF9&quot; wsp:rsidRPr=&quot;00283EF9&quot; wsp:rsidRDefault=&quot;00283EF9&quot; wsp:rsidP=&quot;00283EF9&quot;&gt;&lt;m:oMathPara&gt;&lt;m:oMath&gt;&lt;m:r&gt;&lt;w:rPr&gt;&lt;w:rFonts w:ascii=&quot;Cambria Math&quot; w:h-ansi=&quot;Cambria Math&quot;/&gt;&lt;wx:font wx:val=&quot;Cambria Math&quot;/&gt;&lt;w:i/&gt;&lt;/w:rPr&gt;&lt;m:t&gt;CG= &lt;/m:t&gt;&lt;/m:r&gt;&lt;m:nary&gt;&lt;m:naryPr&gt;&lt;m:chr m:val=&quot;âˆ‘&quot;/&gt;&lt;m:limLoc m:val=&quot;undOvr&quot;/&gt;&lt;m:subHide m:val=&quot;1&quot;/&gt;&lt;m:supHide m:val=&quot;1&quot;/&gt;&lt;m:ctrlPr&gt;&lt;w:rPr&gt;&lt;w:rFonts w:ascii=&quot;Cambria Math&quot; w:h-ansi=&quot;Cambria Math&quot;/&gt;&lt;wx:font wx:val=&quot;Cambria Math&quot;/&gt;&lt;w:i/&gt;&lt;/w:rPr&gt;&lt;/m:ctrlPr&gt;&lt;/m:naryPr&gt;&lt;m:sub/&gt;&lt;m:sup/&gt;&lt;m:e&gt;&lt;m:r&gt;&lt;w:rPr&gt;&lt;w:rFonts w:ascii=&quot;Cambria Math&quot; w:h-ansi=&quot;Cambria Math&quot;/&gt;&lt;wx:font wx:val=&quot;Cambria Math&quot;/&gt;&lt;w:i/&gt;&lt;/w:rPr&gt;&lt;m:t&gt;(&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1&lt;/m:t&gt;&lt;/m:r&gt;&lt;/m:sub&gt;&lt;/m:sSub&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P&lt;/m:t&gt;&lt;/m:r&gt;&lt;/m:e&gt;&lt;m:sub&gt;&lt;m:r&gt;&lt;w:rPr&gt;&lt;w:rFonts w:ascii=&quot;Cambria Math&quot; w:h-ansi=&quot;Cambria Math&quot;/&gt;&lt;wx:font wx:val=&quot;Cambria Math&quot;/&gt;&lt;w:i/&gt;&lt;/w:rPr&gt;&lt;m:t&gt;Bc&lt;/m:t&gt;&lt;/m:r&gt;&lt;/m:sub&gt;&lt;/m:sSub&gt;&lt;m:r&gt;&lt;w:rPr&gt;&lt;w:rFonts w:ascii=&quot;Cambria Math&quot; w:h-ansi=&quot;Cambria Math&quot;/&gt;&lt;wx:font wx:val=&quot;Cambria Math&quot;/&gt;&lt;w:i/&gt;&lt;/w:rPr&gt;&lt;m:t&gt;+&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2&lt;/m:t&gt;&lt;/m:r&gt;&lt;/m:sub&gt;&lt;/m:sSub&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P&lt;/m:t&gt;&lt;/m:r&gt;&lt;/m:e&gt;&lt;m:sub&gt;&lt;m:r&gt;&lt;w:rPr&gt;&lt;w:rFonts w:ascii=&quot;Cambria Math&quot; w:h-ansi=&quot;Cambria Math&quot;/&gt;&lt;wx:font wx:val=&quot;Cambria Math&quot;/&gt;&lt;w:i/&gt;&lt;/w:rPr&gt;&lt;m:t&gt;A&lt;/m:t&gt;&lt;/m:r&gt;&lt;/m:sub&gt;&lt;/m:sSub&gt;&lt;m:r&gt;&lt;w:rPr&gt;&lt;w:rFonts w:ascii=&quot;Cambria Math&quot; w:h-ansi=&quot;Cambria Math&quot;/&gt;&lt;wx:font wx:val=&quot;Cambria Math&quot;/&gt;&lt;w:i/&gt;&lt;/w:rPr&gt;&lt;m:t&gt;+ &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3&lt;/m:t&gt;&lt;/m:r&gt;&lt;/m:sub&gt;&lt;/m:sSub&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P&lt;/m:t&gt;&lt;/m:r&gt;&lt;/m:e&gt;&lt;m:sub&gt;&lt;m:r&gt;&lt;w:rPr&gt;&lt;w:rFonts w:ascii=&quot;Cambria Math&quot; w:h-ansi=&quot;Cambria Math&quot;/&gt;&lt;wx:font wx:val=&quot;Cambria Math&quot;/&gt;&lt;w:i/&gt;&lt;/w:rPr&gt;&lt;m:t&gt;T &lt;/m:t&gt;&lt;/m:r&gt;&lt;/m:sub&gt;&lt;/m:sSub&gt;&lt;m:r&gt;&lt;w:rPr&gt;&lt;w:rFonts w:ascii=&quot;Cambria Math&quot; w:h-ansi=&quot;Cambria Math&quot;/&gt;&lt;wx:font wx:val=&quot;Cambria Math&quot;/&gt;&lt;w:i/&gt;&lt;/w:rPr&gt;&lt;m:t&gt;+ &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4&lt;/m:t&gt;&lt;/m:r&gt;&lt;/m:sub&gt;&lt;/m:sSub&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P&lt;/m:t&gt;&lt;/m:r&gt;&lt;/m:e&gt;&lt;m:sub&gt;&lt;m:r&gt;&lt;w:rPr&gt;&lt;w:rFonts w:ascii=&quot;Cambria Math&quot; w:h-ansi=&quot;Cambria Math&quot;/&gt;&lt;wx:font wx:val=&quot;Cambria Math&quot;/&gt;&lt;w:i/&gt;&lt;/w:rPr&gt;&lt;m:t&gt;R &lt;/m:t&gt;&lt;/m:r&gt;&lt;/m:sub&gt;&lt;/m:sSub&gt;&lt;m:r&gt;&lt;w:rPr&gt;&lt;w:rFonts w:ascii=&quot;Cambria Math&quot; w:h-ansi=&quot;Cambria Math&quot;/&gt;&lt;wx:font wx:val=&quot;Cambria Math&quot;/&gt;&lt;w:i/&gt;&lt;/w:rPr&gt;&lt;m:t&gt;)&lt;/m:t&gt;&lt;/m:r&gt;&lt;/m:e&gt;&lt;/m:nary&gt;&lt;/m:oMath&gt;&lt;/m:oMathPara&gt;&lt;/w:p&gt;&lt;w:sectPr wsp:rsidR=&quot;00000000&quot; wsp:rsidRPr=&quot;00283EF9&quot;&gt;&lt;w:pgSz w:w=&quot;12240&quot; w:h=&quot;15840&quot;/&gt;&lt;w:pgMar w:top=&quot;1440&quot; w:right=&quot;1440&quot; w:bottom=&quot;1440&quot; w:left=&quot;1440&quot; w:header=&quot;720&quot; w:footer=&quot;720&quot; w:gutter=&quot;0&quot;/&gt;&lt;w:cols w:space=&quot;720&quot;/&gt;&lt;/w:sectPr&gt;&lt;/wx:sect&gt;&lt;/w:body&gt;&lt;/w:wordDocument&gt;">
            <v:imagedata r:id="rId17" o:title="" chromakey="white"/>
          </v:shape>
        </w:pict>
      </w:r>
      <w:r w:rsidRPr="00EB11D3">
        <w:fldChar w:fldCharType="end"/>
      </w:r>
      <w:r w:rsidR="00DD78DC" w:rsidRPr="00EB11D3">
        <w:t>…………………………………</w:t>
      </w:r>
      <w:r w:rsidRPr="00EB11D3">
        <w:t>……</w:t>
      </w:r>
      <w:r w:rsidR="00DD78DC" w:rsidRPr="00EB11D3">
        <w:t>……...</w:t>
      </w:r>
      <w:r w:rsidRPr="00EB11D3">
        <w:t>...(X</w:t>
      </w:r>
      <w:r w:rsidRPr="00EB11D3">
        <w:rPr>
          <w:vertAlign w:val="subscript"/>
        </w:rPr>
        <w:t>1</w:t>
      </w:r>
      <w:r w:rsidRPr="00EB11D3">
        <w:t>)</w:t>
      </w:r>
    </w:p>
    <w:p w14:paraId="131F48FD" w14:textId="77777777" w:rsidR="005753FF" w:rsidRPr="00EB11D3" w:rsidRDefault="005753FF" w:rsidP="005753FF">
      <w:pPr>
        <w:shd w:val="clear" w:color="auto" w:fill="FFFFFF"/>
      </w:pPr>
      <w:r w:rsidRPr="00EB11D3">
        <w:t xml:space="preserve">Where; </w:t>
      </w:r>
    </w:p>
    <w:p w14:paraId="323FE096" w14:textId="77777777" w:rsidR="005753FF" w:rsidRPr="00EB11D3" w:rsidRDefault="00C9610D" w:rsidP="005753FF">
      <w:pPr>
        <w:shd w:val="clear" w:color="auto" w:fill="FFFFFF"/>
        <w:spacing w:line="360" w:lineRule="auto"/>
      </w:pPr>
      <w:r w:rsidRPr="00EB11D3">
        <w:t>CG</w:t>
      </w:r>
      <w:r w:rsidR="005753FF" w:rsidRPr="00EB11D3">
        <w:t xml:space="preserve"> = Composite variable for </w:t>
      </w:r>
      <w:r w:rsidRPr="00EB11D3">
        <w:rPr>
          <w:sz w:val="22"/>
        </w:rPr>
        <w:t>Corporate Governance</w:t>
      </w:r>
    </w:p>
    <w:p w14:paraId="5797A9B1" w14:textId="77777777" w:rsidR="005753FF" w:rsidRPr="00EB11D3" w:rsidRDefault="005753FF" w:rsidP="005753FF">
      <w:pPr>
        <w:shd w:val="clear" w:color="auto" w:fill="FFFFFF"/>
        <w:spacing w:line="360" w:lineRule="auto"/>
      </w:pPr>
      <w:r w:rsidRPr="00EB11D3">
        <w:fldChar w:fldCharType="begin"/>
      </w:r>
      <w:r w:rsidRPr="00EB11D3">
        <w:instrText xml:space="preserve"> QUOTE </w:instrText>
      </w:r>
      <w:r w:rsidR="000B0826">
        <w:rPr>
          <w:noProof/>
          <w:position w:val="-10"/>
        </w:rPr>
      </w:r>
      <w:r w:rsidR="000B0826">
        <w:rPr>
          <w:noProof/>
          <w:position w:val="-10"/>
        </w:rPr>
        <w:pict w14:anchorId="7E55110D">
          <v:shape id="_x0000_i1037" type="#_x0000_t75" style="width:68.55pt;height:16.3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1B11&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56A2&quot;/&gt;&lt;wsp:rsid wsp:val=&quot;00606D98&quot;/&gt;&lt;wsp:rsid wsp:val=&quot;00607BA0&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507F&quot;/&gt;&lt;wsp:rsid wsp:val=&quot;00DD5288&quot;/&gt;&lt;wsp:rsid wsp:val=&quot;00DD612A&quot;/&gt;&lt;wsp:rsid wsp:val=&quot;00DD71D1&quot;/&gt;&lt;wsp:rsid wsp:val=&quot;00DD7209&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1D1B11&quot; wsp:rsidRDefault=&quot;001D1B11&quot; wsp:rsidP=&quot;001D1B11&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1&lt;/m:t&gt;&lt;/m:r&gt;&lt;/m:sub&gt;&lt;/m:sSub&gt;&lt;m:r&gt;&lt;w:rPr&gt;&lt;w:rFonts w:ascii=&quot;Cambria Math&quot; w:h-ansi=&quot;Cambria Math&quot;/&gt;&lt;wx:font wx:val=&quot;Cambria Math&quot;/&gt;&lt;w:i/&gt;&lt;/w:rPr&gt;&lt;m:t&gt;,&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2&lt;/m:t&gt;&lt;/m:r&gt;&lt;/m:sub&gt;&lt;/m:sSub&gt;&lt;m:r&gt;&lt;w:rPr&gt;&lt;w:rFonts w:ascii=&quot;Cambria Math&quot; w:h-ansi=&quot;Cambria Math&quot;/&gt;&lt;wx:font wx:val=&quot;Cambria Math&quot;/&gt;&lt;w:i/&gt;&lt;/w:rPr&gt;&lt;m:t&gt;,&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3&lt;/m:t&gt;&lt;/m:r&gt;&lt;/m:sub&gt;&lt;/m:sSub&gt;&lt;m:r&gt;&lt;w:rPr&gt;&lt;w:rFonts w:ascii=&quot;Cambria Math&quot; w:h-ansi=&quot;Cambria Math&quot;/&gt;&lt;wx:font wx:val=&quot;Cambria Math&quot;/&gt;&lt;w:i/&gt;&lt;/w:rPr&gt;&lt;m:t&gt;, &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4&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8" o:title="" chromakey="white"/>
          </v:shape>
        </w:pict>
      </w:r>
      <w:r w:rsidRPr="00EB11D3">
        <w:instrText xml:space="preserve"> </w:instrText>
      </w:r>
      <w:r w:rsidRPr="00EB11D3">
        <w:fldChar w:fldCharType="separate"/>
      </w:r>
      <w:r w:rsidR="000B0826">
        <w:rPr>
          <w:noProof/>
          <w:position w:val="-10"/>
        </w:rPr>
      </w:r>
      <w:r w:rsidR="000B0826">
        <w:rPr>
          <w:noProof/>
          <w:position w:val="-10"/>
        </w:rPr>
        <w:pict w14:anchorId="728E4A4D">
          <v:shape id="_x0000_i1038" type="#_x0000_t75" style="width:68.55pt;height:16.3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1B11&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56A2&quot;/&gt;&lt;wsp:rsid wsp:val=&quot;00606D98&quot;/&gt;&lt;wsp:rsid wsp:val=&quot;00607BA0&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507F&quot;/&gt;&lt;wsp:rsid wsp:val=&quot;00DD5288&quot;/&gt;&lt;wsp:rsid wsp:val=&quot;00DD612A&quot;/&gt;&lt;wsp:rsid wsp:val=&quot;00DD71D1&quot;/&gt;&lt;wsp:rsid wsp:val=&quot;00DD7209&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1D1B11&quot; wsp:rsidRDefault=&quot;001D1B11&quot; wsp:rsidP=&quot;001D1B11&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1&lt;/m:t&gt;&lt;/m:r&gt;&lt;/m:sub&gt;&lt;/m:sSub&gt;&lt;m:r&gt;&lt;w:rPr&gt;&lt;w:rFonts w:ascii=&quot;Cambria Math&quot; w:h-ansi=&quot;Cambria Math&quot;/&gt;&lt;wx:font wx:val=&quot;Cambria Math&quot;/&gt;&lt;w:i/&gt;&lt;/w:rPr&gt;&lt;m:t&gt;,&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2&lt;/m:t&gt;&lt;/m:r&gt;&lt;/m:sub&gt;&lt;/m:sSub&gt;&lt;m:r&gt;&lt;w:rPr&gt;&lt;w:rFonts w:ascii=&quot;Cambria Math&quot; w:h-ansi=&quot;Cambria Math&quot;/&gt;&lt;wx:font wx:val=&quot;Cambria Math&quot;/&gt;&lt;w:i/&gt;&lt;/w:rPr&gt;&lt;m:t&gt;,&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3&lt;/m:t&gt;&lt;/m:r&gt;&lt;/m:sub&gt;&lt;/m:sSub&gt;&lt;m:r&gt;&lt;w:rPr&gt;&lt;w:rFonts w:ascii=&quot;Cambria Math&quot; w:h-ansi=&quot;Cambria Math&quot;/&gt;&lt;wx:font wx:val=&quot;Cambria Math&quot;/&gt;&lt;w:i/&gt;&lt;/w:rPr&gt;&lt;m:t&gt;, &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w&lt;/m:t&gt;&lt;/m:r&gt;&lt;/m:e&gt;&lt;m:sub&gt;&lt;m:r&gt;&lt;w:rPr&gt;&lt;w:rFonts w:ascii=&quot;Cambria Math&quot; w:h-ansi=&quot;Cambria Math&quot;/&gt;&lt;wx:font wx:val=&quot;Cambria Math&quot;/&gt;&lt;w:i/&gt;&lt;/w:rPr&gt;&lt;m:t&gt;4&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8" o:title="" chromakey="white"/>
          </v:shape>
        </w:pict>
      </w:r>
      <w:r w:rsidRPr="00EB11D3">
        <w:fldChar w:fldCharType="end"/>
      </w:r>
      <w:r w:rsidRPr="00EB11D3">
        <w:t xml:space="preserve"> = relative weight of each aspect of the </w:t>
      </w:r>
      <w:r w:rsidR="00C9610D" w:rsidRPr="00EB11D3">
        <w:rPr>
          <w:sz w:val="22"/>
        </w:rPr>
        <w:t>Corporate Governance</w:t>
      </w:r>
      <w:r w:rsidRPr="00EB11D3">
        <w:t xml:space="preserve"> variable </w:t>
      </w:r>
    </w:p>
    <w:p w14:paraId="7055C4EA" w14:textId="77777777" w:rsidR="00C9610D" w:rsidRPr="00EB11D3" w:rsidRDefault="000B0826" w:rsidP="00C9610D">
      <w:pPr>
        <w:spacing w:line="360" w:lineRule="auto"/>
        <w:rPr>
          <w:szCs w:val="24"/>
        </w:rPr>
      </w:pPr>
      <w:r>
        <w:rPr>
          <w:noProof/>
        </w:rPr>
      </w:r>
      <w:r w:rsidR="000B0826">
        <w:rPr>
          <w:noProof/>
        </w:rPr>
        <w:pict w14:anchorId="7EB801A3">
          <v:shape id="_x0000_i1039" type="#_x0000_t75" style="width:71.15pt;height:16.3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4B5F&quot;/&gt;&lt;wsp:rsid wsp:val=&quot;006056A2&quot;/&gt;&lt;wsp:rsid wsp:val=&quot;00606D98&quot;/&gt;&lt;wsp:rsid wsp:val=&quot;00607BA0&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10D&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507F&quot;/&gt;&lt;wsp:rsid wsp:val=&quot;00DD5288&quot;/&gt;&lt;wsp:rsid wsp:val=&quot;00DD612A&quot;/&gt;&lt;wsp:rsid wsp:val=&quot;00DD71D1&quot;/&gt;&lt;wsp:rsid wsp:val=&quot;00DD7209&quot;/&gt;&lt;wsp:rsid wsp:val=&quot;00DD78DC&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604B5F&quot; wsp:rsidRPr=&quot;00604B5F&quot; wsp:rsidRDefault=&quot;00604B5F&quot; wsp:rsidP=&quot;00604B5F&quot;&gt;&lt;m:oMathPara&gt;&lt;m:oMath&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P&lt;/m:t&gt;&lt;/m:r&gt;&lt;/m:e&gt;&lt;m:sub&gt;&lt;m:r&gt;&lt;w:rPr&gt;&lt;w:rFonts w:ascii=&quot;Cambria Math&quot; w:h-ansi=&quot;Cambria Math&quot;/&gt;&lt;wx:font wx:val=&quot;Cambria Math&quot;/&gt;&lt;w:i/&gt;&lt;/w:rPr&gt;&lt;m:t&gt;Bc&lt;/m:t&gt;&lt;/m:r&gt;&lt;/m:sub&gt;&lt;/m:sSub&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P&lt;/m:t&gt;&lt;/m:r&gt;&lt;/m:e&gt;&lt;m:sub&gt;&lt;m:r&gt;&lt;w:rPr&gt;&lt;w:rFonts w:ascii=&quot;Cambria Math&quot; w:h-ansi=&quot;Cambria Math&quot;/&gt;&lt;wx:font wx:val=&quot;Cambria Math&quot;/&gt;&lt;w:i/&gt;&lt;/w:rPr&gt;&lt;m:t&gt;A&lt;/m:t&gt;&lt;/m:r&gt;&lt;/m:sub&gt;&lt;/m:sSub&gt;&lt;m:r&gt;&lt;w:rPr&gt;&lt;w:rFonts w:ascii=&quot;Cambria Math&quot; w:h-ansi=&quot;Cambria Math&quot;/&gt;&lt;wx:font wx:val=&quot;Cambria Math&quot;/&gt;&lt;w:i/&gt;&lt;/w:rPr&gt;&lt;m:t&gt;,&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P&lt;/m:t&gt;&lt;/m:r&gt;&lt;/m:e&gt;&lt;m:sub&gt;&lt;m:r&gt;&lt;w:rPr&gt;&lt;w:rFonts w:ascii=&quot;Cambria Math&quot; w:h-ansi=&quot;Cambria Math&quot;/&gt;&lt;wx:font wx:val=&quot;Cambria Math&quot;/&gt;&lt;w:i/&gt;&lt;/w:rPr&gt;&lt;m:t&gt;T &lt;/m:t&gt;&lt;/m:r&gt;&lt;/m:sub&gt;&lt;/m:sSub&gt;&lt;m:r&gt;&lt;w:rPr&gt;&lt;w:rFonts w:ascii=&quot;Cambria Math&quot; w:h-ansi=&quot;Cambria Math&quot;/&gt;&lt;wx:font wx:val=&quot;Cambria Math&quot;/&gt;&lt;w:i/&gt;&lt;/w:rPr&gt;&lt;m:t&gt;, &lt;/m:t&gt;&lt;/m:r&gt;&lt;m:sSub&gt;&lt;m:sSubPr&gt;&lt;m:ctrlPr&gt;&lt;w:rPr&gt;&lt;w:rFonts w:ascii=&quot;Cambria Math&quot; w:h-ansi=&quot;Cambria Math&quot;/&gt;&lt;wx:font wx:val=&quot;Cambria Math&quot;/&gt;&lt;w:i/&gt;&lt;/w:rPr&gt;&lt;/m:ctrlPr&gt;&lt;/m:sSubPr&gt;&lt;m:e&gt;&lt;m:r&gt;&lt;w:rPr&gt;&lt;w:rFonts w:ascii=&quot;Cambria Math&quot; w:h-ansi=&quot;Cambria Math&quot;/&gt;&lt;wx:font wx:val=&quot;Cambria Math&quot;/&gt;&lt;w:i/&gt;&lt;/w:rPr&gt;&lt;m:t&gt;P&lt;/m:t&gt;&lt;/m:r&gt;&lt;/m:e&gt;&lt;m:sub&gt;&lt;m:r&gt;&lt;w:rPr&gt;&lt;w:rFonts w:ascii=&quot;Cambria Math&quot; w:h-ansi=&quot;Cambria Math&quot;/&gt;&lt;wx:font wx:val=&quot;Cambria Math&quot;/&gt;&lt;w:i/&gt;&lt;/w:rPr&gt;&lt;m:t&gt;R &lt;/m:t&gt;&lt;/m:r&gt;&lt;/m:sub&gt;&lt;/m:sSub&gt;&lt;/m:oMath&gt;&lt;/m:oMathPara&gt;&lt;/w:p&gt;&lt;w:sectPr wsp:rsidR=&quot;00000000&quot; wsp:rsidRPr=&quot;00604B5F&quot;&gt;&lt;w:pgSz w:w=&quot;12240&quot; w:h=&quot;15840&quot;/&gt;&lt;w:pgMar w:top=&quot;1440&quot; w:right=&quot;1440&quot; w:bottom=&quot;1440&quot; w:left=&quot;1440&quot; w:header=&quot;720&quot; w:footer=&quot;720&quot; w:gutter=&quot;0&quot;/&gt;&lt;w:cols w:space=&quot;720&quot;/&gt;&lt;/w:sectPr&gt;&lt;/wx:sect&gt;&lt;/w:body&gt;&lt;/w:wordDocument&gt;">
            <v:imagedata r:id="rId19" o:title="" chromakey="white"/>
          </v:shape>
        </w:pict>
      </w:r>
      <w:r w:rsidR="005753FF" w:rsidRPr="00EB11D3">
        <w:t xml:space="preserve">= components of the </w:t>
      </w:r>
      <w:r w:rsidR="00C9610D" w:rsidRPr="00EB11D3">
        <w:rPr>
          <w:sz w:val="22"/>
        </w:rPr>
        <w:t>Corporate Governance</w:t>
      </w:r>
      <w:r w:rsidR="00C9610D" w:rsidRPr="00EB11D3">
        <w:t xml:space="preserve"> </w:t>
      </w:r>
      <w:r w:rsidR="005753FF" w:rsidRPr="00EB11D3">
        <w:t xml:space="preserve">variable </w:t>
      </w:r>
      <w:r w:rsidR="00C9610D" w:rsidRPr="00EB11D3">
        <w:rPr>
          <w:szCs w:val="24"/>
        </w:rPr>
        <w:t xml:space="preserve">(Board Composition, </w:t>
      </w:r>
      <w:r w:rsidR="00C9610D" w:rsidRPr="00EB11D3">
        <w:rPr>
          <w:szCs w:val="24"/>
        </w:rPr>
        <w:fldChar w:fldCharType="begin"/>
      </w:r>
      <w:r w:rsidR="00C9610D" w:rsidRPr="00EB11D3">
        <w:rPr>
          <w:szCs w:val="24"/>
        </w:rPr>
        <w:instrText xml:space="preserve"> QUOTE </w:instrText>
      </w:r>
      <w:r>
        <w:rPr>
          <w:noProof/>
          <w:position w:val="-10"/>
        </w:rPr>
      </w:r>
      <w:r w:rsidR="000B0826">
        <w:rPr>
          <w:noProof/>
          <w:position w:val="-10"/>
        </w:rPr>
        <w:pict w14:anchorId="3E5741EF">
          <v:shape id="_x0000_i1040" type="#_x0000_t75" style="width:18pt;height:16.3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56A2&quot;/&gt;&lt;wsp:rsid wsp:val=&quot;00606D98&quot;/&gt;&lt;wsp:rsid wsp:val=&quot;00607BA0&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10D&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43DC&quot;/&gt;&lt;wsp:rsid wsp:val=&quot;00DD507F&quot;/&gt;&lt;wsp:rsid wsp:val=&quot;00DD5288&quot;/&gt;&lt;wsp:rsid wsp:val=&quot;00DD612A&quot;/&gt;&lt;wsp:rsid wsp:val=&quot;00DD71D1&quot;/&gt;&lt;wsp:rsid wsp:val=&quot;00DD7209&quot;/&gt;&lt;wsp:rsid wsp:val=&quot;00DD78DC&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DD43DC&quot; wsp:rsidRDefault=&quot;00DD43DC&quot; wsp:rsidP=&quot;00DD43DC&quot;&gt;&lt;m:oMathPara&gt;&lt;m:oMath&gt;&lt;m:sSub&gt;&lt;m:sSubPr&gt;&lt;m:ctrlPr&gt;&lt;w:rPr&gt;&lt;w:rFonts w:ascii=&quot;Cambria Math&quot; w:h-ansi=&quot;Cambria Math&quot;/&gt;&lt;wx:font wx:val=&quot;Cambria Math&quot;/&gt;&lt;w:i/&gt;&lt;w:sz-cs w:val=&quot;24&quot;/&gt;&lt;/w:rPr&gt;&lt;/m:ctrlPr&gt;&lt;/m:sSubPr&gt;&lt;m:e&gt;&lt;m:r&gt;&lt;w:rPr&gt;&lt;w:rFonts w:ascii=&quot;Cambria Math&quot; w:h-ansi=&quot;Cambria Math&quot;/&gt;&lt;wx:font wx:val=&quot;Cambria Math&quot;/&gt;&lt;w:i/&gt;&lt;w:sz-cs w:val=&quot;24&quot;/&gt;&lt;/w:rPr&gt;&lt;m:t&gt;P&lt;/m:t&gt;&lt;/m:r&gt;&lt;/m:e&gt;&lt;m:sub&gt;&lt;m:r&gt;&lt;w:rPr&gt;&lt;w:rFonts w:ascii=&quot;Cambria Math&quot; w:h-ansi=&quot;Cambria Math&quot;/&gt;&lt;wx:font wx:val=&quot;Cambria Math&quot;/&gt;&lt;w:i/&gt;&lt;w:sz-cs w:val=&quot;24&quot;/&gt;&lt;/w:rPr&gt;&lt;m:t&gt;BC&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0" o:title="" chromakey="white"/>
          </v:shape>
        </w:pict>
      </w:r>
      <w:r w:rsidR="00C9610D" w:rsidRPr="00EB11D3">
        <w:rPr>
          <w:szCs w:val="24"/>
        </w:rPr>
        <w:instrText xml:space="preserve"> </w:instrText>
      </w:r>
      <w:r w:rsidR="00C9610D" w:rsidRPr="00EB11D3">
        <w:rPr>
          <w:szCs w:val="24"/>
        </w:rPr>
        <w:fldChar w:fldCharType="separate"/>
      </w:r>
      <w:r>
        <w:rPr>
          <w:noProof/>
          <w:position w:val="-10"/>
        </w:rPr>
      </w:r>
      <w:r w:rsidR="000B0826">
        <w:rPr>
          <w:noProof/>
          <w:position w:val="-10"/>
        </w:rPr>
        <w:pict w14:anchorId="4254EBBA">
          <v:shape id="_x0000_i1041" type="#_x0000_t75" style="width:18pt;height:16.3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56A2&quot;/&gt;&lt;wsp:rsid wsp:val=&quot;00606D98&quot;/&gt;&lt;wsp:rsid wsp:val=&quot;00607BA0&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10D&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43DC&quot;/&gt;&lt;wsp:rsid wsp:val=&quot;00DD507F&quot;/&gt;&lt;wsp:rsid wsp:val=&quot;00DD5288&quot;/&gt;&lt;wsp:rsid wsp:val=&quot;00DD612A&quot;/&gt;&lt;wsp:rsid wsp:val=&quot;00DD71D1&quot;/&gt;&lt;wsp:rsid wsp:val=&quot;00DD7209&quot;/&gt;&lt;wsp:rsid wsp:val=&quot;00DD78DC&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DD43DC&quot; wsp:rsidRDefault=&quot;00DD43DC&quot; wsp:rsidP=&quot;00DD43DC&quot;&gt;&lt;m:oMathPara&gt;&lt;m:oMath&gt;&lt;m:sSub&gt;&lt;m:sSubPr&gt;&lt;m:ctrlPr&gt;&lt;w:rPr&gt;&lt;w:rFonts w:ascii=&quot;Cambria Math&quot; w:h-ansi=&quot;Cambria Math&quot;/&gt;&lt;wx:font wx:val=&quot;Cambria Math&quot;/&gt;&lt;w:i/&gt;&lt;w:sz-cs w:val=&quot;24&quot;/&gt;&lt;/w:rPr&gt;&lt;/m:ctrlPr&gt;&lt;/m:sSubPr&gt;&lt;m:e&gt;&lt;m:r&gt;&lt;w:rPr&gt;&lt;w:rFonts w:ascii=&quot;Cambria Math&quot; w:h-ansi=&quot;Cambria Math&quot;/&gt;&lt;wx:font wx:val=&quot;Cambria Math&quot;/&gt;&lt;w:i/&gt;&lt;w:sz-cs w:val=&quot;24&quot;/&gt;&lt;/w:rPr&gt;&lt;m:t&gt;P&lt;/m:t&gt;&lt;/m:r&gt;&lt;/m:e&gt;&lt;m:sub&gt;&lt;m:r&gt;&lt;w:rPr&gt;&lt;w:rFonts w:ascii=&quot;Cambria Math&quot; w:h-ansi=&quot;Cambria Math&quot;/&gt;&lt;wx:font wx:val=&quot;Cambria Math&quot;/&gt;&lt;w:i/&gt;&lt;w:sz-cs w:val=&quot;24&quot;/&gt;&lt;/w:rPr&gt;&lt;m:t&gt;BC&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0" o:title="" chromakey="white"/>
          </v:shape>
        </w:pict>
      </w:r>
      <w:r w:rsidR="00C9610D" w:rsidRPr="00EB11D3">
        <w:rPr>
          <w:szCs w:val="24"/>
        </w:rPr>
        <w:fldChar w:fldCharType="end"/>
      </w:r>
      <w:r w:rsidR="00C9610D" w:rsidRPr="00EB11D3">
        <w:rPr>
          <w:szCs w:val="24"/>
        </w:rPr>
        <w:t xml:space="preserve">; Accountability, </w:t>
      </w:r>
      <w:r w:rsidR="00C9610D" w:rsidRPr="00EB11D3">
        <w:rPr>
          <w:szCs w:val="24"/>
        </w:rPr>
        <w:fldChar w:fldCharType="begin"/>
      </w:r>
      <w:r w:rsidR="00C9610D" w:rsidRPr="00EB11D3">
        <w:rPr>
          <w:szCs w:val="24"/>
        </w:rPr>
        <w:instrText xml:space="preserve"> QUOTE </w:instrText>
      </w:r>
      <w:r>
        <w:rPr>
          <w:noProof/>
          <w:position w:val="-10"/>
        </w:rPr>
      </w:r>
      <w:r w:rsidR="000B0826">
        <w:rPr>
          <w:noProof/>
          <w:position w:val="-10"/>
        </w:rPr>
        <w:pict w14:anchorId="29B9EABD">
          <v:shape id="_x0000_i1042" type="#_x0000_t75" style="width:12pt;height:16.3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56A2&quot;/&gt;&lt;wsp:rsid wsp:val=&quot;00606D98&quot;/&gt;&lt;wsp:rsid wsp:val=&quot;00607BA0&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80C&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10D&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507F&quot;/&gt;&lt;wsp:rsid wsp:val=&quot;00DD5288&quot;/&gt;&lt;wsp:rsid wsp:val=&quot;00DD612A&quot;/&gt;&lt;wsp:rsid wsp:val=&quot;00DD71D1&quot;/&gt;&lt;wsp:rsid wsp:val=&quot;00DD7209&quot;/&gt;&lt;wsp:rsid wsp:val=&quot;00DD78DC&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80080C&quot; wsp:rsidRDefault=&quot;0080080C&quot; wsp:rsidP=&quot;0080080C&quot;&gt;&lt;m:oMathPara&gt;&lt;m:oMath&gt;&lt;m:sSub&gt;&lt;m:sSubPr&gt;&lt;m:ctrlPr&gt;&lt;w:rPr&gt;&lt;w:rFonts w:ascii=&quot;Cambria Math&quot; w:h-ansi=&quot;Cambria Math&quot;/&gt;&lt;wx:font wx:val=&quot;Cambria Math&quot;/&gt;&lt;w:i/&gt;&lt;w:sz-cs w:val=&quot;24&quot;/&gt;&lt;/w:rPr&gt;&lt;/m:ctrlPr&gt;&lt;/m:sSubPr&gt;&lt;m:e&gt;&lt;m:r&gt;&lt;w:rPr&gt;&lt;w:rFonts w:ascii=&quot;Cambria Math&quot; w:h-ansi=&quot;Cambria Math&quot;/&gt;&lt;wx:font wx:val=&quot;Cambria Math&quot;/&gt;&lt;w:i/&gt;&lt;w:sz-cs w:val=&quot;24&quot;/&gt;&lt;/w:rPr&gt;&lt;m:t&gt;P&lt;/m:t&gt;&lt;/m:r&gt;&lt;/m:e&gt;&lt;m:sub&gt;&lt;m:r&gt;&lt;w:rPr&gt;&lt;w:rFonts w:ascii=&quot;Cambria Math&quot; w:h-ansi=&quot;Cambria Math&quot;/&gt;&lt;wx:font wx:val=&quot;Cambria Math&quot;/&gt;&lt;w:i/&gt;&lt;w:sz-cs w:val=&quot;24&quot;/&gt;&lt;/w:rPr&gt;&lt;m:t&gt;A&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1" o:title="" chromakey="white"/>
          </v:shape>
        </w:pict>
      </w:r>
      <w:r w:rsidR="00C9610D" w:rsidRPr="00EB11D3">
        <w:rPr>
          <w:szCs w:val="24"/>
        </w:rPr>
        <w:instrText xml:space="preserve"> </w:instrText>
      </w:r>
      <w:r w:rsidR="00C9610D" w:rsidRPr="00EB11D3">
        <w:rPr>
          <w:szCs w:val="24"/>
        </w:rPr>
        <w:fldChar w:fldCharType="separate"/>
      </w:r>
      <w:r>
        <w:rPr>
          <w:noProof/>
          <w:position w:val="-10"/>
        </w:rPr>
      </w:r>
      <w:r w:rsidR="000B0826">
        <w:rPr>
          <w:noProof/>
          <w:position w:val="-10"/>
        </w:rPr>
        <w:pict w14:anchorId="0E5F30B6">
          <v:shape id="_x0000_i1043" type="#_x0000_t75" style="width:12pt;height:16.3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56A2&quot;/&gt;&lt;wsp:rsid wsp:val=&quot;00606D98&quot;/&gt;&lt;wsp:rsid wsp:val=&quot;00607BA0&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80C&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10D&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507F&quot;/&gt;&lt;wsp:rsid wsp:val=&quot;00DD5288&quot;/&gt;&lt;wsp:rsid wsp:val=&quot;00DD612A&quot;/&gt;&lt;wsp:rsid wsp:val=&quot;00DD71D1&quot;/&gt;&lt;wsp:rsid wsp:val=&quot;00DD7209&quot;/&gt;&lt;wsp:rsid wsp:val=&quot;00DD78DC&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80080C&quot; wsp:rsidRDefault=&quot;0080080C&quot; wsp:rsidP=&quot;0080080C&quot;&gt;&lt;m:oMathPara&gt;&lt;m:oMath&gt;&lt;m:sSub&gt;&lt;m:sSubPr&gt;&lt;m:ctrlPr&gt;&lt;w:rPr&gt;&lt;w:rFonts w:ascii=&quot;Cambria Math&quot; w:h-ansi=&quot;Cambria Math&quot;/&gt;&lt;wx:font wx:val=&quot;Cambria Math&quot;/&gt;&lt;w:i/&gt;&lt;w:sz-cs w:val=&quot;24&quot;/&gt;&lt;/w:rPr&gt;&lt;/m:ctrlPr&gt;&lt;/m:sSubPr&gt;&lt;m:e&gt;&lt;m:r&gt;&lt;w:rPr&gt;&lt;w:rFonts w:ascii=&quot;Cambria Math&quot; w:h-ansi=&quot;Cambria Math&quot;/&gt;&lt;wx:font wx:val=&quot;Cambria Math&quot;/&gt;&lt;w:i/&gt;&lt;w:sz-cs w:val=&quot;24&quot;/&gt;&lt;/w:rPr&gt;&lt;m:t&gt;P&lt;/m:t&gt;&lt;/m:r&gt;&lt;/m:e&gt;&lt;m:sub&gt;&lt;m:r&gt;&lt;w:rPr&gt;&lt;w:rFonts w:ascii=&quot;Cambria Math&quot; w:h-ansi=&quot;Cambria Math&quot;/&gt;&lt;wx:font wx:val=&quot;Cambria Math&quot;/&gt;&lt;w:i/&gt;&lt;w:sz-cs w:val=&quot;24&quot;/&gt;&lt;/w:rPr&gt;&lt;m:t&gt;A&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1" o:title="" chromakey="white"/>
          </v:shape>
        </w:pict>
      </w:r>
      <w:r w:rsidR="00C9610D" w:rsidRPr="00EB11D3">
        <w:rPr>
          <w:szCs w:val="24"/>
        </w:rPr>
        <w:fldChar w:fldCharType="end"/>
      </w:r>
      <w:r w:rsidR="00C9610D" w:rsidRPr="00EB11D3">
        <w:rPr>
          <w:szCs w:val="24"/>
        </w:rPr>
        <w:t>; Transparency</w:t>
      </w:r>
      <w:r w:rsidR="00C9610D" w:rsidRPr="00EB11D3">
        <w:rPr>
          <w:bCs/>
          <w:szCs w:val="24"/>
        </w:rPr>
        <w:t>,</w:t>
      </w:r>
      <w:r w:rsidR="00C9610D" w:rsidRPr="00EB11D3">
        <w:rPr>
          <w:szCs w:val="24"/>
        </w:rPr>
        <w:fldChar w:fldCharType="begin"/>
      </w:r>
      <w:r w:rsidR="00C9610D" w:rsidRPr="00EB11D3">
        <w:rPr>
          <w:szCs w:val="24"/>
        </w:rPr>
        <w:instrText xml:space="preserve"> QUOTE </w:instrText>
      </w:r>
      <w:r>
        <w:rPr>
          <w:noProof/>
          <w:position w:val="-10"/>
        </w:rPr>
      </w:r>
      <w:r w:rsidR="000B0826">
        <w:rPr>
          <w:noProof/>
          <w:position w:val="-10"/>
        </w:rPr>
        <w:pict w14:anchorId="1ED86B77">
          <v:shape id="_x0000_i1044" type="#_x0000_t75" style="width:12.85pt;height:16.3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56A2&quot;/&gt;&lt;wsp:rsid wsp:val=&quot;00606D98&quot;/&gt;&lt;wsp:rsid wsp:val=&quot;00607BA0&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10D&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507F&quot;/&gt;&lt;wsp:rsid wsp:val=&quot;00DD5288&quot;/&gt;&lt;wsp:rsid wsp:val=&quot;00DD612A&quot;/&gt;&lt;wsp:rsid wsp:val=&quot;00DD71D1&quot;/&gt;&lt;wsp:rsid wsp:val=&quot;00DD7209&quot;/&gt;&lt;wsp:rsid wsp:val=&quot;00DD78DC&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7EE&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FB07EE&quot; wsp:rsidRDefault=&quot;00FB07EE&quot; wsp:rsidP=&quot;00FB07EE&quot;&gt;&lt;m:oMathPara&gt;&lt;m:oMath&gt;&lt;m:sSub&gt;&lt;m:sSubPr&gt;&lt;m:ctrlPr&gt;&lt;w:rPr&gt;&lt;w:rFonts w:ascii=&quot;Cambria Math&quot; w:fareast=&quot;Calibri&quot; w:h-ansi=&quot;Cambria Math&quot;/&gt;&lt;wx:font wx:val=&quot;Cambria Math&quot;/&gt;&lt;w:i/&gt;&lt;w:sz-cs w:val=&quot;24&quot;/&gt;&lt;/w:rPr&gt;&lt;/m:ctrlPr&gt;&lt;/m:sSubPr&gt;&lt;m:e&gt;&lt;m:r&gt;&lt;w:rPr&gt;&lt;w:rFonts w:ascii=&quot;Cambria Math&quot; w:fareast=&quot;Calibri&quot; w:h-ansi=&quot;Cambria Math&quot;/&gt;&lt;wx:font wx:val=&quot;Cambria Math&quot;/&gt;&lt;w:i/&gt;&lt;w:sz-cs w:val=&quot;24&quot;/&gt;&lt;/w:rPr&gt;&lt;m:t&gt;P&lt;/m:t&gt;&lt;/m:r&gt;&lt;/m:e&gt;&lt;m:sub&gt;&lt;m:r&gt;&lt;w:rPr&gt;&lt;w:rFonts w:ascii=&quot;Cambria Math&quot; w:fareast=&quot;Calibri&quot; w:h-ansi=&quot;Cambria Math&quot;/&gt;&lt;wx:font wx:val=&quot;Cambria Math&quot;/&gt;&lt;w:i/&gt;&lt;w:sz-cs w:val=&quot;24&quot;/&gt;&lt;/w:rPr&gt;&lt;m:t&gt;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2" o:title="" chromakey="white"/>
          </v:shape>
        </w:pict>
      </w:r>
      <w:r w:rsidR="00C9610D" w:rsidRPr="00EB11D3">
        <w:rPr>
          <w:szCs w:val="24"/>
        </w:rPr>
        <w:instrText xml:space="preserve"> </w:instrText>
      </w:r>
      <w:r w:rsidR="00C9610D" w:rsidRPr="00EB11D3">
        <w:rPr>
          <w:szCs w:val="24"/>
        </w:rPr>
        <w:fldChar w:fldCharType="separate"/>
      </w:r>
      <w:r>
        <w:rPr>
          <w:noProof/>
          <w:position w:val="-10"/>
        </w:rPr>
      </w:r>
      <w:r w:rsidR="000B0826">
        <w:rPr>
          <w:noProof/>
          <w:position w:val="-10"/>
        </w:rPr>
        <w:pict w14:anchorId="3CFA3C52">
          <v:shape id="_x0000_i1045" type="#_x0000_t75" style="width:12.85pt;height:16.3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56A2&quot;/&gt;&lt;wsp:rsid wsp:val=&quot;00606D98&quot;/&gt;&lt;wsp:rsid wsp:val=&quot;00607BA0&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10D&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507F&quot;/&gt;&lt;wsp:rsid wsp:val=&quot;00DD5288&quot;/&gt;&lt;wsp:rsid wsp:val=&quot;00DD612A&quot;/&gt;&lt;wsp:rsid wsp:val=&quot;00DD71D1&quot;/&gt;&lt;wsp:rsid wsp:val=&quot;00DD7209&quot;/&gt;&lt;wsp:rsid wsp:val=&quot;00DD78DC&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7EE&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FB07EE&quot; wsp:rsidRDefault=&quot;00FB07EE&quot; wsp:rsidP=&quot;00FB07EE&quot;&gt;&lt;m:oMathPara&gt;&lt;m:oMath&gt;&lt;m:sSub&gt;&lt;m:sSubPr&gt;&lt;m:ctrlPr&gt;&lt;w:rPr&gt;&lt;w:rFonts w:ascii=&quot;Cambria Math&quot; w:fareast=&quot;Calibri&quot; w:h-ansi=&quot;Cambria Math&quot;/&gt;&lt;wx:font wx:val=&quot;Cambria Math&quot;/&gt;&lt;w:i/&gt;&lt;w:sz-cs w:val=&quot;24&quot;/&gt;&lt;/w:rPr&gt;&lt;/m:ctrlPr&gt;&lt;/m:sSubPr&gt;&lt;m:e&gt;&lt;m:r&gt;&lt;w:rPr&gt;&lt;w:rFonts w:ascii=&quot;Cambria Math&quot; w:fareast=&quot;Calibri&quot; w:h-ansi=&quot;Cambria Math&quot;/&gt;&lt;wx:font wx:val=&quot;Cambria Math&quot;/&gt;&lt;w:i/&gt;&lt;w:sz-cs w:val=&quot;24&quot;/&gt;&lt;/w:rPr&gt;&lt;m:t&gt;P&lt;/m:t&gt;&lt;/m:r&gt;&lt;/m:e&gt;&lt;m:sub&gt;&lt;m:r&gt;&lt;w:rPr&gt;&lt;w:rFonts w:ascii=&quot;Cambria Math&quot; w:fareast=&quot;Calibri&quot; w:h-ansi=&quot;Cambria Math&quot;/&gt;&lt;wx:font wx:val=&quot;Cambria Math&quot;/&gt;&lt;w:i/&gt;&lt;w:sz-cs w:val=&quot;24&quot;/&gt;&lt;/w:rPr&gt;&lt;m:t&gt;T&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2" o:title="" chromakey="white"/>
          </v:shape>
        </w:pict>
      </w:r>
      <w:r w:rsidR="00C9610D" w:rsidRPr="00EB11D3">
        <w:rPr>
          <w:szCs w:val="24"/>
        </w:rPr>
        <w:fldChar w:fldCharType="end"/>
      </w:r>
      <w:r w:rsidR="00C9610D" w:rsidRPr="00EB11D3">
        <w:rPr>
          <w:szCs w:val="24"/>
        </w:rPr>
        <w:t>; Responsibility</w:t>
      </w:r>
      <w:r w:rsidR="00C9610D" w:rsidRPr="00EB11D3">
        <w:rPr>
          <w:bCs/>
          <w:szCs w:val="24"/>
        </w:rPr>
        <w:t>,</w:t>
      </w:r>
      <w:r w:rsidR="00C9610D" w:rsidRPr="00EB11D3">
        <w:rPr>
          <w:rFonts w:eastAsia="Times New Roman"/>
          <w:szCs w:val="24"/>
        </w:rPr>
        <w:fldChar w:fldCharType="begin"/>
      </w:r>
      <w:r w:rsidR="00C9610D" w:rsidRPr="00EB11D3">
        <w:rPr>
          <w:rFonts w:eastAsia="Times New Roman"/>
          <w:szCs w:val="24"/>
        </w:rPr>
        <w:instrText xml:space="preserve"> QUOTE </w:instrText>
      </w:r>
      <w:r>
        <w:rPr>
          <w:noProof/>
          <w:position w:val="-10"/>
        </w:rPr>
      </w:r>
      <w:r w:rsidR="000B0826">
        <w:rPr>
          <w:noProof/>
          <w:position w:val="-10"/>
        </w:rPr>
        <w:pict w14:anchorId="6529E6E0">
          <v:shape id="_x0000_i1046" type="#_x0000_t75" style="width:12.85pt;height:16.3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5CB&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56A2&quot;/&gt;&lt;wsp:rsid wsp:val=&quot;00606D98&quot;/&gt;&lt;wsp:rsid wsp:val=&quot;00607BA0&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10D&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507F&quot;/&gt;&lt;wsp:rsid wsp:val=&quot;00DD5288&quot;/&gt;&lt;wsp:rsid wsp:val=&quot;00DD612A&quot;/&gt;&lt;wsp:rsid wsp:val=&quot;00DD71D1&quot;/&gt;&lt;wsp:rsid wsp:val=&quot;00DD7209&quot;/&gt;&lt;wsp:rsid wsp:val=&quot;00DD78DC&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5455CB&quot; wsp:rsidRDefault=&quot;005455CB&quot; wsp:rsidP=&quot;005455CB&quot;&gt;&lt;m:oMathPara&gt;&lt;m:oMath&gt;&lt;m:sSub&gt;&lt;m:sSubPr&gt;&lt;m:ctrlPr&gt;&lt;w:rPr&gt;&lt;w:rFonts w:ascii=&quot;Cambria Math&quot; w:h-ansi=&quot;Cambria Math&quot;/&gt;&lt;wx:font wx:val=&quot;Cambria Math&quot;/&gt;&lt;w:i/&gt;&lt;w:sz-cs w:val=&quot;24&quot;/&gt;&lt;/w:rPr&gt;&lt;/m:ctrlPr&gt;&lt;/m:sSubPr&gt;&lt;m:e&gt;&lt;m:r&gt;&lt;w:rPr&gt;&lt;w:rFonts w:ascii=&quot;Cambria Math&quot; w:h-ansi=&quot;Cambria Math&quot;/&gt;&lt;wx:font wx:val=&quot;Cambria Math&quot;/&gt;&lt;w:i/&gt;&lt;w:sz-cs w:val=&quot;24&quot;/&gt;&lt;/w:rPr&gt;&lt;m:t&gt;P&lt;/m:t&gt;&lt;/m:r&gt;&lt;/m:e&gt;&lt;m:sub&gt;&lt;m:r&gt;&lt;w:rPr&gt;&lt;w:rFonts w:ascii=&quot;Cambria Math&quot; w:h-ansi=&quot;Cambria Math&quot;/&gt;&lt;wx:font wx:val=&quot;Cambria Math&quot;/&gt;&lt;w:i/&gt;&lt;w:sz-cs w:val=&quot;24&quot;/&gt;&lt;/w:rPr&gt;&lt;m:t&gt;R&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3" o:title="" chromakey="white"/>
          </v:shape>
        </w:pict>
      </w:r>
      <w:r w:rsidR="00C9610D" w:rsidRPr="00EB11D3">
        <w:rPr>
          <w:rFonts w:eastAsia="Times New Roman"/>
          <w:szCs w:val="24"/>
        </w:rPr>
        <w:instrText xml:space="preserve"> </w:instrText>
      </w:r>
      <w:r w:rsidR="00C9610D" w:rsidRPr="00EB11D3">
        <w:rPr>
          <w:rFonts w:eastAsia="Times New Roman"/>
          <w:szCs w:val="24"/>
        </w:rPr>
        <w:fldChar w:fldCharType="separate"/>
      </w:r>
      <w:r>
        <w:rPr>
          <w:noProof/>
          <w:position w:val="-10"/>
        </w:rPr>
      </w:r>
      <w:r w:rsidR="000B0826">
        <w:rPr>
          <w:noProof/>
          <w:position w:val="-10"/>
        </w:rPr>
        <w:pict w14:anchorId="3F05AD21">
          <v:shape id="_x0000_i1047" type="#_x0000_t75" style="width:12.85pt;height:16.3pt" equationxml="&lt;?xml version=&quot;1.0&quot; encoding=&quot;UTF-8&quot; standalone=&quot;yes&quot;?&gt;&#13;&#10;&#13;&#10;&#13;&#10;&lt;?mso-application progid=&quot;Word.Document&quot;?&gt;&#13;&#10;&#13;&#10;&#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16du=&quot;http://schemas.microsoft.com/office/word/2023/wordml/word16du&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doNotEmbedSystemFonts/&gt;&lt;w:defaultTabStop w:val=&quot;720&quot;/&gt;&lt;w:punctuationKerning/&gt;&lt;w:characterSpacingControl w:val=&quot;DontCompress&quot;/&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docVars&gt;&lt;w:docVar w:name=&quot;__Grammarly_42____i&quot; w:val=&quot;H4sIAAAAAAAEAKtWckksSQxILCpxzi/NK1GyMqwFAAEhoTITAAAA&quot;/&gt;&lt;w:docVar w:name=&quot;__Grammarly_42___1&quot; w:val=&quot;H4sIAAAAAAAEAKtWcslP9kxRslIyNDY2MjMyB2IzSwsDc3MjIyUdpeDU4uLM/DyQAiOjWgAC51b3LQAAAA==&quot;/&gt;&lt;/w:docVars&gt;&lt;wsp:rsids&gt;&lt;wsp:rsidRoot wsp:val=&quot;006B3D84&quot;/&gt;&lt;wsp:rsid wsp:val=&quot;0000002B&quot;/&gt;&lt;wsp:rsid wsp:val=&quot;000010E9&quot;/&gt;&lt;wsp:rsid wsp:val=&quot;0000436C&quot;/&gt;&lt;wsp:rsid wsp:val=&quot;00004F82&quot;/&gt;&lt;wsp:rsid wsp:val=&quot;0000641A&quot;/&gt;&lt;wsp:rsid wsp:val=&quot;0000661C&quot;/&gt;&lt;wsp:rsid wsp:val=&quot;000070C7&quot;/&gt;&lt;wsp:rsid wsp:val=&quot;00007E09&quot;/&gt;&lt;wsp:rsid wsp:val=&quot;00010734&quot;/&gt;&lt;wsp:rsid wsp:val=&quot;00010A16&quot;/&gt;&lt;wsp:rsid wsp:val=&quot;000118DF&quot;/&gt;&lt;wsp:rsid wsp:val=&quot;0001196C&quot;/&gt;&lt;wsp:rsid wsp:val=&quot;0001411F&quot;/&gt;&lt;wsp:rsid wsp:val=&quot;0001440B&quot;/&gt;&lt;wsp:rsid wsp:val=&quot;000169ED&quot;/&gt;&lt;wsp:rsid wsp:val=&quot;00016BD0&quot;/&gt;&lt;wsp:rsid wsp:val=&quot;00017BB6&quot;/&gt;&lt;wsp:rsid wsp:val=&quot;000209E4&quot;/&gt;&lt;wsp:rsid wsp:val=&quot;00020C78&quot;/&gt;&lt;wsp:rsid wsp:val=&quot;00021EDA&quot;/&gt;&lt;wsp:rsid wsp:val=&quot;000244D6&quot;/&gt;&lt;wsp:rsid wsp:val=&quot;0002522A&quot;/&gt;&lt;wsp:rsid wsp:val=&quot;00025950&quot;/&gt;&lt;wsp:rsid wsp:val=&quot;000265C6&quot;/&gt;&lt;wsp:rsid wsp:val=&quot;00027DAF&quot;/&gt;&lt;wsp:rsid wsp:val=&quot;0003097B&quot;/&gt;&lt;wsp:rsid wsp:val=&quot;000347DC&quot;/&gt;&lt;wsp:rsid wsp:val=&quot;00034EBC&quot;/&gt;&lt;wsp:rsid wsp:val=&quot;00035239&quot;/&gt;&lt;wsp:rsid wsp:val=&quot;00035B2F&quot;/&gt;&lt;wsp:rsid wsp:val=&quot;000368A9&quot;/&gt;&lt;wsp:rsid wsp:val=&quot;00037D8C&quot;/&gt;&lt;wsp:rsid wsp:val=&quot;00040553&quot;/&gt;&lt;wsp:rsid wsp:val=&quot;00041F01&quot;/&gt;&lt;wsp:rsid wsp:val=&quot;00043A6D&quot;/&gt;&lt;wsp:rsid wsp:val=&quot;00044112&quot;/&gt;&lt;wsp:rsid wsp:val=&quot;00044EA9&quot;/&gt;&lt;wsp:rsid wsp:val=&quot;00046AB1&quot;/&gt;&lt;wsp:rsid wsp:val=&quot;00047E40&quot;/&gt;&lt;wsp:rsid wsp:val=&quot;00050679&quot;/&gt;&lt;wsp:rsid wsp:val=&quot;00050900&quot;/&gt;&lt;wsp:rsid wsp:val=&quot;00052363&quot;/&gt;&lt;wsp:rsid wsp:val=&quot;00052672&quot;/&gt;&lt;wsp:rsid wsp:val=&quot;00052AD2&quot;/&gt;&lt;wsp:rsid wsp:val=&quot;00052E68&quot;/&gt;&lt;wsp:rsid wsp:val=&quot;000551D9&quot;/&gt;&lt;wsp:rsid wsp:val=&quot;0005551C&quot;/&gt;&lt;wsp:rsid wsp:val=&quot;000568C6&quot;/&gt;&lt;wsp:rsid wsp:val=&quot;00060454&quot;/&gt;&lt;wsp:rsid wsp:val=&quot;00062729&quot;/&gt;&lt;wsp:rsid wsp:val=&quot;00062FE3&quot;/&gt;&lt;wsp:rsid wsp:val=&quot;00065B34&quot;/&gt;&lt;wsp:rsid wsp:val=&quot;00066328&quot;/&gt;&lt;wsp:rsid wsp:val=&quot;00067477&quot;/&gt;&lt;wsp:rsid wsp:val=&quot;00067840&quot;/&gt;&lt;wsp:rsid wsp:val=&quot;000704D6&quot;/&gt;&lt;wsp:rsid wsp:val=&quot;00071213&quot;/&gt;&lt;wsp:rsid wsp:val=&quot;00072AD1&quot;/&gt;&lt;wsp:rsid wsp:val=&quot;000737CE&quot;/&gt;&lt;wsp:rsid wsp:val=&quot;000760FC&quot;/&gt;&lt;wsp:rsid wsp:val=&quot;00076A33&quot;/&gt;&lt;wsp:rsid wsp:val=&quot;0007742A&quot;/&gt;&lt;wsp:rsid wsp:val=&quot;00077DDD&quot;/&gt;&lt;wsp:rsid wsp:val=&quot;00080B3D&quot;/&gt;&lt;wsp:rsid wsp:val=&quot;00081CE8&quot;/&gt;&lt;wsp:rsid wsp:val=&quot;00084262&quot;/&gt;&lt;wsp:rsid wsp:val=&quot;00084870&quot;/&gt;&lt;wsp:rsid wsp:val=&quot;00090C25&quot;/&gt;&lt;wsp:rsid wsp:val=&quot;00090D43&quot;/&gt;&lt;wsp:rsid wsp:val=&quot;00092B22&quot;/&gt;&lt;wsp:rsid wsp:val=&quot;0009422E&quot;/&gt;&lt;wsp:rsid wsp:val=&quot;00094AFC&quot;/&gt;&lt;wsp:rsid wsp:val=&quot;000953E2&quot;/&gt;&lt;wsp:rsid wsp:val=&quot;0009683A&quot;/&gt;&lt;wsp:rsid wsp:val=&quot;00097404&quot;/&gt;&lt;wsp:rsid wsp:val=&quot;00097CEE&quot;/&gt;&lt;wsp:rsid wsp:val=&quot;000A0421&quot;/&gt;&lt;wsp:rsid wsp:val=&quot;000A18D7&quot;/&gt;&lt;wsp:rsid wsp:val=&quot;000A2D67&quot;/&gt;&lt;wsp:rsid wsp:val=&quot;000A3CC0&quot;/&gt;&lt;wsp:rsid wsp:val=&quot;000A3D4D&quot;/&gt;&lt;wsp:rsid wsp:val=&quot;000A49C7&quot;/&gt;&lt;wsp:rsid wsp:val=&quot;000A4BA3&quot;/&gt;&lt;wsp:rsid wsp:val=&quot;000A5CE5&quot;/&gt;&lt;wsp:rsid wsp:val=&quot;000A6181&quot;/&gt;&lt;wsp:rsid wsp:val=&quot;000A64E7&quot;/&gt;&lt;wsp:rsid wsp:val=&quot;000A6BBD&quot;/&gt;&lt;wsp:rsid wsp:val=&quot;000A730C&quot;/&gt;&lt;wsp:rsid wsp:val=&quot;000A77F0&quot;/&gt;&lt;wsp:rsid wsp:val=&quot;000A7DB4&quot;/&gt;&lt;wsp:rsid wsp:val=&quot;000B1367&quot;/&gt;&lt;wsp:rsid wsp:val=&quot;000B17B2&quot;/&gt;&lt;wsp:rsid wsp:val=&quot;000B35F0&quot;/&gt;&lt;wsp:rsid wsp:val=&quot;000B4D4E&quot;/&gt;&lt;wsp:rsid wsp:val=&quot;000B5128&quot;/&gt;&lt;wsp:rsid wsp:val=&quot;000B61D7&quot;/&gt;&lt;wsp:rsid wsp:val=&quot;000B78D6&quot;/&gt;&lt;wsp:rsid wsp:val=&quot;000B7F91&quot;/&gt;&lt;wsp:rsid wsp:val=&quot;000C0F99&quot;/&gt;&lt;wsp:rsid wsp:val=&quot;000C4DB0&quot;/&gt;&lt;wsp:rsid wsp:val=&quot;000C509A&quot;/&gt;&lt;wsp:rsid wsp:val=&quot;000C5833&quot;/&gt;&lt;wsp:rsid wsp:val=&quot;000C589F&quot;/&gt;&lt;wsp:rsid wsp:val=&quot;000C7A90&quot;/&gt;&lt;wsp:rsid wsp:val=&quot;000D1015&quot;/&gt;&lt;wsp:rsid wsp:val=&quot;000D2220&quot;/&gt;&lt;wsp:rsid wsp:val=&quot;000D3576&quot;/&gt;&lt;wsp:rsid wsp:val=&quot;000D4B40&quot;/&gt;&lt;wsp:rsid wsp:val=&quot;000D4EDF&quot;/&gt;&lt;wsp:rsid wsp:val=&quot;000D5564&quot;/&gt;&lt;wsp:rsid wsp:val=&quot;000D666C&quot;/&gt;&lt;wsp:rsid wsp:val=&quot;000E1941&quot;/&gt;&lt;wsp:rsid wsp:val=&quot;000E21B0&quot;/&gt;&lt;wsp:rsid wsp:val=&quot;000E2390&quot;/&gt;&lt;wsp:rsid wsp:val=&quot;000E2461&quot;/&gt;&lt;wsp:rsid wsp:val=&quot;000E276A&quot;/&gt;&lt;wsp:rsid wsp:val=&quot;000E2C14&quot;/&gt;&lt;wsp:rsid wsp:val=&quot;000E4015&quot;/&gt;&lt;wsp:rsid wsp:val=&quot;000E47F3&quot;/&gt;&lt;wsp:rsid wsp:val=&quot;000E638C&quot;/&gt;&lt;wsp:rsid wsp:val=&quot;000E75C4&quot;/&gt;&lt;wsp:rsid wsp:val=&quot;000E76DB&quot;/&gt;&lt;wsp:rsid wsp:val=&quot;000F1E1D&quot;/&gt;&lt;wsp:rsid wsp:val=&quot;000F1EE3&quot;/&gt;&lt;wsp:rsid wsp:val=&quot;000F276F&quot;/&gt;&lt;wsp:rsid wsp:val=&quot;000F3778&quot;/&gt;&lt;wsp:rsid wsp:val=&quot;000F4B75&quot;/&gt;&lt;wsp:rsid wsp:val=&quot;000F4C11&quot;/&gt;&lt;wsp:rsid wsp:val=&quot;000F5749&quot;/&gt;&lt;wsp:rsid wsp:val=&quot;000F78DD&quot;/&gt;&lt;wsp:rsid wsp:val=&quot;001005E9&quot;/&gt;&lt;wsp:rsid wsp:val=&quot;00101C05&quot;/&gt;&lt;wsp:rsid wsp:val=&quot;00101E74&quot;/&gt;&lt;wsp:rsid wsp:val=&quot;00103FD2&quot;/&gt;&lt;wsp:rsid wsp:val=&quot;00104903&quot;/&gt;&lt;wsp:rsid wsp:val=&quot;00110F0D&quot;/&gt;&lt;wsp:rsid wsp:val=&quot;0011177F&quot;/&gt;&lt;wsp:rsid wsp:val=&quot;001148D9&quot;/&gt;&lt;wsp:rsid wsp:val=&quot;00114998&quot;/&gt;&lt;wsp:rsid wsp:val=&quot;00114D39&quot;/&gt;&lt;wsp:rsid wsp:val=&quot;00116D7F&quot;/&gt;&lt;wsp:rsid wsp:val=&quot;00120818&quot;/&gt;&lt;wsp:rsid wsp:val=&quot;00120E32&quot;/&gt;&lt;wsp:rsid wsp:val=&quot;001215DC&quot;/&gt;&lt;wsp:rsid wsp:val=&quot;00121718&quot;/&gt;&lt;wsp:rsid wsp:val=&quot;0012198E&quot;/&gt;&lt;wsp:rsid wsp:val=&quot;001222D9&quot;/&gt;&lt;wsp:rsid wsp:val=&quot;00122B09&quot;/&gt;&lt;wsp:rsid wsp:val=&quot;00122C67&quot;/&gt;&lt;wsp:rsid wsp:val=&quot;00124B2C&quot;/&gt;&lt;wsp:rsid wsp:val=&quot;00125934&quot;/&gt;&lt;wsp:rsid wsp:val=&quot;00125D9B&quot;/&gt;&lt;wsp:rsid wsp:val=&quot;00125FC2&quot;/&gt;&lt;wsp:rsid wsp:val=&quot;001270DE&quot;/&gt;&lt;wsp:rsid wsp:val=&quot;001275E7&quot;/&gt;&lt;wsp:rsid wsp:val=&quot;00127DA3&quot;/&gt;&lt;wsp:rsid wsp:val=&quot;00127F1D&quot;/&gt;&lt;wsp:rsid wsp:val=&quot;00127FE9&quot;/&gt;&lt;wsp:rsid wsp:val=&quot;0013138C&quot;/&gt;&lt;wsp:rsid wsp:val=&quot;0013281F&quot;/&gt;&lt;wsp:rsid wsp:val=&quot;00132B2A&quot;/&gt;&lt;wsp:rsid wsp:val=&quot;00132CAB&quot;/&gt;&lt;wsp:rsid wsp:val=&quot;00134524&quot;/&gt;&lt;wsp:rsid wsp:val=&quot;00134B5A&quot;/&gt;&lt;wsp:rsid wsp:val=&quot;00136E4E&quot;/&gt;&lt;wsp:rsid wsp:val=&quot;00136F7F&quot;/&gt;&lt;wsp:rsid wsp:val=&quot;0013756B&quot;/&gt;&lt;wsp:rsid wsp:val=&quot;00137CBE&quot;/&gt;&lt;wsp:rsid wsp:val=&quot;00141585&quot;/&gt;&lt;wsp:rsid wsp:val=&quot;00141F11&quot;/&gt;&lt;wsp:rsid wsp:val=&quot;00142793&quot;/&gt;&lt;wsp:rsid wsp:val=&quot;00142C89&quot;/&gt;&lt;wsp:rsid wsp:val=&quot;00142F99&quot;/&gt;&lt;wsp:rsid wsp:val=&quot;001438F4&quot;/&gt;&lt;wsp:rsid wsp:val=&quot;0014460A&quot;/&gt;&lt;wsp:rsid wsp:val=&quot;00144C74&quot;/&gt;&lt;wsp:rsid wsp:val=&quot;00146C48&quot;/&gt;&lt;wsp:rsid wsp:val=&quot;00156159&quot;/&gt;&lt;wsp:rsid wsp:val=&quot;001577DC&quot;/&gt;&lt;wsp:rsid wsp:val=&quot;00160EAE&quot;/&gt;&lt;wsp:rsid wsp:val=&quot;00160FD5&quot;/&gt;&lt;wsp:rsid wsp:val=&quot;00162CDB&quot;/&gt;&lt;wsp:rsid wsp:val=&quot;00162E7C&quot;/&gt;&lt;wsp:rsid wsp:val=&quot;0016491E&quot;/&gt;&lt;wsp:rsid wsp:val=&quot;00165C6F&quot;/&gt;&lt;wsp:rsid wsp:val=&quot;00166211&quot;/&gt;&lt;wsp:rsid wsp:val=&quot;00170E8B&quot;/&gt;&lt;wsp:rsid wsp:val=&quot;001719D5&quot;/&gt;&lt;wsp:rsid wsp:val=&quot;00174F25&quot;/&gt;&lt;wsp:rsid wsp:val=&quot;001754DA&quot;/&gt;&lt;wsp:rsid wsp:val=&quot;00175658&quot;/&gt;&lt;wsp:rsid wsp:val=&quot;00176112&quot;/&gt;&lt;wsp:rsid wsp:val=&quot;0017782A&quot;/&gt;&lt;wsp:rsid wsp:val=&quot;00177963&quot;/&gt;&lt;wsp:rsid wsp:val=&quot;00177DD8&quot;/&gt;&lt;wsp:rsid wsp:val=&quot;00180149&quot;/&gt;&lt;wsp:rsid wsp:val=&quot;001821E2&quot;/&gt;&lt;wsp:rsid wsp:val=&quot;001830DC&quot;/&gt;&lt;wsp:rsid wsp:val=&quot;00183867&quot;/&gt;&lt;wsp:rsid wsp:val=&quot;00183DF1&quot;/&gt;&lt;wsp:rsid wsp:val=&quot;00184577&quot;/&gt;&lt;wsp:rsid wsp:val=&quot;00184834&quot;/&gt;&lt;wsp:rsid wsp:val=&quot;00184F6A&quot;/&gt;&lt;wsp:rsid wsp:val=&quot;00185AA0&quot;/&gt;&lt;wsp:rsid wsp:val=&quot;0018617E&quot;/&gt;&lt;wsp:rsid wsp:val=&quot;00186623&quot;/&gt;&lt;wsp:rsid wsp:val=&quot;001903B2&quot;/&gt;&lt;wsp:rsid wsp:val=&quot;00191C3F&quot;/&gt;&lt;wsp:rsid wsp:val=&quot;00192D27&quot;/&gt;&lt;wsp:rsid wsp:val=&quot;0019359D&quot;/&gt;&lt;wsp:rsid wsp:val=&quot;0019452B&quot;/&gt;&lt;wsp:rsid wsp:val=&quot;001950AD&quot;/&gt;&lt;wsp:rsid wsp:val=&quot;00195AA6&quot;/&gt;&lt;wsp:rsid wsp:val=&quot;00195B09&quot;/&gt;&lt;wsp:rsid wsp:val=&quot;00196FFC&quot;/&gt;&lt;wsp:rsid wsp:val=&quot;0019729B&quot;/&gt;&lt;wsp:rsid wsp:val=&quot;00197732&quot;/&gt;&lt;wsp:rsid wsp:val=&quot;001A0CE8&quot;/&gt;&lt;wsp:rsid wsp:val=&quot;001A0D90&quot;/&gt;&lt;wsp:rsid wsp:val=&quot;001A1D1B&quot;/&gt;&lt;wsp:rsid wsp:val=&quot;001A200A&quot;/&gt;&lt;wsp:rsid wsp:val=&quot;001A2C73&quot;/&gt;&lt;wsp:rsid wsp:val=&quot;001A3FC5&quot;/&gt;&lt;wsp:rsid wsp:val=&quot;001A49CD&quot;/&gt;&lt;wsp:rsid wsp:val=&quot;001A7756&quot;/&gt;&lt;wsp:rsid wsp:val=&quot;001A7BBD&quot;/&gt;&lt;wsp:rsid wsp:val=&quot;001A7F39&quot;/&gt;&lt;wsp:rsid wsp:val=&quot;001B09F1&quot;/&gt;&lt;wsp:rsid wsp:val=&quot;001B112B&quot;/&gt;&lt;wsp:rsid wsp:val=&quot;001B11AC&quot;/&gt;&lt;wsp:rsid wsp:val=&quot;001B2B8B&quot;/&gt;&lt;wsp:rsid wsp:val=&quot;001B3E81&quot;/&gt;&lt;wsp:rsid wsp:val=&quot;001B4045&quot;/&gt;&lt;wsp:rsid wsp:val=&quot;001B665C&quot;/&gt;&lt;wsp:rsid wsp:val=&quot;001C147F&quot;/&gt;&lt;wsp:rsid wsp:val=&quot;001C2675&quot;/&gt;&lt;wsp:rsid wsp:val=&quot;001C2DA3&quot;/&gt;&lt;wsp:rsid wsp:val=&quot;001C3CF2&quot;/&gt;&lt;wsp:rsid wsp:val=&quot;001C4587&quot;/&gt;&lt;wsp:rsid wsp:val=&quot;001C4C15&quot;/&gt;&lt;wsp:rsid wsp:val=&quot;001C5B7F&quot;/&gt;&lt;wsp:rsid wsp:val=&quot;001C6075&quot;/&gt;&lt;wsp:rsid wsp:val=&quot;001C6FD8&quot;/&gt;&lt;wsp:rsid wsp:val=&quot;001D0079&quot;/&gt;&lt;wsp:rsid wsp:val=&quot;001D02CE&quot;/&gt;&lt;wsp:rsid wsp:val=&quot;001D0899&quot;/&gt;&lt;wsp:rsid wsp:val=&quot;001D0A78&quot;/&gt;&lt;wsp:rsid wsp:val=&quot;001D0B60&quot;/&gt;&lt;wsp:rsid wsp:val=&quot;001D1337&quot;/&gt;&lt;wsp:rsid wsp:val=&quot;001D279B&quot;/&gt;&lt;wsp:rsid wsp:val=&quot;001D2874&quot;/&gt;&lt;wsp:rsid wsp:val=&quot;001D2A7C&quot;/&gt;&lt;wsp:rsid wsp:val=&quot;001D2CB4&quot;/&gt;&lt;wsp:rsid wsp:val=&quot;001D3B37&quot;/&gt;&lt;wsp:rsid wsp:val=&quot;001D4CD6&quot;/&gt;&lt;wsp:rsid wsp:val=&quot;001D7A04&quot;/&gt;&lt;wsp:rsid wsp:val=&quot;001D7E57&quot;/&gt;&lt;wsp:rsid wsp:val=&quot;001E0504&quot;/&gt;&lt;wsp:rsid wsp:val=&quot;001E4027&quot;/&gt;&lt;wsp:rsid wsp:val=&quot;001E4D08&quot;/&gt;&lt;wsp:rsid wsp:val=&quot;001E6561&quot;/&gt;&lt;wsp:rsid wsp:val=&quot;001E683D&quot;/&gt;&lt;wsp:rsid wsp:val=&quot;001E78D1&quot;/&gt;&lt;wsp:rsid wsp:val=&quot;001F094B&quot;/&gt;&lt;wsp:rsid wsp:val=&quot;001F1127&quot;/&gt;&lt;wsp:rsid wsp:val=&quot;001F15A6&quot;/&gt;&lt;wsp:rsid wsp:val=&quot;001F1E3C&quot;/&gt;&lt;wsp:rsid wsp:val=&quot;001F21AD&quot;/&gt;&lt;wsp:rsid wsp:val=&quot;001F3D16&quot;/&gt;&lt;wsp:rsid wsp:val=&quot;001F4732&quot;/&gt;&lt;wsp:rsid wsp:val=&quot;001F647B&quot;/&gt;&lt;wsp:rsid wsp:val=&quot;001F734B&quot;/&gt;&lt;wsp:rsid wsp:val=&quot;00200C33&quot;/&gt;&lt;wsp:rsid wsp:val=&quot;00202CFB&quot;/&gt;&lt;wsp:rsid wsp:val=&quot;0020364B&quot;/&gt;&lt;wsp:rsid wsp:val=&quot;00205457&quot;/&gt;&lt;wsp:rsid wsp:val=&quot;00205C1A&quot;/&gt;&lt;wsp:rsid wsp:val=&quot;00206467&quot;/&gt;&lt;wsp:rsid wsp:val=&quot;00210160&quot;/&gt;&lt;wsp:rsid wsp:val=&quot;00211BB8&quot;/&gt;&lt;wsp:rsid wsp:val=&quot;00212768&quot;/&gt;&lt;wsp:rsid wsp:val=&quot;00212BDF&quot;/&gt;&lt;wsp:rsid wsp:val=&quot;00212D1E&quot;/&gt;&lt;wsp:rsid wsp:val=&quot;00212D79&quot;/&gt;&lt;wsp:rsid wsp:val=&quot;00213D65&quot;/&gt;&lt;wsp:rsid wsp:val=&quot;00213F8D&quot;/&gt;&lt;wsp:rsid wsp:val=&quot;00214057&quot;/&gt;&lt;wsp:rsid wsp:val=&quot;00214334&quot;/&gt;&lt;wsp:rsid wsp:val=&quot;00214B5B&quot;/&gt;&lt;wsp:rsid wsp:val=&quot;00215639&quot;/&gt;&lt;wsp:rsid wsp:val=&quot;0021577C&quot;/&gt;&lt;wsp:rsid wsp:val=&quot;00216840&quot;/&gt;&lt;wsp:rsid wsp:val=&quot;00216C27&quot;/&gt;&lt;wsp:rsid wsp:val=&quot;00217775&quot;/&gt;&lt;wsp:rsid wsp:val=&quot;00220FB5&quot;/&gt;&lt;wsp:rsid wsp:val=&quot;00221996&quot;/&gt;&lt;wsp:rsid wsp:val=&quot;002228FC&quot;/&gt;&lt;wsp:rsid wsp:val=&quot;00222A14&quot;/&gt;&lt;wsp:rsid wsp:val=&quot;00223DD7&quot;/&gt;&lt;wsp:rsid wsp:val=&quot;00224876&quot;/&gt;&lt;wsp:rsid wsp:val=&quot;00224D44&quot;/&gt;&lt;wsp:rsid wsp:val=&quot;00224F33&quot;/&gt;&lt;wsp:rsid wsp:val=&quot;00224FCE&quot;/&gt;&lt;wsp:rsid wsp:val=&quot;0022529E&quot;/&gt;&lt;wsp:rsid wsp:val=&quot;0022665C&quot;/&gt;&lt;wsp:rsid wsp:val=&quot;0022672D&quot;/&gt;&lt;wsp:rsid wsp:val=&quot;002269F3&quot;/&gt;&lt;wsp:rsid wsp:val=&quot;00227359&quot;/&gt;&lt;wsp:rsid wsp:val=&quot;00227DA9&quot;/&gt;&lt;wsp:rsid wsp:val=&quot;00227F58&quot;/&gt;&lt;wsp:rsid wsp:val=&quot;002301F7&quot;/&gt;&lt;wsp:rsid wsp:val=&quot;0023036C&quot;/&gt;&lt;wsp:rsid wsp:val=&quot;0023106F&quot;/&gt;&lt;wsp:rsid wsp:val=&quot;00231B3C&quot;/&gt;&lt;wsp:rsid wsp:val=&quot;00231FBE&quot;/&gt;&lt;wsp:rsid wsp:val=&quot;00232EF5&quot;/&gt;&lt;wsp:rsid wsp:val=&quot;002353FB&quot;/&gt;&lt;wsp:rsid wsp:val=&quot;002366B6&quot;/&gt;&lt;wsp:rsid wsp:val=&quot;00236D35&quot;/&gt;&lt;wsp:rsid wsp:val=&quot;0023764D&quot;/&gt;&lt;wsp:rsid wsp:val=&quot;002404EE&quot;/&gt;&lt;wsp:rsid wsp:val=&quot;00244BEB&quot;/&gt;&lt;wsp:rsid wsp:val=&quot;0024570B&quot;/&gt;&lt;wsp:rsid wsp:val=&quot;00246FDC&quot;/&gt;&lt;wsp:rsid wsp:val=&quot;002474A6&quot;/&gt;&lt;wsp:rsid wsp:val=&quot;00247823&quot;/&gt;&lt;wsp:rsid wsp:val=&quot;00247BAA&quot;/&gt;&lt;wsp:rsid wsp:val=&quot;00247E77&quot;/&gt;&lt;wsp:rsid wsp:val=&quot;00247F50&quot;/&gt;&lt;wsp:rsid wsp:val=&quot;00250A8F&quot;/&gt;&lt;wsp:rsid wsp:val=&quot;002514DD&quot;/&gt;&lt;wsp:rsid wsp:val=&quot;00252309&quot;/&gt;&lt;wsp:rsid wsp:val=&quot;002537CE&quot;/&gt;&lt;wsp:rsid wsp:val=&quot;00253A17&quot;/&gt;&lt;wsp:rsid wsp:val=&quot;002556C7&quot;/&gt;&lt;wsp:rsid wsp:val=&quot;00257048&quot;/&gt;&lt;wsp:rsid wsp:val=&quot;00257815&quot;/&gt;&lt;wsp:rsid wsp:val=&quot;002602B1&quot;/&gt;&lt;wsp:rsid wsp:val=&quot;002609F2&quot;/&gt;&lt;wsp:rsid wsp:val=&quot;002623AE&quot;/&gt;&lt;wsp:rsid wsp:val=&quot;00262999&quot;/&gt;&lt;wsp:rsid wsp:val=&quot;00263829&quot;/&gt;&lt;wsp:rsid wsp:val=&quot;00264474&quot;/&gt;&lt;wsp:rsid wsp:val=&quot;00264539&quot;/&gt;&lt;wsp:rsid wsp:val=&quot;00265BC0&quot;/&gt;&lt;wsp:rsid wsp:val=&quot;00266275&quot;/&gt;&lt;wsp:rsid wsp:val=&quot;00267DD6&quot;/&gt;&lt;wsp:rsid wsp:val=&quot;0027043B&quot;/&gt;&lt;wsp:rsid wsp:val=&quot;0027056C&quot;/&gt;&lt;wsp:rsid wsp:val=&quot;00271CAD&quot;/&gt;&lt;wsp:rsid wsp:val=&quot;002740A2&quot;/&gt;&lt;wsp:rsid wsp:val=&quot;00274A7C&quot;/&gt;&lt;wsp:rsid wsp:val=&quot;00275366&quot;/&gt;&lt;wsp:rsid wsp:val=&quot;00276683&quot;/&gt;&lt;wsp:rsid wsp:val=&quot;00276EEC&quot;/&gt;&lt;wsp:rsid wsp:val=&quot;0027710E&quot;/&gt;&lt;wsp:rsid wsp:val=&quot;002775ED&quot;/&gt;&lt;wsp:rsid wsp:val=&quot;002778F9&quot;/&gt;&lt;wsp:rsid wsp:val=&quot;00280765&quot;/&gt;&lt;wsp:rsid wsp:val=&quot;00280985&quot;/&gt;&lt;wsp:rsid wsp:val=&quot;00280C07&quot;/&gt;&lt;wsp:rsid wsp:val=&quot;002816DF&quot;/&gt;&lt;wsp:rsid wsp:val=&quot;00282491&quot;/&gt;&lt;wsp:rsid wsp:val=&quot;0028371A&quot;/&gt;&lt;wsp:rsid wsp:val=&quot;00283960&quot;/&gt;&lt;wsp:rsid wsp:val=&quot;00284F70&quot;/&gt;&lt;wsp:rsid wsp:val=&quot;002852E0&quot;/&gt;&lt;wsp:rsid wsp:val=&quot;002864A7&quot;/&gt;&lt;wsp:rsid wsp:val=&quot;00286BFE&quot;/&gt;&lt;wsp:rsid wsp:val=&quot;002873E9&quot;/&gt;&lt;wsp:rsid wsp:val=&quot;00287515&quot;/&gt;&lt;wsp:rsid wsp:val=&quot;002875C0&quot;/&gt;&lt;wsp:rsid wsp:val=&quot;0029258A&quot;/&gt;&lt;wsp:rsid wsp:val=&quot;0029417A&quot;/&gt;&lt;wsp:rsid wsp:val=&quot;00295276&quot;/&gt;&lt;wsp:rsid wsp:val=&quot;00295320&quot;/&gt;&lt;wsp:rsid wsp:val=&quot;0029586F&quot;/&gt;&lt;wsp:rsid wsp:val=&quot;00296995&quot;/&gt;&lt;wsp:rsid wsp:val=&quot;00296D41&quot;/&gt;&lt;wsp:rsid wsp:val=&quot;002979CF&quot;/&gt;&lt;wsp:rsid wsp:val=&quot;002A0F4B&quot;/&gt;&lt;wsp:rsid wsp:val=&quot;002A1FC9&quot;/&gt;&lt;wsp:rsid wsp:val=&quot;002A2738&quot;/&gt;&lt;wsp:rsid wsp:val=&quot;002A2BB5&quot;/&gt;&lt;wsp:rsid wsp:val=&quot;002A2F26&quot;/&gt;&lt;wsp:rsid wsp:val=&quot;002A55DE&quot;/&gt;&lt;wsp:rsid wsp:val=&quot;002A572C&quot;/&gt;&lt;wsp:rsid wsp:val=&quot;002A5ADE&quot;/&gt;&lt;wsp:rsid wsp:val=&quot;002B08D8&quot;/&gt;&lt;wsp:rsid wsp:val=&quot;002B14A5&quot;/&gt;&lt;wsp:rsid wsp:val=&quot;002B41C3&quot;/&gt;&lt;wsp:rsid wsp:val=&quot;002B4393&quot;/&gt;&lt;wsp:rsid wsp:val=&quot;002B4F0C&quot;/&gt;&lt;wsp:rsid wsp:val=&quot;002B6DA3&quot;/&gt;&lt;wsp:rsid wsp:val=&quot;002C30EA&quot;/&gt;&lt;wsp:rsid wsp:val=&quot;002C375E&quot;/&gt;&lt;wsp:rsid wsp:val=&quot;002C4579&quot;/&gt;&lt;wsp:rsid wsp:val=&quot;002C632D&quot;/&gt;&lt;wsp:rsid wsp:val=&quot;002D0206&quot;/&gt;&lt;wsp:rsid wsp:val=&quot;002D06DE&quot;/&gt;&lt;wsp:rsid wsp:val=&quot;002D090A&quot;/&gt;&lt;wsp:rsid wsp:val=&quot;002D097D&quot;/&gt;&lt;wsp:rsid wsp:val=&quot;002D11B8&quot;/&gt;&lt;wsp:rsid wsp:val=&quot;002D244E&quot;/&gt;&lt;wsp:rsid wsp:val=&quot;002D32FD&quot;/&gt;&lt;wsp:rsid wsp:val=&quot;002D6089&quot;/&gt;&lt;wsp:rsid wsp:val=&quot;002D7D7E&quot;/&gt;&lt;wsp:rsid wsp:val=&quot;002E04E5&quot;/&gt;&lt;wsp:rsid wsp:val=&quot;002E196F&quot;/&gt;&lt;wsp:rsid wsp:val=&quot;002E202B&quot;/&gt;&lt;wsp:rsid wsp:val=&quot;002E298F&quot;/&gt;&lt;wsp:rsid wsp:val=&quot;002E34FE&quot;/&gt;&lt;wsp:rsid wsp:val=&quot;002E3545&quot;/&gt;&lt;wsp:rsid wsp:val=&quot;002E3EC7&quot;/&gt;&lt;wsp:rsid wsp:val=&quot;002E520C&quot;/&gt;&lt;wsp:rsid wsp:val=&quot;002E5F85&quot;/&gt;&lt;wsp:rsid wsp:val=&quot;002E6A84&quot;/&gt;&lt;wsp:rsid wsp:val=&quot;002E70AE&quot;/&gt;&lt;wsp:rsid wsp:val=&quot;002E716A&quot;/&gt;&lt;wsp:rsid wsp:val=&quot;002E7C15&quot;/&gt;&lt;wsp:rsid wsp:val=&quot;002F13F2&quot;/&gt;&lt;wsp:rsid wsp:val=&quot;002F2936&quot;/&gt;&lt;wsp:rsid wsp:val=&quot;002F2B0F&quot;/&gt;&lt;wsp:rsid wsp:val=&quot;002F60DC&quot;/&gt;&lt;wsp:rsid wsp:val=&quot;002F6D9C&quot;/&gt;&lt;wsp:rsid wsp:val=&quot;002F7265&quot;/&gt;&lt;wsp:rsid wsp:val=&quot;002F7A3B&quot;/&gt;&lt;wsp:rsid wsp:val=&quot;0030034D&quot;/&gt;&lt;wsp:rsid wsp:val=&quot;00300980&quot;/&gt;&lt;wsp:rsid wsp:val=&quot;00301D6C&quot;/&gt;&lt;wsp:rsid wsp:val=&quot;003025FF&quot;/&gt;&lt;wsp:rsid wsp:val=&quot;00302904&quot;/&gt;&lt;wsp:rsid wsp:val=&quot;00302EF0&quot;/&gt;&lt;wsp:rsid wsp:val=&quot;00303AD1&quot;/&gt;&lt;wsp:rsid wsp:val=&quot;00303F88&quot;/&gt;&lt;wsp:rsid wsp:val=&quot;003043C4&quot;/&gt;&lt;wsp:rsid wsp:val=&quot;00304464&quot;/&gt;&lt;wsp:rsid wsp:val=&quot;00305BB9&quot;/&gt;&lt;wsp:rsid wsp:val=&quot;00306A32&quot;/&gt;&lt;wsp:rsid wsp:val=&quot;003072BD&quot;/&gt;&lt;wsp:rsid wsp:val=&quot;00310126&quot;/&gt;&lt;wsp:rsid wsp:val=&quot;003114E1&quot;/&gt;&lt;wsp:rsid wsp:val=&quot;00312639&quot;/&gt;&lt;wsp:rsid wsp:val=&quot;00312986&quot;/&gt;&lt;wsp:rsid wsp:val=&quot;0031462F&quot;/&gt;&lt;wsp:rsid wsp:val=&quot;00314D12&quot;/&gt;&lt;wsp:rsid wsp:val=&quot;00314F67&quot;/&gt;&lt;wsp:rsid wsp:val=&quot;00316056&quot;/&gt;&lt;wsp:rsid wsp:val=&quot;00316270&quot;/&gt;&lt;wsp:rsid wsp:val=&quot;003173F1&quot;/&gt;&lt;wsp:rsid wsp:val=&quot;0032138D&quot;/&gt;&lt;wsp:rsid wsp:val=&quot;003224DE&quot;/&gt;&lt;wsp:rsid wsp:val=&quot;003255F4&quot;/&gt;&lt;wsp:rsid wsp:val=&quot;003269B7&quot;/&gt;&lt;wsp:rsid wsp:val=&quot;00327863&quot;/&gt;&lt;wsp:rsid wsp:val=&quot;00330022&quot;/&gt;&lt;wsp:rsid wsp:val=&quot;00330362&quot;/&gt;&lt;wsp:rsid wsp:val=&quot;00330621&quot;/&gt;&lt;wsp:rsid wsp:val=&quot;00331D1D&quot;/&gt;&lt;wsp:rsid wsp:val=&quot;00333724&quot;/&gt;&lt;wsp:rsid wsp:val=&quot;00333ACF&quot;/&gt;&lt;wsp:rsid wsp:val=&quot;003347FC&quot;/&gt;&lt;wsp:rsid wsp:val=&quot;003351B9&quot;/&gt;&lt;wsp:rsid wsp:val=&quot;003368C7&quot;/&gt;&lt;wsp:rsid wsp:val=&quot;003372E5&quot;/&gt;&lt;wsp:rsid wsp:val=&quot;00337F2F&quot;/&gt;&lt;wsp:rsid wsp:val=&quot;00340313&quot;/&gt;&lt;wsp:rsid wsp:val=&quot;00340921&quot;/&gt;&lt;wsp:rsid wsp:val=&quot;00340A44&quot;/&gt;&lt;wsp:rsid wsp:val=&quot;00341D15&quot;/&gt;&lt;wsp:rsid wsp:val=&quot;0034394C&quot;/&gt;&lt;wsp:rsid wsp:val=&quot;00343B53&quot;/&gt;&lt;wsp:rsid wsp:val=&quot;00344FD0&quot;/&gt;&lt;wsp:rsid wsp:val=&quot;003455F9&quot;/&gt;&lt;wsp:rsid wsp:val=&quot;003536FF&quot;/&gt;&lt;wsp:rsid wsp:val=&quot;003537EC&quot;/&gt;&lt;wsp:rsid wsp:val=&quot;00353DA4&quot;/&gt;&lt;wsp:rsid wsp:val=&quot;00355508&quot;/&gt;&lt;wsp:rsid wsp:val=&quot;00355F73&quot;/&gt;&lt;wsp:rsid wsp:val=&quot;00357584&quot;/&gt;&lt;wsp:rsid wsp:val=&quot;0035788C&quot;/&gt;&lt;wsp:rsid wsp:val=&quot;00357E9F&quot;/&gt;&lt;wsp:rsid wsp:val=&quot;00361086&quot;/&gt;&lt;wsp:rsid wsp:val=&quot;00362193&quot;/&gt;&lt;wsp:rsid wsp:val=&quot;003624CA&quot;/&gt;&lt;wsp:rsid wsp:val=&quot;00362BD7&quot;/&gt;&lt;wsp:rsid wsp:val=&quot;003632DD&quot;/&gt;&lt;wsp:rsid wsp:val=&quot;00363517&quot;/&gt;&lt;wsp:rsid wsp:val=&quot;00364BD0&quot;/&gt;&lt;wsp:rsid wsp:val=&quot;0036610E&quot;/&gt;&lt;wsp:rsid wsp:val=&quot;00366DF6&quot;/&gt;&lt;wsp:rsid wsp:val=&quot;00370F0D&quot;/&gt;&lt;wsp:rsid wsp:val=&quot;00372C2D&quot;/&gt;&lt;wsp:rsid wsp:val=&quot;00372DD4&quot;/&gt;&lt;wsp:rsid wsp:val=&quot;00372DDF&quot;/&gt;&lt;wsp:rsid wsp:val=&quot;00373587&quot;/&gt;&lt;wsp:rsid wsp:val=&quot;00375C3D&quot;/&gt;&lt;wsp:rsid wsp:val=&quot;003767C5&quot;/&gt;&lt;wsp:rsid wsp:val=&quot;003800AF&quot;/&gt;&lt;wsp:rsid wsp:val=&quot;0038019E&quot;/&gt;&lt;wsp:rsid wsp:val=&quot;00380FFF&quot;/&gt;&lt;wsp:rsid wsp:val=&quot;003814B6&quot;/&gt;&lt;wsp:rsid wsp:val=&quot;00381F56&quot;/&gt;&lt;wsp:rsid wsp:val=&quot;003820A9&quot;/&gt;&lt;wsp:rsid wsp:val=&quot;00382467&quot;/&gt;&lt;wsp:rsid wsp:val=&quot;00382EEC&quot;/&gt;&lt;wsp:rsid wsp:val=&quot;00383481&quot;/&gt;&lt;wsp:rsid wsp:val=&quot;003845AF&quot;/&gt;&lt;wsp:rsid wsp:val=&quot;00384664&quot;/&gt;&lt;wsp:rsid wsp:val=&quot;003859C9&quot;/&gt;&lt;wsp:rsid wsp:val=&quot;00385DC6&quot;/&gt;&lt;wsp:rsid wsp:val=&quot;00387C56&quot;/&gt;&lt;wsp:rsid wsp:val=&quot;003903A8&quot;/&gt;&lt;wsp:rsid wsp:val=&quot;00392DF4&quot;/&gt;&lt;wsp:rsid wsp:val=&quot;00393121&quot;/&gt;&lt;wsp:rsid wsp:val=&quot;0039483D&quot;/&gt;&lt;wsp:rsid wsp:val=&quot;00394A63&quot;/&gt;&lt;wsp:rsid wsp:val=&quot;00395096&quot;/&gt;&lt;wsp:rsid wsp:val=&quot;003978B2&quot;/&gt;&lt;wsp:rsid wsp:val=&quot;00397D90&quot;/&gt;&lt;wsp:rsid wsp:val=&quot;003A0374&quot;/&gt;&lt;wsp:rsid wsp:val=&quot;003A04B3&quot;/&gt;&lt;wsp:rsid wsp:val=&quot;003A064D&quot;/&gt;&lt;wsp:rsid wsp:val=&quot;003A1DAF&quot;/&gt;&lt;wsp:rsid wsp:val=&quot;003A402B&quot;/&gt;&lt;wsp:rsid wsp:val=&quot;003A722A&quot;/&gt;&lt;wsp:rsid wsp:val=&quot;003A7912&quot;/&gt;&lt;wsp:rsid wsp:val=&quot;003A7F2E&quot;/&gt;&lt;wsp:rsid wsp:val=&quot;003B01E0&quot;/&gt;&lt;wsp:rsid wsp:val=&quot;003B0C74&quot;/&gt;&lt;wsp:rsid wsp:val=&quot;003B12C7&quot;/&gt;&lt;wsp:rsid wsp:val=&quot;003B1C65&quot;/&gt;&lt;wsp:rsid wsp:val=&quot;003B2344&quot;/&gt;&lt;wsp:rsid wsp:val=&quot;003B2358&quot;/&gt;&lt;wsp:rsid wsp:val=&quot;003B26D0&quot;/&gt;&lt;wsp:rsid wsp:val=&quot;003B27B8&quot;/&gt;&lt;wsp:rsid wsp:val=&quot;003B351F&quot;/&gt;&lt;wsp:rsid wsp:val=&quot;003B3533&quot;/&gt;&lt;wsp:rsid wsp:val=&quot;003B41D7&quot;/&gt;&lt;wsp:rsid wsp:val=&quot;003B4775&quot;/&gt;&lt;wsp:rsid wsp:val=&quot;003B767F&quot;/&gt;&lt;wsp:rsid wsp:val=&quot;003B7C5D&quot;/&gt;&lt;wsp:rsid wsp:val=&quot;003C0625&quot;/&gt;&lt;wsp:rsid wsp:val=&quot;003C0EE9&quot;/&gt;&lt;wsp:rsid wsp:val=&quot;003C0EF2&quot;/&gt;&lt;wsp:rsid wsp:val=&quot;003C0F1F&quot;/&gt;&lt;wsp:rsid wsp:val=&quot;003C2930&quot;/&gt;&lt;wsp:rsid wsp:val=&quot;003C4921&quot;/&gt;&lt;wsp:rsid wsp:val=&quot;003C4CAF&quot;/&gt;&lt;wsp:rsid wsp:val=&quot;003C5844&quot;/&gt;&lt;wsp:rsid wsp:val=&quot;003C5FDB&quot;/&gt;&lt;wsp:rsid wsp:val=&quot;003C7791&quot;/&gt;&lt;wsp:rsid wsp:val=&quot;003C7A57&quot;/&gt;&lt;wsp:rsid wsp:val=&quot;003D07DC&quot;/&gt;&lt;wsp:rsid wsp:val=&quot;003D50F6&quot;/&gt;&lt;wsp:rsid wsp:val=&quot;003D651E&quot;/&gt;&lt;wsp:rsid wsp:val=&quot;003E005F&quot;/&gt;&lt;wsp:rsid wsp:val=&quot;003E199D&quot;/&gt;&lt;wsp:rsid wsp:val=&quot;003E3167&quot;/&gt;&lt;wsp:rsid wsp:val=&quot;003E4C88&quot;/&gt;&lt;wsp:rsid wsp:val=&quot;003E4F0A&quot;/&gt;&lt;wsp:rsid wsp:val=&quot;003E5E78&quot;/&gt;&lt;wsp:rsid wsp:val=&quot;003E6338&quot;/&gt;&lt;wsp:rsid wsp:val=&quot;003E78FC&quot;/&gt;&lt;wsp:rsid wsp:val=&quot;003F047F&quot;/&gt;&lt;wsp:rsid wsp:val=&quot;003F0499&quot;/&gt;&lt;wsp:rsid wsp:val=&quot;003F04CD&quot;/&gt;&lt;wsp:rsid wsp:val=&quot;003F0603&quot;/&gt;&lt;wsp:rsid wsp:val=&quot;003F13A9&quot;/&gt;&lt;wsp:rsid wsp:val=&quot;003F1E55&quot;/&gt;&lt;wsp:rsid wsp:val=&quot;003F307D&quot;/&gt;&lt;wsp:rsid wsp:val=&quot;003F7107&quot;/&gt;&lt;wsp:rsid wsp:val=&quot;003F7300&quot;/&gt;&lt;wsp:rsid wsp:val=&quot;003F7681&quot;/&gt;&lt;wsp:rsid wsp:val=&quot;003F7B21&quot;/&gt;&lt;wsp:rsid wsp:val=&quot;003F7D1E&quot;/&gt;&lt;wsp:rsid wsp:val=&quot;00401683&quot;/&gt;&lt;wsp:rsid wsp:val=&quot;0040489F&quot;/&gt;&lt;wsp:rsid wsp:val=&quot;00405301&quot;/&gt;&lt;wsp:rsid wsp:val=&quot;00405FCB&quot;/&gt;&lt;wsp:rsid wsp:val=&quot;004065D3&quot;/&gt;&lt;wsp:rsid wsp:val=&quot;00406A30&quot;/&gt;&lt;wsp:rsid wsp:val=&quot;004073E1&quot;/&gt;&lt;wsp:rsid wsp:val=&quot;0040745B&quot;/&gt;&lt;wsp:rsid wsp:val=&quot;00407865&quot;/&gt;&lt;wsp:rsid wsp:val=&quot;00414A6F&quot;/&gt;&lt;wsp:rsid wsp:val=&quot;0041566C&quot;/&gt;&lt;wsp:rsid wsp:val=&quot;00415FE0&quot;/&gt;&lt;wsp:rsid wsp:val=&quot;004176C8&quot;/&gt;&lt;wsp:rsid wsp:val=&quot;00417BFA&quot;/&gt;&lt;wsp:rsid wsp:val=&quot;0042248C&quot;/&gt;&lt;wsp:rsid wsp:val=&quot;004262FE&quot;/&gt;&lt;wsp:rsid wsp:val=&quot;004274C6&quot;/&gt;&lt;wsp:rsid wsp:val=&quot;004277AD&quot;/&gt;&lt;wsp:rsid wsp:val=&quot;004300E8&quot;/&gt;&lt;wsp:rsid wsp:val=&quot;00430214&quot;/&gt;&lt;wsp:rsid wsp:val=&quot;0043064F&quot;/&gt;&lt;wsp:rsid wsp:val=&quot;00431D65&quot;/&gt;&lt;wsp:rsid wsp:val=&quot;00431DCB&quot;/&gt;&lt;wsp:rsid wsp:val=&quot;00432042&quot;/&gt;&lt;wsp:rsid wsp:val=&quot;00432ABD&quot;/&gt;&lt;wsp:rsid wsp:val=&quot;00432ABE&quot;/&gt;&lt;wsp:rsid wsp:val=&quot;00435880&quot;/&gt;&lt;wsp:rsid wsp:val=&quot;00436596&quot;/&gt;&lt;wsp:rsid wsp:val=&quot;00437766&quot;/&gt;&lt;wsp:rsid wsp:val=&quot;00440139&quot;/&gt;&lt;wsp:rsid wsp:val=&quot;0044049E&quot;/&gt;&lt;wsp:rsid wsp:val=&quot;004420EA&quot;/&gt;&lt;wsp:rsid wsp:val=&quot;00442A39&quot;/&gt;&lt;wsp:rsid wsp:val=&quot;00442E36&quot;/&gt;&lt;wsp:rsid wsp:val=&quot;004431DB&quot;/&gt;&lt;wsp:rsid wsp:val=&quot;0044348F&quot;/&gt;&lt;wsp:rsid wsp:val=&quot;004448A1&quot;/&gt;&lt;wsp:rsid wsp:val=&quot;00444C11&quot;/&gt;&lt;wsp:rsid wsp:val=&quot;00446AE0&quot;/&gt;&lt;wsp:rsid wsp:val=&quot;00446FF7&quot;/&gt;&lt;wsp:rsid wsp:val=&quot;00447992&quot;/&gt;&lt;wsp:rsid wsp:val=&quot;00447B32&quot;/&gt;&lt;wsp:rsid wsp:val=&quot;00451087&quot;/&gt;&lt;wsp:rsid wsp:val=&quot;00452122&quot;/&gt;&lt;wsp:rsid wsp:val=&quot;004534B6&quot;/&gt;&lt;wsp:rsid wsp:val=&quot;0045372E&quot;/&gt;&lt;wsp:rsid wsp:val=&quot;0045373A&quot;/&gt;&lt;wsp:rsid wsp:val=&quot;004537AA&quot;/&gt;&lt;wsp:rsid wsp:val=&quot;004545BE&quot;/&gt;&lt;wsp:rsid wsp:val=&quot;00454D32&quot;/&gt;&lt;wsp:rsid wsp:val=&quot;00455B04&quot;/&gt;&lt;wsp:rsid wsp:val=&quot;00455F2E&quot;/&gt;&lt;wsp:rsid wsp:val=&quot;0045620D&quot;/&gt;&lt;wsp:rsid wsp:val=&quot;00456B30&quot;/&gt;&lt;wsp:rsid wsp:val=&quot;00456E69&quot;/&gt;&lt;wsp:rsid wsp:val=&quot;00461DCC&quot;/&gt;&lt;wsp:rsid wsp:val=&quot;004624B4&quot;/&gt;&lt;wsp:rsid wsp:val=&quot;004640EF&quot;/&gt;&lt;wsp:rsid wsp:val=&quot;00464DD8&quot;/&gt;&lt;wsp:rsid wsp:val=&quot;00470288&quot;/&gt;&lt;wsp:rsid wsp:val=&quot;004733F7&quot;/&gt;&lt;wsp:rsid wsp:val=&quot;004754FC&quot;/&gt;&lt;wsp:rsid wsp:val=&quot;004774ED&quot;/&gt;&lt;wsp:rsid wsp:val=&quot;00480D67&quot;/&gt;&lt;wsp:rsid wsp:val=&quot;00483E01&quot;/&gt;&lt;wsp:rsid wsp:val=&quot;0048504C&quot;/&gt;&lt;wsp:rsid wsp:val=&quot;00485509&quot;/&gt;&lt;wsp:rsid wsp:val=&quot;004855BD&quot;/&gt;&lt;wsp:rsid wsp:val=&quot;0048706A&quot;/&gt;&lt;wsp:rsid wsp:val=&quot;0048782D&quot;/&gt;&lt;wsp:rsid wsp:val=&quot;004900E5&quot;/&gt;&lt;wsp:rsid wsp:val=&quot;00490184&quot;/&gt;&lt;wsp:rsid wsp:val=&quot;004934DA&quot;/&gt;&lt;wsp:rsid wsp:val=&quot;004947F6&quot;/&gt;&lt;wsp:rsid wsp:val=&quot;00495490&quot;/&gt;&lt;wsp:rsid wsp:val=&quot;004954A7&quot;/&gt;&lt;wsp:rsid wsp:val=&quot;004954C8&quot;/&gt;&lt;wsp:rsid wsp:val=&quot;004963A9&quot;/&gt;&lt;wsp:rsid wsp:val=&quot;004A0720&quot;/&gt;&lt;wsp:rsid wsp:val=&quot;004A0818&quot;/&gt;&lt;wsp:rsid wsp:val=&quot;004A22C3&quot;/&gt;&lt;wsp:rsid wsp:val=&quot;004A42D2&quot;/&gt;&lt;wsp:rsid wsp:val=&quot;004A4C6B&quot;/&gt;&lt;wsp:rsid wsp:val=&quot;004A56C2&quot;/&gt;&lt;wsp:rsid wsp:val=&quot;004A5958&quot;/&gt;&lt;wsp:rsid wsp:val=&quot;004A5B19&quot;/&gt;&lt;wsp:rsid wsp:val=&quot;004A5ECF&quot;/&gt;&lt;wsp:rsid wsp:val=&quot;004A61CA&quot;/&gt;&lt;wsp:rsid wsp:val=&quot;004A6513&quot;/&gt;&lt;wsp:rsid wsp:val=&quot;004A662E&quot;/&gt;&lt;wsp:rsid wsp:val=&quot;004A6EAF&quot;/&gt;&lt;wsp:rsid wsp:val=&quot;004B4008&quot;/&gt;&lt;wsp:rsid wsp:val=&quot;004B43AA&quot;/&gt;&lt;wsp:rsid wsp:val=&quot;004B5DD6&quot;/&gt;&lt;wsp:rsid wsp:val=&quot;004B65A8&quot;/&gt;&lt;wsp:rsid wsp:val=&quot;004B6F29&quot;/&gt;&lt;wsp:rsid wsp:val=&quot;004B7ED1&quot;/&gt;&lt;wsp:rsid wsp:val=&quot;004C014E&quot;/&gt;&lt;wsp:rsid wsp:val=&quot;004C1AC0&quot;/&gt;&lt;wsp:rsid wsp:val=&quot;004C1FD5&quot;/&gt;&lt;wsp:rsid wsp:val=&quot;004C4BF1&quot;/&gt;&lt;wsp:rsid wsp:val=&quot;004C58D3&quot;/&gt;&lt;wsp:rsid wsp:val=&quot;004C5F95&quot;/&gt;&lt;wsp:rsid wsp:val=&quot;004C73C7&quot;/&gt;&lt;wsp:rsid wsp:val=&quot;004D0585&quot;/&gt;&lt;wsp:rsid wsp:val=&quot;004D061D&quot;/&gt;&lt;wsp:rsid wsp:val=&quot;004D0F31&quot;/&gt;&lt;wsp:rsid wsp:val=&quot;004D0F7A&quot;/&gt;&lt;wsp:rsid wsp:val=&quot;004D151D&quot;/&gt;&lt;wsp:rsid wsp:val=&quot;004D178E&quot;/&gt;&lt;wsp:rsid wsp:val=&quot;004D1AA6&quot;/&gt;&lt;wsp:rsid wsp:val=&quot;004D39B2&quot;/&gt;&lt;wsp:rsid wsp:val=&quot;004D4538&quot;/&gt;&lt;wsp:rsid wsp:val=&quot;004D4737&quot;/&gt;&lt;wsp:rsid wsp:val=&quot;004D74E3&quot;/&gt;&lt;wsp:rsid wsp:val=&quot;004E005E&quot;/&gt;&lt;wsp:rsid wsp:val=&quot;004E07F9&quot;/&gt;&lt;wsp:rsid wsp:val=&quot;004E17F7&quot;/&gt;&lt;wsp:rsid wsp:val=&quot;004E2277&quot;/&gt;&lt;wsp:rsid wsp:val=&quot;004E4171&quot;/&gt;&lt;wsp:rsid wsp:val=&quot;004E448C&quot;/&gt;&lt;wsp:rsid wsp:val=&quot;004E48A0&quot;/&gt;&lt;wsp:rsid wsp:val=&quot;004E49B8&quot;/&gt;&lt;wsp:rsid wsp:val=&quot;004E4C92&quot;/&gt;&lt;wsp:rsid wsp:val=&quot;004E559C&quot;/&gt;&lt;wsp:rsid wsp:val=&quot;004E6BB5&quot;/&gt;&lt;wsp:rsid wsp:val=&quot;004E7BD0&quot;/&gt;&lt;wsp:rsid wsp:val=&quot;004E7DDF&quot;/&gt;&lt;wsp:rsid wsp:val=&quot;004F18D8&quot;/&gt;&lt;wsp:rsid wsp:val=&quot;004F1E31&quot;/&gt;&lt;wsp:rsid wsp:val=&quot;004F43CE&quot;/&gt;&lt;wsp:rsid wsp:val=&quot;004F5138&quot;/&gt;&lt;wsp:rsid wsp:val=&quot;004F5D1C&quot;/&gt;&lt;wsp:rsid wsp:val=&quot;004F7C33&quot;/&gt;&lt;wsp:rsid wsp:val=&quot;00500725&quot;/&gt;&lt;wsp:rsid wsp:val=&quot;00501FA2&quot;/&gt;&lt;wsp:rsid wsp:val=&quot;00503099&quot;/&gt;&lt;wsp:rsid wsp:val=&quot;005034F5&quot;/&gt;&lt;wsp:rsid wsp:val=&quot;00503B9D&quot;/&gt;&lt;wsp:rsid wsp:val=&quot;00503BD1&quot;/&gt;&lt;wsp:rsid wsp:val=&quot;00504598&quot;/&gt;&lt;wsp:rsid wsp:val=&quot;00505325&quot;/&gt;&lt;wsp:rsid wsp:val=&quot;00506205&quot;/&gt;&lt;wsp:rsid wsp:val=&quot;00506F09&quot;/&gt;&lt;wsp:rsid wsp:val=&quot;005071BA&quot;/&gt;&lt;wsp:rsid wsp:val=&quot;005077C5&quot;/&gt;&lt;wsp:rsid wsp:val=&quot;00510FD9&quot;/&gt;&lt;wsp:rsid wsp:val=&quot;00511EC9&quot;/&gt;&lt;wsp:rsid wsp:val=&quot;00513C5F&quot;/&gt;&lt;wsp:rsid wsp:val=&quot;0051477F&quot;/&gt;&lt;wsp:rsid wsp:val=&quot;005166A8&quot;/&gt;&lt;wsp:rsid wsp:val=&quot;005175BE&quot;/&gt;&lt;wsp:rsid wsp:val=&quot;005204D9&quot;/&gt;&lt;wsp:rsid wsp:val=&quot;0052221D&quot;/&gt;&lt;wsp:rsid wsp:val=&quot;005266B2&quot;/&gt;&lt;wsp:rsid wsp:val=&quot;00530579&quot;/&gt;&lt;wsp:rsid wsp:val=&quot;00533A97&quot;/&gt;&lt;wsp:rsid wsp:val=&quot;00533E6C&quot;/&gt;&lt;wsp:rsid wsp:val=&quot;00533F22&quot;/&gt;&lt;wsp:rsid wsp:val=&quot;00535959&quot;/&gt;&lt;wsp:rsid wsp:val=&quot;00536A63&quot;/&gt;&lt;wsp:rsid wsp:val=&quot;00537066&quot;/&gt;&lt;wsp:rsid wsp:val=&quot;00540060&quot;/&gt;&lt;wsp:rsid wsp:val=&quot;005406EF&quot;/&gt;&lt;wsp:rsid wsp:val=&quot;00541186&quot;/&gt;&lt;wsp:rsid wsp:val=&quot;00544AF7&quot;/&gt;&lt;wsp:rsid wsp:val=&quot;005455CB&quot;/&gt;&lt;wsp:rsid wsp:val=&quot;00545D6E&quot;/&gt;&lt;wsp:rsid wsp:val=&quot;005467BC&quot;/&gt;&lt;wsp:rsid wsp:val=&quot;00550EBB&quot;/&gt;&lt;wsp:rsid wsp:val=&quot;005513D2&quot;/&gt;&lt;wsp:rsid wsp:val=&quot;00551F48&quot;/&gt;&lt;wsp:rsid wsp:val=&quot;00552A3D&quot;/&gt;&lt;wsp:rsid wsp:val=&quot;00553AEA&quot;/&gt;&lt;wsp:rsid wsp:val=&quot;005544FC&quot;/&gt;&lt;wsp:rsid wsp:val=&quot;005547F0&quot;/&gt;&lt;wsp:rsid wsp:val=&quot;00554EB8&quot;/&gt;&lt;wsp:rsid wsp:val=&quot;005551F5&quot;/&gt;&lt;wsp:rsid wsp:val=&quot;0055722C&quot;/&gt;&lt;wsp:rsid wsp:val=&quot;00557487&quot;/&gt;&lt;wsp:rsid wsp:val=&quot;00560760&quot;/&gt;&lt;wsp:rsid wsp:val=&quot;005622A5&quot;/&gt;&lt;wsp:rsid wsp:val=&quot;00562329&quot;/&gt;&lt;wsp:rsid wsp:val=&quot;00562B2C&quot;/&gt;&lt;wsp:rsid wsp:val=&quot;00565E47&quot;/&gt;&lt;wsp:rsid wsp:val=&quot;00567260&quot;/&gt;&lt;wsp:rsid wsp:val=&quot;005679E3&quot;/&gt;&lt;wsp:rsid wsp:val=&quot;00567A8F&quot;/&gt;&lt;wsp:rsid wsp:val=&quot;005753FF&quot;/&gt;&lt;wsp:rsid wsp:val=&quot;005759AC&quot;/&gt;&lt;wsp:rsid wsp:val=&quot;00577916&quot;/&gt;&lt;wsp:rsid wsp:val=&quot;0058059D&quot;/&gt;&lt;wsp:rsid wsp:val=&quot;00580FDF&quot;/&gt;&lt;wsp:rsid wsp:val=&quot;00581609&quot;/&gt;&lt;wsp:rsid wsp:val=&quot;00581F53&quot;/&gt;&lt;wsp:rsid wsp:val=&quot;0058341D&quot;/&gt;&lt;wsp:rsid wsp:val=&quot;00587413&quot;/&gt;&lt;wsp:rsid wsp:val=&quot;0059022B&quot;/&gt;&lt;wsp:rsid wsp:val=&quot;005903D6&quot;/&gt;&lt;wsp:rsid wsp:val=&quot;005907A1&quot;/&gt;&lt;wsp:rsid wsp:val=&quot;00593E24&quot;/&gt;&lt;wsp:rsid wsp:val=&quot;005944B3&quot;/&gt;&lt;wsp:rsid wsp:val=&quot;00596099&quot;/&gt;&lt;wsp:rsid wsp:val=&quot;005A2DCF&quot;/&gt;&lt;wsp:rsid wsp:val=&quot;005A31C6&quot;/&gt;&lt;wsp:rsid wsp:val=&quot;005A3CCA&quot;/&gt;&lt;wsp:rsid wsp:val=&quot;005A409E&quot;/&gt;&lt;wsp:rsid wsp:val=&quot;005A42FA&quot;/&gt;&lt;wsp:rsid wsp:val=&quot;005A4B2F&quot;/&gt;&lt;wsp:rsid wsp:val=&quot;005A5087&quot;/&gt;&lt;wsp:rsid wsp:val=&quot;005A646D&quot;/&gt;&lt;wsp:rsid wsp:val=&quot;005A75F9&quot;/&gt;&lt;wsp:rsid wsp:val=&quot;005B0CFA&quot;/&gt;&lt;wsp:rsid wsp:val=&quot;005B1A67&quot;/&gt;&lt;wsp:rsid wsp:val=&quot;005B1C49&quot;/&gt;&lt;wsp:rsid wsp:val=&quot;005B2A4F&quot;/&gt;&lt;wsp:rsid wsp:val=&quot;005B3E83&quot;/&gt;&lt;wsp:rsid wsp:val=&quot;005B5742&quot;/&gt;&lt;wsp:rsid wsp:val=&quot;005B7668&quot;/&gt;&lt;wsp:rsid wsp:val=&quot;005B7F56&quot;/&gt;&lt;wsp:rsid wsp:val=&quot;005C0981&quot;/&gt;&lt;wsp:rsid wsp:val=&quot;005C33D6&quot;/&gt;&lt;wsp:rsid wsp:val=&quot;005C369B&quot;/&gt;&lt;wsp:rsid wsp:val=&quot;005C4849&quot;/&gt;&lt;wsp:rsid wsp:val=&quot;005C53B9&quot;/&gt;&lt;wsp:rsid wsp:val=&quot;005D01F9&quot;/&gt;&lt;wsp:rsid wsp:val=&quot;005D04F1&quot;/&gt;&lt;wsp:rsid wsp:val=&quot;005D1B41&quot;/&gt;&lt;wsp:rsid wsp:val=&quot;005D463A&quot;/&gt;&lt;wsp:rsid wsp:val=&quot;005D54BD&quot;/&gt;&lt;wsp:rsid wsp:val=&quot;005D6627&quot;/&gt;&lt;wsp:rsid wsp:val=&quot;005D7B25&quot;/&gt;&lt;wsp:rsid wsp:val=&quot;005E01CA&quot;/&gt;&lt;wsp:rsid wsp:val=&quot;005E1BB7&quot;/&gt;&lt;wsp:rsid wsp:val=&quot;005E1E0B&quot;/&gt;&lt;wsp:rsid wsp:val=&quot;005E4196&quot;/&gt;&lt;wsp:rsid wsp:val=&quot;005E4547&quot;/&gt;&lt;wsp:rsid wsp:val=&quot;005E5012&quot;/&gt;&lt;wsp:rsid wsp:val=&quot;005E5CE6&quot;/&gt;&lt;wsp:rsid wsp:val=&quot;005E6391&quot;/&gt;&lt;wsp:rsid wsp:val=&quot;005E727B&quot;/&gt;&lt;wsp:rsid wsp:val=&quot;005E7564&quot;/&gt;&lt;wsp:rsid wsp:val=&quot;005F013F&quot;/&gt;&lt;wsp:rsid wsp:val=&quot;005F23E2&quot;/&gt;&lt;wsp:rsid wsp:val=&quot;005F2C10&quot;/&gt;&lt;wsp:rsid wsp:val=&quot;005F2D49&quot;/&gt;&lt;wsp:rsid wsp:val=&quot;005F5A3E&quot;/&gt;&lt;wsp:rsid wsp:val=&quot;005F5F46&quot;/&gt;&lt;wsp:rsid wsp:val=&quot;005F6DA0&quot;/&gt;&lt;wsp:rsid wsp:val=&quot;005F778B&quot;/&gt;&lt;wsp:rsid wsp:val=&quot;006011B1&quot;/&gt;&lt;wsp:rsid wsp:val=&quot;0060162E&quot;/&gt;&lt;wsp:rsid wsp:val=&quot;00601DFA&quot;/&gt;&lt;wsp:rsid wsp:val=&quot;006056A2&quot;/&gt;&lt;wsp:rsid wsp:val=&quot;00606D98&quot;/&gt;&lt;wsp:rsid wsp:val=&quot;00607BA0&quot;/&gt;&lt;wsp:rsid wsp:val=&quot;00611197&quot;/&gt;&lt;wsp:rsid wsp:val=&quot;006121D9&quot;/&gt;&lt;wsp:rsid wsp:val=&quot;00612C7F&quot;/&gt;&lt;wsp:rsid wsp:val=&quot;006136A8&quot;/&gt;&lt;wsp:rsid wsp:val=&quot;00613AC6&quot;/&gt;&lt;wsp:rsid wsp:val=&quot;006147DC&quot;/&gt;&lt;wsp:rsid wsp:val=&quot;00614B32&quot;/&gt;&lt;wsp:rsid wsp:val=&quot;00615D60&quot;/&gt;&lt;wsp:rsid wsp:val=&quot;00615D89&quot;/&gt;&lt;wsp:rsid wsp:val=&quot;00617103&quot;/&gt;&lt;wsp:rsid wsp:val=&quot;00620E2D&quot;/&gt;&lt;wsp:rsid wsp:val=&quot;00620E7C&quot;/&gt;&lt;wsp:rsid wsp:val=&quot;00622BEF&quot;/&gt;&lt;wsp:rsid wsp:val=&quot;006233D1&quot;/&gt;&lt;wsp:rsid wsp:val=&quot;006236B8&quot;/&gt;&lt;wsp:rsid wsp:val=&quot;00630097&quot;/&gt;&lt;wsp:rsid wsp:val=&quot;006315B8&quot;/&gt;&lt;wsp:rsid wsp:val=&quot;00631DA7&quot;/&gt;&lt;wsp:rsid wsp:val=&quot;00632715&quot;/&gt;&lt;wsp:rsid wsp:val=&quot;00632E5F&quot;/&gt;&lt;wsp:rsid wsp:val=&quot;00633A51&quot;/&gt;&lt;wsp:rsid wsp:val=&quot;0063407B&quot;/&gt;&lt;wsp:rsid wsp:val=&quot;00634735&quot;/&gt;&lt;wsp:rsid wsp:val=&quot;00635D61&quot;/&gt;&lt;wsp:rsid wsp:val=&quot;00636BA5&quot;/&gt;&lt;wsp:rsid wsp:val=&quot;0063741F&quot;/&gt;&lt;wsp:rsid wsp:val=&quot;0063789B&quot;/&gt;&lt;wsp:rsid wsp:val=&quot;00637E4C&quot;/&gt;&lt;wsp:rsid wsp:val=&quot;00640AC0&quot;/&gt;&lt;wsp:rsid wsp:val=&quot;00641F58&quot;/&gt;&lt;wsp:rsid wsp:val=&quot;006435C7&quot;/&gt;&lt;wsp:rsid wsp:val=&quot;00643BCE&quot;/&gt;&lt;wsp:rsid wsp:val=&quot;00643E65&quot;/&gt;&lt;wsp:rsid wsp:val=&quot;00644E52&quot;/&gt;&lt;wsp:rsid wsp:val=&quot;00650567&quot;/&gt;&lt;wsp:rsid wsp:val=&quot;0065251F&quot;/&gt;&lt;wsp:rsid wsp:val=&quot;00652578&quot;/&gt;&lt;wsp:rsid wsp:val=&quot;00652D6A&quot;/&gt;&lt;wsp:rsid wsp:val=&quot;0065342A&quot;/&gt;&lt;wsp:rsid wsp:val=&quot;00655B23&quot;/&gt;&lt;wsp:rsid wsp:val=&quot;00656B0B&quot;/&gt;&lt;wsp:rsid wsp:val=&quot;00657C99&quot;/&gt;&lt;wsp:rsid wsp:val=&quot;006600B2&quot;/&gt;&lt;wsp:rsid wsp:val=&quot;0066253C&quot;/&gt;&lt;wsp:rsid wsp:val=&quot;00662EAF&quot;/&gt;&lt;wsp:rsid wsp:val=&quot;0066377C&quot;/&gt;&lt;wsp:rsid wsp:val=&quot;0066409F&quot;/&gt;&lt;wsp:rsid wsp:val=&quot;00664558&quot;/&gt;&lt;wsp:rsid wsp:val=&quot;006648FA&quot;/&gt;&lt;wsp:rsid wsp:val=&quot;00666123&quot;/&gt;&lt;wsp:rsid wsp:val=&quot;00672046&quot;/&gt;&lt;wsp:rsid wsp:val=&quot;00673839&quot;/&gt;&lt;wsp:rsid wsp:val=&quot;006747C7&quot;/&gt;&lt;wsp:rsid wsp:val=&quot;006749F3&quot;/&gt;&lt;wsp:rsid wsp:val=&quot;00675258&quot;/&gt;&lt;wsp:rsid wsp:val=&quot;006758CB&quot;/&gt;&lt;wsp:rsid wsp:val=&quot;00675D0F&quot;/&gt;&lt;wsp:rsid wsp:val=&quot;006762D9&quot;/&gt;&lt;wsp:rsid wsp:val=&quot;00677118&quot;/&gt;&lt;wsp:rsid wsp:val=&quot;006778ED&quot;/&gt;&lt;wsp:rsid wsp:val=&quot;00682781&quot;/&gt;&lt;wsp:rsid wsp:val=&quot;00682897&quot;/&gt;&lt;wsp:rsid wsp:val=&quot;00682C40&quot;/&gt;&lt;wsp:rsid wsp:val=&quot;0068411D&quot;/&gt;&lt;wsp:rsid wsp:val=&quot;00684E8B&quot;/&gt;&lt;wsp:rsid wsp:val=&quot;00684EF1&quot;/&gt;&lt;wsp:rsid wsp:val=&quot;006852A1&quot;/&gt;&lt;wsp:rsid wsp:val=&quot;00685A87&quot;/&gt;&lt;wsp:rsid wsp:val=&quot;00686A6C&quot;/&gt;&lt;wsp:rsid wsp:val=&quot;00687789&quot;/&gt;&lt;wsp:rsid wsp:val=&quot;006877D0&quot;/&gt;&lt;wsp:rsid wsp:val=&quot;006906DC&quot;/&gt;&lt;wsp:rsid wsp:val=&quot;00690F37&quot;/&gt;&lt;wsp:rsid wsp:val=&quot;0069138B&quot;/&gt;&lt;wsp:rsid wsp:val=&quot;00691B04&quot;/&gt;&lt;wsp:rsid wsp:val=&quot;00692C7A&quot;/&gt;&lt;wsp:rsid wsp:val=&quot;00693938&quot;/&gt;&lt;wsp:rsid wsp:val=&quot;00693A40&quot;/&gt;&lt;wsp:rsid wsp:val=&quot;00694837&quot;/&gt;&lt;wsp:rsid wsp:val=&quot;006948FF&quot;/&gt;&lt;wsp:rsid wsp:val=&quot;00696D47&quot;/&gt;&lt;wsp:rsid wsp:val=&quot;00697A13&quot;/&gt;&lt;wsp:rsid wsp:val=&quot;00697C8F&quot;/&gt;&lt;wsp:rsid wsp:val=&quot;006A003C&quot;/&gt;&lt;wsp:rsid wsp:val=&quot;006A0517&quot;/&gt;&lt;wsp:rsid wsp:val=&quot;006A1A0F&quot;/&gt;&lt;wsp:rsid wsp:val=&quot;006A2067&quot;/&gt;&lt;wsp:rsid wsp:val=&quot;006A3536&quot;/&gt;&lt;wsp:rsid wsp:val=&quot;006A4AE4&quot;/&gt;&lt;wsp:rsid wsp:val=&quot;006A63FF&quot;/&gt;&lt;wsp:rsid wsp:val=&quot;006A657D&quot;/&gt;&lt;wsp:rsid wsp:val=&quot;006A7649&quot;/&gt;&lt;wsp:rsid wsp:val=&quot;006A7E84&quot;/&gt;&lt;wsp:rsid wsp:val=&quot;006B15D0&quot;/&gt;&lt;wsp:rsid wsp:val=&quot;006B2510&quot;/&gt;&lt;wsp:rsid wsp:val=&quot;006B2583&quot;/&gt;&lt;wsp:rsid wsp:val=&quot;006B30E2&quot;/&gt;&lt;wsp:rsid wsp:val=&quot;006B338B&quot;/&gt;&lt;wsp:rsid wsp:val=&quot;006B3D84&quot;/&gt;&lt;wsp:rsid wsp:val=&quot;006B4905&quot;/&gt;&lt;wsp:rsid wsp:val=&quot;006B5406&quot;/&gt;&lt;wsp:rsid wsp:val=&quot;006B60A7&quot;/&gt;&lt;wsp:rsid wsp:val=&quot;006C028C&quot;/&gt;&lt;wsp:rsid wsp:val=&quot;006C06FB&quot;/&gt;&lt;wsp:rsid wsp:val=&quot;006C0BF2&quot;/&gt;&lt;wsp:rsid wsp:val=&quot;006C1E31&quot;/&gt;&lt;wsp:rsid wsp:val=&quot;006C435F&quot;/&gt;&lt;wsp:rsid wsp:val=&quot;006C45A2&quot;/&gt;&lt;wsp:rsid wsp:val=&quot;006C489B&quot;/&gt;&lt;wsp:rsid wsp:val=&quot;006C5112&quot;/&gt;&lt;wsp:rsid wsp:val=&quot;006C5C39&quot;/&gt;&lt;wsp:rsid wsp:val=&quot;006C65F3&quot;/&gt;&lt;wsp:rsid wsp:val=&quot;006C70BC&quot;/&gt;&lt;wsp:rsid wsp:val=&quot;006C7929&quot;/&gt;&lt;wsp:rsid wsp:val=&quot;006C7E82&quot;/&gt;&lt;wsp:rsid wsp:val=&quot;006D1162&quot;/&gt;&lt;wsp:rsid wsp:val=&quot;006D1F39&quot;/&gt;&lt;wsp:rsid wsp:val=&quot;006D451D&quot;/&gt;&lt;wsp:rsid wsp:val=&quot;006D606A&quot;/&gt;&lt;wsp:rsid wsp:val=&quot;006D6AF8&quot;/&gt;&lt;wsp:rsid wsp:val=&quot;006D7273&quot;/&gt;&lt;wsp:rsid wsp:val=&quot;006D76CD&quot;/&gt;&lt;wsp:rsid wsp:val=&quot;006E0226&quot;/&gt;&lt;wsp:rsid wsp:val=&quot;006E4629&quot;/&gt;&lt;wsp:rsid wsp:val=&quot;006E4E0B&quot;/&gt;&lt;wsp:rsid wsp:val=&quot;006E6422&quot;/&gt;&lt;wsp:rsid wsp:val=&quot;006E64C2&quot;/&gt;&lt;wsp:rsid wsp:val=&quot;006F0057&quot;/&gt;&lt;wsp:rsid wsp:val=&quot;006F10ED&quot;/&gt;&lt;wsp:rsid wsp:val=&quot;006F210C&quot;/&gt;&lt;wsp:rsid wsp:val=&quot;006F29C1&quot;/&gt;&lt;wsp:rsid wsp:val=&quot;006F74DA&quot;/&gt;&lt;wsp:rsid wsp:val=&quot;006F7C9B&quot;/&gt;&lt;wsp:rsid wsp:val=&quot;00701359&quot;/&gt;&lt;wsp:rsid wsp:val=&quot;00701976&quot;/&gt;&lt;wsp:rsid wsp:val=&quot;00701BD4&quot;/&gt;&lt;wsp:rsid wsp:val=&quot;00701FF7&quot;/&gt;&lt;wsp:rsid wsp:val=&quot;0070335D&quot;/&gt;&lt;wsp:rsid wsp:val=&quot;00704B37&quot;/&gt;&lt;wsp:rsid wsp:val=&quot;007050CE&quot;/&gt;&lt;wsp:rsid wsp:val=&quot;00705AEC&quot;/&gt;&lt;wsp:rsid wsp:val=&quot;00705D45&quot;/&gt;&lt;wsp:rsid wsp:val=&quot;00705FC2&quot;/&gt;&lt;wsp:rsid wsp:val=&quot;007063A7&quot;/&gt;&lt;wsp:rsid wsp:val=&quot;00706A7E&quot;/&gt;&lt;wsp:rsid wsp:val=&quot;00710569&quot;/&gt;&lt;wsp:rsid wsp:val=&quot;00710D02&quot;/&gt;&lt;wsp:rsid wsp:val=&quot;00712842&quot;/&gt;&lt;wsp:rsid wsp:val=&quot;00712E4A&quot;/&gt;&lt;wsp:rsid wsp:val=&quot;007130A6&quot;/&gt;&lt;wsp:rsid wsp:val=&quot;00714E57&quot;/&gt;&lt;wsp:rsid wsp:val=&quot;00715DE1&quot;/&gt;&lt;wsp:rsid wsp:val=&quot;00717223&quot;/&gt;&lt;wsp:rsid wsp:val=&quot;0072060E&quot;/&gt;&lt;wsp:rsid wsp:val=&quot;00722583&quot;/&gt;&lt;wsp:rsid wsp:val=&quot;007234A6&quot;/&gt;&lt;wsp:rsid wsp:val=&quot;00726ED6&quot;/&gt;&lt;wsp:rsid wsp:val=&quot;00730BB2&quot;/&gt;&lt;wsp:rsid wsp:val=&quot;00730D48&quot;/&gt;&lt;wsp:rsid wsp:val=&quot;00731AD0&quot;/&gt;&lt;wsp:rsid wsp:val=&quot;00731C66&quot;/&gt;&lt;wsp:rsid wsp:val=&quot;00732C46&quot;/&gt;&lt;wsp:rsid wsp:val=&quot;007336FE&quot;/&gt;&lt;wsp:rsid wsp:val=&quot;00734C9E&quot;/&gt;&lt;wsp:rsid wsp:val=&quot;0073517D&quot;/&gt;&lt;wsp:rsid wsp:val=&quot;00735CD4&quot;/&gt;&lt;wsp:rsid wsp:val=&quot;00736115&quot;/&gt;&lt;wsp:rsid wsp:val=&quot;00736F2F&quot;/&gt;&lt;wsp:rsid wsp:val=&quot;007374BF&quot;/&gt;&lt;wsp:rsid wsp:val=&quot;00741D67&quot;/&gt;&lt;wsp:rsid wsp:val=&quot;00743FD8&quot;/&gt;&lt;wsp:rsid wsp:val=&quot;007441FE&quot;/&gt;&lt;wsp:rsid wsp:val=&quot;007447D6&quot;/&gt;&lt;wsp:rsid wsp:val=&quot;00744AEA&quot;/&gt;&lt;wsp:rsid wsp:val=&quot;0074531B&quot;/&gt;&lt;wsp:rsid wsp:val=&quot;007453A7&quot;/&gt;&lt;wsp:rsid wsp:val=&quot;00745AB7&quot;/&gt;&lt;wsp:rsid wsp:val=&quot;007472DC&quot;/&gt;&lt;wsp:rsid wsp:val=&quot;007504EC&quot;/&gt;&lt;wsp:rsid wsp:val=&quot;00750EDE&quot;/&gt;&lt;wsp:rsid wsp:val=&quot;007513E6&quot;/&gt;&lt;wsp:rsid wsp:val=&quot;007513ED&quot;/&gt;&lt;wsp:rsid wsp:val=&quot;007528CD&quot;/&gt;&lt;wsp:rsid wsp:val=&quot;00754923&quot;/&gt;&lt;wsp:rsid wsp:val=&quot;007550F9&quot;/&gt;&lt;wsp:rsid wsp:val=&quot;00755EF4&quot;/&gt;&lt;wsp:rsid wsp:val=&quot;007564D5&quot;/&gt;&lt;wsp:rsid wsp:val=&quot;007573AF&quot;/&gt;&lt;wsp:rsid wsp:val=&quot;00757967&quot;/&gt;&lt;wsp:rsid wsp:val=&quot;0076027F&quot;/&gt;&lt;wsp:rsid wsp:val=&quot;007606C0&quot;/&gt;&lt;wsp:rsid wsp:val=&quot;00760FFE&quot;/&gt;&lt;wsp:rsid wsp:val=&quot;00762917&quot;/&gt;&lt;wsp:rsid wsp:val=&quot;007644EC&quot;/&gt;&lt;wsp:rsid wsp:val=&quot;00764531&quot;/&gt;&lt;wsp:rsid wsp:val=&quot;00765C89&quot;/&gt;&lt;wsp:rsid wsp:val=&quot;0076732F&quot;/&gt;&lt;wsp:rsid wsp:val=&quot;0077228A&quot;/&gt;&lt;wsp:rsid wsp:val=&quot;00773150&quot;/&gt;&lt;wsp:rsid wsp:val=&quot;00774714&quot;/&gt;&lt;wsp:rsid wsp:val=&quot;00775E0C&quot;/&gt;&lt;wsp:rsid wsp:val=&quot;007761C4&quot;/&gt;&lt;wsp:rsid wsp:val=&quot;007804CB&quot;/&gt;&lt;wsp:rsid wsp:val=&quot;00780521&quot;/&gt;&lt;wsp:rsid wsp:val=&quot;00781EF1&quot;/&gt;&lt;wsp:rsid wsp:val=&quot;00782A50&quot;/&gt;&lt;wsp:rsid wsp:val=&quot;00783BC9&quot;/&gt;&lt;wsp:rsid wsp:val=&quot;007841AC&quot;/&gt;&lt;wsp:rsid wsp:val=&quot;0078464A&quot;/&gt;&lt;wsp:rsid wsp:val=&quot;00785F3E&quot;/&gt;&lt;wsp:rsid wsp:val=&quot;00786627&quot;/&gt;&lt;wsp:rsid wsp:val=&quot;007867FE&quot;/&gt;&lt;wsp:rsid wsp:val=&quot;0078782F&quot;/&gt;&lt;wsp:rsid wsp:val=&quot;007911D0&quot;/&gt;&lt;wsp:rsid wsp:val=&quot;007916C8&quot;/&gt;&lt;wsp:rsid wsp:val=&quot;0079224E&quot;/&gt;&lt;wsp:rsid wsp:val=&quot;00793A7E&quot;/&gt;&lt;wsp:rsid wsp:val=&quot;00793CA9&quot;/&gt;&lt;wsp:rsid wsp:val=&quot;00794BFE&quot;/&gt;&lt;wsp:rsid wsp:val=&quot;00794D6B&quot;/&gt;&lt;wsp:rsid wsp:val=&quot;00795B3C&quot;/&gt;&lt;wsp:rsid wsp:val=&quot;00796C44&quot;/&gt;&lt;wsp:rsid wsp:val=&quot;007A0173&quot;/&gt;&lt;wsp:rsid wsp:val=&quot;007A106A&quot;/&gt;&lt;wsp:rsid wsp:val=&quot;007A1D6F&quot;/&gt;&lt;wsp:rsid wsp:val=&quot;007A20F2&quot;/&gt;&lt;wsp:rsid wsp:val=&quot;007A29E6&quot;/&gt;&lt;wsp:rsid wsp:val=&quot;007A43C6&quot;/&gt;&lt;wsp:rsid wsp:val=&quot;007A4773&quot;/&gt;&lt;wsp:rsid wsp:val=&quot;007A7F64&quot;/&gt;&lt;wsp:rsid wsp:val=&quot;007B0CEF&quot;/&gt;&lt;wsp:rsid wsp:val=&quot;007B1C99&quot;/&gt;&lt;wsp:rsid wsp:val=&quot;007B1CD7&quot;/&gt;&lt;wsp:rsid wsp:val=&quot;007B21DC&quot;/&gt;&lt;wsp:rsid wsp:val=&quot;007B22F1&quot;/&gt;&lt;wsp:rsid wsp:val=&quot;007B248E&quot;/&gt;&lt;wsp:rsid wsp:val=&quot;007B513F&quot;/&gt;&lt;wsp:rsid wsp:val=&quot;007B75A1&quot;/&gt;&lt;wsp:rsid wsp:val=&quot;007C011D&quot;/&gt;&lt;wsp:rsid wsp:val=&quot;007C0AE7&quot;/&gt;&lt;wsp:rsid wsp:val=&quot;007C2DDA&quot;/&gt;&lt;wsp:rsid wsp:val=&quot;007C40C6&quot;/&gt;&lt;wsp:rsid wsp:val=&quot;007C4CAB&quot;/&gt;&lt;wsp:rsid wsp:val=&quot;007C5ACC&quot;/&gt;&lt;wsp:rsid wsp:val=&quot;007C5E32&quot;/&gt;&lt;wsp:rsid wsp:val=&quot;007C68B4&quot;/&gt;&lt;wsp:rsid wsp:val=&quot;007C7BC0&quot;/&gt;&lt;wsp:rsid wsp:val=&quot;007D093B&quot;/&gt;&lt;wsp:rsid wsp:val=&quot;007D1013&quot;/&gt;&lt;wsp:rsid wsp:val=&quot;007D2BE9&quot;/&gt;&lt;wsp:rsid wsp:val=&quot;007D2C05&quot;/&gt;&lt;wsp:rsid wsp:val=&quot;007D3A53&quot;/&gt;&lt;wsp:rsid wsp:val=&quot;007D4630&quot;/&gt;&lt;wsp:rsid wsp:val=&quot;007D4A8E&quot;/&gt;&lt;wsp:rsid wsp:val=&quot;007D52D3&quot;/&gt;&lt;wsp:rsid wsp:val=&quot;007D54CC&quot;/&gt;&lt;wsp:rsid wsp:val=&quot;007D6535&quot;/&gt;&lt;wsp:rsid wsp:val=&quot;007D73ED&quot;/&gt;&lt;wsp:rsid wsp:val=&quot;007D7E34&quot;/&gt;&lt;wsp:rsid wsp:val=&quot;007E1BEC&quot;/&gt;&lt;wsp:rsid wsp:val=&quot;007E268B&quot;/&gt;&lt;wsp:rsid wsp:val=&quot;007E2976&quot;/&gt;&lt;wsp:rsid wsp:val=&quot;007E41E1&quot;/&gt;&lt;wsp:rsid wsp:val=&quot;007E4453&quot;/&gt;&lt;wsp:rsid wsp:val=&quot;007E4D5E&quot;/&gt;&lt;wsp:rsid wsp:val=&quot;007E4F57&quot;/&gt;&lt;wsp:rsid wsp:val=&quot;007E60EA&quot;/&gt;&lt;wsp:rsid wsp:val=&quot;007F0BCA&quot;/&gt;&lt;wsp:rsid wsp:val=&quot;007F19FE&quot;/&gt;&lt;wsp:rsid wsp:val=&quot;007F268E&quot;/&gt;&lt;wsp:rsid wsp:val=&quot;007F2906&quot;/&gt;&lt;wsp:rsid wsp:val=&quot;007F2E13&quot;/&gt;&lt;wsp:rsid wsp:val=&quot;007F47D8&quot;/&gt;&lt;wsp:rsid wsp:val=&quot;007F4868&quot;/&gt;&lt;wsp:rsid wsp:val=&quot;007F5298&quot;/&gt;&lt;wsp:rsid wsp:val=&quot;00800E69&quot;/&gt;&lt;wsp:rsid wsp:val=&quot;0080135D&quot;/&gt;&lt;wsp:rsid wsp:val=&quot;00801662&quot;/&gt;&lt;wsp:rsid wsp:val=&quot;00802348&quot;/&gt;&lt;wsp:rsid wsp:val=&quot;008027B0&quot;/&gt;&lt;wsp:rsid wsp:val=&quot;00802912&quot;/&gt;&lt;wsp:rsid wsp:val=&quot;00802BC6&quot;/&gt;&lt;wsp:rsid wsp:val=&quot;0080394B&quot;/&gt;&lt;wsp:rsid wsp:val=&quot;00804584&quot;/&gt;&lt;wsp:rsid wsp:val=&quot;0080459F&quot;/&gt;&lt;wsp:rsid wsp:val=&quot;00804C3A&quot;/&gt;&lt;wsp:rsid wsp:val=&quot;00805339&quot;/&gt;&lt;wsp:rsid wsp:val=&quot;0080547C&quot;/&gt;&lt;wsp:rsid wsp:val=&quot;0080734E&quot;/&gt;&lt;wsp:rsid wsp:val=&quot;00812FA1&quot;/&gt;&lt;wsp:rsid wsp:val=&quot;00813DAE&quot;/&gt;&lt;wsp:rsid wsp:val=&quot;00813F2C&quot;/&gt;&lt;wsp:rsid wsp:val=&quot;00815503&quot;/&gt;&lt;wsp:rsid wsp:val=&quot;00820114&quot;/&gt;&lt;wsp:rsid wsp:val=&quot;00822DB3&quot;/&gt;&lt;wsp:rsid wsp:val=&quot;008236A5&quot;/&gt;&lt;wsp:rsid wsp:val=&quot;0082377C&quot;/&gt;&lt;wsp:rsid wsp:val=&quot;00823CEA&quot;/&gt;&lt;wsp:rsid wsp:val=&quot;00824E03&quot;/&gt;&lt;wsp:rsid wsp:val=&quot;00825A79&quot;/&gt;&lt;wsp:rsid wsp:val=&quot;00825BE1&quot;/&gt;&lt;wsp:rsid wsp:val=&quot;00825E5D&quot;/&gt;&lt;wsp:rsid wsp:val=&quot;00825F13&quot;/&gt;&lt;wsp:rsid wsp:val=&quot;0082650A&quot;/&gt;&lt;wsp:rsid wsp:val=&quot;00833331&quot;/&gt;&lt;wsp:rsid wsp:val=&quot;00835041&quot;/&gt;&lt;wsp:rsid wsp:val=&quot;008402C9&quot;/&gt;&lt;wsp:rsid wsp:val=&quot;00840AB1&quot;/&gt;&lt;wsp:rsid wsp:val=&quot;00842254&quot;/&gt;&lt;wsp:rsid wsp:val=&quot;00843240&quot;/&gt;&lt;wsp:rsid wsp:val=&quot;00843793&quot;/&gt;&lt;wsp:rsid wsp:val=&quot;00844643&quot;/&gt;&lt;wsp:rsid wsp:val=&quot;00844C09&quot;/&gt;&lt;wsp:rsid wsp:val=&quot;00844DBC&quot;/&gt;&lt;wsp:rsid wsp:val=&quot;008456DA&quot;/&gt;&lt;wsp:rsid wsp:val=&quot;0085081D&quot;/&gt;&lt;wsp:rsid wsp:val=&quot;0085231A&quot;/&gt;&lt;wsp:rsid wsp:val=&quot;0085394E&quot;/&gt;&lt;wsp:rsid wsp:val=&quot;008539E2&quot;/&gt;&lt;wsp:rsid wsp:val=&quot;00853B6E&quot;/&gt;&lt;wsp:rsid wsp:val=&quot;008542BA&quot;/&gt;&lt;wsp:rsid wsp:val=&quot;00854D16&quot;/&gt;&lt;wsp:rsid wsp:val=&quot;008553A5&quot;/&gt;&lt;wsp:rsid wsp:val=&quot;00855A42&quot;/&gt;&lt;wsp:rsid wsp:val=&quot;00855FA2&quot;/&gt;&lt;wsp:rsid wsp:val=&quot;00856629&quot;/&gt;&lt;wsp:rsid wsp:val=&quot;00856784&quot;/&gt;&lt;wsp:rsid wsp:val=&quot;00857766&quot;/&gt;&lt;wsp:rsid wsp:val=&quot;008608FB&quot;/&gt;&lt;wsp:rsid wsp:val=&quot;00860C0E&quot;/&gt;&lt;wsp:rsid wsp:val=&quot;0086115B&quot;/&gt;&lt;wsp:rsid wsp:val=&quot;00861F66&quot;/&gt;&lt;wsp:rsid wsp:val=&quot;00862C6F&quot;/&gt;&lt;wsp:rsid wsp:val=&quot;008642A5&quot;/&gt;&lt;wsp:rsid wsp:val=&quot;0086491F&quot;/&gt;&lt;wsp:rsid wsp:val=&quot;00865D56&quot;/&gt;&lt;wsp:rsid wsp:val=&quot;008677F5&quot;/&gt;&lt;wsp:rsid wsp:val=&quot;00867A5F&quot;/&gt;&lt;wsp:rsid wsp:val=&quot;0087097E&quot;/&gt;&lt;wsp:rsid wsp:val=&quot;008741FB&quot;/&gt;&lt;wsp:rsid wsp:val=&quot;00875780&quot;/&gt;&lt;wsp:rsid wsp:val=&quot;00875F28&quot;/&gt;&lt;wsp:rsid wsp:val=&quot;00876054&quot;/&gt;&lt;wsp:rsid wsp:val=&quot;00876CE9&quot;/&gt;&lt;wsp:rsid wsp:val=&quot;00877AA1&quot;/&gt;&lt;wsp:rsid wsp:val=&quot;00877E69&quot;/&gt;&lt;wsp:rsid wsp:val=&quot;00880424&quot;/&gt;&lt;wsp:rsid wsp:val=&quot;00880B03&quot;/&gt;&lt;wsp:rsid wsp:val=&quot;00880CCD&quot;/&gt;&lt;wsp:rsid wsp:val=&quot;0088251C&quot;/&gt;&lt;wsp:rsid wsp:val=&quot;00883185&quot;/&gt;&lt;wsp:rsid wsp:val=&quot;0088428A&quot;/&gt;&lt;wsp:rsid wsp:val=&quot;00884EB0&quot;/&gt;&lt;wsp:rsid wsp:val=&quot;00885866&quot;/&gt;&lt;wsp:rsid wsp:val=&quot;00885D46&quot;/&gt;&lt;wsp:rsid wsp:val=&quot;00886277&quot;/&gt;&lt;wsp:rsid wsp:val=&quot;00886823&quot;/&gt;&lt;wsp:rsid wsp:val=&quot;008902EA&quot;/&gt;&lt;wsp:rsid wsp:val=&quot;00890B62&quot;/&gt;&lt;wsp:rsid wsp:val=&quot;00892E73&quot;/&gt;&lt;wsp:rsid wsp:val=&quot;00892F71&quot;/&gt;&lt;wsp:rsid wsp:val=&quot;00897183&quot;/&gt;&lt;wsp:rsid wsp:val=&quot;008973C6&quot;/&gt;&lt;wsp:rsid wsp:val=&quot;008A0650&quot;/&gt;&lt;wsp:rsid wsp:val=&quot;008A065A&quot;/&gt;&lt;wsp:rsid wsp:val=&quot;008A09BE&quot;/&gt;&lt;wsp:rsid wsp:val=&quot;008A0E39&quot;/&gt;&lt;wsp:rsid wsp:val=&quot;008A3790&quot;/&gt;&lt;wsp:rsid wsp:val=&quot;008A3C52&quot;/&gt;&lt;wsp:rsid wsp:val=&quot;008A3F24&quot;/&gt;&lt;wsp:rsid wsp:val=&quot;008A4C56&quot;/&gt;&lt;wsp:rsid wsp:val=&quot;008A7513&quot;/&gt;&lt;wsp:rsid wsp:val=&quot;008A79BD&quot;/&gt;&lt;wsp:rsid wsp:val=&quot;008B0C6C&quot;/&gt;&lt;wsp:rsid wsp:val=&quot;008B0E38&quot;/&gt;&lt;wsp:rsid wsp:val=&quot;008B11C8&quot;/&gt;&lt;wsp:rsid wsp:val=&quot;008B13DF&quot;/&gt;&lt;wsp:rsid wsp:val=&quot;008B1B3C&quot;/&gt;&lt;wsp:rsid wsp:val=&quot;008B1F54&quot;/&gt;&lt;wsp:rsid wsp:val=&quot;008B4719&quot;/&gt;&lt;wsp:rsid wsp:val=&quot;008B4E35&quot;/&gt;&lt;wsp:rsid wsp:val=&quot;008B505E&quot;/&gt;&lt;wsp:rsid wsp:val=&quot;008B5E53&quot;/&gt;&lt;wsp:rsid wsp:val=&quot;008B6704&quot;/&gt;&lt;wsp:rsid wsp:val=&quot;008B7A37&quot;/&gt;&lt;wsp:rsid wsp:val=&quot;008B7BFD&quot;/&gt;&lt;wsp:rsid wsp:val=&quot;008C06C9&quot;/&gt;&lt;wsp:rsid wsp:val=&quot;008C2B73&quot;/&gt;&lt;wsp:rsid wsp:val=&quot;008C4D61&quot;/&gt;&lt;wsp:rsid wsp:val=&quot;008C4F80&quot;/&gt;&lt;wsp:rsid wsp:val=&quot;008C51C1&quot;/&gt;&lt;wsp:rsid wsp:val=&quot;008C5B44&quot;/&gt;&lt;wsp:rsid wsp:val=&quot;008C73DE&quot;/&gt;&lt;wsp:rsid wsp:val=&quot;008C7BE5&quot;/&gt;&lt;wsp:rsid wsp:val=&quot;008C7D70&quot;/&gt;&lt;wsp:rsid wsp:val=&quot;008D152E&quot;/&gt;&lt;wsp:rsid wsp:val=&quot;008D2286&quot;/&gt;&lt;wsp:rsid wsp:val=&quot;008D3420&quot;/&gt;&lt;wsp:rsid wsp:val=&quot;008D5243&quot;/&gt;&lt;wsp:rsid wsp:val=&quot;008D53F8&quot;/&gt;&lt;wsp:rsid wsp:val=&quot;008D7A06&quot;/&gt;&lt;wsp:rsid wsp:val=&quot;008E024D&quot;/&gt;&lt;wsp:rsid wsp:val=&quot;008E1414&quot;/&gt;&lt;wsp:rsid wsp:val=&quot;008E22DE&quot;/&gt;&lt;wsp:rsid wsp:val=&quot;008E28AF&quot;/&gt;&lt;wsp:rsid wsp:val=&quot;008E4C88&quot;/&gt;&lt;wsp:rsid wsp:val=&quot;008E6822&quot;/&gt;&lt;wsp:rsid wsp:val=&quot;008E7AC8&quot;/&gt;&lt;wsp:rsid wsp:val=&quot;008F1B12&quot;/&gt;&lt;wsp:rsid wsp:val=&quot;008F1DF3&quot;/&gt;&lt;wsp:rsid wsp:val=&quot;008F1DFB&quot;/&gt;&lt;wsp:rsid wsp:val=&quot;008F2E81&quot;/&gt;&lt;wsp:rsid wsp:val=&quot;008F4BFB&quot;/&gt;&lt;wsp:rsid wsp:val=&quot;008F538F&quot;/&gt;&lt;wsp:rsid wsp:val=&quot;008F5FBC&quot;/&gt;&lt;wsp:rsid wsp:val=&quot;008F63DC&quot;/&gt;&lt;wsp:rsid wsp:val=&quot;00900088&quot;/&gt;&lt;wsp:rsid wsp:val=&quot;009001C1&quot;/&gt;&lt;wsp:rsid wsp:val=&quot;00900447&quot;/&gt;&lt;wsp:rsid wsp:val=&quot;009018B5&quot;/&gt;&lt;wsp:rsid wsp:val=&quot;00901DB0&quot;/&gt;&lt;wsp:rsid wsp:val=&quot;00901EC5&quot;/&gt;&lt;wsp:rsid wsp:val=&quot;00903B40&quot;/&gt;&lt;wsp:rsid wsp:val=&quot;009049B8&quot;/&gt;&lt;wsp:rsid wsp:val=&quot;00904A51&quot;/&gt;&lt;wsp:rsid wsp:val=&quot;009064E3&quot;/&gt;&lt;wsp:rsid wsp:val=&quot;009104C3&quot;/&gt;&lt;wsp:rsid wsp:val=&quot;00910CD0&quot;/&gt;&lt;wsp:rsid wsp:val=&quot;00911821&quot;/&gt;&lt;wsp:rsid wsp:val=&quot;00912243&quot;/&gt;&lt;wsp:rsid wsp:val=&quot;00913F67&quot;/&gt;&lt;wsp:rsid wsp:val=&quot;00914D8B&quot;/&gt;&lt;wsp:rsid wsp:val=&quot;009155A8&quot;/&gt;&lt;wsp:rsid wsp:val=&quot;00917540&quot;/&gt;&lt;wsp:rsid wsp:val=&quot;00924448&quot;/&gt;&lt;wsp:rsid wsp:val=&quot;00924552&quot;/&gt;&lt;wsp:rsid wsp:val=&quot;0092497D&quot;/&gt;&lt;wsp:rsid wsp:val=&quot;00924A25&quot;/&gt;&lt;wsp:rsid wsp:val=&quot;00924DAA&quot;/&gt;&lt;wsp:rsid wsp:val=&quot;009255C7&quot;/&gt;&lt;wsp:rsid wsp:val=&quot;00930824&quot;/&gt;&lt;wsp:rsid wsp:val=&quot;009308A0&quot;/&gt;&lt;wsp:rsid wsp:val=&quot;009318D9&quot;/&gt;&lt;wsp:rsid wsp:val=&quot;00932166&quot;/&gt;&lt;wsp:rsid wsp:val=&quot;00933921&quot;/&gt;&lt;wsp:rsid wsp:val=&quot;00933F7A&quot;/&gt;&lt;wsp:rsid wsp:val=&quot;00934063&quot;/&gt;&lt;wsp:rsid wsp:val=&quot;009341D0&quot;/&gt;&lt;wsp:rsid wsp:val=&quot;00934776&quot;/&gt;&lt;wsp:rsid wsp:val=&quot;00935286&quot;/&gt;&lt;wsp:rsid wsp:val=&quot;00940144&quot;/&gt;&lt;wsp:rsid wsp:val=&quot;009406FF&quot;/&gt;&lt;wsp:rsid wsp:val=&quot;00945A41&quot;/&gt;&lt;wsp:rsid wsp:val=&quot;00946D64&quot;/&gt;&lt;wsp:rsid wsp:val=&quot;00950867&quot;/&gt;&lt;wsp:rsid wsp:val=&quot;00950B2A&quot;/&gt;&lt;wsp:rsid wsp:val=&quot;00951E6F&quot;/&gt;&lt;wsp:rsid wsp:val=&quot;00952392&quot;/&gt;&lt;wsp:rsid wsp:val=&quot;0095411C&quot;/&gt;&lt;wsp:rsid wsp:val=&quot;0095551E&quot;/&gt;&lt;wsp:rsid wsp:val=&quot;00956EEA&quot;/&gt;&lt;wsp:rsid wsp:val=&quot;00957E0D&quot;/&gt;&lt;wsp:rsid wsp:val=&quot;00960BC8&quot;/&gt;&lt;wsp:rsid wsp:val=&quot;00961829&quot;/&gt;&lt;wsp:rsid wsp:val=&quot;009641B1&quot;/&gt;&lt;wsp:rsid wsp:val=&quot;009665C3&quot;/&gt;&lt;wsp:rsid wsp:val=&quot;009666EE&quot;/&gt;&lt;wsp:rsid wsp:val=&quot;009670B7&quot;/&gt;&lt;wsp:rsid wsp:val=&quot;00970D3A&quot;/&gt;&lt;wsp:rsid wsp:val=&quot;00971B74&quot;/&gt;&lt;wsp:rsid wsp:val=&quot;00972904&quot;/&gt;&lt;wsp:rsid wsp:val=&quot;00976370&quot;/&gt;&lt;wsp:rsid wsp:val=&quot;0098088F&quot;/&gt;&lt;wsp:rsid wsp:val=&quot;009818A2&quot;/&gt;&lt;wsp:rsid wsp:val=&quot;00982ACA&quot;/&gt;&lt;wsp:rsid wsp:val=&quot;00983387&quot;/&gt;&lt;wsp:rsid wsp:val=&quot;009836C7&quot;/&gt;&lt;wsp:rsid wsp:val=&quot;00983EF7&quot;/&gt;&lt;wsp:rsid wsp:val=&quot;00984862&quot;/&gt;&lt;wsp:rsid wsp:val=&quot;00984B5E&quot;/&gt;&lt;wsp:rsid wsp:val=&quot;00984BDE&quot;/&gt;&lt;wsp:rsid wsp:val=&quot;00985271&quot;/&gt;&lt;wsp:rsid wsp:val=&quot;00986047&quot;/&gt;&lt;wsp:rsid wsp:val=&quot;009900C8&quot;/&gt;&lt;wsp:rsid wsp:val=&quot;009916C9&quot;/&gt;&lt;wsp:rsid wsp:val=&quot;00992760&quot;/&gt;&lt;wsp:rsid wsp:val=&quot;00993108&quot;/&gt;&lt;wsp:rsid wsp:val=&quot;00994ABC&quot;/&gt;&lt;wsp:rsid wsp:val=&quot;00994EB9&quot;/&gt;&lt;wsp:rsid wsp:val=&quot;00994FDB&quot;/&gt;&lt;wsp:rsid wsp:val=&quot;009971DB&quot;/&gt;&lt;wsp:rsid wsp:val=&quot;0099734B&quot;/&gt;&lt;wsp:rsid wsp:val=&quot;00997A22&quot;/&gt;&lt;wsp:rsid wsp:val=&quot;009A1203&quot;/&gt;&lt;wsp:rsid wsp:val=&quot;009A1EEB&quot;/&gt;&lt;wsp:rsid wsp:val=&quot;009A2CAC&quot;/&gt;&lt;wsp:rsid wsp:val=&quot;009A31B8&quot;/&gt;&lt;wsp:rsid wsp:val=&quot;009A35E7&quot;/&gt;&lt;wsp:rsid wsp:val=&quot;009A4084&quot;/&gt;&lt;wsp:rsid wsp:val=&quot;009A4F40&quot;/&gt;&lt;wsp:rsid wsp:val=&quot;009A5649&quot;/&gt;&lt;wsp:rsid wsp:val=&quot;009A5FD1&quot;/&gt;&lt;wsp:rsid wsp:val=&quot;009A6450&quot;/&gt;&lt;wsp:rsid wsp:val=&quot;009A6CBE&quot;/&gt;&lt;wsp:rsid wsp:val=&quot;009A7A41&quot;/&gt;&lt;wsp:rsid wsp:val=&quot;009B00B4&quot;/&gt;&lt;wsp:rsid wsp:val=&quot;009B14D7&quot;/&gt;&lt;wsp:rsid wsp:val=&quot;009B17F9&quot;/&gt;&lt;wsp:rsid wsp:val=&quot;009B2B56&quot;/&gt;&lt;wsp:rsid wsp:val=&quot;009B4283&quot;/&gt;&lt;wsp:rsid wsp:val=&quot;009B433B&quot;/&gt;&lt;wsp:rsid wsp:val=&quot;009B4821&quot;/&gt;&lt;wsp:rsid wsp:val=&quot;009B5CB3&quot;/&gt;&lt;wsp:rsid wsp:val=&quot;009B5FC1&quot;/&gt;&lt;wsp:rsid wsp:val=&quot;009B60BB&quot;/&gt;&lt;wsp:rsid wsp:val=&quot;009C01A0&quot;/&gt;&lt;wsp:rsid wsp:val=&quot;009C1FDD&quot;/&gt;&lt;wsp:rsid wsp:val=&quot;009C3D5F&quot;/&gt;&lt;wsp:rsid wsp:val=&quot;009C430F&quot;/&gt;&lt;wsp:rsid wsp:val=&quot;009C4505&quot;/&gt;&lt;wsp:rsid wsp:val=&quot;009C5121&quot;/&gt;&lt;wsp:rsid wsp:val=&quot;009C5E5A&quot;/&gt;&lt;wsp:rsid wsp:val=&quot;009C695E&quot;/&gt;&lt;wsp:rsid wsp:val=&quot;009C7BC6&quot;/&gt;&lt;wsp:rsid wsp:val=&quot;009D0656&quot;/&gt;&lt;wsp:rsid wsp:val=&quot;009D1B8A&quot;/&gt;&lt;wsp:rsid wsp:val=&quot;009D2663&quot;/&gt;&lt;wsp:rsid wsp:val=&quot;009D2F55&quot;/&gt;&lt;wsp:rsid wsp:val=&quot;009D30CE&quot;/&gt;&lt;wsp:rsid wsp:val=&quot;009D7540&quot;/&gt;&lt;wsp:rsid wsp:val=&quot;009E0AF5&quot;/&gt;&lt;wsp:rsid wsp:val=&quot;009E109F&quot;/&gt;&lt;wsp:rsid wsp:val=&quot;009E2A9B&quot;/&gt;&lt;wsp:rsid wsp:val=&quot;009E51F2&quot;/&gt;&lt;wsp:rsid wsp:val=&quot;009E603E&quot;/&gt;&lt;wsp:rsid wsp:val=&quot;009F1797&quot;/&gt;&lt;wsp:rsid wsp:val=&quot;009F262B&quot;/&gt;&lt;wsp:rsid wsp:val=&quot;009F2A00&quot;/&gt;&lt;wsp:rsid wsp:val=&quot;009F2A64&quot;/&gt;&lt;wsp:rsid wsp:val=&quot;009F3088&quot;/&gt;&lt;wsp:rsid wsp:val=&quot;009F353E&quot;/&gt;&lt;wsp:rsid wsp:val=&quot;009F5337&quot;/&gt;&lt;wsp:rsid wsp:val=&quot;009F570C&quot;/&gt;&lt;wsp:rsid wsp:val=&quot;009F64DE&quot;/&gt;&lt;wsp:rsid wsp:val=&quot;009F691B&quot;/&gt;&lt;wsp:rsid wsp:val=&quot;009F7E4B&quot;/&gt;&lt;wsp:rsid wsp:val=&quot;00A00206&quot;/&gt;&lt;wsp:rsid wsp:val=&quot;00A04620&quot;/&gt;&lt;wsp:rsid wsp:val=&quot;00A054A5&quot;/&gt;&lt;wsp:rsid wsp:val=&quot;00A0592E&quot;/&gt;&lt;wsp:rsid wsp:val=&quot;00A067B5&quot;/&gt;&lt;wsp:rsid wsp:val=&quot;00A074C2&quot;/&gt;&lt;wsp:rsid wsp:val=&quot;00A1008F&quot;/&gt;&lt;wsp:rsid wsp:val=&quot;00A105B8&quot;/&gt;&lt;wsp:rsid wsp:val=&quot;00A10F30&quot;/&gt;&lt;wsp:rsid wsp:val=&quot;00A12C32&quot;/&gt;&lt;wsp:rsid wsp:val=&quot;00A141B3&quot;/&gt;&lt;wsp:rsid wsp:val=&quot;00A20045&quot;/&gt;&lt;wsp:rsid wsp:val=&quot;00A21069&quot;/&gt;&lt;wsp:rsid wsp:val=&quot;00A21E88&quot;/&gt;&lt;wsp:rsid wsp:val=&quot;00A220D9&quot;/&gt;&lt;wsp:rsid wsp:val=&quot;00A22486&quot;/&gt;&lt;wsp:rsid wsp:val=&quot;00A22E85&quot;/&gt;&lt;wsp:rsid wsp:val=&quot;00A234AC&quot;/&gt;&lt;wsp:rsid wsp:val=&quot;00A2481A&quot;/&gt;&lt;wsp:rsid wsp:val=&quot;00A24936&quot;/&gt;&lt;wsp:rsid wsp:val=&quot;00A25B43&quot;/&gt;&lt;wsp:rsid wsp:val=&quot;00A26605&quot;/&gt;&lt;wsp:rsid wsp:val=&quot;00A275CD&quot;/&gt;&lt;wsp:rsid wsp:val=&quot;00A27750&quot;/&gt;&lt;wsp:rsid wsp:val=&quot;00A31FA5&quot;/&gt;&lt;wsp:rsid wsp:val=&quot;00A324FE&quot;/&gt;&lt;wsp:rsid wsp:val=&quot;00A32FDD&quot;/&gt;&lt;wsp:rsid wsp:val=&quot;00A33B75&quot;/&gt;&lt;wsp:rsid wsp:val=&quot;00A34B88&quot;/&gt;&lt;wsp:rsid wsp:val=&quot;00A35B7A&quot;/&gt;&lt;wsp:rsid wsp:val=&quot;00A368CE&quot;/&gt;&lt;wsp:rsid wsp:val=&quot;00A36A6B&quot;/&gt;&lt;wsp:rsid wsp:val=&quot;00A36C46&quot;/&gt;&lt;wsp:rsid wsp:val=&quot;00A37955&quot;/&gt;&lt;wsp:rsid wsp:val=&quot;00A40336&quot;/&gt;&lt;wsp:rsid wsp:val=&quot;00A40528&quot;/&gt;&lt;wsp:rsid wsp:val=&quot;00A40B2F&quot;/&gt;&lt;wsp:rsid wsp:val=&quot;00A4124C&quot;/&gt;&lt;wsp:rsid wsp:val=&quot;00A42430&quot;/&gt;&lt;wsp:rsid wsp:val=&quot;00A42A2E&quot;/&gt;&lt;wsp:rsid wsp:val=&quot;00A43D7B&quot;/&gt;&lt;wsp:rsid wsp:val=&quot;00A45C2C&quot;/&gt;&lt;wsp:rsid wsp:val=&quot;00A461D5&quot;/&gt;&lt;wsp:rsid wsp:val=&quot;00A47353&quot;/&gt;&lt;wsp:rsid wsp:val=&quot;00A47B88&quot;/&gt;&lt;wsp:rsid wsp:val=&quot;00A47C56&quot;/&gt;&lt;wsp:rsid wsp:val=&quot;00A506C6&quot;/&gt;&lt;wsp:rsid wsp:val=&quot;00A543E1&quot;/&gt;&lt;wsp:rsid wsp:val=&quot;00A57DCC&quot;/&gt;&lt;wsp:rsid wsp:val=&quot;00A6007D&quot;/&gt;&lt;wsp:rsid wsp:val=&quot;00A608CD&quot;/&gt;&lt;wsp:rsid wsp:val=&quot;00A60B9B&quot;/&gt;&lt;wsp:rsid wsp:val=&quot;00A61B42&quot;/&gt;&lt;wsp:rsid wsp:val=&quot;00A61E39&quot;/&gt;&lt;wsp:rsid wsp:val=&quot;00A63A93&quot;/&gt;&lt;wsp:rsid wsp:val=&quot;00A64D6E&quot;/&gt;&lt;wsp:rsid wsp:val=&quot;00A65718&quot;/&gt;&lt;wsp:rsid wsp:val=&quot;00A66F4A&quot;/&gt;&lt;wsp:rsid wsp:val=&quot;00A67CD9&quot;/&gt;&lt;wsp:rsid wsp:val=&quot;00A707FA&quot;/&gt;&lt;wsp:rsid wsp:val=&quot;00A70884&quot;/&gt;&lt;wsp:rsid wsp:val=&quot;00A71606&quot;/&gt;&lt;wsp:rsid wsp:val=&quot;00A729FB&quot;/&gt;&lt;wsp:rsid wsp:val=&quot;00A7560E&quot;/&gt;&lt;wsp:rsid wsp:val=&quot;00A80224&quot;/&gt;&lt;wsp:rsid wsp:val=&quot;00A80F81&quot;/&gt;&lt;wsp:rsid wsp:val=&quot;00A849C4&quot;/&gt;&lt;wsp:rsid wsp:val=&quot;00A8502E&quot;/&gt;&lt;wsp:rsid wsp:val=&quot;00A87160&quot;/&gt;&lt;wsp:rsid wsp:val=&quot;00A87FAE&quot;/&gt;&lt;wsp:rsid wsp:val=&quot;00A90802&quot;/&gt;&lt;wsp:rsid wsp:val=&quot;00A92ABB&quot;/&gt;&lt;wsp:rsid wsp:val=&quot;00A931F7&quot;/&gt;&lt;wsp:rsid wsp:val=&quot;00A9369A&quot;/&gt;&lt;wsp:rsid wsp:val=&quot;00A93AD6&quot;/&gt;&lt;wsp:rsid wsp:val=&quot;00A93BA2&quot;/&gt;&lt;wsp:rsid wsp:val=&quot;00A940B4&quot;/&gt;&lt;wsp:rsid wsp:val=&quot;00A949F6&quot;/&gt;&lt;wsp:rsid wsp:val=&quot;00A9506A&quot;/&gt;&lt;wsp:rsid wsp:val=&quot;00A9624F&quot;/&gt;&lt;wsp:rsid wsp:val=&quot;00AA1206&quot;/&gt;&lt;wsp:rsid wsp:val=&quot;00AA1F93&quot;/&gt;&lt;wsp:rsid wsp:val=&quot;00AA3050&quot;/&gt;&lt;wsp:rsid wsp:val=&quot;00AA306A&quot;/&gt;&lt;wsp:rsid wsp:val=&quot;00AA4A43&quot;/&gt;&lt;wsp:rsid wsp:val=&quot;00AA4B66&quot;/&gt;&lt;wsp:rsid wsp:val=&quot;00AA54CA&quot;/&gt;&lt;wsp:rsid wsp:val=&quot;00AA583A&quot;/&gt;&lt;wsp:rsid wsp:val=&quot;00AA5EF6&quot;/&gt;&lt;wsp:rsid wsp:val=&quot;00AA624E&quot;/&gt;&lt;wsp:rsid wsp:val=&quot;00AA6738&quot;/&gt;&lt;wsp:rsid wsp:val=&quot;00AA6900&quot;/&gt;&lt;wsp:rsid wsp:val=&quot;00AA6A02&quot;/&gt;&lt;wsp:rsid wsp:val=&quot;00AA6F2D&quot;/&gt;&lt;wsp:rsid wsp:val=&quot;00AA7ABA&quot;/&gt;&lt;wsp:rsid wsp:val=&quot;00AB078E&quot;/&gt;&lt;wsp:rsid wsp:val=&quot;00AB0ACA&quot;/&gt;&lt;wsp:rsid wsp:val=&quot;00AB15FE&quot;/&gt;&lt;wsp:rsid wsp:val=&quot;00AB18CF&quot;/&gt;&lt;wsp:rsid wsp:val=&quot;00AB1AD6&quot;/&gt;&lt;wsp:rsid wsp:val=&quot;00AB4A05&quot;/&gt;&lt;wsp:rsid wsp:val=&quot;00AB50F6&quot;/&gt;&lt;wsp:rsid wsp:val=&quot;00AC0797&quot;/&gt;&lt;wsp:rsid wsp:val=&quot;00AC149F&quot;/&gt;&lt;wsp:rsid wsp:val=&quot;00AC3ADF&quot;/&gt;&lt;wsp:rsid wsp:val=&quot;00AC488F&quot;/&gt;&lt;wsp:rsid wsp:val=&quot;00AC4FC6&quot;/&gt;&lt;wsp:rsid wsp:val=&quot;00AC595C&quot;/&gt;&lt;wsp:rsid wsp:val=&quot;00AC7AC2&quot;/&gt;&lt;wsp:rsid wsp:val=&quot;00AD1CB7&quot;/&gt;&lt;wsp:rsid wsp:val=&quot;00AD4BD1&quot;/&gt;&lt;wsp:rsid wsp:val=&quot;00AD4CE1&quot;/&gt;&lt;wsp:rsid wsp:val=&quot;00AD6E1F&quot;/&gt;&lt;wsp:rsid wsp:val=&quot;00AE474F&quot;/&gt;&lt;wsp:rsid wsp:val=&quot;00AE4B5E&quot;/&gt;&lt;wsp:rsid wsp:val=&quot;00AE4CBF&quot;/&gt;&lt;wsp:rsid wsp:val=&quot;00AE63C0&quot;/&gt;&lt;wsp:rsid wsp:val=&quot;00AE65AA&quot;/&gt;&lt;wsp:rsid wsp:val=&quot;00AE6748&quot;/&gt;&lt;wsp:rsid wsp:val=&quot;00AF05D7&quot;/&gt;&lt;wsp:rsid wsp:val=&quot;00AF0700&quot;/&gt;&lt;wsp:rsid wsp:val=&quot;00AF2CDF&quot;/&gt;&lt;wsp:rsid wsp:val=&quot;00AF3563&quot;/&gt;&lt;wsp:rsid wsp:val=&quot;00AF4252&quot;/&gt;&lt;wsp:rsid wsp:val=&quot;00B012CB&quot;/&gt;&lt;wsp:rsid wsp:val=&quot;00B02E03&quot;/&gt;&lt;wsp:rsid wsp:val=&quot;00B04047&quot;/&gt;&lt;wsp:rsid wsp:val=&quot;00B0538A&quot;/&gt;&lt;wsp:rsid wsp:val=&quot;00B06F38&quot;/&gt;&lt;wsp:rsid wsp:val=&quot;00B11A1D&quot;/&gt;&lt;wsp:rsid wsp:val=&quot;00B1224A&quot;/&gt;&lt;wsp:rsid wsp:val=&quot;00B12EFA&quot;/&gt;&lt;wsp:rsid wsp:val=&quot;00B13867&quot;/&gt;&lt;wsp:rsid wsp:val=&quot;00B1391F&quot;/&gt;&lt;wsp:rsid wsp:val=&quot;00B13E09&quot;/&gt;&lt;wsp:rsid wsp:val=&quot;00B1535C&quot;/&gt;&lt;wsp:rsid wsp:val=&quot;00B15F0B&quot;/&gt;&lt;wsp:rsid wsp:val=&quot;00B16368&quot;/&gt;&lt;wsp:rsid wsp:val=&quot;00B16A8C&quot;/&gt;&lt;wsp:rsid wsp:val=&quot;00B17538&quot;/&gt;&lt;wsp:rsid wsp:val=&quot;00B1789E&quot;/&gt;&lt;wsp:rsid wsp:val=&quot;00B20DAC&quot;/&gt;&lt;wsp:rsid wsp:val=&quot;00B21F0F&quot;/&gt;&lt;wsp:rsid wsp:val=&quot;00B22743&quot;/&gt;&lt;wsp:rsid wsp:val=&quot;00B23C35&quot;/&gt;&lt;wsp:rsid wsp:val=&quot;00B25DB7&quot;/&gt;&lt;wsp:rsid wsp:val=&quot;00B25DBD&quot;/&gt;&lt;wsp:rsid wsp:val=&quot;00B25E83&quot;/&gt;&lt;wsp:rsid wsp:val=&quot;00B268CF&quot;/&gt;&lt;wsp:rsid wsp:val=&quot;00B30F66&quot;/&gt;&lt;wsp:rsid wsp:val=&quot;00B323F6&quot;/&gt;&lt;wsp:rsid wsp:val=&quot;00B32C5A&quot;/&gt;&lt;wsp:rsid wsp:val=&quot;00B3406D&quot;/&gt;&lt;wsp:rsid wsp:val=&quot;00B34443&quot;/&gt;&lt;wsp:rsid wsp:val=&quot;00B34BD2&quot;/&gt;&lt;wsp:rsid wsp:val=&quot;00B351E2&quot;/&gt;&lt;wsp:rsid wsp:val=&quot;00B376B1&quot;/&gt;&lt;wsp:rsid wsp:val=&quot;00B43DB8&quot;/&gt;&lt;wsp:rsid wsp:val=&quot;00B440F4&quot;/&gt;&lt;wsp:rsid wsp:val=&quot;00B447BF&quot;/&gt;&lt;wsp:rsid wsp:val=&quot;00B44CFE&quot;/&gt;&lt;wsp:rsid wsp:val=&quot;00B46BC4&quot;/&gt;&lt;wsp:rsid wsp:val=&quot;00B47C96&quot;/&gt;&lt;wsp:rsid wsp:val=&quot;00B47C9D&quot;/&gt;&lt;wsp:rsid wsp:val=&quot;00B47CF0&quot;/&gt;&lt;wsp:rsid wsp:val=&quot;00B50027&quot;/&gt;&lt;wsp:rsid wsp:val=&quot;00B5127D&quot;/&gt;&lt;wsp:rsid wsp:val=&quot;00B528AC&quot;/&gt;&lt;wsp:rsid wsp:val=&quot;00B534E9&quot;/&gt;&lt;wsp:rsid wsp:val=&quot;00B53713&quot;/&gt;&lt;wsp:rsid wsp:val=&quot;00B53D4E&quot;/&gt;&lt;wsp:rsid wsp:val=&quot;00B57CEB&quot;/&gt;&lt;wsp:rsid wsp:val=&quot;00B60CD7&quot;/&gt;&lt;wsp:rsid wsp:val=&quot;00B611B4&quot;/&gt;&lt;wsp:rsid wsp:val=&quot;00B61439&quot;/&gt;&lt;wsp:rsid wsp:val=&quot;00B62CE7&quot;/&gt;&lt;wsp:rsid wsp:val=&quot;00B63F24&quot;/&gt;&lt;wsp:rsid wsp:val=&quot;00B64491&quot;/&gt;&lt;wsp:rsid wsp:val=&quot;00B67320&quot;/&gt;&lt;wsp:rsid wsp:val=&quot;00B733E3&quot;/&gt;&lt;wsp:rsid wsp:val=&quot;00B75CF0&quot;/&gt;&lt;wsp:rsid wsp:val=&quot;00B76EAD&quot;/&gt;&lt;wsp:rsid wsp:val=&quot;00B7740D&quot;/&gt;&lt;wsp:rsid wsp:val=&quot;00B8051C&quot;/&gt;&lt;wsp:rsid wsp:val=&quot;00B80B10&quot;/&gt;&lt;wsp:rsid wsp:val=&quot;00B80C33&quot;/&gt;&lt;wsp:rsid wsp:val=&quot;00B81993&quot;/&gt;&lt;wsp:rsid wsp:val=&quot;00B8423F&quot;/&gt;&lt;wsp:rsid wsp:val=&quot;00B86213&quot;/&gt;&lt;wsp:rsid wsp:val=&quot;00B910FE&quot;/&gt;&lt;wsp:rsid wsp:val=&quot;00B92605&quot;/&gt;&lt;wsp:rsid wsp:val=&quot;00B93FC4&quot;/&gt;&lt;wsp:rsid wsp:val=&quot;00B946B0&quot;/&gt;&lt;wsp:rsid wsp:val=&quot;00B957D3&quot;/&gt;&lt;wsp:rsid wsp:val=&quot;00B96B24&quot;/&gt;&lt;wsp:rsid wsp:val=&quot;00B96E96&quot;/&gt;&lt;wsp:rsid wsp:val=&quot;00BA0AD9&quot;/&gt;&lt;wsp:rsid wsp:val=&quot;00BA0C5C&quot;/&gt;&lt;wsp:rsid wsp:val=&quot;00BA0CC1&quot;/&gt;&lt;wsp:rsid wsp:val=&quot;00BA1D8E&quot;/&gt;&lt;wsp:rsid wsp:val=&quot;00BA1F70&quot;/&gt;&lt;wsp:rsid wsp:val=&quot;00BA3DE7&quot;/&gt;&lt;wsp:rsid wsp:val=&quot;00BA43AA&quot;/&gt;&lt;wsp:rsid wsp:val=&quot;00BA51AB&quot;/&gt;&lt;wsp:rsid wsp:val=&quot;00BA57B1&quot;/&gt;&lt;wsp:rsid wsp:val=&quot;00BA6A32&quot;/&gt;&lt;wsp:rsid wsp:val=&quot;00BA7C6E&quot;/&gt;&lt;wsp:rsid wsp:val=&quot;00BA7D20&quot;/&gt;&lt;wsp:rsid wsp:val=&quot;00BB06D1&quot;/&gt;&lt;wsp:rsid wsp:val=&quot;00BB0C95&quot;/&gt;&lt;wsp:rsid wsp:val=&quot;00BB592B&quot;/&gt;&lt;wsp:rsid wsp:val=&quot;00BB5B8F&quot;/&gt;&lt;wsp:rsid wsp:val=&quot;00BB6C59&quot;/&gt;&lt;wsp:rsid wsp:val=&quot;00BC023F&quot;/&gt;&lt;wsp:rsid wsp:val=&quot;00BC0989&quot;/&gt;&lt;wsp:rsid wsp:val=&quot;00BC0F06&quot;/&gt;&lt;wsp:rsid wsp:val=&quot;00BC1903&quot;/&gt;&lt;wsp:rsid wsp:val=&quot;00BC2395&quot;/&gt;&lt;wsp:rsid wsp:val=&quot;00BC68A5&quot;/&gt;&lt;wsp:rsid wsp:val=&quot;00BC7F4C&quot;/&gt;&lt;wsp:rsid wsp:val=&quot;00BD02CB&quot;/&gt;&lt;wsp:rsid wsp:val=&quot;00BD167F&quot;/&gt;&lt;wsp:rsid wsp:val=&quot;00BD17B1&quot;/&gt;&lt;wsp:rsid wsp:val=&quot;00BD2368&quot;/&gt;&lt;wsp:rsid wsp:val=&quot;00BD2F2A&quot;/&gt;&lt;wsp:rsid wsp:val=&quot;00BD3541&quot;/&gt;&lt;wsp:rsid wsp:val=&quot;00BD40DA&quot;/&gt;&lt;wsp:rsid wsp:val=&quot;00BD4B51&quot;/&gt;&lt;wsp:rsid wsp:val=&quot;00BE0068&quot;/&gt;&lt;wsp:rsid wsp:val=&quot;00BE0A4A&quot;/&gt;&lt;wsp:rsid wsp:val=&quot;00BE0CEA&quot;/&gt;&lt;wsp:rsid wsp:val=&quot;00BE1B62&quot;/&gt;&lt;wsp:rsid wsp:val=&quot;00BE2909&quot;/&gt;&lt;wsp:rsid wsp:val=&quot;00BE3A5D&quot;/&gt;&lt;wsp:rsid wsp:val=&quot;00BE458B&quot;/&gt;&lt;wsp:rsid wsp:val=&quot;00BE5575&quot;/&gt;&lt;wsp:rsid wsp:val=&quot;00BE65E5&quot;/&gt;&lt;wsp:rsid wsp:val=&quot;00BE6931&quot;/&gt;&lt;wsp:rsid wsp:val=&quot;00BE7236&quot;/&gt;&lt;wsp:rsid wsp:val=&quot;00BF1A1E&quot;/&gt;&lt;wsp:rsid wsp:val=&quot;00BF2C4E&quot;/&gt;&lt;wsp:rsid wsp:val=&quot;00BF48F6&quot;/&gt;&lt;wsp:rsid wsp:val=&quot;00BF50CC&quot;/&gt;&lt;wsp:rsid wsp:val=&quot;00BF5348&quot;/&gt;&lt;wsp:rsid wsp:val=&quot;00BF7A43&quot;/&gt;&lt;wsp:rsid wsp:val=&quot;00BF7C29&quot;/&gt;&lt;wsp:rsid wsp:val=&quot;00C001A1&quot;/&gt;&lt;wsp:rsid wsp:val=&quot;00C00455&quot;/&gt;&lt;wsp:rsid wsp:val=&quot;00C00756&quot;/&gt;&lt;wsp:rsid wsp:val=&quot;00C008C7&quot;/&gt;&lt;wsp:rsid wsp:val=&quot;00C01D36&quot;/&gt;&lt;wsp:rsid wsp:val=&quot;00C020C9&quot;/&gt;&lt;wsp:rsid wsp:val=&quot;00C02D07&quot;/&gt;&lt;wsp:rsid wsp:val=&quot;00C03016&quot;/&gt;&lt;wsp:rsid wsp:val=&quot;00C03034&quot;/&gt;&lt;wsp:rsid wsp:val=&quot;00C03581&quot;/&gt;&lt;wsp:rsid wsp:val=&quot;00C03D44&quot;/&gt;&lt;wsp:rsid wsp:val=&quot;00C15121&quot;/&gt;&lt;wsp:rsid wsp:val=&quot;00C16603&quot;/&gt;&lt;wsp:rsid wsp:val=&quot;00C20312&quot;/&gt;&lt;wsp:rsid wsp:val=&quot;00C21257&quot;/&gt;&lt;wsp:rsid wsp:val=&quot;00C23216&quot;/&gt;&lt;wsp:rsid wsp:val=&quot;00C23726&quot;/&gt;&lt;wsp:rsid wsp:val=&quot;00C23B37&quot;/&gt;&lt;wsp:rsid wsp:val=&quot;00C24CED&quot;/&gt;&lt;wsp:rsid wsp:val=&quot;00C2737F&quot;/&gt;&lt;wsp:rsid wsp:val=&quot;00C30E7A&quot;/&gt;&lt;wsp:rsid wsp:val=&quot;00C36901&quot;/&gt;&lt;wsp:rsid wsp:val=&quot;00C36C6C&quot;/&gt;&lt;wsp:rsid wsp:val=&quot;00C37293&quot;/&gt;&lt;wsp:rsid wsp:val=&quot;00C41CF4&quot;/&gt;&lt;wsp:rsid wsp:val=&quot;00C42914&quot;/&gt;&lt;wsp:rsid wsp:val=&quot;00C42E72&quot;/&gt;&lt;wsp:rsid wsp:val=&quot;00C43DEE&quot;/&gt;&lt;wsp:rsid wsp:val=&quot;00C43E59&quot;/&gt;&lt;wsp:rsid wsp:val=&quot;00C4475D&quot;/&gt;&lt;wsp:rsid wsp:val=&quot;00C44B15&quot;/&gt;&lt;wsp:rsid wsp:val=&quot;00C44F82&quot;/&gt;&lt;wsp:rsid wsp:val=&quot;00C45190&quot;/&gt;&lt;wsp:rsid wsp:val=&quot;00C45731&quot;/&gt;&lt;wsp:rsid wsp:val=&quot;00C45AC3&quot;/&gt;&lt;wsp:rsid wsp:val=&quot;00C47267&quot;/&gt;&lt;wsp:rsid wsp:val=&quot;00C47FB7&quot;/&gt;&lt;wsp:rsid wsp:val=&quot;00C5184C&quot;/&gt;&lt;wsp:rsid wsp:val=&quot;00C5198E&quot;/&gt;&lt;wsp:rsid wsp:val=&quot;00C51C3B&quot;/&gt;&lt;wsp:rsid wsp:val=&quot;00C528D4&quot;/&gt;&lt;wsp:rsid wsp:val=&quot;00C52D00&quot;/&gt;&lt;wsp:rsid wsp:val=&quot;00C544C5&quot;/&gt;&lt;wsp:rsid wsp:val=&quot;00C550A3&quot;/&gt;&lt;wsp:rsid wsp:val=&quot;00C55FED&quot;/&gt;&lt;wsp:rsid wsp:val=&quot;00C56E77&quot;/&gt;&lt;wsp:rsid wsp:val=&quot;00C61FC7&quot;/&gt;&lt;wsp:rsid wsp:val=&quot;00C670E3&quot;/&gt;&lt;wsp:rsid wsp:val=&quot;00C70863&quot;/&gt;&lt;wsp:rsid wsp:val=&quot;00C71E09&quot;/&gt;&lt;wsp:rsid wsp:val=&quot;00C71EE8&quot;/&gt;&lt;wsp:rsid wsp:val=&quot;00C73B80&quot;/&gt;&lt;wsp:rsid wsp:val=&quot;00C743ED&quot;/&gt;&lt;wsp:rsid wsp:val=&quot;00C75308&quot;/&gt;&lt;wsp:rsid wsp:val=&quot;00C75CAB&quot;/&gt;&lt;wsp:rsid wsp:val=&quot;00C75FD7&quot;/&gt;&lt;wsp:rsid wsp:val=&quot;00C777AD&quot;/&gt;&lt;wsp:rsid wsp:val=&quot;00C77EAD&quot;/&gt;&lt;wsp:rsid wsp:val=&quot;00C805DC&quot;/&gt;&lt;wsp:rsid wsp:val=&quot;00C82FAD&quot;/&gt;&lt;wsp:rsid wsp:val=&quot;00C838C9&quot;/&gt;&lt;wsp:rsid wsp:val=&quot;00C839BA&quot;/&gt;&lt;wsp:rsid wsp:val=&quot;00C83AB2&quot;/&gt;&lt;wsp:rsid wsp:val=&quot;00C84F85&quot;/&gt;&lt;wsp:rsid wsp:val=&quot;00C8754A&quot;/&gt;&lt;wsp:rsid wsp:val=&quot;00C87ACB&quot;/&gt;&lt;wsp:rsid wsp:val=&quot;00C90115&quot;/&gt;&lt;wsp:rsid wsp:val=&quot;00C9078D&quot;/&gt;&lt;wsp:rsid wsp:val=&quot;00C90DC9&quot;/&gt;&lt;wsp:rsid wsp:val=&quot;00C92FED&quot;/&gt;&lt;wsp:rsid wsp:val=&quot;00C94274&quot;/&gt;&lt;wsp:rsid wsp:val=&quot;00C94BA1&quot;/&gt;&lt;wsp:rsid wsp:val=&quot;00C95B87&quot;/&gt;&lt;wsp:rsid wsp:val=&quot;00C95CC6&quot;/&gt;&lt;wsp:rsid wsp:val=&quot;00C9610D&quot;/&gt;&lt;wsp:rsid wsp:val=&quot;00C964F7&quot;/&gt;&lt;wsp:rsid wsp:val=&quot;00C977CE&quot;/&gt;&lt;wsp:rsid wsp:val=&quot;00C97943&quot;/&gt;&lt;wsp:rsid wsp:val=&quot;00CA0262&quot;/&gt;&lt;wsp:rsid wsp:val=&quot;00CA0DEA&quot;/&gt;&lt;wsp:rsid wsp:val=&quot;00CA1483&quot;/&gt;&lt;wsp:rsid wsp:val=&quot;00CA17D9&quot;/&gt;&lt;wsp:rsid wsp:val=&quot;00CA21B2&quot;/&gt;&lt;wsp:rsid wsp:val=&quot;00CA2E33&quot;/&gt;&lt;wsp:rsid wsp:val=&quot;00CA317D&quot;/&gt;&lt;wsp:rsid wsp:val=&quot;00CA3677&quot;/&gt;&lt;wsp:rsid wsp:val=&quot;00CA39DE&quot;/&gt;&lt;wsp:rsid wsp:val=&quot;00CA52A6&quot;/&gt;&lt;wsp:rsid wsp:val=&quot;00CA5B47&quot;/&gt;&lt;wsp:rsid wsp:val=&quot;00CA6F02&quot;/&gt;&lt;wsp:rsid wsp:val=&quot;00CA771A&quot;/&gt;&lt;wsp:rsid wsp:val=&quot;00CB14A6&quot;/&gt;&lt;wsp:rsid wsp:val=&quot;00CB1953&quot;/&gt;&lt;wsp:rsid wsp:val=&quot;00CB2D0D&quot;/&gt;&lt;wsp:rsid wsp:val=&quot;00CB3943&quot;/&gt;&lt;wsp:rsid wsp:val=&quot;00CB4F17&quot;/&gt;&lt;wsp:rsid wsp:val=&quot;00CB5644&quot;/&gt;&lt;wsp:rsid wsp:val=&quot;00CB6632&quot;/&gt;&lt;wsp:rsid wsp:val=&quot;00CB6856&quot;/&gt;&lt;wsp:rsid wsp:val=&quot;00CB6A81&quot;/&gt;&lt;wsp:rsid wsp:val=&quot;00CB6DA6&quot;/&gt;&lt;wsp:rsid wsp:val=&quot;00CC0AB3&quot;/&gt;&lt;wsp:rsid wsp:val=&quot;00CC1174&quot;/&gt;&lt;wsp:rsid wsp:val=&quot;00CC1570&quot;/&gt;&lt;wsp:rsid wsp:val=&quot;00CC209D&quot;/&gt;&lt;wsp:rsid wsp:val=&quot;00CC2685&quot;/&gt;&lt;wsp:rsid wsp:val=&quot;00CC4488&quot;/&gt;&lt;wsp:rsid wsp:val=&quot;00CC46B1&quot;/&gt;&lt;wsp:rsid wsp:val=&quot;00CC473C&quot;/&gt;&lt;wsp:rsid wsp:val=&quot;00CC4A7D&quot;/&gt;&lt;wsp:rsid wsp:val=&quot;00CC6C4F&quot;/&gt;&lt;wsp:rsid wsp:val=&quot;00CD16AE&quot;/&gt;&lt;wsp:rsid wsp:val=&quot;00CD2C7F&quot;/&gt;&lt;wsp:rsid wsp:val=&quot;00CD3B4D&quot;/&gt;&lt;wsp:rsid wsp:val=&quot;00CD4D32&quot;/&gt;&lt;wsp:rsid wsp:val=&quot;00CD671A&quot;/&gt;&lt;wsp:rsid wsp:val=&quot;00CD6BB9&quot;/&gt;&lt;wsp:rsid wsp:val=&quot;00CD7952&quot;/&gt;&lt;wsp:rsid wsp:val=&quot;00CD7D02&quot;/&gt;&lt;wsp:rsid wsp:val=&quot;00CE0743&quot;/&gt;&lt;wsp:rsid wsp:val=&quot;00CE1705&quot;/&gt;&lt;wsp:rsid wsp:val=&quot;00CE1966&quot;/&gt;&lt;wsp:rsid wsp:val=&quot;00CE19E7&quot;/&gt;&lt;wsp:rsid wsp:val=&quot;00CE1BC7&quot;/&gt;&lt;wsp:rsid wsp:val=&quot;00CE1E4B&quot;/&gt;&lt;wsp:rsid wsp:val=&quot;00CE3AFB&quot;/&gt;&lt;wsp:rsid wsp:val=&quot;00CE3FB6&quot;/&gt;&lt;wsp:rsid wsp:val=&quot;00CE410E&quot;/&gt;&lt;wsp:rsid wsp:val=&quot;00CE4FDC&quot;/&gt;&lt;wsp:rsid wsp:val=&quot;00CE5C66&quot;/&gt;&lt;wsp:rsid wsp:val=&quot;00CE688B&quot;/&gt;&lt;wsp:rsid wsp:val=&quot;00CE6D17&quot;/&gt;&lt;wsp:rsid wsp:val=&quot;00CF2A16&quot;/&gt;&lt;wsp:rsid wsp:val=&quot;00CF3597&quot;/&gt;&lt;wsp:rsid wsp:val=&quot;00CF41BC&quot;/&gt;&lt;wsp:rsid wsp:val=&quot;00CF44AE&quot;/&gt;&lt;wsp:rsid wsp:val=&quot;00CF472A&quot;/&gt;&lt;wsp:rsid wsp:val=&quot;00CF51C5&quot;/&gt;&lt;wsp:rsid wsp:val=&quot;00CF647A&quot;/&gt;&lt;wsp:rsid wsp:val=&quot;00CF7293&quot;/&gt;&lt;wsp:rsid wsp:val=&quot;00CF7766&quot;/&gt;&lt;wsp:rsid wsp:val=&quot;00D02CAC&quot;/&gt;&lt;wsp:rsid wsp:val=&quot;00D03093&quot;/&gt;&lt;wsp:rsid wsp:val=&quot;00D0388F&quot;/&gt;&lt;wsp:rsid wsp:val=&quot;00D03AD3&quot;/&gt;&lt;wsp:rsid wsp:val=&quot;00D05451&quot;/&gt;&lt;wsp:rsid wsp:val=&quot;00D05E9B&quot;/&gt;&lt;wsp:rsid wsp:val=&quot;00D06BD6&quot;/&gt;&lt;wsp:rsid wsp:val=&quot;00D07026&quot;/&gt;&lt;wsp:rsid wsp:val=&quot;00D07A60&quot;/&gt;&lt;wsp:rsid wsp:val=&quot;00D11793&quot;/&gt;&lt;wsp:rsid wsp:val=&quot;00D12063&quot;/&gt;&lt;wsp:rsid wsp:val=&quot;00D1253D&quot;/&gt;&lt;wsp:rsid wsp:val=&quot;00D125B2&quot;/&gt;&lt;wsp:rsid wsp:val=&quot;00D1492A&quot;/&gt;&lt;wsp:rsid wsp:val=&quot;00D1550F&quot;/&gt;&lt;wsp:rsid wsp:val=&quot;00D1694F&quot;/&gt;&lt;wsp:rsid wsp:val=&quot;00D174DE&quot;/&gt;&lt;wsp:rsid wsp:val=&quot;00D20DE8&quot;/&gt;&lt;wsp:rsid wsp:val=&quot;00D21EA2&quot;/&gt;&lt;wsp:rsid wsp:val=&quot;00D23687&quot;/&gt;&lt;wsp:rsid wsp:val=&quot;00D23D6D&quot;/&gt;&lt;wsp:rsid wsp:val=&quot;00D24FC5&quot;/&gt;&lt;wsp:rsid wsp:val=&quot;00D2721E&quot;/&gt;&lt;wsp:rsid wsp:val=&quot;00D302FF&quot;/&gt;&lt;wsp:rsid wsp:val=&quot;00D32B17&quot;/&gt;&lt;wsp:rsid wsp:val=&quot;00D3322C&quot;/&gt;&lt;wsp:rsid wsp:val=&quot;00D33567&quot;/&gt;&lt;wsp:rsid wsp:val=&quot;00D34165&quot;/&gt;&lt;wsp:rsid wsp:val=&quot;00D36BAC&quot;/&gt;&lt;wsp:rsid wsp:val=&quot;00D373DB&quot;/&gt;&lt;wsp:rsid wsp:val=&quot;00D40764&quot;/&gt;&lt;wsp:rsid wsp:val=&quot;00D40C05&quot;/&gt;&lt;wsp:rsid wsp:val=&quot;00D40FA3&quot;/&gt;&lt;wsp:rsid wsp:val=&quot;00D41539&quot;/&gt;&lt;wsp:rsid wsp:val=&quot;00D41B66&quot;/&gt;&lt;wsp:rsid wsp:val=&quot;00D41E2F&quot;/&gt;&lt;wsp:rsid wsp:val=&quot;00D42354&quot;/&gt;&lt;wsp:rsid wsp:val=&quot;00D43225&quot;/&gt;&lt;wsp:rsid wsp:val=&quot;00D43AC9&quot;/&gt;&lt;wsp:rsid wsp:val=&quot;00D43CD9&quot;/&gt;&lt;wsp:rsid wsp:val=&quot;00D456A0&quot;/&gt;&lt;wsp:rsid wsp:val=&quot;00D47F99&quot;/&gt;&lt;wsp:rsid wsp:val=&quot;00D515A9&quot;/&gt;&lt;wsp:rsid wsp:val=&quot;00D5237E&quot;/&gt;&lt;wsp:rsid wsp:val=&quot;00D54294&quot;/&gt;&lt;wsp:rsid wsp:val=&quot;00D550C4&quot;/&gt;&lt;wsp:rsid wsp:val=&quot;00D553C8&quot;/&gt;&lt;wsp:rsid wsp:val=&quot;00D55989&quot;/&gt;&lt;wsp:rsid wsp:val=&quot;00D579F5&quot;/&gt;&lt;wsp:rsid wsp:val=&quot;00D57C8D&quot;/&gt;&lt;wsp:rsid wsp:val=&quot;00D6059E&quot;/&gt;&lt;wsp:rsid wsp:val=&quot;00D6160A&quot;/&gt;&lt;wsp:rsid wsp:val=&quot;00D620A8&quot;/&gt;&lt;wsp:rsid wsp:val=&quot;00D637A3&quot;/&gt;&lt;wsp:rsid wsp:val=&quot;00D64619&quot;/&gt;&lt;wsp:rsid wsp:val=&quot;00D65106&quot;/&gt;&lt;wsp:rsid wsp:val=&quot;00D65493&quot;/&gt;&lt;wsp:rsid wsp:val=&quot;00D66C2D&quot;/&gt;&lt;wsp:rsid wsp:val=&quot;00D66DCF&quot;/&gt;&lt;wsp:rsid wsp:val=&quot;00D674D6&quot;/&gt;&lt;wsp:rsid wsp:val=&quot;00D675E9&quot;/&gt;&lt;wsp:rsid wsp:val=&quot;00D70920&quot;/&gt;&lt;wsp:rsid wsp:val=&quot;00D71EA0&quot;/&gt;&lt;wsp:rsid wsp:val=&quot;00D7224C&quot;/&gt;&lt;wsp:rsid wsp:val=&quot;00D72BF5&quot;/&gt;&lt;wsp:rsid wsp:val=&quot;00D7391C&quot;/&gt;&lt;wsp:rsid wsp:val=&quot;00D73D79&quot;/&gt;&lt;wsp:rsid wsp:val=&quot;00D74539&quot;/&gt;&lt;wsp:rsid wsp:val=&quot;00D75D96&quot;/&gt;&lt;wsp:rsid wsp:val=&quot;00D775DE&quot;/&gt;&lt;wsp:rsid wsp:val=&quot;00D77E3D&quot;/&gt;&lt;wsp:rsid wsp:val=&quot;00D80287&quot;/&gt;&lt;wsp:rsid wsp:val=&quot;00D80B87&quot;/&gt;&lt;wsp:rsid wsp:val=&quot;00D82A84&quot;/&gt;&lt;wsp:rsid wsp:val=&quot;00D832A6&quot;/&gt;&lt;wsp:rsid wsp:val=&quot;00D83B38&quot;/&gt;&lt;wsp:rsid wsp:val=&quot;00D83C5C&quot;/&gt;&lt;wsp:rsid wsp:val=&quot;00D85F4B&quot;/&gt;&lt;wsp:rsid wsp:val=&quot;00D903AB&quot;/&gt;&lt;wsp:rsid wsp:val=&quot;00D91493&quot;/&gt;&lt;wsp:rsid wsp:val=&quot;00D91EE3&quot;/&gt;&lt;wsp:rsid wsp:val=&quot;00D9259E&quot;/&gt;&lt;wsp:rsid wsp:val=&quot;00D92708&quot;/&gt;&lt;wsp:rsid wsp:val=&quot;00D94ADD&quot;/&gt;&lt;wsp:rsid wsp:val=&quot;00D9649E&quot;/&gt;&lt;wsp:rsid wsp:val=&quot;00D96513&quot;/&gt;&lt;wsp:rsid wsp:val=&quot;00D966AD&quot;/&gt;&lt;wsp:rsid wsp:val=&quot;00D9721B&quot;/&gt;&lt;wsp:rsid wsp:val=&quot;00DA0162&quot;/&gt;&lt;wsp:rsid wsp:val=&quot;00DA46A9&quot;/&gt;&lt;wsp:rsid wsp:val=&quot;00DA6DEB&quot;/&gt;&lt;wsp:rsid wsp:val=&quot;00DA7A16&quot;/&gt;&lt;wsp:rsid wsp:val=&quot;00DB18E6&quot;/&gt;&lt;wsp:rsid wsp:val=&quot;00DB21FB&quot;/&gt;&lt;wsp:rsid wsp:val=&quot;00DB43F4&quot;/&gt;&lt;wsp:rsid wsp:val=&quot;00DB502E&quot;/&gt;&lt;wsp:rsid wsp:val=&quot;00DB5E00&quot;/&gt;&lt;wsp:rsid wsp:val=&quot;00DB5E23&quot;/&gt;&lt;wsp:rsid wsp:val=&quot;00DB6428&quot;/&gt;&lt;wsp:rsid wsp:val=&quot;00DB74F1&quot;/&gt;&lt;wsp:rsid wsp:val=&quot;00DC0D7C&quot;/&gt;&lt;wsp:rsid wsp:val=&quot;00DC1C52&quot;/&gt;&lt;wsp:rsid wsp:val=&quot;00DC233B&quot;/&gt;&lt;wsp:rsid wsp:val=&quot;00DC2A0C&quot;/&gt;&lt;wsp:rsid wsp:val=&quot;00DC4070&quot;/&gt;&lt;wsp:rsid wsp:val=&quot;00DC692C&quot;/&gt;&lt;wsp:rsid wsp:val=&quot;00DC6AD3&quot;/&gt;&lt;wsp:rsid wsp:val=&quot;00DC73BA&quot;/&gt;&lt;wsp:rsid wsp:val=&quot;00DC7FF1&quot;/&gt;&lt;wsp:rsid wsp:val=&quot;00DD12D8&quot;/&gt;&lt;wsp:rsid wsp:val=&quot;00DD2A5C&quot;/&gt;&lt;wsp:rsid wsp:val=&quot;00DD2A72&quot;/&gt;&lt;wsp:rsid wsp:val=&quot;00DD3690&quot;/&gt;&lt;wsp:rsid wsp:val=&quot;00DD507F&quot;/&gt;&lt;wsp:rsid wsp:val=&quot;00DD5288&quot;/&gt;&lt;wsp:rsid wsp:val=&quot;00DD612A&quot;/&gt;&lt;wsp:rsid wsp:val=&quot;00DD71D1&quot;/&gt;&lt;wsp:rsid wsp:val=&quot;00DD7209&quot;/&gt;&lt;wsp:rsid wsp:val=&quot;00DD78DC&quot;/&gt;&lt;wsp:rsid wsp:val=&quot;00DE0DCC&quot;/&gt;&lt;wsp:rsid wsp:val=&quot;00DE0E7E&quot;/&gt;&lt;wsp:rsid wsp:val=&quot;00DE310E&quot;/&gt;&lt;wsp:rsid wsp:val=&quot;00DE4268&quot;/&gt;&lt;wsp:rsid wsp:val=&quot;00DE46F5&quot;/&gt;&lt;wsp:rsid wsp:val=&quot;00DE57C4&quot;/&gt;&lt;wsp:rsid wsp:val=&quot;00DE6032&quot;/&gt;&lt;wsp:rsid wsp:val=&quot;00DE6101&quot;/&gt;&lt;wsp:rsid wsp:val=&quot;00DE6DB4&quot;/&gt;&lt;wsp:rsid wsp:val=&quot;00DE7358&quot;/&gt;&lt;wsp:rsid wsp:val=&quot;00DF0AA9&quot;/&gt;&lt;wsp:rsid wsp:val=&quot;00DF2421&quot;/&gt;&lt;wsp:rsid wsp:val=&quot;00DF26F9&quot;/&gt;&lt;wsp:rsid wsp:val=&quot;00DF33D2&quot;/&gt;&lt;wsp:rsid wsp:val=&quot;00DF3EE9&quot;/&gt;&lt;wsp:rsid wsp:val=&quot;00DF6018&quot;/&gt;&lt;wsp:rsid wsp:val=&quot;00E0082B&quot;/&gt;&lt;wsp:rsid wsp:val=&quot;00E013FA&quot;/&gt;&lt;wsp:rsid wsp:val=&quot;00E048BC&quot;/&gt;&lt;wsp:rsid wsp:val=&quot;00E04BFE&quot;/&gt;&lt;wsp:rsid wsp:val=&quot;00E04E70&quot;/&gt;&lt;wsp:rsid wsp:val=&quot;00E06EC2&quot;/&gt;&lt;wsp:rsid wsp:val=&quot;00E079A0&quot;/&gt;&lt;wsp:rsid wsp:val=&quot;00E102F1&quot;/&gt;&lt;wsp:rsid wsp:val=&quot;00E10707&quot;/&gt;&lt;wsp:rsid wsp:val=&quot;00E11CF7&quot;/&gt;&lt;wsp:rsid wsp:val=&quot;00E13ABF&quot;/&gt;&lt;wsp:rsid wsp:val=&quot;00E1572D&quot;/&gt;&lt;wsp:rsid wsp:val=&quot;00E17A77&quot;/&gt;&lt;wsp:rsid wsp:val=&quot;00E2054B&quot;/&gt;&lt;wsp:rsid wsp:val=&quot;00E21344&quot;/&gt;&lt;wsp:rsid wsp:val=&quot;00E22319&quot;/&gt;&lt;wsp:rsid wsp:val=&quot;00E23A66&quot;/&gt;&lt;wsp:rsid wsp:val=&quot;00E243D2&quot;/&gt;&lt;wsp:rsid wsp:val=&quot;00E244D1&quot;/&gt;&lt;wsp:rsid wsp:val=&quot;00E24537&quot;/&gt;&lt;wsp:rsid wsp:val=&quot;00E27201&quot;/&gt;&lt;wsp:rsid wsp:val=&quot;00E27E19&quot;/&gt;&lt;wsp:rsid wsp:val=&quot;00E3023B&quot;/&gt;&lt;wsp:rsid wsp:val=&quot;00E30E8D&quot;/&gt;&lt;wsp:rsid wsp:val=&quot;00E30EA7&quot;/&gt;&lt;wsp:rsid wsp:val=&quot;00E30FBE&quot;/&gt;&lt;wsp:rsid wsp:val=&quot;00E3105D&quot;/&gt;&lt;wsp:rsid wsp:val=&quot;00E348B0&quot;/&gt;&lt;wsp:rsid wsp:val=&quot;00E34DC0&quot;/&gt;&lt;wsp:rsid wsp:val=&quot;00E3531E&quot;/&gt;&lt;wsp:rsid wsp:val=&quot;00E368B3&quot;/&gt;&lt;wsp:rsid wsp:val=&quot;00E373DE&quot;/&gt;&lt;wsp:rsid wsp:val=&quot;00E37F5A&quot;/&gt;&lt;wsp:rsid wsp:val=&quot;00E411F2&quot;/&gt;&lt;wsp:rsid wsp:val=&quot;00E42D73&quot;/&gt;&lt;wsp:rsid wsp:val=&quot;00E43E0F&quot;/&gt;&lt;wsp:rsid wsp:val=&quot;00E50970&quot;/&gt;&lt;wsp:rsid wsp:val=&quot;00E5151E&quot;/&gt;&lt;wsp:rsid wsp:val=&quot;00E52511&quot;/&gt;&lt;wsp:rsid wsp:val=&quot;00E53691&quot;/&gt;&lt;wsp:rsid wsp:val=&quot;00E53AB7&quot;/&gt;&lt;wsp:rsid wsp:val=&quot;00E54EE7&quot;/&gt;&lt;wsp:rsid wsp:val=&quot;00E5508C&quot;/&gt;&lt;wsp:rsid wsp:val=&quot;00E5546B&quot;/&gt;&lt;wsp:rsid wsp:val=&quot;00E5647C&quot;/&gt;&lt;wsp:rsid wsp:val=&quot;00E56FD3&quot;/&gt;&lt;wsp:rsid wsp:val=&quot;00E57AEB&quot;/&gt;&lt;wsp:rsid wsp:val=&quot;00E57EE0&quot;/&gt;&lt;wsp:rsid wsp:val=&quot;00E62100&quot;/&gt;&lt;wsp:rsid wsp:val=&quot;00E62C1C&quot;/&gt;&lt;wsp:rsid wsp:val=&quot;00E62C20&quot;/&gt;&lt;wsp:rsid wsp:val=&quot;00E63793&quot;/&gt;&lt;wsp:rsid wsp:val=&quot;00E67367&quot;/&gt;&lt;wsp:rsid wsp:val=&quot;00E676CF&quot;/&gt;&lt;wsp:rsid wsp:val=&quot;00E679C6&quot;/&gt;&lt;wsp:rsid wsp:val=&quot;00E70030&quot;/&gt;&lt;wsp:rsid wsp:val=&quot;00E7068D&quot;/&gt;&lt;wsp:rsid wsp:val=&quot;00E70E24&quot;/&gt;&lt;wsp:rsid wsp:val=&quot;00E73324&quot;/&gt;&lt;wsp:rsid wsp:val=&quot;00E757FC&quot;/&gt;&lt;wsp:rsid wsp:val=&quot;00E76E5A&quot;/&gt;&lt;wsp:rsid wsp:val=&quot;00E77228&quot;/&gt;&lt;wsp:rsid wsp:val=&quot;00E77402&quot;/&gt;&lt;wsp:rsid wsp:val=&quot;00E77F48&quot;/&gt;&lt;wsp:rsid wsp:val=&quot;00E80573&quot;/&gt;&lt;wsp:rsid wsp:val=&quot;00E8070B&quot;/&gt;&lt;wsp:rsid wsp:val=&quot;00E811AC&quot;/&gt;&lt;wsp:rsid wsp:val=&quot;00E811B1&quot;/&gt;&lt;wsp:rsid wsp:val=&quot;00E81332&quot;/&gt;&lt;wsp:rsid wsp:val=&quot;00E8195B&quot;/&gt;&lt;wsp:rsid wsp:val=&quot;00E83936&quot;/&gt;&lt;wsp:rsid wsp:val=&quot;00E83AC5&quot;/&gt;&lt;wsp:rsid wsp:val=&quot;00E83ADC&quot;/&gt;&lt;wsp:rsid wsp:val=&quot;00E83C5B&quot;/&gt;&lt;wsp:rsid wsp:val=&quot;00E83C89&quot;/&gt;&lt;wsp:rsid wsp:val=&quot;00E84A59&quot;/&gt;&lt;wsp:rsid wsp:val=&quot;00E85321&quot;/&gt;&lt;wsp:rsid wsp:val=&quot;00E85C5C&quot;/&gt;&lt;wsp:rsid wsp:val=&quot;00E9022A&quot;/&gt;&lt;wsp:rsid wsp:val=&quot;00E917F2&quot;/&gt;&lt;wsp:rsid wsp:val=&quot;00E92614&quot;/&gt;&lt;wsp:rsid wsp:val=&quot;00E97327&quot;/&gt;&lt;wsp:rsid wsp:val=&quot;00E9753F&quot;/&gt;&lt;wsp:rsid wsp:val=&quot;00EA0C75&quot;/&gt;&lt;wsp:rsid wsp:val=&quot;00EA1091&quot;/&gt;&lt;wsp:rsid wsp:val=&quot;00EA2DAE&quot;/&gt;&lt;wsp:rsid wsp:val=&quot;00EA3AF9&quot;/&gt;&lt;wsp:rsid wsp:val=&quot;00EA418F&quot;/&gt;&lt;wsp:rsid wsp:val=&quot;00EA4C12&quot;/&gt;&lt;wsp:rsid wsp:val=&quot;00EA4CA0&quot;/&gt;&lt;wsp:rsid wsp:val=&quot;00EA5158&quot;/&gt;&lt;wsp:rsid wsp:val=&quot;00EA7AB8&quot;/&gt;&lt;wsp:rsid wsp:val=&quot;00EA7AE7&quot;/&gt;&lt;wsp:rsid wsp:val=&quot;00EA7F60&quot;/&gt;&lt;wsp:rsid wsp:val=&quot;00EB0893&quot;/&gt;&lt;wsp:rsid wsp:val=&quot;00EB0E91&quot;/&gt;&lt;wsp:rsid wsp:val=&quot;00EB3377&quot;/&gt;&lt;wsp:rsid wsp:val=&quot;00EB4E3F&quot;/&gt;&lt;wsp:rsid wsp:val=&quot;00EC007A&quot;/&gt;&lt;wsp:rsid wsp:val=&quot;00EC053B&quot;/&gt;&lt;wsp:rsid wsp:val=&quot;00EC5AFB&quot;/&gt;&lt;wsp:rsid wsp:val=&quot;00EC6ED9&quot;/&gt;&lt;wsp:rsid wsp:val=&quot;00EC7CCE&quot;/&gt;&lt;wsp:rsid wsp:val=&quot;00ED05B2&quot;/&gt;&lt;wsp:rsid wsp:val=&quot;00ED129D&quot;/&gt;&lt;wsp:rsid wsp:val=&quot;00ED20F0&quot;/&gt;&lt;wsp:rsid wsp:val=&quot;00ED305B&quot;/&gt;&lt;wsp:rsid wsp:val=&quot;00ED4A8A&quot;/&gt;&lt;wsp:rsid wsp:val=&quot;00ED4D0B&quot;/&gt;&lt;wsp:rsid wsp:val=&quot;00ED4DE6&quot;/&gt;&lt;wsp:rsid wsp:val=&quot;00ED591D&quot;/&gt;&lt;wsp:rsid wsp:val=&quot;00ED6046&quot;/&gt;&lt;wsp:rsid wsp:val=&quot;00ED6567&quot;/&gt;&lt;wsp:rsid wsp:val=&quot;00ED6727&quot;/&gt;&lt;wsp:rsid wsp:val=&quot;00ED6A62&quot;/&gt;&lt;wsp:rsid wsp:val=&quot;00EE4D8B&quot;/&gt;&lt;wsp:rsid wsp:val=&quot;00EE7465&quot;/&gt;&lt;wsp:rsid wsp:val=&quot;00EF1D9A&quot;/&gt;&lt;wsp:rsid wsp:val=&quot;00EF23EE&quot;/&gt;&lt;wsp:rsid wsp:val=&quot;00EF367F&quot;/&gt;&lt;wsp:rsid wsp:val=&quot;00EF46E6&quot;/&gt;&lt;wsp:rsid wsp:val=&quot;00EF549E&quot;/&gt;&lt;wsp:rsid wsp:val=&quot;00EF5785&quot;/&gt;&lt;wsp:rsid wsp:val=&quot;00EF5C9C&quot;/&gt;&lt;wsp:rsid wsp:val=&quot;00EF641A&quot;/&gt;&lt;wsp:rsid wsp:val=&quot;00EF6976&quot;/&gt;&lt;wsp:rsid wsp:val=&quot;00EF748D&quot;/&gt;&lt;wsp:rsid wsp:val=&quot;00EF7B79&quot;/&gt;&lt;wsp:rsid wsp:val=&quot;00EF7CD2&quot;/&gt;&lt;wsp:rsid wsp:val=&quot;00EF7E07&quot;/&gt;&lt;wsp:rsid wsp:val=&quot;00F016F6&quot;/&gt;&lt;wsp:rsid wsp:val=&quot;00F047B6&quot;/&gt;&lt;wsp:rsid wsp:val=&quot;00F048D5&quot;/&gt;&lt;wsp:rsid wsp:val=&quot;00F06AFE&quot;/&gt;&lt;wsp:rsid wsp:val=&quot;00F0711F&quot;/&gt;&lt;wsp:rsid wsp:val=&quot;00F103ED&quot;/&gt;&lt;wsp:rsid wsp:val=&quot;00F10E4A&quot;/&gt;&lt;wsp:rsid wsp:val=&quot;00F11220&quot;/&gt;&lt;wsp:rsid wsp:val=&quot;00F12EA1&quot;/&gt;&lt;wsp:rsid wsp:val=&quot;00F13477&quot;/&gt;&lt;wsp:rsid wsp:val=&quot;00F13C53&quot;/&gt;&lt;wsp:rsid wsp:val=&quot;00F14CD0&quot;/&gt;&lt;wsp:rsid wsp:val=&quot;00F1547A&quot;/&gt;&lt;wsp:rsid wsp:val=&quot;00F15912&quot;/&gt;&lt;wsp:rsid wsp:val=&quot;00F22DB6&quot;/&gt;&lt;wsp:rsid wsp:val=&quot;00F2405F&quot;/&gt;&lt;wsp:rsid wsp:val=&quot;00F24455&quot;/&gt;&lt;wsp:rsid wsp:val=&quot;00F257CF&quot;/&gt;&lt;wsp:rsid wsp:val=&quot;00F25DC2&quot;/&gt;&lt;wsp:rsid wsp:val=&quot;00F265AF&quot;/&gt;&lt;wsp:rsid wsp:val=&quot;00F26FE5&quot;/&gt;&lt;wsp:rsid wsp:val=&quot;00F27E51&quot;/&gt;&lt;wsp:rsid wsp:val=&quot;00F32A46&quot;/&gt;&lt;wsp:rsid wsp:val=&quot;00F34256&quot;/&gt;&lt;wsp:rsid wsp:val=&quot;00F34F94&quot;/&gt;&lt;wsp:rsid wsp:val=&quot;00F35996&quot;/&gt;&lt;wsp:rsid wsp:val=&quot;00F35F17&quot;/&gt;&lt;wsp:rsid wsp:val=&quot;00F36E5A&quot;/&gt;&lt;wsp:rsid wsp:val=&quot;00F36F74&quot;/&gt;&lt;wsp:rsid wsp:val=&quot;00F36FF1&quot;/&gt;&lt;wsp:rsid wsp:val=&quot;00F37E00&quot;/&gt;&lt;wsp:rsid wsp:val=&quot;00F40139&quot;/&gt;&lt;wsp:rsid wsp:val=&quot;00F407C4&quot;/&gt;&lt;wsp:rsid wsp:val=&quot;00F41F03&quot;/&gt;&lt;wsp:rsid wsp:val=&quot;00F41FB8&quot;/&gt;&lt;wsp:rsid wsp:val=&quot;00F434BB&quot;/&gt;&lt;wsp:rsid wsp:val=&quot;00F44F5B&quot;/&gt;&lt;wsp:rsid wsp:val=&quot;00F4523F&quot;/&gt;&lt;wsp:rsid wsp:val=&quot;00F462EA&quot;/&gt;&lt;wsp:rsid wsp:val=&quot;00F479A8&quot;/&gt;&lt;wsp:rsid wsp:val=&quot;00F47D8C&quot;/&gt;&lt;wsp:rsid wsp:val=&quot;00F52F86&quot;/&gt;&lt;wsp:rsid wsp:val=&quot;00F547FD&quot;/&gt;&lt;wsp:rsid wsp:val=&quot;00F551CF&quot;/&gt;&lt;wsp:rsid wsp:val=&quot;00F5565F&quot;/&gt;&lt;wsp:rsid wsp:val=&quot;00F5606F&quot;/&gt;&lt;wsp:rsid wsp:val=&quot;00F57920&quot;/&gt;&lt;wsp:rsid wsp:val=&quot;00F6072F&quot;/&gt;&lt;wsp:rsid wsp:val=&quot;00F6377D&quot;/&gt;&lt;wsp:rsid wsp:val=&quot;00F65A49&quot;/&gt;&lt;wsp:rsid wsp:val=&quot;00F65B4D&quot;/&gt;&lt;wsp:rsid wsp:val=&quot;00F6658D&quot;/&gt;&lt;wsp:rsid wsp:val=&quot;00F70714&quot;/&gt;&lt;wsp:rsid wsp:val=&quot;00F71136&quot;/&gt;&lt;wsp:rsid wsp:val=&quot;00F7199B&quot;/&gt;&lt;wsp:rsid wsp:val=&quot;00F72542&quot;/&gt;&lt;wsp:rsid wsp:val=&quot;00F739E4&quot;/&gt;&lt;wsp:rsid wsp:val=&quot;00F73A07&quot;/&gt;&lt;wsp:rsid wsp:val=&quot;00F73E28&quot;/&gt;&lt;wsp:rsid wsp:val=&quot;00F74945&quot;/&gt;&lt;wsp:rsid wsp:val=&quot;00F74F54&quot;/&gt;&lt;wsp:rsid wsp:val=&quot;00F77608&quot;/&gt;&lt;wsp:rsid wsp:val=&quot;00F77CAB&quot;/&gt;&lt;wsp:rsid wsp:val=&quot;00F82206&quot;/&gt;&lt;wsp:rsid wsp:val=&quot;00F83341&quot;/&gt;&lt;wsp:rsid wsp:val=&quot;00F857CA&quot;/&gt;&lt;wsp:rsid wsp:val=&quot;00F87E1A&quot;/&gt;&lt;wsp:rsid wsp:val=&quot;00F92AFB&quot;/&gt;&lt;wsp:rsid wsp:val=&quot;00F9358B&quot;/&gt;&lt;wsp:rsid wsp:val=&quot;00F94DC3&quot;/&gt;&lt;wsp:rsid wsp:val=&quot;00F94E32&quot;/&gt;&lt;wsp:rsid wsp:val=&quot;00F9684A&quot;/&gt;&lt;wsp:rsid wsp:val=&quot;00F97534&quot;/&gt;&lt;wsp:rsid wsp:val=&quot;00F979DF&quot;/&gt;&lt;wsp:rsid wsp:val=&quot;00F97D9E&quot;/&gt;&lt;wsp:rsid wsp:val=&quot;00F97EA0&quot;/&gt;&lt;wsp:rsid wsp:val=&quot;00FA2A37&quot;/&gt;&lt;wsp:rsid wsp:val=&quot;00FA2B0E&quot;/&gt;&lt;wsp:rsid wsp:val=&quot;00FA3480&quot;/&gt;&lt;wsp:rsid wsp:val=&quot;00FA3E64&quot;/&gt;&lt;wsp:rsid wsp:val=&quot;00FA4120&quot;/&gt;&lt;wsp:rsid wsp:val=&quot;00FA668C&quot;/&gt;&lt;wsp:rsid wsp:val=&quot;00FA6AAC&quot;/&gt;&lt;wsp:rsid wsp:val=&quot;00FA6DA5&quot;/&gt;&lt;wsp:rsid wsp:val=&quot;00FA7054&quot;/&gt;&lt;wsp:rsid wsp:val=&quot;00FA7691&quot;/&gt;&lt;wsp:rsid wsp:val=&quot;00FB09FC&quot;/&gt;&lt;wsp:rsid wsp:val=&quot;00FB1B6F&quot;/&gt;&lt;wsp:rsid wsp:val=&quot;00FB30A1&quot;/&gt;&lt;wsp:rsid wsp:val=&quot;00FB5CB0&quot;/&gt;&lt;wsp:rsid wsp:val=&quot;00FB6528&quot;/&gt;&lt;wsp:rsid wsp:val=&quot;00FB6DA5&quot;/&gt;&lt;wsp:rsid wsp:val=&quot;00FB7D81&quot;/&gt;&lt;wsp:rsid wsp:val=&quot;00FC0092&quot;/&gt;&lt;wsp:rsid wsp:val=&quot;00FC1556&quot;/&gt;&lt;wsp:rsid wsp:val=&quot;00FC3237&quot;/&gt;&lt;wsp:rsid wsp:val=&quot;00FC75E0&quot;/&gt;&lt;wsp:rsid wsp:val=&quot;00FD255C&quot;/&gt;&lt;wsp:rsid wsp:val=&quot;00FD395F&quot;/&gt;&lt;wsp:rsid wsp:val=&quot;00FD3FCE&quot;/&gt;&lt;wsp:rsid wsp:val=&quot;00FD5DEE&quot;/&gt;&lt;wsp:rsid wsp:val=&quot;00FD7457&quot;/&gt;&lt;wsp:rsid wsp:val=&quot;00FD77BA&quot;/&gt;&lt;wsp:rsid wsp:val=&quot;00FD78C3&quot;/&gt;&lt;wsp:rsid wsp:val=&quot;00FD7B2F&quot;/&gt;&lt;wsp:rsid wsp:val=&quot;00FE29E6&quot;/&gt;&lt;wsp:rsid wsp:val=&quot;00FE5160&quot;/&gt;&lt;wsp:rsid wsp:val=&quot;00FE51E5&quot;/&gt;&lt;wsp:rsid wsp:val=&quot;00FE7A0B&quot;/&gt;&lt;wsp:rsid wsp:val=&quot;00FF0539&quot;/&gt;&lt;wsp:rsid wsp:val=&quot;00FF0F57&quot;/&gt;&lt;wsp:rsid wsp:val=&quot;00FF21B4&quot;/&gt;&lt;wsp:rsid wsp:val=&quot;00FF24DC&quot;/&gt;&lt;wsp:rsid wsp:val=&quot;00FF35F2&quot;/&gt;&lt;wsp:rsid wsp:val=&quot;00FF5268&quot;/&gt;&lt;wsp:rsid wsp:val=&quot;00FF592D&quot;/&gt;&lt;wsp:rsid wsp:val=&quot;00FF6C53&quot;/&gt;&lt;wsp:rsid wsp:val=&quot;00FF7689&quot;/&gt;&lt;wsp:rsid wsp:val=&quot;00FF7A53&quot;/&gt;&lt;wsp:rsid wsp:val=&quot;00FF7B85&quot;/&gt;&lt;wsp:rsid wsp:val=&quot;4C386928&quot;/&gt;&lt;/wsp:rsids&gt;&lt;/w:docPr&gt;&lt;w:body&gt;&lt;wx:sect&gt;&lt;w:p wsp:rsidR=&quot;005455CB&quot; wsp:rsidRDefault=&quot;005455CB&quot; wsp:rsidP=&quot;005455CB&quot;&gt;&lt;m:oMathPara&gt;&lt;m:oMath&gt;&lt;m:sSub&gt;&lt;m:sSubPr&gt;&lt;m:ctrlPr&gt;&lt;w:rPr&gt;&lt;w:rFonts w:ascii=&quot;Cambria Math&quot; w:h-ansi=&quot;Cambria Math&quot;/&gt;&lt;wx:font wx:val=&quot;Cambria Math&quot;/&gt;&lt;w:i/&gt;&lt;w:sz-cs w:val=&quot;24&quot;/&gt;&lt;/w:rPr&gt;&lt;/m:ctrlPr&gt;&lt;/m:sSubPr&gt;&lt;m:e&gt;&lt;m:r&gt;&lt;w:rPr&gt;&lt;w:rFonts w:ascii=&quot;Cambria Math&quot; w:h-ansi=&quot;Cambria Math&quot;/&gt;&lt;wx:font wx:val=&quot;Cambria Math&quot;/&gt;&lt;w:i/&gt;&lt;w:sz-cs w:val=&quot;24&quot;/&gt;&lt;/w:rPr&gt;&lt;m:t&gt;P&lt;/m:t&gt;&lt;/m:r&gt;&lt;/m:e&gt;&lt;m:sub&gt;&lt;m:r&gt;&lt;w:rPr&gt;&lt;w:rFonts w:ascii=&quot;Cambria Math&quot; w:h-ansi=&quot;Cambria Math&quot;/&gt;&lt;wx:font wx:val=&quot;Cambria Math&quot;/&gt;&lt;w:i/&gt;&lt;w:sz-cs w:val=&quot;24&quot;/&gt;&lt;/w:rPr&gt;&lt;m:t&gt;R&lt;/m:t&gt;&lt;/m:r&gt;&lt;/m:sub&gt;&lt;/m:sSub&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23" o:title="" chromakey="white"/>
          </v:shape>
        </w:pict>
      </w:r>
      <w:r w:rsidR="00C9610D" w:rsidRPr="00EB11D3">
        <w:rPr>
          <w:rFonts w:eastAsia="Times New Roman"/>
          <w:szCs w:val="24"/>
        </w:rPr>
        <w:fldChar w:fldCharType="end"/>
      </w:r>
      <w:r w:rsidR="00C9610D" w:rsidRPr="00EB11D3">
        <w:rPr>
          <w:rFonts w:eastAsia="Times New Roman"/>
          <w:szCs w:val="24"/>
        </w:rPr>
        <w:t>)</w:t>
      </w:r>
    </w:p>
    <w:p w14:paraId="25702824" w14:textId="77777777" w:rsidR="00DC0D7C" w:rsidRPr="00EB11D3" w:rsidRDefault="00212BDF" w:rsidP="00C9610D">
      <w:pPr>
        <w:rPr>
          <w:szCs w:val="24"/>
          <w:lang w:eastAsia="zh-CN"/>
        </w:rPr>
      </w:pPr>
      <w:r w:rsidRPr="00EB11D3">
        <w:rPr>
          <w:szCs w:val="24"/>
          <w:lang w:eastAsia="zh-CN"/>
        </w:rPr>
        <w:t>The regression model adopt</w:t>
      </w:r>
      <w:r w:rsidR="001A2C73" w:rsidRPr="00EB11D3">
        <w:rPr>
          <w:szCs w:val="24"/>
          <w:lang w:eastAsia="zh-CN"/>
        </w:rPr>
        <w:t>ed</w:t>
      </w:r>
      <w:r w:rsidRPr="00EB11D3">
        <w:rPr>
          <w:szCs w:val="24"/>
          <w:lang w:eastAsia="zh-CN"/>
        </w:rPr>
        <w:t xml:space="preserve"> these forms;</w:t>
      </w:r>
    </w:p>
    <w:p w14:paraId="5AC0AC8B" w14:textId="77777777" w:rsidR="00DC0D7C" w:rsidRPr="00EB11D3" w:rsidRDefault="00212BDF">
      <w:pPr>
        <w:spacing w:before="240" w:line="360" w:lineRule="auto"/>
        <w:rPr>
          <w:szCs w:val="24"/>
          <w:lang w:eastAsia="zh-CN"/>
        </w:rPr>
      </w:pPr>
      <w:r w:rsidRPr="00EB11D3">
        <w:rPr>
          <w:szCs w:val="24"/>
          <w:lang w:eastAsia="zh-CN"/>
        </w:rPr>
        <w:t>Model logic: y = f(x) ……... Y is a function of X</w:t>
      </w:r>
    </w:p>
    <w:p w14:paraId="2CA82491" w14:textId="77777777" w:rsidR="00DC0D7C" w:rsidRPr="00EB11D3" w:rsidRDefault="00212BDF">
      <w:pPr>
        <w:spacing w:before="240" w:line="360" w:lineRule="auto"/>
        <w:rPr>
          <w:szCs w:val="24"/>
          <w:lang w:eastAsia="zh-CN"/>
        </w:rPr>
      </w:pPr>
      <w:r w:rsidRPr="00EB11D3">
        <w:rPr>
          <w:szCs w:val="24"/>
          <w:lang w:eastAsia="zh-CN"/>
        </w:rPr>
        <w:t>Mathematical model: Y = b</w:t>
      </w:r>
      <w:r w:rsidRPr="00EB11D3">
        <w:rPr>
          <w:szCs w:val="24"/>
          <w:vertAlign w:val="subscript"/>
          <w:lang w:eastAsia="zh-CN"/>
        </w:rPr>
        <w:t>0</w:t>
      </w:r>
      <w:r w:rsidRPr="00EB11D3">
        <w:rPr>
          <w:szCs w:val="24"/>
          <w:lang w:eastAsia="zh-CN"/>
        </w:rPr>
        <w:t xml:space="preserve"> + b</w:t>
      </w:r>
      <w:r w:rsidRPr="00EB11D3">
        <w:rPr>
          <w:szCs w:val="24"/>
          <w:vertAlign w:val="subscript"/>
          <w:lang w:eastAsia="zh-CN"/>
        </w:rPr>
        <w:t>1</w:t>
      </w:r>
      <w:r w:rsidRPr="00EB11D3">
        <w:rPr>
          <w:szCs w:val="24"/>
          <w:lang w:eastAsia="zh-CN"/>
        </w:rPr>
        <w:t>X</w:t>
      </w:r>
      <w:r w:rsidRPr="00EB11D3">
        <w:rPr>
          <w:szCs w:val="24"/>
          <w:vertAlign w:val="subscript"/>
          <w:lang w:eastAsia="zh-CN"/>
        </w:rPr>
        <w:t>1</w:t>
      </w:r>
      <w:r w:rsidRPr="00EB11D3">
        <w:rPr>
          <w:szCs w:val="24"/>
          <w:lang w:eastAsia="zh-CN"/>
        </w:rPr>
        <w:t xml:space="preserve"> + b</w:t>
      </w:r>
      <w:r w:rsidRPr="00EB11D3">
        <w:rPr>
          <w:szCs w:val="24"/>
          <w:vertAlign w:val="subscript"/>
          <w:lang w:eastAsia="zh-CN"/>
        </w:rPr>
        <w:t>2</w:t>
      </w:r>
      <w:r w:rsidRPr="00EB11D3">
        <w:rPr>
          <w:szCs w:val="24"/>
          <w:lang w:eastAsia="zh-CN"/>
        </w:rPr>
        <w:t>X</w:t>
      </w:r>
      <w:r w:rsidRPr="00EB11D3">
        <w:rPr>
          <w:szCs w:val="24"/>
          <w:vertAlign w:val="subscript"/>
          <w:lang w:eastAsia="zh-CN"/>
        </w:rPr>
        <w:t xml:space="preserve">2 </w:t>
      </w:r>
      <w:r w:rsidRPr="00EB11D3">
        <w:rPr>
          <w:szCs w:val="24"/>
          <w:lang w:eastAsia="zh-CN"/>
        </w:rPr>
        <w:t>…… b</w:t>
      </w:r>
      <w:r w:rsidRPr="00EB11D3">
        <w:rPr>
          <w:szCs w:val="24"/>
          <w:vertAlign w:val="subscript"/>
          <w:lang w:eastAsia="zh-CN"/>
        </w:rPr>
        <w:t>n</w:t>
      </w:r>
      <w:r w:rsidRPr="00EB11D3">
        <w:rPr>
          <w:szCs w:val="24"/>
          <w:lang w:eastAsia="zh-CN"/>
        </w:rPr>
        <w:t>X</w:t>
      </w:r>
      <w:r w:rsidRPr="00EB11D3">
        <w:rPr>
          <w:szCs w:val="24"/>
          <w:vertAlign w:val="subscript"/>
          <w:lang w:eastAsia="zh-CN"/>
        </w:rPr>
        <w:t>n</w:t>
      </w:r>
      <w:r w:rsidRPr="00EB11D3">
        <w:rPr>
          <w:szCs w:val="24"/>
          <w:lang w:eastAsia="zh-CN"/>
        </w:rPr>
        <w:tab/>
      </w:r>
      <w:r w:rsidRPr="00EB11D3">
        <w:rPr>
          <w:szCs w:val="24"/>
          <w:lang w:eastAsia="zh-CN"/>
        </w:rPr>
        <w:tab/>
      </w:r>
      <w:r w:rsidRPr="00EB11D3">
        <w:rPr>
          <w:szCs w:val="24"/>
          <w:lang w:eastAsia="zh-CN"/>
        </w:rPr>
        <w:tab/>
      </w:r>
    </w:p>
    <w:p w14:paraId="498FA0DF" w14:textId="77777777" w:rsidR="00DC0D7C" w:rsidRPr="00EB11D3" w:rsidRDefault="00212BDF">
      <w:pPr>
        <w:spacing w:before="240" w:line="360" w:lineRule="auto"/>
        <w:rPr>
          <w:szCs w:val="24"/>
          <w:lang w:eastAsia="zh-CN"/>
        </w:rPr>
      </w:pPr>
      <w:r w:rsidRPr="00EB11D3">
        <w:rPr>
          <w:szCs w:val="24"/>
          <w:lang w:eastAsia="zh-CN"/>
        </w:rPr>
        <w:t>Where Y represent the dependent variable, X</w:t>
      </w:r>
      <w:r w:rsidRPr="00EB11D3">
        <w:rPr>
          <w:szCs w:val="24"/>
          <w:vertAlign w:val="subscript"/>
          <w:lang w:eastAsia="zh-CN"/>
        </w:rPr>
        <w:t>1</w:t>
      </w:r>
      <w:r w:rsidRPr="00EB11D3">
        <w:rPr>
          <w:szCs w:val="24"/>
          <w:lang w:eastAsia="zh-CN"/>
        </w:rPr>
        <w:t>, X</w:t>
      </w:r>
      <w:r w:rsidRPr="00EB11D3">
        <w:rPr>
          <w:szCs w:val="24"/>
          <w:vertAlign w:val="subscript"/>
          <w:lang w:eastAsia="zh-CN"/>
        </w:rPr>
        <w:t>2</w:t>
      </w:r>
      <w:r w:rsidRPr="00EB11D3">
        <w:rPr>
          <w:szCs w:val="24"/>
          <w:lang w:eastAsia="zh-CN"/>
        </w:rPr>
        <w:t>……X</w:t>
      </w:r>
      <w:r w:rsidRPr="00EB11D3">
        <w:rPr>
          <w:szCs w:val="24"/>
          <w:vertAlign w:val="subscript"/>
          <w:lang w:eastAsia="zh-CN"/>
        </w:rPr>
        <w:t>n</w:t>
      </w:r>
      <w:r w:rsidRPr="00EB11D3">
        <w:rPr>
          <w:szCs w:val="24"/>
          <w:lang w:eastAsia="zh-CN"/>
        </w:rPr>
        <w:t xml:space="preserve"> represents independent variables </w:t>
      </w:r>
    </w:p>
    <w:p w14:paraId="261B6ED1" w14:textId="77777777" w:rsidR="00DC0D7C" w:rsidRPr="00EB11D3" w:rsidRDefault="00855392">
      <w:pPr>
        <w:pStyle w:val="Heading2"/>
        <w:keepNext w:val="0"/>
        <w:keepLines w:val="0"/>
        <w:spacing w:before="100" w:beforeAutospacing="1" w:after="100" w:afterAutospacing="1" w:line="360" w:lineRule="auto"/>
        <w:jc w:val="both"/>
        <w:rPr>
          <w:bCs/>
          <w:szCs w:val="24"/>
        </w:rPr>
      </w:pPr>
      <w:r>
        <w:rPr>
          <w:szCs w:val="24"/>
        </w:rPr>
        <w:br w:type="page"/>
      </w:r>
      <w:bookmarkStart w:id="411" w:name="_Toc177387852"/>
      <w:r w:rsidR="00212BDF" w:rsidRPr="00EB11D3">
        <w:rPr>
          <w:szCs w:val="24"/>
        </w:rPr>
        <w:t>3.</w:t>
      </w:r>
      <w:r w:rsidR="00B60CD7" w:rsidRPr="00EB11D3">
        <w:rPr>
          <w:szCs w:val="24"/>
        </w:rPr>
        <w:t>9</w:t>
      </w:r>
      <w:r w:rsidR="003F0603" w:rsidRPr="00EB11D3">
        <w:rPr>
          <w:szCs w:val="24"/>
        </w:rPr>
        <w:t xml:space="preserve"> </w:t>
      </w:r>
      <w:r w:rsidR="00212BDF" w:rsidRPr="00EB11D3">
        <w:rPr>
          <w:bCs/>
          <w:szCs w:val="24"/>
        </w:rPr>
        <w:t>Hypotheses Testing</w:t>
      </w:r>
      <w:bookmarkEnd w:id="411"/>
    </w:p>
    <w:p w14:paraId="05771FAC" w14:textId="77777777" w:rsidR="00DC0D7C" w:rsidRPr="00EB11D3" w:rsidRDefault="00BD4B51">
      <w:pPr>
        <w:spacing w:before="240" w:line="360" w:lineRule="auto"/>
        <w:rPr>
          <w:szCs w:val="24"/>
          <w:lang w:eastAsia="zh-CN"/>
        </w:rPr>
      </w:pPr>
      <w:r w:rsidRPr="00EB11D3">
        <w:rPr>
          <w:szCs w:val="24"/>
          <w:lang w:eastAsia="zh-CN"/>
        </w:rPr>
        <w:t xml:space="preserve">The hypotheses </w:t>
      </w:r>
      <w:r w:rsidR="003C5FDB" w:rsidRPr="00EB11D3">
        <w:rPr>
          <w:szCs w:val="24"/>
          <w:lang w:eastAsia="zh-CN"/>
        </w:rPr>
        <w:t>were</w:t>
      </w:r>
      <w:r w:rsidRPr="00EB11D3">
        <w:rPr>
          <w:szCs w:val="24"/>
          <w:lang w:eastAsia="zh-CN"/>
        </w:rPr>
        <w:t xml:space="preserve"> examined using a multiple regression model because they are based on a single response variable that varies linearly on a number of predictor factors.</w:t>
      </w:r>
    </w:p>
    <w:p w14:paraId="4606B17F" w14:textId="77777777" w:rsidR="00DC0D7C" w:rsidRPr="00EB11D3" w:rsidRDefault="00212BDF" w:rsidP="00AD1CB7">
      <w:pPr>
        <w:pStyle w:val="Heading3"/>
      </w:pPr>
      <w:bookmarkStart w:id="412" w:name="_Toc132709947"/>
      <w:bookmarkStart w:id="413" w:name="_Toc134174671"/>
      <w:bookmarkStart w:id="414" w:name="_Toc135405888"/>
      <w:bookmarkStart w:id="415" w:name="_Toc135938099"/>
      <w:bookmarkStart w:id="416" w:name="_Toc135938305"/>
      <w:bookmarkStart w:id="417" w:name="_Toc140111868"/>
      <w:bookmarkStart w:id="418" w:name="_Toc153052096"/>
      <w:bookmarkStart w:id="419" w:name="_Toc164148973"/>
      <w:bookmarkStart w:id="420" w:name="_Toc164151234"/>
      <w:bookmarkStart w:id="421" w:name="_Toc168673426"/>
      <w:bookmarkStart w:id="422" w:name="_Toc168737868"/>
      <w:bookmarkStart w:id="423" w:name="_Toc171602621"/>
      <w:bookmarkStart w:id="424" w:name="_Toc171603448"/>
      <w:bookmarkStart w:id="425" w:name="_Toc177387853"/>
      <w:r w:rsidRPr="00EB11D3">
        <w:rPr>
          <w:rFonts w:eastAsia="Times New Roman"/>
        </w:rPr>
        <w:t>3.</w:t>
      </w:r>
      <w:r w:rsidR="00B60CD7" w:rsidRPr="00EB11D3">
        <w:rPr>
          <w:rFonts w:eastAsia="Times New Roman"/>
        </w:rPr>
        <w:t>9</w:t>
      </w:r>
      <w:r w:rsidRPr="00EB11D3">
        <w:rPr>
          <w:rFonts w:eastAsia="Times New Roman"/>
        </w:rPr>
        <w:t xml:space="preserve">.1 </w:t>
      </w:r>
      <w:bookmarkEnd w:id="412"/>
      <w:bookmarkEnd w:id="413"/>
      <w:bookmarkEnd w:id="414"/>
      <w:bookmarkEnd w:id="415"/>
      <w:bookmarkEnd w:id="416"/>
      <w:bookmarkEnd w:id="417"/>
      <w:bookmarkEnd w:id="418"/>
      <w:bookmarkEnd w:id="419"/>
      <w:bookmarkEnd w:id="420"/>
      <w:r w:rsidR="007A489F" w:rsidRPr="00EB11D3">
        <w:t>Direct Effect</w:t>
      </w:r>
      <w:bookmarkEnd w:id="421"/>
      <w:bookmarkEnd w:id="422"/>
      <w:bookmarkEnd w:id="423"/>
      <w:bookmarkEnd w:id="424"/>
      <w:bookmarkEnd w:id="425"/>
    </w:p>
    <w:p w14:paraId="09D42ED4" w14:textId="77777777" w:rsidR="00DC0D7C" w:rsidRPr="00EB11D3" w:rsidRDefault="00212BDF">
      <w:pPr>
        <w:spacing w:before="240" w:line="360" w:lineRule="auto"/>
        <w:rPr>
          <w:szCs w:val="24"/>
          <w:lang w:eastAsia="zh-CN"/>
        </w:rPr>
      </w:pPr>
      <w:r w:rsidRPr="00EB11D3">
        <w:rPr>
          <w:szCs w:val="24"/>
          <w:lang w:eastAsia="zh-CN"/>
        </w:rPr>
        <w:t xml:space="preserve">The </w:t>
      </w:r>
      <w:r w:rsidR="007A489F" w:rsidRPr="00EB11D3">
        <w:rPr>
          <w:szCs w:val="24"/>
          <w:lang w:eastAsia="zh-CN"/>
        </w:rPr>
        <w:t>effect</w:t>
      </w:r>
      <w:r w:rsidRPr="00EB11D3">
        <w:rPr>
          <w:szCs w:val="24"/>
          <w:lang w:eastAsia="zh-CN"/>
        </w:rPr>
        <w:t xml:space="preserve"> of the independent variable (corporate governance) on the dependent variable (</w:t>
      </w:r>
      <w:r w:rsidR="006D5C62" w:rsidRPr="00EB11D3">
        <w:rPr>
          <w:szCs w:val="24"/>
          <w:lang w:eastAsia="zh-CN"/>
        </w:rPr>
        <w:t>organisational performance of Faith-Based Hospitals</w:t>
      </w:r>
      <w:r w:rsidRPr="00EB11D3">
        <w:rPr>
          <w:szCs w:val="24"/>
          <w:lang w:val="en"/>
        </w:rPr>
        <w:t xml:space="preserve"> in Kenya</w:t>
      </w:r>
      <w:r w:rsidRPr="00EB11D3">
        <w:rPr>
          <w:szCs w:val="24"/>
          <w:lang w:eastAsia="zh-CN"/>
        </w:rPr>
        <w:t xml:space="preserve">) </w:t>
      </w:r>
      <w:r w:rsidR="003C5FDB" w:rsidRPr="00EB11D3">
        <w:rPr>
          <w:szCs w:val="24"/>
          <w:lang w:eastAsia="zh-CN"/>
        </w:rPr>
        <w:t>was</w:t>
      </w:r>
      <w:r w:rsidRPr="00EB11D3">
        <w:rPr>
          <w:szCs w:val="24"/>
          <w:lang w:eastAsia="zh-CN"/>
        </w:rPr>
        <w:t xml:space="preserve"> tested using the following empirical model. </w:t>
      </w:r>
    </w:p>
    <w:p w14:paraId="2C153EC1" w14:textId="77777777" w:rsidR="00DC0D7C" w:rsidRPr="00EB11D3" w:rsidRDefault="00212BDF">
      <w:pPr>
        <w:spacing w:after="0" w:line="360" w:lineRule="auto"/>
        <w:rPr>
          <w:rFonts w:eastAsia="Calibri"/>
          <w:szCs w:val="24"/>
        </w:rPr>
      </w:pPr>
      <w:r w:rsidRPr="00EB11D3">
        <w:rPr>
          <w:rFonts w:eastAsia="Calibri"/>
          <w:szCs w:val="24"/>
        </w:rPr>
        <w:t>The model for the study:</w:t>
      </w:r>
    </w:p>
    <w:p w14:paraId="46152D62" w14:textId="77777777" w:rsidR="00DC0D7C" w:rsidRPr="00EB11D3" w:rsidRDefault="00212BDF">
      <w:pPr>
        <w:spacing w:after="0" w:line="360" w:lineRule="auto"/>
        <w:rPr>
          <w:rFonts w:eastAsia="Calibri"/>
          <w:szCs w:val="24"/>
        </w:rPr>
      </w:pPr>
      <w:r w:rsidRPr="00EB11D3">
        <w:rPr>
          <w:rFonts w:eastAsia="Calibri"/>
          <w:szCs w:val="24"/>
        </w:rPr>
        <w:t>OP = α</w:t>
      </w:r>
      <w:r w:rsidRPr="00EB11D3">
        <w:rPr>
          <w:rFonts w:eastAsia="Calibri"/>
          <w:szCs w:val="24"/>
          <w:vertAlign w:val="subscript"/>
        </w:rPr>
        <w:t xml:space="preserve">0 </w:t>
      </w:r>
      <w:r w:rsidRPr="00EB11D3">
        <w:rPr>
          <w:rFonts w:eastAsia="Calibri"/>
          <w:szCs w:val="24"/>
        </w:rPr>
        <w:t>+ ß</w:t>
      </w:r>
      <w:r w:rsidRPr="00EB11D3">
        <w:rPr>
          <w:rFonts w:eastAsia="Calibri"/>
          <w:szCs w:val="24"/>
          <w:vertAlign w:val="subscript"/>
        </w:rPr>
        <w:t>0</w:t>
      </w:r>
      <w:r w:rsidRPr="00EB11D3">
        <w:rPr>
          <w:rFonts w:eastAsia="Calibri"/>
          <w:szCs w:val="24"/>
        </w:rPr>
        <w:t>CG+ ε……….…………………………………………………</w:t>
      </w:r>
      <w:r w:rsidR="00593E24" w:rsidRPr="00EB11D3">
        <w:rPr>
          <w:rFonts w:eastAsia="Calibri"/>
          <w:szCs w:val="24"/>
        </w:rPr>
        <w:t>.</w:t>
      </w:r>
      <w:r w:rsidRPr="00EB11D3">
        <w:rPr>
          <w:rFonts w:eastAsia="Calibri"/>
          <w:szCs w:val="24"/>
        </w:rPr>
        <w:t>…</w:t>
      </w:r>
      <w:r w:rsidR="002514DD" w:rsidRPr="00EB11D3">
        <w:rPr>
          <w:rFonts w:eastAsia="Calibri"/>
          <w:szCs w:val="24"/>
        </w:rPr>
        <w:t>...</w:t>
      </w:r>
      <w:r w:rsidR="00FF7A53" w:rsidRPr="00EB11D3">
        <w:rPr>
          <w:rFonts w:eastAsia="Calibri"/>
          <w:szCs w:val="24"/>
        </w:rPr>
        <w:t>…</w:t>
      </w:r>
      <w:r w:rsidRPr="00EB11D3">
        <w:rPr>
          <w:rFonts w:eastAsia="Calibri"/>
          <w:szCs w:val="24"/>
        </w:rPr>
        <w:t>………… (1)</w:t>
      </w:r>
    </w:p>
    <w:p w14:paraId="357AD614" w14:textId="77777777" w:rsidR="00DC0D7C" w:rsidRPr="00EB11D3" w:rsidRDefault="00212BDF">
      <w:pPr>
        <w:autoSpaceDE w:val="0"/>
        <w:autoSpaceDN w:val="0"/>
        <w:adjustRightInd w:val="0"/>
        <w:spacing w:after="0" w:line="360" w:lineRule="auto"/>
        <w:rPr>
          <w:rFonts w:eastAsia="Calibri"/>
          <w:szCs w:val="24"/>
        </w:rPr>
      </w:pPr>
      <w:r w:rsidRPr="00EB11D3">
        <w:rPr>
          <w:rFonts w:eastAsia="Calibri"/>
          <w:szCs w:val="24"/>
        </w:rPr>
        <w:t>Where:</w:t>
      </w:r>
    </w:p>
    <w:p w14:paraId="44739010" w14:textId="77777777" w:rsidR="00DC0D7C" w:rsidRPr="00EB11D3" w:rsidRDefault="00212BDF">
      <w:pPr>
        <w:autoSpaceDE w:val="0"/>
        <w:autoSpaceDN w:val="0"/>
        <w:adjustRightInd w:val="0"/>
        <w:spacing w:after="0" w:line="360" w:lineRule="auto"/>
        <w:rPr>
          <w:rFonts w:eastAsia="Calibri"/>
          <w:szCs w:val="24"/>
        </w:rPr>
      </w:pPr>
      <w:r w:rsidRPr="00EB11D3">
        <w:rPr>
          <w:rFonts w:eastAsia="Calibri"/>
          <w:szCs w:val="24"/>
        </w:rPr>
        <w:t xml:space="preserve">OP = </w:t>
      </w:r>
      <w:bookmarkStart w:id="426" w:name="_Hlk130480429"/>
      <w:r w:rsidR="006D5C62" w:rsidRPr="00EB11D3">
        <w:rPr>
          <w:rFonts w:eastAsia="Calibri"/>
          <w:szCs w:val="24"/>
        </w:rPr>
        <w:t>Organisational performance of Faith-Based Hospitals</w:t>
      </w:r>
      <w:r w:rsidRPr="00EB11D3">
        <w:rPr>
          <w:szCs w:val="24"/>
          <w:lang w:eastAsia="zh-CN"/>
        </w:rPr>
        <w:t xml:space="preserve"> in Kenya</w:t>
      </w:r>
      <w:bookmarkEnd w:id="426"/>
    </w:p>
    <w:p w14:paraId="206A84A4" w14:textId="77777777" w:rsidR="00DC0D7C" w:rsidRPr="00EB11D3" w:rsidRDefault="00212BDF">
      <w:pPr>
        <w:autoSpaceDE w:val="0"/>
        <w:autoSpaceDN w:val="0"/>
        <w:adjustRightInd w:val="0"/>
        <w:spacing w:after="0" w:line="360" w:lineRule="auto"/>
        <w:rPr>
          <w:rFonts w:eastAsia="Calibri"/>
          <w:szCs w:val="24"/>
        </w:rPr>
      </w:pPr>
      <w:r w:rsidRPr="00EB11D3">
        <w:rPr>
          <w:rFonts w:eastAsia="Calibri"/>
          <w:szCs w:val="24"/>
        </w:rPr>
        <w:t>CG</w:t>
      </w:r>
      <w:r w:rsidR="002D090A" w:rsidRPr="00EB11D3">
        <w:rPr>
          <w:rFonts w:eastAsia="Calibri"/>
          <w:szCs w:val="24"/>
        </w:rPr>
        <w:t xml:space="preserve"> </w:t>
      </w:r>
      <w:r w:rsidRPr="00EB11D3">
        <w:rPr>
          <w:rFonts w:eastAsia="Calibri"/>
          <w:szCs w:val="24"/>
        </w:rPr>
        <w:t xml:space="preserve">= </w:t>
      </w:r>
      <w:r w:rsidRPr="00EB11D3">
        <w:rPr>
          <w:rFonts w:eastAsia="Times New Roman"/>
          <w:szCs w:val="24"/>
        </w:rPr>
        <w:t xml:space="preserve">Corporate governance </w:t>
      </w:r>
    </w:p>
    <w:p w14:paraId="316F3E5A" w14:textId="77777777" w:rsidR="00DC0D7C" w:rsidRPr="00EB11D3" w:rsidRDefault="00212BDF">
      <w:pPr>
        <w:spacing w:after="0" w:line="360" w:lineRule="auto"/>
        <w:rPr>
          <w:rFonts w:eastAsia="Calibri"/>
          <w:szCs w:val="24"/>
        </w:rPr>
      </w:pPr>
      <w:r w:rsidRPr="00EB11D3">
        <w:rPr>
          <w:rFonts w:eastAsia="Calibri"/>
          <w:szCs w:val="24"/>
        </w:rPr>
        <w:t>α</w:t>
      </w:r>
      <w:r w:rsidRPr="00EB11D3">
        <w:rPr>
          <w:rFonts w:eastAsia="Calibri"/>
          <w:szCs w:val="24"/>
          <w:vertAlign w:val="subscript"/>
        </w:rPr>
        <w:t>0</w:t>
      </w:r>
      <w:r w:rsidRPr="00EB11D3">
        <w:rPr>
          <w:rFonts w:eastAsia="Calibri"/>
          <w:szCs w:val="24"/>
        </w:rPr>
        <w:t xml:space="preserve"> = Constant</w:t>
      </w:r>
    </w:p>
    <w:p w14:paraId="13B7D412" w14:textId="77777777" w:rsidR="00DC0D7C" w:rsidRPr="00EB11D3" w:rsidRDefault="00212BDF">
      <w:pPr>
        <w:spacing w:after="0" w:line="360" w:lineRule="auto"/>
        <w:rPr>
          <w:rFonts w:eastAsia="Calibri"/>
          <w:szCs w:val="24"/>
        </w:rPr>
      </w:pPr>
      <w:r w:rsidRPr="00EB11D3">
        <w:rPr>
          <w:rFonts w:eastAsia="Calibri"/>
          <w:szCs w:val="24"/>
        </w:rPr>
        <w:t>β</w:t>
      </w:r>
      <w:r w:rsidRPr="00EB11D3">
        <w:rPr>
          <w:rFonts w:eastAsia="Calibri"/>
          <w:szCs w:val="24"/>
          <w:vertAlign w:val="subscript"/>
        </w:rPr>
        <w:t>1</w:t>
      </w:r>
      <w:r w:rsidRPr="00EB11D3">
        <w:rPr>
          <w:rFonts w:eastAsia="Calibri"/>
          <w:szCs w:val="24"/>
        </w:rPr>
        <w:t xml:space="preserve">= </w:t>
      </w:r>
      <w:r w:rsidRPr="00EB11D3">
        <w:rPr>
          <w:rFonts w:eastAsia="Calibri"/>
          <w:szCs w:val="24"/>
          <w:lang w:val="fr-FR"/>
        </w:rPr>
        <w:t>Beta coefficients</w:t>
      </w:r>
    </w:p>
    <w:p w14:paraId="0E4F740F" w14:textId="77777777" w:rsidR="00DC0D7C" w:rsidRPr="00EB11D3" w:rsidRDefault="00212BDF">
      <w:pPr>
        <w:autoSpaceDE w:val="0"/>
        <w:autoSpaceDN w:val="0"/>
        <w:adjustRightInd w:val="0"/>
        <w:spacing w:after="0" w:line="360" w:lineRule="auto"/>
        <w:ind w:left="720" w:hanging="720"/>
        <w:rPr>
          <w:rFonts w:eastAsia="Calibri"/>
          <w:szCs w:val="24"/>
        </w:rPr>
      </w:pPr>
      <w:r w:rsidRPr="00EB11D3">
        <w:rPr>
          <w:rFonts w:eastAsia="Calibri"/>
          <w:szCs w:val="24"/>
        </w:rPr>
        <w:t xml:space="preserve">ε = Error term </w:t>
      </w:r>
    </w:p>
    <w:p w14:paraId="19241BCC" w14:textId="77777777" w:rsidR="00DC0D7C" w:rsidRPr="00EB11D3" w:rsidRDefault="00212BDF" w:rsidP="00AD1CB7">
      <w:pPr>
        <w:pStyle w:val="Heading3"/>
      </w:pPr>
      <w:bookmarkStart w:id="427" w:name="_Toc132709948"/>
      <w:bookmarkStart w:id="428" w:name="_Toc134174672"/>
      <w:bookmarkStart w:id="429" w:name="_Toc135405889"/>
      <w:bookmarkStart w:id="430" w:name="_Toc135938100"/>
      <w:bookmarkStart w:id="431" w:name="_Toc135938306"/>
      <w:bookmarkStart w:id="432" w:name="_Toc140111869"/>
      <w:bookmarkStart w:id="433" w:name="_Toc153052097"/>
      <w:bookmarkStart w:id="434" w:name="_Toc164148974"/>
      <w:bookmarkStart w:id="435" w:name="_Toc164151235"/>
      <w:bookmarkStart w:id="436" w:name="_Toc168673427"/>
      <w:bookmarkStart w:id="437" w:name="_Toc168737869"/>
      <w:bookmarkStart w:id="438" w:name="_Toc171602622"/>
      <w:bookmarkStart w:id="439" w:name="_Toc171603449"/>
      <w:bookmarkStart w:id="440" w:name="_Toc177387854"/>
      <w:r w:rsidRPr="00EB11D3">
        <w:rPr>
          <w:rFonts w:eastAsia="Times New Roman"/>
        </w:rPr>
        <w:t>3.</w:t>
      </w:r>
      <w:r w:rsidR="00B60CD7" w:rsidRPr="00EB11D3">
        <w:rPr>
          <w:rFonts w:eastAsia="Times New Roman"/>
        </w:rPr>
        <w:t>9</w:t>
      </w:r>
      <w:r w:rsidRPr="00EB11D3">
        <w:rPr>
          <w:rFonts w:eastAsia="Times New Roman"/>
        </w:rPr>
        <w:t xml:space="preserve">.2 </w:t>
      </w:r>
      <w:r w:rsidRPr="00EB11D3">
        <w:t>Moderation Model</w:t>
      </w:r>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p>
    <w:p w14:paraId="194B2B5E" w14:textId="77777777" w:rsidR="00983EF7" w:rsidRPr="00EB11D3" w:rsidRDefault="00983EF7">
      <w:pPr>
        <w:spacing w:after="0" w:line="360" w:lineRule="auto"/>
        <w:rPr>
          <w:rFonts w:eastAsia="Calibri"/>
          <w:szCs w:val="24"/>
        </w:rPr>
      </w:pPr>
      <w:r w:rsidRPr="00EB11D3">
        <w:rPr>
          <w:rFonts w:eastAsia="Calibri"/>
          <w:szCs w:val="24"/>
        </w:rPr>
        <w:t xml:space="preserve">Regression analysis (process analysis approach) as presented by Baron and Kenny (1986) </w:t>
      </w:r>
      <w:r w:rsidR="00AC488F" w:rsidRPr="00EB11D3">
        <w:rPr>
          <w:rFonts w:eastAsia="Calibri"/>
          <w:szCs w:val="24"/>
        </w:rPr>
        <w:t>was</w:t>
      </w:r>
      <w:r w:rsidRPr="00EB11D3">
        <w:rPr>
          <w:rFonts w:eastAsia="Calibri"/>
          <w:szCs w:val="24"/>
        </w:rPr>
        <w:t xml:space="preserve"> used to investigate the moderating effect of government regulations on the link between corporate governance and </w:t>
      </w:r>
      <w:r w:rsidR="006D5C62" w:rsidRPr="00EB11D3">
        <w:rPr>
          <w:rFonts w:eastAsia="Calibri"/>
          <w:szCs w:val="24"/>
        </w:rPr>
        <w:t>organisational performance of Faith-Based Hospitals</w:t>
      </w:r>
      <w:r w:rsidRPr="00EB11D3">
        <w:rPr>
          <w:rFonts w:eastAsia="Calibri"/>
          <w:szCs w:val="24"/>
        </w:rPr>
        <w:t xml:space="preserve"> in Kenya. The model predicts that the dependent variable, "OP," differ</w:t>
      </w:r>
      <w:r w:rsidR="0076732F" w:rsidRPr="00EB11D3">
        <w:rPr>
          <w:rFonts w:eastAsia="Calibri"/>
          <w:szCs w:val="24"/>
        </w:rPr>
        <w:t>s</w:t>
      </w:r>
      <w:r w:rsidRPr="00EB11D3">
        <w:rPr>
          <w:rFonts w:eastAsia="Calibri"/>
          <w:szCs w:val="24"/>
        </w:rPr>
        <w:t xml:space="preserve"> across levels of a third variable, "GR." The test involves establishing the statistical significance of the interaction term since it alters the degree and direction of the relationship between the independent and dependent variables (Busetto, Wick, &amp; Gumbinger, 2020).</w:t>
      </w:r>
    </w:p>
    <w:p w14:paraId="73CB68D9" w14:textId="77777777" w:rsidR="00DC0D7C" w:rsidRPr="00EB11D3" w:rsidRDefault="00212BDF">
      <w:pPr>
        <w:spacing w:after="0" w:line="360" w:lineRule="auto"/>
        <w:rPr>
          <w:rFonts w:eastAsia="Calibri"/>
          <w:szCs w:val="24"/>
        </w:rPr>
      </w:pPr>
      <w:r w:rsidRPr="00EB11D3">
        <w:rPr>
          <w:rFonts w:eastAsia="Calibri"/>
          <w:szCs w:val="24"/>
        </w:rPr>
        <w:t>OP= α</w:t>
      </w:r>
      <w:r w:rsidR="006011B1" w:rsidRPr="00EB11D3">
        <w:rPr>
          <w:rFonts w:eastAsia="Calibri"/>
          <w:szCs w:val="24"/>
          <w:vertAlign w:val="subscript"/>
        </w:rPr>
        <w:t>0</w:t>
      </w:r>
      <w:r w:rsidRPr="00EB11D3">
        <w:rPr>
          <w:rFonts w:eastAsia="Calibri"/>
          <w:szCs w:val="24"/>
        </w:rPr>
        <w:t xml:space="preserve"> + (β</w:t>
      </w:r>
      <w:r w:rsidRPr="00EB11D3">
        <w:rPr>
          <w:rFonts w:eastAsia="Calibri"/>
          <w:szCs w:val="24"/>
          <w:vertAlign w:val="subscript"/>
        </w:rPr>
        <w:t>1</w:t>
      </w:r>
      <w:r w:rsidRPr="00EB11D3">
        <w:rPr>
          <w:rFonts w:eastAsia="Calibri"/>
          <w:szCs w:val="24"/>
        </w:rPr>
        <w:t>CG) + ε…………………………………………………………...…...…</w:t>
      </w:r>
      <w:r w:rsidR="007A489F" w:rsidRPr="00EB11D3">
        <w:rPr>
          <w:rFonts w:eastAsia="Calibri"/>
          <w:szCs w:val="24"/>
        </w:rPr>
        <w:t>...…...</w:t>
      </w:r>
      <w:r w:rsidR="00265BC0" w:rsidRPr="00EB11D3">
        <w:rPr>
          <w:rFonts w:eastAsia="Calibri"/>
          <w:szCs w:val="24"/>
        </w:rPr>
        <w:t>…</w:t>
      </w:r>
      <w:r w:rsidRPr="00EB11D3">
        <w:rPr>
          <w:rFonts w:eastAsia="Calibri"/>
          <w:szCs w:val="24"/>
        </w:rPr>
        <w:t xml:space="preserve"> (</w:t>
      </w:r>
      <w:r w:rsidR="003F13A9" w:rsidRPr="00EB11D3">
        <w:rPr>
          <w:rFonts w:eastAsia="Calibri"/>
          <w:szCs w:val="24"/>
        </w:rPr>
        <w:t>2</w:t>
      </w:r>
      <w:r w:rsidRPr="00EB11D3">
        <w:rPr>
          <w:rFonts w:eastAsia="Calibri"/>
          <w:szCs w:val="24"/>
        </w:rPr>
        <w:t>)</w:t>
      </w:r>
    </w:p>
    <w:p w14:paraId="5D823368" w14:textId="77777777" w:rsidR="00DC0D7C" w:rsidRPr="00EB11D3" w:rsidRDefault="00212BDF">
      <w:pPr>
        <w:spacing w:after="0" w:line="360" w:lineRule="auto"/>
        <w:rPr>
          <w:rFonts w:eastAsia="Calibri"/>
          <w:szCs w:val="24"/>
        </w:rPr>
      </w:pPr>
      <w:r w:rsidRPr="00EB11D3">
        <w:rPr>
          <w:rFonts w:eastAsia="Calibri"/>
          <w:szCs w:val="24"/>
        </w:rPr>
        <w:t>OP= α</w:t>
      </w:r>
      <w:r w:rsidR="006011B1" w:rsidRPr="00EB11D3">
        <w:rPr>
          <w:rFonts w:eastAsia="Calibri"/>
          <w:szCs w:val="24"/>
          <w:vertAlign w:val="subscript"/>
        </w:rPr>
        <w:t>0</w:t>
      </w:r>
      <w:r w:rsidRPr="00EB11D3">
        <w:rPr>
          <w:rFonts w:eastAsia="Calibri"/>
          <w:szCs w:val="24"/>
          <w:vertAlign w:val="subscript"/>
        </w:rPr>
        <w:t xml:space="preserve"> </w:t>
      </w:r>
      <w:r w:rsidRPr="00EB11D3">
        <w:rPr>
          <w:rFonts w:eastAsia="Calibri"/>
          <w:szCs w:val="24"/>
        </w:rPr>
        <w:t>+ (β</w:t>
      </w:r>
      <w:r w:rsidRPr="00EB11D3">
        <w:rPr>
          <w:rFonts w:eastAsia="Calibri"/>
          <w:szCs w:val="24"/>
          <w:vertAlign w:val="subscript"/>
        </w:rPr>
        <w:t>1</w:t>
      </w:r>
      <w:r w:rsidRPr="00EB11D3">
        <w:rPr>
          <w:rFonts w:eastAsia="Calibri"/>
          <w:szCs w:val="24"/>
        </w:rPr>
        <w:t>CG) + (β</w:t>
      </w:r>
      <w:r w:rsidRPr="00EB11D3">
        <w:rPr>
          <w:rFonts w:eastAsia="Calibri"/>
          <w:szCs w:val="24"/>
          <w:vertAlign w:val="subscript"/>
        </w:rPr>
        <w:t>2</w:t>
      </w:r>
      <w:r w:rsidRPr="00EB11D3">
        <w:rPr>
          <w:rFonts w:eastAsia="Calibri"/>
          <w:szCs w:val="24"/>
        </w:rPr>
        <w:t xml:space="preserve">GR) + ε……………………………………….….…………. </w:t>
      </w:r>
      <w:r w:rsidR="00265BC0" w:rsidRPr="00EB11D3">
        <w:rPr>
          <w:rFonts w:eastAsia="Calibri"/>
          <w:szCs w:val="24"/>
        </w:rPr>
        <w:t>…</w:t>
      </w:r>
      <w:r w:rsidRPr="00EB11D3">
        <w:rPr>
          <w:rFonts w:eastAsia="Calibri"/>
          <w:szCs w:val="24"/>
        </w:rPr>
        <w:t>…</w:t>
      </w:r>
      <w:r w:rsidR="007A489F" w:rsidRPr="00EB11D3">
        <w:rPr>
          <w:rFonts w:eastAsia="Calibri"/>
          <w:szCs w:val="24"/>
        </w:rPr>
        <w:t>.....</w:t>
      </w:r>
      <w:r w:rsidR="003F13A9" w:rsidRPr="00EB11D3">
        <w:rPr>
          <w:rFonts w:eastAsia="Calibri"/>
          <w:szCs w:val="24"/>
        </w:rPr>
        <w:t>…</w:t>
      </w:r>
      <w:r w:rsidRPr="00EB11D3">
        <w:rPr>
          <w:rFonts w:eastAsia="Calibri"/>
          <w:szCs w:val="24"/>
        </w:rPr>
        <w:t xml:space="preserve"> (</w:t>
      </w:r>
      <w:r w:rsidR="003F13A9" w:rsidRPr="00EB11D3">
        <w:rPr>
          <w:rFonts w:eastAsia="Calibri"/>
          <w:szCs w:val="24"/>
        </w:rPr>
        <w:t>3</w:t>
      </w:r>
      <w:r w:rsidRPr="00EB11D3">
        <w:rPr>
          <w:rFonts w:eastAsia="Calibri"/>
          <w:szCs w:val="24"/>
        </w:rPr>
        <w:t>)</w:t>
      </w:r>
    </w:p>
    <w:p w14:paraId="66FB103E" w14:textId="77777777" w:rsidR="00DC0D7C" w:rsidRPr="00EB11D3" w:rsidRDefault="00212BDF">
      <w:pPr>
        <w:spacing w:after="0" w:line="360" w:lineRule="auto"/>
        <w:rPr>
          <w:rFonts w:eastAsia="Calibri"/>
          <w:szCs w:val="24"/>
        </w:rPr>
      </w:pPr>
      <w:r w:rsidRPr="00EB11D3">
        <w:rPr>
          <w:rFonts w:eastAsia="Calibri"/>
          <w:szCs w:val="24"/>
        </w:rPr>
        <w:t>OP = α</w:t>
      </w:r>
      <w:r w:rsidR="006011B1" w:rsidRPr="00EB11D3">
        <w:rPr>
          <w:rFonts w:eastAsia="Calibri"/>
          <w:szCs w:val="24"/>
          <w:vertAlign w:val="subscript"/>
        </w:rPr>
        <w:t>0</w:t>
      </w:r>
      <w:r w:rsidRPr="00EB11D3">
        <w:rPr>
          <w:rFonts w:eastAsia="Calibri"/>
          <w:szCs w:val="24"/>
          <w:vertAlign w:val="subscript"/>
        </w:rPr>
        <w:t xml:space="preserve"> </w:t>
      </w:r>
      <w:r w:rsidRPr="00EB11D3">
        <w:rPr>
          <w:rFonts w:eastAsia="Calibri"/>
          <w:szCs w:val="24"/>
        </w:rPr>
        <w:t>+ β</w:t>
      </w:r>
      <w:r w:rsidRPr="00EB11D3">
        <w:rPr>
          <w:rFonts w:eastAsia="Calibri"/>
          <w:szCs w:val="24"/>
          <w:vertAlign w:val="subscript"/>
        </w:rPr>
        <w:t>1</w:t>
      </w:r>
      <w:r w:rsidRPr="00EB11D3">
        <w:rPr>
          <w:rFonts w:eastAsia="Calibri"/>
          <w:szCs w:val="24"/>
        </w:rPr>
        <w:t>CG+ β</w:t>
      </w:r>
      <w:r w:rsidRPr="00EB11D3">
        <w:rPr>
          <w:rFonts w:eastAsia="Calibri"/>
          <w:szCs w:val="24"/>
          <w:vertAlign w:val="subscript"/>
        </w:rPr>
        <w:t>2</w:t>
      </w:r>
      <w:r w:rsidRPr="00EB11D3">
        <w:rPr>
          <w:rFonts w:eastAsia="Calibri"/>
          <w:szCs w:val="24"/>
        </w:rPr>
        <w:t>GR+ (β</w:t>
      </w:r>
      <w:r w:rsidRPr="00EB11D3">
        <w:rPr>
          <w:rFonts w:eastAsia="Calibri"/>
          <w:szCs w:val="24"/>
          <w:vertAlign w:val="subscript"/>
        </w:rPr>
        <w:t>3</w:t>
      </w:r>
      <w:r w:rsidRPr="00EB11D3">
        <w:rPr>
          <w:rFonts w:eastAsia="Calibri"/>
          <w:szCs w:val="24"/>
        </w:rPr>
        <w:t>CG*GR) + ε……………….…………….……</w:t>
      </w:r>
      <w:r w:rsidR="007A489F" w:rsidRPr="00EB11D3">
        <w:rPr>
          <w:rFonts w:eastAsia="Calibri"/>
          <w:szCs w:val="24"/>
        </w:rPr>
        <w:t>….</w:t>
      </w:r>
      <w:r w:rsidRPr="00EB11D3">
        <w:rPr>
          <w:rFonts w:eastAsia="Calibri"/>
          <w:szCs w:val="24"/>
        </w:rPr>
        <w:t>…....…</w:t>
      </w:r>
      <w:r w:rsidR="00265BC0" w:rsidRPr="00EB11D3">
        <w:rPr>
          <w:rFonts w:eastAsia="Calibri"/>
          <w:szCs w:val="24"/>
        </w:rPr>
        <w:t>.</w:t>
      </w:r>
      <w:r w:rsidRPr="00EB11D3">
        <w:rPr>
          <w:rFonts w:eastAsia="Calibri"/>
          <w:szCs w:val="24"/>
        </w:rPr>
        <w:t>...</w:t>
      </w:r>
      <w:r w:rsidR="003F13A9" w:rsidRPr="00EB11D3">
        <w:rPr>
          <w:rFonts w:eastAsia="Calibri"/>
          <w:szCs w:val="24"/>
        </w:rPr>
        <w:t>..</w:t>
      </w:r>
      <w:r w:rsidR="007A489F" w:rsidRPr="00EB11D3">
        <w:rPr>
          <w:rFonts w:eastAsia="Calibri"/>
          <w:szCs w:val="24"/>
        </w:rPr>
        <w:t>..</w:t>
      </w:r>
      <w:r w:rsidR="003F13A9" w:rsidRPr="00EB11D3">
        <w:rPr>
          <w:rFonts w:eastAsia="Calibri"/>
          <w:szCs w:val="24"/>
        </w:rPr>
        <w:t>.</w:t>
      </w:r>
      <w:r w:rsidR="00265BC0" w:rsidRPr="00EB11D3">
        <w:rPr>
          <w:rFonts w:eastAsia="Calibri"/>
          <w:szCs w:val="24"/>
        </w:rPr>
        <w:t>....</w:t>
      </w:r>
      <w:r w:rsidRPr="00EB11D3">
        <w:rPr>
          <w:rFonts w:eastAsia="Calibri"/>
          <w:szCs w:val="24"/>
        </w:rPr>
        <w:t xml:space="preserve"> (</w:t>
      </w:r>
      <w:r w:rsidR="003F13A9" w:rsidRPr="00EB11D3">
        <w:rPr>
          <w:rFonts w:eastAsia="Calibri"/>
          <w:szCs w:val="24"/>
        </w:rPr>
        <w:t>4</w:t>
      </w:r>
      <w:r w:rsidRPr="00EB11D3">
        <w:rPr>
          <w:rFonts w:eastAsia="Calibri"/>
          <w:szCs w:val="24"/>
        </w:rPr>
        <w:t>)</w:t>
      </w:r>
    </w:p>
    <w:p w14:paraId="48AB1734" w14:textId="77777777" w:rsidR="00DC0D7C" w:rsidRPr="00EB11D3" w:rsidRDefault="00212BDF">
      <w:pPr>
        <w:spacing w:after="0" w:line="360" w:lineRule="auto"/>
        <w:rPr>
          <w:rFonts w:eastAsia="Calibri"/>
          <w:szCs w:val="24"/>
        </w:rPr>
      </w:pPr>
      <w:r w:rsidRPr="00EB11D3">
        <w:rPr>
          <w:rFonts w:eastAsia="Calibri"/>
          <w:szCs w:val="24"/>
        </w:rPr>
        <w:t>Where:</w:t>
      </w:r>
    </w:p>
    <w:p w14:paraId="66A60952" w14:textId="77777777" w:rsidR="00DC0D7C" w:rsidRPr="00EB11D3" w:rsidRDefault="00212BDF" w:rsidP="00855392">
      <w:pPr>
        <w:spacing w:line="360" w:lineRule="auto"/>
        <w:rPr>
          <w:rFonts w:eastAsia="Calibri"/>
          <w:szCs w:val="24"/>
        </w:rPr>
      </w:pPr>
      <w:r w:rsidRPr="00EB11D3">
        <w:rPr>
          <w:rFonts w:eastAsia="Calibri"/>
          <w:szCs w:val="24"/>
        </w:rPr>
        <w:t xml:space="preserve">OP = Organisational performance; CG = </w:t>
      </w:r>
      <w:r w:rsidRPr="00EB11D3">
        <w:rPr>
          <w:rFonts w:eastAsia="Times New Roman"/>
          <w:szCs w:val="24"/>
        </w:rPr>
        <w:t>Corporate governance</w:t>
      </w:r>
      <w:r w:rsidRPr="00EB11D3">
        <w:rPr>
          <w:rFonts w:eastAsia="Calibri"/>
          <w:szCs w:val="24"/>
        </w:rPr>
        <w:t>; GR = Government Regulations; α = constant (intercept); β=Coefficient parameters to be determined, composite* =interaction term, ε = Error</w:t>
      </w:r>
      <w:r w:rsidR="00076A33" w:rsidRPr="00EB11D3">
        <w:rPr>
          <w:rFonts w:eastAsia="Calibri"/>
          <w:szCs w:val="24"/>
        </w:rPr>
        <w:t xml:space="preserve"> term</w:t>
      </w:r>
    </w:p>
    <w:p w14:paraId="0AC06A0E" w14:textId="77777777" w:rsidR="00DC0D7C" w:rsidRPr="00EB11D3" w:rsidRDefault="00212BDF" w:rsidP="00AD1CB7">
      <w:pPr>
        <w:pStyle w:val="Heading3"/>
      </w:pPr>
      <w:bookmarkStart w:id="441" w:name="_Toc132709949"/>
      <w:bookmarkStart w:id="442" w:name="_Toc134174673"/>
      <w:bookmarkStart w:id="443" w:name="_Toc135405890"/>
      <w:bookmarkStart w:id="444" w:name="_Toc135938101"/>
      <w:bookmarkStart w:id="445" w:name="_Toc135938307"/>
      <w:bookmarkStart w:id="446" w:name="_Toc140111870"/>
      <w:bookmarkStart w:id="447" w:name="_Toc153052098"/>
      <w:bookmarkStart w:id="448" w:name="_Toc164148975"/>
      <w:bookmarkStart w:id="449" w:name="_Toc164151236"/>
      <w:bookmarkStart w:id="450" w:name="_Toc168673428"/>
      <w:bookmarkStart w:id="451" w:name="_Toc168737870"/>
      <w:bookmarkStart w:id="452" w:name="_Toc171602623"/>
      <w:bookmarkStart w:id="453" w:name="_Toc171603450"/>
      <w:bookmarkStart w:id="454" w:name="_Toc177387855"/>
      <w:r w:rsidRPr="00EB11D3">
        <w:rPr>
          <w:rFonts w:eastAsia="Times New Roman"/>
        </w:rPr>
        <w:t>3.</w:t>
      </w:r>
      <w:r w:rsidR="00B60CD7" w:rsidRPr="00EB11D3">
        <w:rPr>
          <w:rFonts w:eastAsia="Times New Roman"/>
        </w:rPr>
        <w:t>9</w:t>
      </w:r>
      <w:r w:rsidRPr="00EB11D3">
        <w:rPr>
          <w:rFonts w:eastAsia="Times New Roman"/>
        </w:rPr>
        <w:t xml:space="preserve">.3 </w:t>
      </w:r>
      <w:r w:rsidRPr="00EB11D3">
        <w:t>Mediating Model</w:t>
      </w:r>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p>
    <w:p w14:paraId="12B157B5" w14:textId="77777777" w:rsidR="00DC0D7C" w:rsidRPr="00EB11D3" w:rsidRDefault="00CB3943">
      <w:pPr>
        <w:spacing w:after="0" w:line="360" w:lineRule="auto"/>
        <w:rPr>
          <w:rFonts w:eastAsia="Calibri"/>
          <w:szCs w:val="24"/>
        </w:rPr>
      </w:pPr>
      <w:r w:rsidRPr="00EB11D3">
        <w:rPr>
          <w:rFonts w:eastAsia="Calibri"/>
          <w:szCs w:val="24"/>
        </w:rPr>
        <w:t xml:space="preserve">The Four Step Mediation Methodology (Baron &amp; Kenny, 1986) </w:t>
      </w:r>
      <w:r w:rsidR="0076732F" w:rsidRPr="00EB11D3">
        <w:rPr>
          <w:rFonts w:eastAsia="Calibri"/>
          <w:szCs w:val="24"/>
        </w:rPr>
        <w:t>was</w:t>
      </w:r>
      <w:r w:rsidRPr="00EB11D3">
        <w:rPr>
          <w:rFonts w:eastAsia="Calibri"/>
          <w:szCs w:val="24"/>
        </w:rPr>
        <w:t xml:space="preserve"> used to determine the mediating effect of service innovation on the link between corporate governance and </w:t>
      </w:r>
      <w:r w:rsidR="006D5C62" w:rsidRPr="00EB11D3">
        <w:rPr>
          <w:rFonts w:eastAsia="Calibri"/>
          <w:szCs w:val="24"/>
        </w:rPr>
        <w:t>organisational performance of Faith-Based Hospitals</w:t>
      </w:r>
      <w:r w:rsidRPr="00EB11D3">
        <w:rPr>
          <w:rFonts w:eastAsia="Calibri"/>
          <w:szCs w:val="24"/>
        </w:rPr>
        <w:t xml:space="preserve"> in Kenya.</w:t>
      </w:r>
    </w:p>
    <w:p w14:paraId="387E6C35" w14:textId="77777777" w:rsidR="00DC0D7C" w:rsidRPr="00EB11D3" w:rsidRDefault="00212BDF">
      <w:pPr>
        <w:spacing w:after="0" w:line="360" w:lineRule="auto"/>
        <w:rPr>
          <w:rFonts w:eastAsia="Calibri"/>
          <w:szCs w:val="24"/>
        </w:rPr>
      </w:pPr>
      <w:r w:rsidRPr="00EB11D3">
        <w:rPr>
          <w:rFonts w:eastAsia="Calibri"/>
          <w:b/>
          <w:szCs w:val="24"/>
        </w:rPr>
        <w:t>Step1:</w:t>
      </w:r>
      <w:r w:rsidRPr="00EB11D3">
        <w:rPr>
          <w:rFonts w:eastAsia="Calibri"/>
          <w:szCs w:val="24"/>
        </w:rPr>
        <w:t xml:space="preserve"> a regression analysis of CG Predicting OP</w:t>
      </w:r>
    </w:p>
    <w:p w14:paraId="650A0298" w14:textId="77777777" w:rsidR="00DC0D7C" w:rsidRPr="00EB11D3" w:rsidRDefault="00212BDF">
      <w:pPr>
        <w:spacing w:after="0" w:line="360" w:lineRule="auto"/>
        <w:ind w:firstLine="720"/>
        <w:rPr>
          <w:rFonts w:eastAsia="Calibri"/>
          <w:szCs w:val="24"/>
        </w:rPr>
      </w:pPr>
      <w:r w:rsidRPr="00EB11D3">
        <w:rPr>
          <w:rFonts w:eastAsia="Calibri"/>
          <w:szCs w:val="24"/>
        </w:rPr>
        <w:t>OP = α</w:t>
      </w:r>
      <w:r w:rsidR="006011B1" w:rsidRPr="00EB11D3">
        <w:rPr>
          <w:rFonts w:eastAsia="Calibri"/>
          <w:szCs w:val="24"/>
          <w:vertAlign w:val="subscript"/>
        </w:rPr>
        <w:t>0</w:t>
      </w:r>
      <w:r w:rsidRPr="00EB11D3">
        <w:rPr>
          <w:rFonts w:eastAsia="Calibri"/>
          <w:szCs w:val="24"/>
        </w:rPr>
        <w:t xml:space="preserve"> + β</w:t>
      </w:r>
      <w:r w:rsidRPr="00EB11D3">
        <w:rPr>
          <w:rFonts w:eastAsia="Calibri"/>
          <w:szCs w:val="24"/>
          <w:vertAlign w:val="subscript"/>
        </w:rPr>
        <w:t>1</w:t>
      </w:r>
      <w:r w:rsidRPr="00EB11D3">
        <w:rPr>
          <w:rFonts w:eastAsia="Calibri"/>
          <w:szCs w:val="24"/>
        </w:rPr>
        <w:t>CG + ε………………………………………....………….……</w:t>
      </w:r>
      <w:r w:rsidR="00892E73" w:rsidRPr="00EB11D3">
        <w:rPr>
          <w:rFonts w:eastAsia="Calibri"/>
          <w:szCs w:val="24"/>
        </w:rPr>
        <w:t>...</w:t>
      </w:r>
      <w:r w:rsidR="00265BC0" w:rsidRPr="00EB11D3">
        <w:rPr>
          <w:rFonts w:eastAsia="Calibri"/>
          <w:szCs w:val="24"/>
        </w:rPr>
        <w:t>….</w:t>
      </w:r>
      <w:r w:rsidRPr="00EB11D3">
        <w:rPr>
          <w:rFonts w:eastAsia="Calibri"/>
          <w:szCs w:val="24"/>
        </w:rPr>
        <w:t>...…. (</w:t>
      </w:r>
      <w:r w:rsidR="003F13A9" w:rsidRPr="00EB11D3">
        <w:rPr>
          <w:rFonts w:eastAsia="Calibri"/>
          <w:szCs w:val="24"/>
        </w:rPr>
        <w:t>5</w:t>
      </w:r>
      <w:r w:rsidRPr="00EB11D3">
        <w:rPr>
          <w:rFonts w:eastAsia="Calibri"/>
          <w:szCs w:val="24"/>
        </w:rPr>
        <w:t>)</w:t>
      </w:r>
    </w:p>
    <w:p w14:paraId="4C127D26" w14:textId="77777777" w:rsidR="00DC0D7C" w:rsidRPr="00EB11D3" w:rsidRDefault="00212BDF">
      <w:pPr>
        <w:spacing w:after="0" w:line="360" w:lineRule="auto"/>
        <w:rPr>
          <w:rFonts w:eastAsia="Calibri"/>
          <w:szCs w:val="24"/>
        </w:rPr>
      </w:pPr>
      <w:r w:rsidRPr="00EB11D3">
        <w:rPr>
          <w:rFonts w:eastAsia="Calibri"/>
          <w:b/>
          <w:szCs w:val="24"/>
        </w:rPr>
        <w:t>Step 2:</w:t>
      </w:r>
      <w:r w:rsidRPr="00EB11D3">
        <w:rPr>
          <w:rFonts w:eastAsia="Calibri"/>
          <w:szCs w:val="24"/>
        </w:rPr>
        <w:t xml:space="preserve"> a regression analysis of CG Predicting SI</w:t>
      </w:r>
    </w:p>
    <w:p w14:paraId="7C580546" w14:textId="77777777" w:rsidR="00DC0D7C" w:rsidRPr="00EB11D3" w:rsidRDefault="00212BDF">
      <w:pPr>
        <w:spacing w:after="0" w:line="360" w:lineRule="auto"/>
        <w:ind w:firstLine="720"/>
        <w:rPr>
          <w:rFonts w:eastAsia="Calibri"/>
          <w:szCs w:val="24"/>
        </w:rPr>
      </w:pPr>
      <w:r w:rsidRPr="00EB11D3">
        <w:rPr>
          <w:rFonts w:eastAsia="Calibri"/>
          <w:szCs w:val="24"/>
        </w:rPr>
        <w:t>S</w:t>
      </w:r>
      <w:r w:rsidR="007063A7" w:rsidRPr="00EB11D3">
        <w:rPr>
          <w:rFonts w:eastAsia="Calibri"/>
          <w:szCs w:val="24"/>
        </w:rPr>
        <w:t>I</w:t>
      </w:r>
      <w:r w:rsidRPr="00EB11D3">
        <w:rPr>
          <w:rFonts w:eastAsia="Calibri"/>
          <w:szCs w:val="24"/>
        </w:rPr>
        <w:t xml:space="preserve"> = α</w:t>
      </w:r>
      <w:r w:rsidR="006011B1" w:rsidRPr="00EB11D3">
        <w:rPr>
          <w:rFonts w:eastAsia="Calibri"/>
          <w:szCs w:val="24"/>
          <w:vertAlign w:val="subscript"/>
        </w:rPr>
        <w:t>0</w:t>
      </w:r>
      <w:r w:rsidRPr="00EB11D3">
        <w:rPr>
          <w:rFonts w:eastAsia="Calibri"/>
          <w:szCs w:val="24"/>
        </w:rPr>
        <w:t xml:space="preserve"> + β</w:t>
      </w:r>
      <w:r w:rsidRPr="00EB11D3">
        <w:rPr>
          <w:rFonts w:eastAsia="Calibri"/>
          <w:szCs w:val="24"/>
          <w:vertAlign w:val="subscript"/>
        </w:rPr>
        <w:t>1</w:t>
      </w:r>
      <w:r w:rsidRPr="00EB11D3">
        <w:rPr>
          <w:rFonts w:eastAsia="Calibri"/>
          <w:szCs w:val="24"/>
        </w:rPr>
        <w:t>CG + ε………………………………………………….………....</w:t>
      </w:r>
      <w:r w:rsidR="00265BC0" w:rsidRPr="00EB11D3">
        <w:rPr>
          <w:rFonts w:eastAsia="Calibri"/>
          <w:szCs w:val="24"/>
        </w:rPr>
        <w:t>.</w:t>
      </w:r>
      <w:r w:rsidR="00892E73" w:rsidRPr="00EB11D3">
        <w:rPr>
          <w:rFonts w:eastAsia="Calibri"/>
          <w:szCs w:val="24"/>
        </w:rPr>
        <w:t>...</w:t>
      </w:r>
      <w:r w:rsidR="00265BC0" w:rsidRPr="00EB11D3">
        <w:rPr>
          <w:rFonts w:eastAsia="Calibri"/>
          <w:szCs w:val="24"/>
        </w:rPr>
        <w:t>..</w:t>
      </w:r>
      <w:r w:rsidR="003F13A9" w:rsidRPr="00EB11D3">
        <w:rPr>
          <w:rFonts w:eastAsia="Calibri"/>
          <w:szCs w:val="24"/>
        </w:rPr>
        <w:t>.</w:t>
      </w:r>
      <w:r w:rsidR="00265BC0" w:rsidRPr="00EB11D3">
        <w:rPr>
          <w:rFonts w:eastAsia="Calibri"/>
          <w:szCs w:val="24"/>
        </w:rPr>
        <w:t>.....</w:t>
      </w:r>
      <w:r w:rsidRPr="00EB11D3">
        <w:rPr>
          <w:rFonts w:eastAsia="Calibri"/>
          <w:szCs w:val="24"/>
        </w:rPr>
        <w:t>. (</w:t>
      </w:r>
      <w:r w:rsidR="003F13A9" w:rsidRPr="00EB11D3">
        <w:rPr>
          <w:rFonts w:eastAsia="Calibri"/>
          <w:szCs w:val="24"/>
        </w:rPr>
        <w:t>6</w:t>
      </w:r>
      <w:r w:rsidRPr="00EB11D3">
        <w:rPr>
          <w:rFonts w:eastAsia="Calibri"/>
          <w:szCs w:val="24"/>
        </w:rPr>
        <w:t>)</w:t>
      </w:r>
    </w:p>
    <w:p w14:paraId="57CF52E7" w14:textId="77777777" w:rsidR="00DC0D7C" w:rsidRPr="00EB11D3" w:rsidRDefault="00212BDF">
      <w:pPr>
        <w:spacing w:after="0" w:line="360" w:lineRule="auto"/>
        <w:rPr>
          <w:rFonts w:eastAsia="Calibri"/>
          <w:szCs w:val="24"/>
        </w:rPr>
      </w:pPr>
      <w:r w:rsidRPr="00EB11D3">
        <w:rPr>
          <w:rFonts w:eastAsia="Calibri"/>
          <w:b/>
          <w:szCs w:val="24"/>
        </w:rPr>
        <w:t>Step3:</w:t>
      </w:r>
      <w:r w:rsidRPr="00EB11D3">
        <w:rPr>
          <w:rFonts w:eastAsia="Calibri"/>
          <w:szCs w:val="24"/>
        </w:rPr>
        <w:t xml:space="preserve"> a regression analysis of SI Predicting OP: </w:t>
      </w:r>
    </w:p>
    <w:p w14:paraId="47AC4727" w14:textId="77777777" w:rsidR="00DC0D7C" w:rsidRPr="00EB11D3" w:rsidRDefault="00212BDF">
      <w:pPr>
        <w:spacing w:after="0" w:line="360" w:lineRule="auto"/>
        <w:ind w:firstLine="720"/>
        <w:rPr>
          <w:rFonts w:eastAsia="Calibri"/>
          <w:szCs w:val="24"/>
        </w:rPr>
      </w:pPr>
      <w:r w:rsidRPr="00EB11D3">
        <w:rPr>
          <w:rFonts w:eastAsia="Calibri"/>
          <w:szCs w:val="24"/>
        </w:rPr>
        <w:t>OP= α</w:t>
      </w:r>
      <w:r w:rsidR="006011B1" w:rsidRPr="00EB11D3">
        <w:rPr>
          <w:rFonts w:eastAsia="Calibri"/>
          <w:szCs w:val="24"/>
          <w:vertAlign w:val="subscript"/>
        </w:rPr>
        <w:t>0</w:t>
      </w:r>
      <w:r w:rsidRPr="00EB11D3">
        <w:rPr>
          <w:rFonts w:eastAsia="Calibri"/>
          <w:szCs w:val="24"/>
        </w:rPr>
        <w:t xml:space="preserve"> + β</w:t>
      </w:r>
      <w:r w:rsidRPr="00EB11D3">
        <w:rPr>
          <w:rFonts w:eastAsia="Calibri"/>
          <w:szCs w:val="24"/>
          <w:vertAlign w:val="subscript"/>
        </w:rPr>
        <w:t>2</w:t>
      </w:r>
      <w:r w:rsidRPr="00EB11D3">
        <w:rPr>
          <w:rFonts w:eastAsia="Calibri"/>
          <w:szCs w:val="24"/>
        </w:rPr>
        <w:t xml:space="preserve"> SI + ε…………………………………...……….………………</w:t>
      </w:r>
      <w:r w:rsidR="003F13A9" w:rsidRPr="00EB11D3">
        <w:rPr>
          <w:rFonts w:eastAsia="Calibri"/>
          <w:szCs w:val="24"/>
        </w:rPr>
        <w:t>.</w:t>
      </w:r>
      <w:r w:rsidRPr="00EB11D3">
        <w:rPr>
          <w:rFonts w:eastAsia="Calibri"/>
          <w:szCs w:val="24"/>
        </w:rPr>
        <w:t>…</w:t>
      </w:r>
      <w:r w:rsidR="00892E73" w:rsidRPr="00EB11D3">
        <w:rPr>
          <w:rFonts w:eastAsia="Calibri"/>
          <w:szCs w:val="24"/>
        </w:rPr>
        <w:t>…</w:t>
      </w:r>
      <w:r w:rsidR="00265BC0" w:rsidRPr="00EB11D3">
        <w:rPr>
          <w:rFonts w:eastAsia="Calibri"/>
          <w:szCs w:val="24"/>
        </w:rPr>
        <w:t>...</w:t>
      </w:r>
      <w:r w:rsidRPr="00EB11D3">
        <w:rPr>
          <w:rFonts w:eastAsia="Calibri"/>
          <w:szCs w:val="24"/>
        </w:rPr>
        <w:t>... (</w:t>
      </w:r>
      <w:r w:rsidR="003F13A9" w:rsidRPr="00EB11D3">
        <w:rPr>
          <w:rFonts w:eastAsia="Calibri"/>
          <w:szCs w:val="24"/>
        </w:rPr>
        <w:t>7</w:t>
      </w:r>
      <w:r w:rsidRPr="00EB11D3">
        <w:rPr>
          <w:rFonts w:eastAsia="Calibri"/>
          <w:szCs w:val="24"/>
        </w:rPr>
        <w:t>)</w:t>
      </w:r>
    </w:p>
    <w:p w14:paraId="373277D6" w14:textId="77777777" w:rsidR="00DC0D7C" w:rsidRPr="00EB11D3" w:rsidRDefault="00212BDF">
      <w:pPr>
        <w:spacing w:after="0" w:line="360" w:lineRule="auto"/>
        <w:rPr>
          <w:rFonts w:eastAsia="Calibri"/>
          <w:szCs w:val="24"/>
        </w:rPr>
      </w:pPr>
      <w:r w:rsidRPr="00EB11D3">
        <w:rPr>
          <w:rFonts w:eastAsia="Calibri"/>
          <w:szCs w:val="24"/>
        </w:rPr>
        <w:t>If the relationship is significant then proceed to:</w:t>
      </w:r>
    </w:p>
    <w:p w14:paraId="262C3053" w14:textId="77777777" w:rsidR="00DC0D7C" w:rsidRPr="00EB11D3" w:rsidRDefault="00212BDF">
      <w:pPr>
        <w:spacing w:after="0" w:line="360" w:lineRule="auto"/>
        <w:rPr>
          <w:rFonts w:eastAsia="Calibri"/>
          <w:szCs w:val="24"/>
        </w:rPr>
      </w:pPr>
      <w:r w:rsidRPr="00EB11D3">
        <w:rPr>
          <w:rFonts w:eastAsia="Calibri"/>
          <w:b/>
          <w:szCs w:val="24"/>
        </w:rPr>
        <w:t>Step 4:</w:t>
      </w:r>
      <w:r w:rsidRPr="00EB11D3">
        <w:rPr>
          <w:rFonts w:eastAsia="Calibri"/>
          <w:szCs w:val="24"/>
        </w:rPr>
        <w:t xml:space="preserve"> a regression analysis of CG and SI Predicting OP.</w:t>
      </w:r>
    </w:p>
    <w:p w14:paraId="0846A2FE" w14:textId="77777777" w:rsidR="00DC0D7C" w:rsidRPr="00EB11D3" w:rsidRDefault="00212BDF">
      <w:pPr>
        <w:spacing w:after="0" w:line="360" w:lineRule="auto"/>
        <w:rPr>
          <w:rFonts w:eastAsia="Calibri"/>
          <w:szCs w:val="24"/>
        </w:rPr>
      </w:pPr>
      <w:r w:rsidRPr="00EB11D3">
        <w:rPr>
          <w:rFonts w:eastAsia="Calibri"/>
          <w:szCs w:val="24"/>
        </w:rPr>
        <w:t>OP= α</w:t>
      </w:r>
      <w:r w:rsidR="006011B1" w:rsidRPr="00EB11D3">
        <w:rPr>
          <w:rFonts w:eastAsia="Calibri"/>
          <w:szCs w:val="24"/>
          <w:vertAlign w:val="subscript"/>
        </w:rPr>
        <w:t>0</w:t>
      </w:r>
      <w:r w:rsidRPr="00EB11D3">
        <w:rPr>
          <w:rFonts w:eastAsia="Calibri"/>
          <w:szCs w:val="24"/>
        </w:rPr>
        <w:t xml:space="preserve"> + (β</w:t>
      </w:r>
      <w:r w:rsidRPr="00EB11D3">
        <w:rPr>
          <w:rFonts w:eastAsia="Calibri"/>
          <w:szCs w:val="24"/>
          <w:vertAlign w:val="subscript"/>
        </w:rPr>
        <w:t>1</w:t>
      </w:r>
      <w:r w:rsidRPr="00EB11D3">
        <w:rPr>
          <w:rFonts w:eastAsia="Calibri"/>
          <w:szCs w:val="24"/>
        </w:rPr>
        <w:t>CG) + β</w:t>
      </w:r>
      <w:r w:rsidRPr="00EB11D3">
        <w:rPr>
          <w:rFonts w:eastAsia="Calibri"/>
          <w:szCs w:val="24"/>
          <w:vertAlign w:val="subscript"/>
        </w:rPr>
        <w:t>3</w:t>
      </w:r>
      <w:r w:rsidRPr="00EB11D3">
        <w:rPr>
          <w:rFonts w:eastAsia="Calibri"/>
          <w:szCs w:val="24"/>
        </w:rPr>
        <w:t xml:space="preserve"> SI + ε……………………………………….……...…………</w:t>
      </w:r>
      <w:r w:rsidR="00892E73" w:rsidRPr="00EB11D3">
        <w:rPr>
          <w:rFonts w:eastAsia="Calibri"/>
          <w:szCs w:val="24"/>
        </w:rPr>
        <w:t>…</w:t>
      </w:r>
      <w:r w:rsidRPr="00EB11D3">
        <w:rPr>
          <w:rFonts w:eastAsia="Calibri"/>
          <w:szCs w:val="24"/>
        </w:rPr>
        <w:t>…</w:t>
      </w:r>
      <w:r w:rsidR="00265BC0" w:rsidRPr="00EB11D3">
        <w:rPr>
          <w:rFonts w:eastAsia="Calibri"/>
          <w:szCs w:val="24"/>
        </w:rPr>
        <w:t>…...</w:t>
      </w:r>
      <w:r w:rsidRPr="00EB11D3">
        <w:rPr>
          <w:rFonts w:eastAsia="Calibri"/>
          <w:szCs w:val="24"/>
        </w:rPr>
        <w:t xml:space="preserve"> (</w:t>
      </w:r>
      <w:r w:rsidR="003F13A9" w:rsidRPr="00EB11D3">
        <w:rPr>
          <w:rFonts w:eastAsia="Calibri"/>
          <w:szCs w:val="24"/>
        </w:rPr>
        <w:t>8</w:t>
      </w:r>
      <w:r w:rsidRPr="00EB11D3">
        <w:rPr>
          <w:rFonts w:eastAsia="Calibri"/>
          <w:szCs w:val="24"/>
        </w:rPr>
        <w:t>)</w:t>
      </w:r>
    </w:p>
    <w:p w14:paraId="18E79EA7" w14:textId="77777777" w:rsidR="00DC0D7C" w:rsidRPr="00EB11D3" w:rsidRDefault="00212BDF">
      <w:pPr>
        <w:spacing w:after="0" w:line="360" w:lineRule="auto"/>
        <w:rPr>
          <w:rFonts w:eastAsia="Calibri"/>
          <w:szCs w:val="24"/>
        </w:rPr>
      </w:pPr>
      <w:r w:rsidRPr="00EB11D3">
        <w:rPr>
          <w:rFonts w:eastAsia="Calibri"/>
          <w:szCs w:val="24"/>
        </w:rPr>
        <w:t xml:space="preserve">OP= </w:t>
      </w:r>
      <w:r w:rsidR="006D5C62" w:rsidRPr="00EB11D3">
        <w:rPr>
          <w:rFonts w:eastAsia="Calibri"/>
          <w:szCs w:val="24"/>
        </w:rPr>
        <w:t>Organisational performance of Faith-Based Hospitals</w:t>
      </w:r>
      <w:r w:rsidRPr="00EB11D3">
        <w:rPr>
          <w:rFonts w:eastAsia="Calibri"/>
          <w:szCs w:val="24"/>
        </w:rPr>
        <w:t xml:space="preserve"> in Kenya; </w:t>
      </w:r>
    </w:p>
    <w:p w14:paraId="08BE1EE0" w14:textId="77777777" w:rsidR="00DC0D7C" w:rsidRPr="00EB11D3" w:rsidRDefault="00212BDF">
      <w:pPr>
        <w:spacing w:after="0" w:line="360" w:lineRule="auto"/>
        <w:rPr>
          <w:rFonts w:eastAsia="Calibri"/>
          <w:szCs w:val="24"/>
        </w:rPr>
      </w:pPr>
      <w:r w:rsidRPr="00EB11D3">
        <w:rPr>
          <w:rFonts w:eastAsia="Calibri"/>
          <w:szCs w:val="24"/>
        </w:rPr>
        <w:t>CG</w:t>
      </w:r>
      <w:r w:rsidR="002D090A" w:rsidRPr="00EB11D3">
        <w:rPr>
          <w:rFonts w:eastAsia="Calibri"/>
          <w:szCs w:val="24"/>
        </w:rPr>
        <w:t xml:space="preserve"> </w:t>
      </w:r>
      <w:r w:rsidRPr="00EB11D3">
        <w:rPr>
          <w:rFonts w:eastAsia="Calibri"/>
          <w:szCs w:val="24"/>
        </w:rPr>
        <w:t xml:space="preserve">= </w:t>
      </w:r>
      <w:r w:rsidRPr="00EB11D3">
        <w:rPr>
          <w:rFonts w:eastAsia="Times New Roman"/>
          <w:szCs w:val="24"/>
        </w:rPr>
        <w:t>Corporate governance</w:t>
      </w:r>
      <w:r w:rsidRPr="00EB11D3">
        <w:rPr>
          <w:rFonts w:eastAsia="Calibri"/>
          <w:szCs w:val="24"/>
        </w:rPr>
        <w:t>,</w:t>
      </w:r>
    </w:p>
    <w:p w14:paraId="00B31F51" w14:textId="77777777" w:rsidR="00DC0D7C" w:rsidRPr="00EB11D3" w:rsidRDefault="00212BDF">
      <w:pPr>
        <w:spacing w:after="0" w:line="360" w:lineRule="auto"/>
        <w:rPr>
          <w:rFonts w:eastAsia="Calibri"/>
          <w:szCs w:val="24"/>
        </w:rPr>
      </w:pPr>
      <w:r w:rsidRPr="00EB11D3">
        <w:rPr>
          <w:rFonts w:eastAsia="Calibri"/>
          <w:szCs w:val="24"/>
        </w:rPr>
        <w:t xml:space="preserve">SI = </w:t>
      </w:r>
      <w:r w:rsidRPr="00EB11D3">
        <w:rPr>
          <w:szCs w:val="24"/>
          <w:lang w:val="en"/>
        </w:rPr>
        <w:t>Service Innovation</w:t>
      </w:r>
    </w:p>
    <w:p w14:paraId="72C512C8" w14:textId="77777777" w:rsidR="00DC0D7C" w:rsidRPr="00EB11D3" w:rsidRDefault="00212BDF">
      <w:pPr>
        <w:spacing w:after="0" w:line="360" w:lineRule="auto"/>
        <w:rPr>
          <w:rFonts w:eastAsia="Calibri"/>
          <w:szCs w:val="24"/>
        </w:rPr>
      </w:pPr>
      <w:r w:rsidRPr="00EB11D3">
        <w:rPr>
          <w:rFonts w:eastAsia="Calibri"/>
          <w:szCs w:val="24"/>
        </w:rPr>
        <w:t>β = Coefficient parameters to be determined</w:t>
      </w:r>
    </w:p>
    <w:p w14:paraId="0D6E70E1" w14:textId="77777777" w:rsidR="00DC0D7C" w:rsidRPr="00EB11D3" w:rsidRDefault="00212BDF">
      <w:pPr>
        <w:spacing w:after="0" w:line="360" w:lineRule="auto"/>
        <w:rPr>
          <w:rFonts w:eastAsia="Calibri"/>
          <w:szCs w:val="24"/>
        </w:rPr>
      </w:pPr>
      <w:r w:rsidRPr="00EB11D3">
        <w:rPr>
          <w:rFonts w:eastAsia="Calibri"/>
          <w:szCs w:val="24"/>
        </w:rPr>
        <w:t xml:space="preserve">ε = </w:t>
      </w:r>
      <w:r w:rsidR="00076A33" w:rsidRPr="00EB11D3">
        <w:rPr>
          <w:rFonts w:eastAsia="Calibri"/>
          <w:szCs w:val="24"/>
        </w:rPr>
        <w:t>Error term</w:t>
      </w:r>
    </w:p>
    <w:p w14:paraId="60ED2E18" w14:textId="77777777" w:rsidR="00A067B5" w:rsidRPr="00EB11D3" w:rsidRDefault="00A067B5">
      <w:pPr>
        <w:spacing w:after="0" w:line="360" w:lineRule="auto"/>
        <w:rPr>
          <w:rFonts w:eastAsia="Calibri"/>
          <w:szCs w:val="24"/>
        </w:rPr>
      </w:pPr>
    </w:p>
    <w:p w14:paraId="060E3E11" w14:textId="77777777" w:rsidR="00DC0D7C" w:rsidRPr="00EB11D3" w:rsidRDefault="00212BDF">
      <w:pPr>
        <w:spacing w:after="0" w:line="360" w:lineRule="auto"/>
        <w:rPr>
          <w:rFonts w:eastAsia="Calibri"/>
          <w:szCs w:val="24"/>
        </w:rPr>
      </w:pPr>
      <w:r w:rsidRPr="00EB11D3">
        <w:rPr>
          <w:rFonts w:eastAsia="Calibri"/>
          <w:szCs w:val="24"/>
        </w:rPr>
        <w:t xml:space="preserve">To prove that the variables have a zero-order relationship, steps 1-3 </w:t>
      </w:r>
      <w:r w:rsidR="0048782D" w:rsidRPr="00EB11D3">
        <w:rPr>
          <w:rFonts w:eastAsia="Calibri"/>
          <w:szCs w:val="24"/>
        </w:rPr>
        <w:t>was</w:t>
      </w:r>
      <w:r w:rsidRPr="00EB11D3">
        <w:rPr>
          <w:rFonts w:eastAsia="Calibri"/>
          <w:szCs w:val="24"/>
        </w:rPr>
        <w:t xml:space="preserve"> utilised. Situations in which one or more of the relationships are insignificant show that there is little chance for mediation (Baron &amp; Kenny, 1986). If Steps 1 through 3 reveal substantial relationships, the process moves on to Step 4, where the mediation is supported if the impact of SI is still discernible even after CG has been taken into account. Partial mediation occurs when both CG and SI significantly predict OP, while full mediation occurs when CG</w:t>
      </w:r>
      <w:r w:rsidR="002D090A" w:rsidRPr="00EB11D3">
        <w:rPr>
          <w:rFonts w:eastAsia="Calibri"/>
          <w:szCs w:val="24"/>
        </w:rPr>
        <w:t xml:space="preserve"> </w:t>
      </w:r>
      <w:r w:rsidRPr="00EB11D3">
        <w:rPr>
          <w:rFonts w:eastAsia="Calibri"/>
          <w:szCs w:val="24"/>
        </w:rPr>
        <w:t>is not significant when SI is controlled.</w:t>
      </w:r>
    </w:p>
    <w:p w14:paraId="6B6FC281" w14:textId="77777777" w:rsidR="00DC0D7C" w:rsidRPr="00EB11D3" w:rsidRDefault="00212BDF" w:rsidP="00AD1CB7">
      <w:pPr>
        <w:pStyle w:val="Heading3"/>
        <w:rPr>
          <w:bCs/>
          <w:lang w:val="zh-CN"/>
        </w:rPr>
      </w:pPr>
      <w:bookmarkStart w:id="455" w:name="_Toc132709950"/>
      <w:bookmarkStart w:id="456" w:name="_Toc134174674"/>
      <w:bookmarkStart w:id="457" w:name="_Toc135405891"/>
      <w:bookmarkStart w:id="458" w:name="_Toc135938102"/>
      <w:bookmarkStart w:id="459" w:name="_Toc135938308"/>
      <w:bookmarkStart w:id="460" w:name="_Toc140111871"/>
      <w:bookmarkStart w:id="461" w:name="_Toc153052099"/>
      <w:bookmarkStart w:id="462" w:name="_Toc164148976"/>
      <w:bookmarkStart w:id="463" w:name="_Toc164151237"/>
      <w:bookmarkStart w:id="464" w:name="_Toc168673429"/>
      <w:bookmarkStart w:id="465" w:name="_Toc168737871"/>
      <w:bookmarkStart w:id="466" w:name="_Toc171602624"/>
      <w:bookmarkStart w:id="467" w:name="_Toc171603451"/>
      <w:bookmarkStart w:id="468" w:name="_Toc177387856"/>
      <w:r w:rsidRPr="00EB11D3">
        <w:rPr>
          <w:rFonts w:eastAsia="Times New Roman"/>
          <w:lang w:val="zh-CN"/>
        </w:rPr>
        <w:t>3.</w:t>
      </w:r>
      <w:r w:rsidR="00B60CD7" w:rsidRPr="00EB11D3">
        <w:rPr>
          <w:rFonts w:eastAsia="Times New Roman"/>
        </w:rPr>
        <w:t>9</w:t>
      </w:r>
      <w:r w:rsidRPr="00EB11D3">
        <w:rPr>
          <w:rFonts w:eastAsia="Times New Roman"/>
          <w:lang w:val="zh-CN"/>
        </w:rPr>
        <w:t>.</w:t>
      </w:r>
      <w:r w:rsidRPr="00EB11D3">
        <w:rPr>
          <w:rFonts w:eastAsia="Times New Roman"/>
        </w:rPr>
        <w:t xml:space="preserve">4 </w:t>
      </w:r>
      <w:r w:rsidR="00E70D07" w:rsidRPr="00EB11D3">
        <w:t xml:space="preserve">Mediated </w:t>
      </w:r>
      <w:r w:rsidR="00C37F69">
        <w:t>M</w:t>
      </w:r>
      <w:r w:rsidR="00E70D07" w:rsidRPr="00EB11D3">
        <w:t xml:space="preserve">oderation </w:t>
      </w:r>
      <w:r w:rsidRPr="00EB11D3">
        <w:rPr>
          <w:bCs/>
          <w:lang w:val="zh-CN"/>
        </w:rPr>
        <w:t>Model</w:t>
      </w:r>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p>
    <w:p w14:paraId="3985AEC6" w14:textId="77777777" w:rsidR="00AD4BD1" w:rsidRPr="00EB11D3" w:rsidRDefault="00AD4BD1">
      <w:pPr>
        <w:spacing w:line="360" w:lineRule="auto"/>
        <w:rPr>
          <w:rFonts w:eastAsia="Calibri"/>
          <w:szCs w:val="24"/>
        </w:rPr>
      </w:pPr>
      <w:r w:rsidRPr="00EB11D3">
        <w:rPr>
          <w:rFonts w:eastAsia="Calibri"/>
          <w:szCs w:val="24"/>
        </w:rPr>
        <w:t xml:space="preserve">The </w:t>
      </w:r>
      <w:r w:rsidR="00E70D07" w:rsidRPr="00EB11D3">
        <w:rPr>
          <w:rFonts w:eastAsia="Calibri"/>
          <w:szCs w:val="24"/>
        </w:rPr>
        <w:t xml:space="preserve">mediated moderation </w:t>
      </w:r>
      <w:r w:rsidRPr="00EB11D3">
        <w:rPr>
          <w:rFonts w:eastAsia="Calibri"/>
          <w:szCs w:val="24"/>
        </w:rPr>
        <w:t xml:space="preserve">effect of </w:t>
      </w:r>
      <w:r w:rsidR="0022665C" w:rsidRPr="00EB11D3">
        <w:rPr>
          <w:rFonts w:eastAsia="Calibri"/>
          <w:szCs w:val="24"/>
        </w:rPr>
        <w:t>service innovation and government regulation</w:t>
      </w:r>
      <w:r w:rsidRPr="00EB11D3">
        <w:rPr>
          <w:rFonts w:eastAsia="Calibri"/>
          <w:szCs w:val="24"/>
        </w:rPr>
        <w:t xml:space="preserve"> on the relationship between corporate governance and </w:t>
      </w:r>
      <w:r w:rsidR="006D5C62" w:rsidRPr="00EB11D3">
        <w:rPr>
          <w:rFonts w:eastAsia="Calibri"/>
          <w:szCs w:val="24"/>
        </w:rPr>
        <w:t>organisational performance of Faith-Based Hospitals</w:t>
      </w:r>
      <w:r w:rsidRPr="00EB11D3">
        <w:rPr>
          <w:rFonts w:eastAsia="Calibri"/>
          <w:szCs w:val="24"/>
        </w:rPr>
        <w:t xml:space="preserve"> in Kenya </w:t>
      </w:r>
      <w:r w:rsidR="00A21E88" w:rsidRPr="00EB11D3">
        <w:rPr>
          <w:rFonts w:eastAsia="Calibri"/>
          <w:szCs w:val="24"/>
        </w:rPr>
        <w:t>was</w:t>
      </w:r>
      <w:r w:rsidRPr="00EB11D3">
        <w:rPr>
          <w:rFonts w:eastAsia="Calibri"/>
          <w:szCs w:val="24"/>
        </w:rPr>
        <w:t xml:space="preserve"> determined using a conditional process analysis as proposed by Hayes and Rockwood (2020).</w:t>
      </w:r>
    </w:p>
    <w:p w14:paraId="588EA896" w14:textId="77777777" w:rsidR="00DC0D7C" w:rsidRPr="00EB11D3" w:rsidRDefault="00212BDF">
      <w:pPr>
        <w:spacing w:line="360" w:lineRule="auto"/>
        <w:rPr>
          <w:rFonts w:eastAsia="Calibri"/>
          <w:szCs w:val="24"/>
        </w:rPr>
      </w:pPr>
      <w:r w:rsidRPr="00EB11D3">
        <w:rPr>
          <w:rFonts w:eastAsia="Calibri"/>
          <w:szCs w:val="24"/>
        </w:rPr>
        <w:t>CG = α</w:t>
      </w:r>
      <w:r w:rsidRPr="00EB11D3">
        <w:rPr>
          <w:rFonts w:eastAsia="Calibri"/>
          <w:szCs w:val="24"/>
          <w:vertAlign w:val="subscript"/>
        </w:rPr>
        <w:t>0</w:t>
      </w:r>
      <w:r w:rsidRPr="00EB11D3">
        <w:rPr>
          <w:rFonts w:eastAsia="Calibri"/>
          <w:szCs w:val="24"/>
        </w:rPr>
        <w:t xml:space="preserve"> + β</w:t>
      </w:r>
      <w:r w:rsidRPr="00EB11D3">
        <w:rPr>
          <w:rFonts w:eastAsia="Calibri"/>
          <w:szCs w:val="24"/>
          <w:vertAlign w:val="subscript"/>
        </w:rPr>
        <w:t>1</w:t>
      </w:r>
      <w:r w:rsidRPr="00EB11D3">
        <w:rPr>
          <w:rFonts w:eastAsia="Calibri"/>
          <w:szCs w:val="24"/>
        </w:rPr>
        <w:t>GR + ε ………….……………………………………........…........</w:t>
      </w:r>
      <w:r w:rsidR="003F13A9" w:rsidRPr="00EB11D3">
        <w:rPr>
          <w:rFonts w:eastAsia="Calibri"/>
          <w:szCs w:val="24"/>
        </w:rPr>
        <w:t>..</w:t>
      </w:r>
      <w:r w:rsidRPr="00EB11D3">
        <w:rPr>
          <w:rFonts w:eastAsia="Calibri"/>
          <w:szCs w:val="24"/>
        </w:rPr>
        <w:t>…</w:t>
      </w:r>
      <w:r w:rsidR="00892E73" w:rsidRPr="00EB11D3">
        <w:rPr>
          <w:rFonts w:eastAsia="Calibri"/>
          <w:szCs w:val="24"/>
        </w:rPr>
        <w:t>…</w:t>
      </w:r>
      <w:r w:rsidR="0048782D" w:rsidRPr="00EB11D3">
        <w:rPr>
          <w:rFonts w:eastAsia="Calibri"/>
          <w:szCs w:val="24"/>
        </w:rPr>
        <w:t>….</w:t>
      </w:r>
      <w:r w:rsidRPr="00EB11D3">
        <w:rPr>
          <w:rFonts w:eastAsia="Calibri"/>
          <w:szCs w:val="24"/>
        </w:rPr>
        <w:t>….</w:t>
      </w:r>
      <w:r w:rsidR="003F13A9" w:rsidRPr="00EB11D3">
        <w:rPr>
          <w:rFonts w:eastAsia="Calibri"/>
          <w:szCs w:val="24"/>
        </w:rPr>
        <w:t>.</w:t>
      </w:r>
      <w:r w:rsidRPr="00EB11D3">
        <w:rPr>
          <w:rFonts w:eastAsia="Calibri"/>
          <w:szCs w:val="24"/>
        </w:rPr>
        <w:t>.. (</w:t>
      </w:r>
      <w:r w:rsidR="003F13A9" w:rsidRPr="00EB11D3">
        <w:rPr>
          <w:rFonts w:eastAsia="Calibri"/>
          <w:szCs w:val="24"/>
        </w:rPr>
        <w:t>9</w:t>
      </w:r>
      <w:r w:rsidRPr="00EB11D3">
        <w:rPr>
          <w:rFonts w:eastAsia="Calibri"/>
          <w:szCs w:val="24"/>
        </w:rPr>
        <w:t>)</w:t>
      </w:r>
    </w:p>
    <w:p w14:paraId="73E66758" w14:textId="77777777" w:rsidR="00DC0D7C" w:rsidRPr="00EB11D3" w:rsidRDefault="00212BDF">
      <w:pPr>
        <w:spacing w:line="360" w:lineRule="auto"/>
        <w:rPr>
          <w:rFonts w:eastAsia="Calibri"/>
          <w:szCs w:val="24"/>
        </w:rPr>
      </w:pPr>
      <w:r w:rsidRPr="00EB11D3">
        <w:rPr>
          <w:rFonts w:eastAsia="Calibri"/>
          <w:szCs w:val="24"/>
        </w:rPr>
        <w:t>OP = α</w:t>
      </w:r>
      <w:r w:rsidRPr="00EB11D3">
        <w:rPr>
          <w:rFonts w:eastAsia="Calibri"/>
          <w:szCs w:val="24"/>
          <w:vertAlign w:val="subscript"/>
        </w:rPr>
        <w:t>0</w:t>
      </w:r>
      <w:r w:rsidRPr="00EB11D3">
        <w:rPr>
          <w:rFonts w:eastAsia="Calibri"/>
          <w:szCs w:val="24"/>
        </w:rPr>
        <w:t>+ β</w:t>
      </w:r>
      <w:r w:rsidRPr="00EB11D3">
        <w:rPr>
          <w:rFonts w:eastAsia="Calibri"/>
          <w:szCs w:val="24"/>
          <w:vertAlign w:val="subscript"/>
        </w:rPr>
        <w:t>1</w:t>
      </w:r>
      <w:r w:rsidRPr="00EB11D3">
        <w:rPr>
          <w:rFonts w:eastAsia="Calibri"/>
          <w:szCs w:val="24"/>
        </w:rPr>
        <w:t>CG+ β</w:t>
      </w:r>
      <w:r w:rsidRPr="00EB11D3">
        <w:rPr>
          <w:rFonts w:eastAsia="Calibri"/>
          <w:szCs w:val="24"/>
          <w:vertAlign w:val="subscript"/>
        </w:rPr>
        <w:t>2</w:t>
      </w:r>
      <w:r w:rsidRPr="00EB11D3">
        <w:rPr>
          <w:rFonts w:eastAsia="Calibri"/>
          <w:szCs w:val="24"/>
        </w:rPr>
        <w:t>SI+β3 CG*SI + ε …………………………….….................</w:t>
      </w:r>
      <w:r w:rsidR="007A489F" w:rsidRPr="00EB11D3">
        <w:rPr>
          <w:rFonts w:eastAsia="Calibri"/>
          <w:szCs w:val="24"/>
        </w:rPr>
        <w:t>..</w:t>
      </w:r>
      <w:r w:rsidRPr="00EB11D3">
        <w:rPr>
          <w:rFonts w:eastAsia="Calibri"/>
          <w:szCs w:val="24"/>
        </w:rPr>
        <w:t>...</w:t>
      </w:r>
      <w:r w:rsidR="003F0603" w:rsidRPr="00EB11D3">
        <w:rPr>
          <w:rFonts w:eastAsia="Calibri"/>
          <w:szCs w:val="24"/>
        </w:rPr>
        <w:t>.</w:t>
      </w:r>
      <w:r w:rsidR="00892E73" w:rsidRPr="00EB11D3">
        <w:rPr>
          <w:rFonts w:eastAsia="Calibri"/>
          <w:szCs w:val="24"/>
        </w:rPr>
        <w:t>..</w:t>
      </w:r>
      <w:r w:rsidR="0048782D" w:rsidRPr="00EB11D3">
        <w:rPr>
          <w:rFonts w:eastAsia="Calibri"/>
          <w:szCs w:val="24"/>
        </w:rPr>
        <w:t>.....</w:t>
      </w:r>
      <w:r w:rsidR="00892E73" w:rsidRPr="00EB11D3">
        <w:rPr>
          <w:rFonts w:eastAsia="Calibri"/>
          <w:szCs w:val="24"/>
        </w:rPr>
        <w:t>..</w:t>
      </w:r>
      <w:r w:rsidR="003F0603" w:rsidRPr="00EB11D3">
        <w:rPr>
          <w:rFonts w:eastAsia="Calibri"/>
          <w:szCs w:val="24"/>
        </w:rPr>
        <w:t>.</w:t>
      </w:r>
      <w:r w:rsidRPr="00EB11D3">
        <w:rPr>
          <w:rFonts w:eastAsia="Calibri"/>
          <w:szCs w:val="24"/>
        </w:rPr>
        <w:t>…. (</w:t>
      </w:r>
      <w:r w:rsidR="003F13A9" w:rsidRPr="00EB11D3">
        <w:rPr>
          <w:rFonts w:eastAsia="Calibri"/>
          <w:szCs w:val="24"/>
        </w:rPr>
        <w:t>10</w:t>
      </w:r>
      <w:r w:rsidRPr="00EB11D3">
        <w:rPr>
          <w:rFonts w:eastAsia="Calibri"/>
          <w:szCs w:val="24"/>
        </w:rPr>
        <w:t>)</w:t>
      </w:r>
    </w:p>
    <w:p w14:paraId="6917878A" w14:textId="77777777" w:rsidR="00DC0D7C" w:rsidRPr="00EB11D3" w:rsidRDefault="00212BDF">
      <w:pPr>
        <w:spacing w:line="360" w:lineRule="auto"/>
        <w:rPr>
          <w:rFonts w:eastAsia="Calibri"/>
          <w:szCs w:val="24"/>
        </w:rPr>
      </w:pPr>
      <w:r w:rsidRPr="00EB11D3">
        <w:rPr>
          <w:rFonts w:eastAsia="Calibri"/>
          <w:szCs w:val="24"/>
        </w:rPr>
        <w:t>Where:</w:t>
      </w:r>
    </w:p>
    <w:p w14:paraId="46B79A9D" w14:textId="77777777" w:rsidR="00DC0D7C" w:rsidRPr="00EB11D3" w:rsidRDefault="00212BDF">
      <w:pPr>
        <w:spacing w:after="0" w:line="360" w:lineRule="auto"/>
        <w:rPr>
          <w:rFonts w:eastAsia="Calibri"/>
          <w:szCs w:val="24"/>
        </w:rPr>
      </w:pPr>
      <w:r w:rsidRPr="00EB11D3">
        <w:rPr>
          <w:rFonts w:eastAsia="Calibri"/>
          <w:szCs w:val="24"/>
        </w:rPr>
        <w:t xml:space="preserve">OP = Organisational performance of </w:t>
      </w:r>
      <w:r w:rsidRPr="00EB11D3">
        <w:rPr>
          <w:szCs w:val="24"/>
          <w:lang w:val="en"/>
        </w:rPr>
        <w:t>faith-based hospital in Kenya</w:t>
      </w:r>
      <w:r w:rsidRPr="00EB11D3">
        <w:rPr>
          <w:rFonts w:eastAsia="Calibri"/>
          <w:szCs w:val="24"/>
        </w:rPr>
        <w:t xml:space="preserve">; CG = </w:t>
      </w:r>
      <w:r w:rsidRPr="00EB11D3">
        <w:rPr>
          <w:rFonts w:eastAsia="Times New Roman"/>
          <w:szCs w:val="24"/>
        </w:rPr>
        <w:t>Corporate Governance</w:t>
      </w:r>
      <w:r w:rsidRPr="00EB11D3">
        <w:rPr>
          <w:rFonts w:eastAsia="Calibri"/>
          <w:szCs w:val="24"/>
        </w:rPr>
        <w:t>; GR = Government Regulations; SI = Service Innovation; α</w:t>
      </w:r>
      <w:r w:rsidRPr="00EB11D3">
        <w:rPr>
          <w:rFonts w:eastAsia="Calibri"/>
          <w:szCs w:val="24"/>
          <w:vertAlign w:val="subscript"/>
        </w:rPr>
        <w:t>0</w:t>
      </w:r>
      <w:r w:rsidRPr="00EB11D3">
        <w:rPr>
          <w:rFonts w:eastAsia="Calibri"/>
          <w:szCs w:val="24"/>
        </w:rPr>
        <w:t xml:space="preserve"> = constant (intercept); β=Coefficient parameters to be determined, composite* =interaction term, ε = Error/disturbance)</w:t>
      </w:r>
    </w:p>
    <w:p w14:paraId="0CB35EF1" w14:textId="77777777" w:rsidR="003F0603" w:rsidRPr="00EB11D3" w:rsidRDefault="003F0603">
      <w:pPr>
        <w:spacing w:after="0" w:line="240" w:lineRule="auto"/>
        <w:jc w:val="left"/>
        <w:rPr>
          <w:rFonts w:eastAsia="DengXian Light"/>
          <w:b/>
          <w:szCs w:val="24"/>
        </w:rPr>
      </w:pPr>
      <w:r w:rsidRPr="00EB11D3">
        <w:rPr>
          <w:szCs w:val="24"/>
        </w:rPr>
        <w:br w:type="page"/>
      </w:r>
    </w:p>
    <w:p w14:paraId="584DF839" w14:textId="77777777" w:rsidR="00DC0D7C" w:rsidRPr="00EB11D3" w:rsidRDefault="00212BDF">
      <w:pPr>
        <w:pStyle w:val="Heading2"/>
        <w:keepNext w:val="0"/>
        <w:keepLines w:val="0"/>
        <w:spacing w:before="100" w:beforeAutospacing="1" w:after="100" w:afterAutospacing="1" w:line="240" w:lineRule="auto"/>
        <w:jc w:val="both"/>
        <w:rPr>
          <w:b w:val="0"/>
          <w:bCs/>
          <w:szCs w:val="24"/>
        </w:rPr>
      </w:pPr>
      <w:bookmarkStart w:id="469" w:name="_Toc177387857"/>
      <w:r w:rsidRPr="00EB11D3">
        <w:rPr>
          <w:szCs w:val="24"/>
        </w:rPr>
        <w:t>3.</w:t>
      </w:r>
      <w:r w:rsidR="003F0603" w:rsidRPr="00EB11D3">
        <w:rPr>
          <w:szCs w:val="24"/>
        </w:rPr>
        <w:t>1</w:t>
      </w:r>
      <w:r w:rsidR="00B60CD7" w:rsidRPr="00EB11D3">
        <w:rPr>
          <w:szCs w:val="24"/>
        </w:rPr>
        <w:t>0</w:t>
      </w:r>
      <w:r w:rsidR="003F0603" w:rsidRPr="00EB11D3">
        <w:rPr>
          <w:szCs w:val="24"/>
        </w:rPr>
        <w:t xml:space="preserve"> </w:t>
      </w:r>
      <w:r w:rsidRPr="00EB11D3">
        <w:rPr>
          <w:bCs/>
          <w:szCs w:val="24"/>
        </w:rPr>
        <w:t>Analytical Models</w:t>
      </w:r>
      <w:bookmarkEnd w:id="469"/>
    </w:p>
    <w:p w14:paraId="42389725" w14:textId="77777777" w:rsidR="00DC0D7C" w:rsidRPr="00EB11D3" w:rsidRDefault="00212BDF">
      <w:pPr>
        <w:spacing w:after="0"/>
        <w:ind w:left="1440" w:hanging="1440"/>
        <w:rPr>
          <w:rFonts w:eastAsia="Calibri"/>
          <w:b/>
          <w:bCs/>
          <w:szCs w:val="24"/>
        </w:rPr>
      </w:pPr>
      <w:bookmarkStart w:id="470" w:name="_Toc132696650"/>
      <w:bookmarkStart w:id="471" w:name="_Toc73170496"/>
      <w:bookmarkStart w:id="472" w:name="_Toc55474383"/>
      <w:bookmarkStart w:id="473" w:name="_Toc114474770"/>
      <w:bookmarkStart w:id="474" w:name="_Toc177387936"/>
      <w:bookmarkStart w:id="475" w:name="_Hlk70582102"/>
      <w:r w:rsidRPr="00EB11D3">
        <w:rPr>
          <w:rFonts w:eastAsia="Calibri"/>
          <w:b/>
          <w:bCs/>
          <w:szCs w:val="24"/>
        </w:rPr>
        <w:t xml:space="preserve">Table </w:t>
      </w:r>
      <w:r w:rsidRPr="00EB11D3">
        <w:rPr>
          <w:rFonts w:eastAsia="Calibri"/>
          <w:szCs w:val="24"/>
        </w:rPr>
        <w:fldChar w:fldCharType="begin"/>
      </w:r>
      <w:r w:rsidRPr="00EB11D3">
        <w:rPr>
          <w:rFonts w:eastAsia="Calibri"/>
          <w:b/>
          <w:bCs/>
          <w:szCs w:val="24"/>
        </w:rPr>
        <w:instrText xml:space="preserve"> SEQ Table \* ARABIC </w:instrText>
      </w:r>
      <w:r w:rsidRPr="00EB11D3">
        <w:rPr>
          <w:rFonts w:eastAsia="Calibri"/>
          <w:szCs w:val="24"/>
        </w:rPr>
        <w:fldChar w:fldCharType="separate"/>
      </w:r>
      <w:r w:rsidR="00A80224" w:rsidRPr="00EB11D3">
        <w:rPr>
          <w:rFonts w:eastAsia="Calibri"/>
          <w:b/>
          <w:bCs/>
          <w:noProof/>
          <w:szCs w:val="24"/>
        </w:rPr>
        <w:t>5</w:t>
      </w:r>
      <w:r w:rsidRPr="00EB11D3">
        <w:rPr>
          <w:rFonts w:eastAsia="Calibri"/>
          <w:szCs w:val="24"/>
        </w:rPr>
        <w:fldChar w:fldCharType="end"/>
      </w:r>
      <w:r w:rsidRPr="00EB11D3">
        <w:rPr>
          <w:rFonts w:eastAsia="Calibri"/>
          <w:b/>
          <w:szCs w:val="24"/>
        </w:rPr>
        <w:t>:</w:t>
      </w:r>
      <w:r w:rsidRPr="00EB11D3">
        <w:rPr>
          <w:rFonts w:eastAsia="Calibri"/>
          <w:b/>
          <w:bCs/>
          <w:szCs w:val="24"/>
        </w:rPr>
        <w:t xml:space="preserve"> </w:t>
      </w:r>
      <w:r w:rsidRPr="00EB11D3">
        <w:rPr>
          <w:rFonts w:eastAsia="Calibri"/>
          <w:b/>
          <w:szCs w:val="24"/>
        </w:rPr>
        <w:t>Objectives, Hypothesis Testing, Analysis and Model Estimation</w:t>
      </w:r>
      <w:bookmarkEnd w:id="470"/>
      <w:bookmarkEnd w:id="471"/>
      <w:bookmarkEnd w:id="472"/>
      <w:bookmarkEnd w:id="473"/>
      <w:bookmarkEnd w:id="474"/>
    </w:p>
    <w:tbl>
      <w:tblPr>
        <w:tblW w:w="5000" w:type="pct"/>
        <w:tblInd w:w="108" w:type="dxa"/>
        <w:tblLayout w:type="fixed"/>
        <w:tblLook w:val="04A0" w:firstRow="1" w:lastRow="0" w:firstColumn="1" w:lastColumn="0" w:noHBand="0" w:noVBand="1"/>
      </w:tblPr>
      <w:tblGrid>
        <w:gridCol w:w="1692"/>
        <w:gridCol w:w="2027"/>
        <w:gridCol w:w="2653"/>
        <w:gridCol w:w="1316"/>
        <w:gridCol w:w="1672"/>
      </w:tblGrid>
      <w:tr w:rsidR="0039483D" w:rsidRPr="00EB11D3" w14:paraId="7B0B68BF" w14:textId="77777777" w:rsidTr="004E005E">
        <w:trPr>
          <w:trHeight w:val="323"/>
          <w:tblHeader/>
        </w:trPr>
        <w:tc>
          <w:tcPr>
            <w:tcW w:w="904" w:type="pct"/>
            <w:tcBorders>
              <w:top w:val="single" w:sz="4" w:space="0" w:color="auto"/>
              <w:left w:val="nil"/>
              <w:bottom w:val="single" w:sz="4" w:space="0" w:color="auto"/>
              <w:right w:val="nil"/>
            </w:tcBorders>
          </w:tcPr>
          <w:p w14:paraId="100B4AA0" w14:textId="77777777" w:rsidR="00DC0D7C" w:rsidRPr="00EB11D3" w:rsidRDefault="00212BDF">
            <w:pPr>
              <w:spacing w:after="0" w:line="240" w:lineRule="auto"/>
              <w:jc w:val="center"/>
              <w:rPr>
                <w:rFonts w:eastAsia="Calibri"/>
                <w:b/>
                <w:sz w:val="22"/>
              </w:rPr>
            </w:pPr>
            <w:r w:rsidRPr="00EB11D3">
              <w:rPr>
                <w:rFonts w:eastAsia="Calibri"/>
                <w:b/>
                <w:bCs/>
                <w:sz w:val="22"/>
              </w:rPr>
              <w:t>Obje</w:t>
            </w:r>
            <w:r w:rsidRPr="00EB11D3">
              <w:rPr>
                <w:rFonts w:eastAsia="Calibri"/>
                <w:b/>
                <w:bCs/>
                <w:spacing w:val="-1"/>
                <w:sz w:val="22"/>
              </w:rPr>
              <w:t>c</w:t>
            </w:r>
            <w:r w:rsidRPr="00EB11D3">
              <w:rPr>
                <w:rFonts w:eastAsia="Calibri"/>
                <w:b/>
                <w:bCs/>
                <w:sz w:val="22"/>
              </w:rPr>
              <w:t>ti</w:t>
            </w:r>
            <w:r w:rsidRPr="00EB11D3">
              <w:rPr>
                <w:rFonts w:eastAsia="Calibri"/>
                <w:b/>
                <w:bCs/>
                <w:spacing w:val="1"/>
                <w:sz w:val="22"/>
              </w:rPr>
              <w:t>ve</w:t>
            </w:r>
            <w:r w:rsidRPr="00EB11D3">
              <w:rPr>
                <w:rFonts w:eastAsia="Calibri"/>
                <w:b/>
                <w:bCs/>
                <w:sz w:val="22"/>
              </w:rPr>
              <w:t>s</w:t>
            </w:r>
          </w:p>
        </w:tc>
        <w:tc>
          <w:tcPr>
            <w:tcW w:w="1083" w:type="pct"/>
            <w:tcBorders>
              <w:top w:val="single" w:sz="4" w:space="0" w:color="auto"/>
              <w:left w:val="nil"/>
              <w:bottom w:val="single" w:sz="4" w:space="0" w:color="auto"/>
              <w:right w:val="nil"/>
            </w:tcBorders>
          </w:tcPr>
          <w:p w14:paraId="1C3A89FC" w14:textId="77777777" w:rsidR="00DC0D7C" w:rsidRPr="00EB11D3" w:rsidRDefault="00212BDF">
            <w:pPr>
              <w:spacing w:after="0" w:line="240" w:lineRule="auto"/>
              <w:jc w:val="center"/>
              <w:rPr>
                <w:rFonts w:eastAsia="Calibri"/>
                <w:b/>
                <w:sz w:val="22"/>
              </w:rPr>
            </w:pPr>
            <w:r w:rsidRPr="00EB11D3">
              <w:rPr>
                <w:rFonts w:eastAsia="Calibri"/>
                <w:b/>
                <w:bCs/>
                <w:sz w:val="22"/>
              </w:rPr>
              <w:t>Hyp</w:t>
            </w:r>
            <w:r w:rsidRPr="00EB11D3">
              <w:rPr>
                <w:rFonts w:eastAsia="Calibri"/>
                <w:b/>
                <w:bCs/>
                <w:spacing w:val="1"/>
                <w:sz w:val="22"/>
              </w:rPr>
              <w:t>o</w:t>
            </w:r>
            <w:r w:rsidRPr="00EB11D3">
              <w:rPr>
                <w:rFonts w:eastAsia="Calibri"/>
                <w:b/>
                <w:bCs/>
                <w:sz w:val="22"/>
              </w:rPr>
              <w:t>theses</w:t>
            </w:r>
          </w:p>
        </w:tc>
        <w:tc>
          <w:tcPr>
            <w:tcW w:w="1417" w:type="pct"/>
            <w:tcBorders>
              <w:top w:val="single" w:sz="4" w:space="0" w:color="auto"/>
              <w:left w:val="nil"/>
              <w:bottom w:val="single" w:sz="4" w:space="0" w:color="auto"/>
              <w:right w:val="nil"/>
            </w:tcBorders>
          </w:tcPr>
          <w:p w14:paraId="0CCC4252" w14:textId="77777777" w:rsidR="00DC0D7C" w:rsidRPr="00EB11D3" w:rsidRDefault="00212BDF">
            <w:pPr>
              <w:spacing w:after="0" w:line="240" w:lineRule="auto"/>
              <w:jc w:val="center"/>
              <w:rPr>
                <w:rFonts w:eastAsia="Calibri"/>
                <w:b/>
                <w:sz w:val="22"/>
              </w:rPr>
            </w:pPr>
            <w:r w:rsidRPr="00EB11D3">
              <w:rPr>
                <w:rFonts w:eastAsia="Calibri"/>
                <w:b/>
                <w:bCs/>
                <w:sz w:val="22"/>
              </w:rPr>
              <w:t>Analytical</w:t>
            </w:r>
            <w:r w:rsidRPr="00EB11D3">
              <w:rPr>
                <w:rFonts w:eastAsia="Calibri"/>
                <w:b/>
                <w:bCs/>
                <w:spacing w:val="-10"/>
                <w:sz w:val="22"/>
              </w:rPr>
              <w:t xml:space="preserve"> </w:t>
            </w:r>
            <w:r w:rsidRPr="00EB11D3">
              <w:rPr>
                <w:rFonts w:eastAsia="Calibri"/>
                <w:b/>
                <w:bCs/>
                <w:sz w:val="22"/>
              </w:rPr>
              <w:t>Model</w:t>
            </w:r>
          </w:p>
        </w:tc>
        <w:tc>
          <w:tcPr>
            <w:tcW w:w="703" w:type="pct"/>
            <w:tcBorders>
              <w:top w:val="single" w:sz="4" w:space="0" w:color="auto"/>
              <w:left w:val="nil"/>
              <w:bottom w:val="single" w:sz="4" w:space="0" w:color="auto"/>
              <w:right w:val="nil"/>
            </w:tcBorders>
          </w:tcPr>
          <w:p w14:paraId="1318F8FE" w14:textId="77777777" w:rsidR="00DC0D7C" w:rsidRPr="00EB11D3" w:rsidRDefault="00212BDF">
            <w:pPr>
              <w:spacing w:after="0" w:line="240" w:lineRule="auto"/>
              <w:jc w:val="center"/>
              <w:rPr>
                <w:rFonts w:eastAsia="Calibri"/>
                <w:b/>
                <w:sz w:val="22"/>
              </w:rPr>
            </w:pPr>
            <w:r w:rsidRPr="00EB11D3">
              <w:rPr>
                <w:rFonts w:eastAsia="Calibri"/>
                <w:b/>
                <w:bCs/>
                <w:sz w:val="22"/>
              </w:rPr>
              <w:t>Analyses</w:t>
            </w:r>
          </w:p>
        </w:tc>
        <w:tc>
          <w:tcPr>
            <w:tcW w:w="893" w:type="pct"/>
            <w:tcBorders>
              <w:top w:val="single" w:sz="4" w:space="0" w:color="auto"/>
              <w:left w:val="nil"/>
              <w:bottom w:val="single" w:sz="4" w:space="0" w:color="auto"/>
              <w:right w:val="nil"/>
            </w:tcBorders>
          </w:tcPr>
          <w:p w14:paraId="4014DA67" w14:textId="77777777" w:rsidR="00DC0D7C" w:rsidRPr="00EB11D3" w:rsidRDefault="00212BDF">
            <w:pPr>
              <w:spacing w:after="0" w:line="240" w:lineRule="auto"/>
              <w:jc w:val="center"/>
              <w:rPr>
                <w:rFonts w:eastAsia="Calibri"/>
                <w:b/>
                <w:bCs/>
                <w:sz w:val="22"/>
              </w:rPr>
            </w:pPr>
            <w:r w:rsidRPr="00EB11D3">
              <w:rPr>
                <w:rFonts w:eastAsia="Calibri"/>
                <w:b/>
                <w:bCs/>
                <w:sz w:val="22"/>
              </w:rPr>
              <w:t>Interpretati</w:t>
            </w:r>
            <w:r w:rsidRPr="00EB11D3">
              <w:rPr>
                <w:rFonts w:eastAsia="Calibri"/>
                <w:b/>
                <w:bCs/>
                <w:spacing w:val="1"/>
                <w:sz w:val="22"/>
              </w:rPr>
              <w:t>o</w:t>
            </w:r>
            <w:r w:rsidRPr="00EB11D3">
              <w:rPr>
                <w:rFonts w:eastAsia="Calibri"/>
                <w:b/>
                <w:bCs/>
                <w:sz w:val="22"/>
              </w:rPr>
              <w:t>n</w:t>
            </w:r>
            <w:r w:rsidRPr="00EB11D3">
              <w:rPr>
                <w:rFonts w:eastAsia="Calibri"/>
                <w:b/>
                <w:bCs/>
                <w:spacing w:val="-13"/>
                <w:sz w:val="22"/>
              </w:rPr>
              <w:t xml:space="preserve"> </w:t>
            </w:r>
            <w:r w:rsidRPr="00EB11D3">
              <w:rPr>
                <w:rFonts w:eastAsia="Calibri"/>
                <w:b/>
                <w:bCs/>
                <w:spacing w:val="1"/>
                <w:sz w:val="22"/>
              </w:rPr>
              <w:t>o</w:t>
            </w:r>
            <w:r w:rsidRPr="00EB11D3">
              <w:rPr>
                <w:rFonts w:eastAsia="Calibri"/>
                <w:b/>
                <w:bCs/>
                <w:sz w:val="22"/>
              </w:rPr>
              <w:t>f</w:t>
            </w:r>
            <w:r w:rsidRPr="00EB11D3">
              <w:rPr>
                <w:rFonts w:eastAsia="Calibri"/>
                <w:b/>
                <w:bCs/>
                <w:spacing w:val="-2"/>
                <w:sz w:val="22"/>
              </w:rPr>
              <w:t xml:space="preserve"> </w:t>
            </w:r>
            <w:r w:rsidRPr="00EB11D3">
              <w:rPr>
                <w:rFonts w:eastAsia="Calibri"/>
                <w:b/>
                <w:bCs/>
                <w:sz w:val="22"/>
              </w:rPr>
              <w:t>Results</w:t>
            </w:r>
          </w:p>
        </w:tc>
      </w:tr>
      <w:tr w:rsidR="0039483D" w:rsidRPr="00EB11D3" w14:paraId="25B9C21F" w14:textId="77777777" w:rsidTr="00855392">
        <w:trPr>
          <w:trHeight w:val="2636"/>
        </w:trPr>
        <w:tc>
          <w:tcPr>
            <w:tcW w:w="904" w:type="pct"/>
            <w:tcBorders>
              <w:top w:val="single" w:sz="4" w:space="0" w:color="auto"/>
              <w:left w:val="nil"/>
              <w:bottom w:val="nil"/>
              <w:right w:val="nil"/>
            </w:tcBorders>
          </w:tcPr>
          <w:p w14:paraId="7FBE6497" w14:textId="77777777" w:rsidR="00DC0D7C" w:rsidRPr="00EB11D3" w:rsidRDefault="00212BDF">
            <w:pPr>
              <w:spacing w:after="0" w:line="240" w:lineRule="auto"/>
              <w:rPr>
                <w:rFonts w:eastAsia="Calibri"/>
                <w:sz w:val="22"/>
              </w:rPr>
            </w:pPr>
            <w:r w:rsidRPr="00EB11D3">
              <w:rPr>
                <w:rFonts w:eastAsia="Calibri"/>
                <w:sz w:val="22"/>
              </w:rPr>
              <w:t>To establish the relationship between corporate governance and organisational performance of faith-based hospital in Kenya</w:t>
            </w:r>
          </w:p>
        </w:tc>
        <w:tc>
          <w:tcPr>
            <w:tcW w:w="1083" w:type="pct"/>
            <w:tcBorders>
              <w:top w:val="single" w:sz="4" w:space="0" w:color="auto"/>
              <w:left w:val="nil"/>
              <w:bottom w:val="nil"/>
              <w:right w:val="nil"/>
            </w:tcBorders>
          </w:tcPr>
          <w:p w14:paraId="4625E2C6" w14:textId="77777777" w:rsidR="00DC0D7C" w:rsidRPr="00EB11D3" w:rsidRDefault="00212BDF">
            <w:pPr>
              <w:spacing w:after="0" w:line="240" w:lineRule="auto"/>
              <w:rPr>
                <w:rFonts w:eastAsia="Calibri"/>
                <w:sz w:val="22"/>
              </w:rPr>
            </w:pPr>
            <w:r w:rsidRPr="00EB11D3">
              <w:rPr>
                <w:rFonts w:eastAsia="Calibri"/>
                <w:sz w:val="22"/>
              </w:rPr>
              <w:t xml:space="preserve">There is no </w:t>
            </w:r>
            <w:r w:rsidR="006D5C62" w:rsidRPr="00EB11D3">
              <w:rPr>
                <w:rFonts w:eastAsia="Calibri"/>
                <w:sz w:val="22"/>
              </w:rPr>
              <w:t>significant effect of corporate governance on organisational performance</w:t>
            </w:r>
            <w:r w:rsidRPr="00EB11D3">
              <w:rPr>
                <w:rFonts w:eastAsia="Calibri"/>
                <w:sz w:val="22"/>
                <w:lang w:val="en"/>
              </w:rPr>
              <w:t xml:space="preserve"> of faith-based hospital in Kenya</w:t>
            </w:r>
            <w:r w:rsidRPr="00EB11D3">
              <w:rPr>
                <w:rFonts w:eastAsia="Calibri"/>
                <w:sz w:val="22"/>
              </w:rPr>
              <w:t>.</w:t>
            </w:r>
          </w:p>
        </w:tc>
        <w:tc>
          <w:tcPr>
            <w:tcW w:w="1417" w:type="pct"/>
            <w:tcBorders>
              <w:top w:val="single" w:sz="4" w:space="0" w:color="auto"/>
              <w:left w:val="nil"/>
              <w:bottom w:val="nil"/>
              <w:right w:val="nil"/>
            </w:tcBorders>
          </w:tcPr>
          <w:p w14:paraId="3679B1C1" w14:textId="77777777" w:rsidR="00DC0D7C" w:rsidRPr="00EB11D3" w:rsidRDefault="00212BDF">
            <w:pPr>
              <w:spacing w:after="0"/>
              <w:rPr>
                <w:rFonts w:eastAsia="Calibri"/>
                <w:b/>
                <w:bCs/>
                <w:sz w:val="22"/>
              </w:rPr>
            </w:pPr>
            <w:r w:rsidRPr="00EB11D3">
              <w:rPr>
                <w:rFonts w:eastAsia="Calibri"/>
                <w:b/>
                <w:bCs/>
                <w:sz w:val="22"/>
              </w:rPr>
              <w:t>Regression analysis</w:t>
            </w:r>
          </w:p>
          <w:p w14:paraId="75A4FB32" w14:textId="77777777" w:rsidR="00DC0D7C" w:rsidRPr="00EB11D3" w:rsidRDefault="00212BDF">
            <w:pPr>
              <w:spacing w:after="0" w:line="240" w:lineRule="auto"/>
              <w:rPr>
                <w:rFonts w:eastAsia="Calibri"/>
                <w:spacing w:val="-3"/>
                <w:sz w:val="22"/>
              </w:rPr>
            </w:pPr>
            <w:r w:rsidRPr="00EB11D3">
              <w:rPr>
                <w:rFonts w:eastAsia="Calibri"/>
                <w:sz w:val="22"/>
              </w:rPr>
              <w:t xml:space="preserve">OP = </w:t>
            </w:r>
            <w:r w:rsidRPr="00EB11D3">
              <w:rPr>
                <w:rFonts w:eastAsia="Calibri"/>
                <w:spacing w:val="-3"/>
                <w:sz w:val="22"/>
              </w:rPr>
              <w:t>β</w:t>
            </w:r>
            <w:r w:rsidRPr="00EB11D3">
              <w:rPr>
                <w:rFonts w:eastAsia="Calibri"/>
                <w:spacing w:val="-3"/>
                <w:sz w:val="22"/>
                <w:vertAlign w:val="subscript"/>
              </w:rPr>
              <w:t xml:space="preserve">0 </w:t>
            </w:r>
            <w:r w:rsidRPr="00EB11D3">
              <w:rPr>
                <w:rFonts w:eastAsia="Calibri"/>
                <w:spacing w:val="-3"/>
                <w:sz w:val="22"/>
              </w:rPr>
              <w:t>+ β</w:t>
            </w:r>
            <w:r w:rsidRPr="00EB11D3">
              <w:rPr>
                <w:rFonts w:eastAsia="Calibri"/>
                <w:spacing w:val="-3"/>
                <w:sz w:val="22"/>
                <w:vertAlign w:val="subscript"/>
              </w:rPr>
              <w:t>1</w:t>
            </w:r>
            <w:r w:rsidRPr="00EB11D3">
              <w:rPr>
                <w:rFonts w:eastAsia="Calibri"/>
                <w:spacing w:val="-3"/>
                <w:sz w:val="22"/>
              </w:rPr>
              <w:t>CG + ε</w:t>
            </w:r>
          </w:p>
          <w:p w14:paraId="5545B54F" w14:textId="77777777" w:rsidR="00DC0D7C" w:rsidRPr="00EB11D3" w:rsidRDefault="00212BDF">
            <w:pPr>
              <w:spacing w:after="0" w:line="240" w:lineRule="auto"/>
              <w:rPr>
                <w:rFonts w:eastAsia="Calibri"/>
                <w:spacing w:val="-3"/>
                <w:sz w:val="22"/>
              </w:rPr>
            </w:pPr>
            <w:r w:rsidRPr="00EB11D3">
              <w:rPr>
                <w:rFonts w:eastAsia="Calibri"/>
                <w:spacing w:val="-3"/>
                <w:sz w:val="22"/>
              </w:rPr>
              <w:t xml:space="preserve">Where: OP = organisational performance </w:t>
            </w:r>
          </w:p>
          <w:p w14:paraId="6E49732F" w14:textId="77777777" w:rsidR="00DC0D7C" w:rsidRPr="00EB11D3" w:rsidRDefault="00212BDF">
            <w:pPr>
              <w:spacing w:after="0" w:line="240" w:lineRule="auto"/>
              <w:rPr>
                <w:rFonts w:eastAsia="Calibri"/>
                <w:sz w:val="22"/>
              </w:rPr>
            </w:pPr>
            <w:r w:rsidRPr="00EB11D3">
              <w:rPr>
                <w:rFonts w:eastAsia="Calibri"/>
                <w:spacing w:val="-3"/>
                <w:sz w:val="22"/>
              </w:rPr>
              <w:t xml:space="preserve">CG = </w:t>
            </w:r>
            <w:r w:rsidRPr="00EB11D3">
              <w:rPr>
                <w:rFonts w:eastAsia="Calibri"/>
                <w:sz w:val="22"/>
              </w:rPr>
              <w:t xml:space="preserve">Corporate governance </w:t>
            </w:r>
          </w:p>
        </w:tc>
        <w:tc>
          <w:tcPr>
            <w:tcW w:w="703" w:type="pct"/>
            <w:tcBorders>
              <w:top w:val="single" w:sz="4" w:space="0" w:color="auto"/>
              <w:left w:val="nil"/>
              <w:bottom w:val="nil"/>
              <w:right w:val="nil"/>
            </w:tcBorders>
          </w:tcPr>
          <w:p w14:paraId="12D4C9F6" w14:textId="77777777" w:rsidR="00DC0D7C" w:rsidRPr="00EB11D3" w:rsidRDefault="00212BDF">
            <w:pPr>
              <w:spacing w:after="0" w:line="240" w:lineRule="auto"/>
              <w:rPr>
                <w:rFonts w:eastAsia="Calibri"/>
                <w:sz w:val="22"/>
              </w:rPr>
            </w:pPr>
            <w:r w:rsidRPr="00EB11D3">
              <w:rPr>
                <w:rFonts w:eastAsia="Calibri"/>
                <w:bCs/>
                <w:sz w:val="22"/>
              </w:rPr>
              <w:t>Simple linear regression</w:t>
            </w:r>
          </w:p>
        </w:tc>
        <w:tc>
          <w:tcPr>
            <w:tcW w:w="893" w:type="pct"/>
            <w:tcBorders>
              <w:top w:val="single" w:sz="4" w:space="0" w:color="auto"/>
              <w:left w:val="nil"/>
              <w:bottom w:val="nil"/>
              <w:right w:val="nil"/>
            </w:tcBorders>
          </w:tcPr>
          <w:p w14:paraId="0854ADD3" w14:textId="77777777" w:rsidR="00DC0D7C" w:rsidRPr="00EB11D3" w:rsidRDefault="00212BDF">
            <w:pPr>
              <w:spacing w:after="0" w:line="240" w:lineRule="auto"/>
              <w:contextualSpacing/>
              <w:jc w:val="left"/>
              <w:rPr>
                <w:rFonts w:eastAsia="Times New Roman"/>
                <w:bCs/>
                <w:sz w:val="22"/>
                <w:lang w:val="en-GB"/>
              </w:rPr>
            </w:pPr>
            <w:r w:rsidRPr="00EB11D3">
              <w:rPr>
                <w:rFonts w:eastAsia="Times New Roman"/>
                <w:bCs/>
                <w:sz w:val="22"/>
                <w:lang w:val="en-GB"/>
              </w:rPr>
              <w:t>R</w:t>
            </w:r>
            <w:r w:rsidRPr="00EB11D3">
              <w:rPr>
                <w:rFonts w:eastAsia="Times New Roman"/>
                <w:bCs/>
                <w:sz w:val="22"/>
                <w:vertAlign w:val="superscript"/>
                <w:lang w:val="en-GB"/>
              </w:rPr>
              <w:t>2</w:t>
            </w:r>
            <w:r w:rsidRPr="00EB11D3">
              <w:rPr>
                <w:rFonts w:eastAsia="Times New Roman"/>
                <w:bCs/>
                <w:sz w:val="22"/>
                <w:lang w:val="en-GB"/>
              </w:rPr>
              <w:t xml:space="preserve"> for goodness-of fit</w:t>
            </w:r>
          </w:p>
          <w:p w14:paraId="339D27C2" w14:textId="77777777" w:rsidR="00DC0D7C" w:rsidRPr="00EB11D3" w:rsidRDefault="00212BDF">
            <w:pPr>
              <w:spacing w:after="0" w:line="240" w:lineRule="auto"/>
              <w:contextualSpacing/>
              <w:jc w:val="left"/>
              <w:rPr>
                <w:rFonts w:eastAsia="Times New Roman"/>
                <w:bCs/>
                <w:sz w:val="22"/>
                <w:lang w:val="en-GB"/>
              </w:rPr>
            </w:pPr>
            <w:r w:rsidRPr="00EB11D3">
              <w:rPr>
                <w:rFonts w:eastAsia="Times New Roman"/>
                <w:bCs/>
                <w:sz w:val="22"/>
                <w:lang w:val="en-GB"/>
              </w:rPr>
              <w:t>F-test for overall significance</w:t>
            </w:r>
          </w:p>
          <w:p w14:paraId="2F0B087B" w14:textId="77777777" w:rsidR="00DC0D7C" w:rsidRPr="00EB11D3" w:rsidRDefault="00212BDF">
            <w:pPr>
              <w:spacing w:after="0" w:line="240" w:lineRule="auto"/>
              <w:contextualSpacing/>
              <w:jc w:val="left"/>
              <w:rPr>
                <w:rFonts w:eastAsia="Times New Roman"/>
                <w:bCs/>
                <w:sz w:val="22"/>
                <w:lang w:val="en-GB"/>
              </w:rPr>
            </w:pPr>
            <w:r w:rsidRPr="00EB11D3">
              <w:rPr>
                <w:rFonts w:eastAsia="Times New Roman"/>
                <w:bCs/>
                <w:sz w:val="22"/>
                <w:lang w:val="en-GB"/>
              </w:rPr>
              <w:t>t-test for individual significance</w:t>
            </w:r>
          </w:p>
          <w:p w14:paraId="555129B4" w14:textId="77777777" w:rsidR="00DC0D7C" w:rsidRPr="00EB11D3" w:rsidRDefault="00212BDF">
            <w:pPr>
              <w:spacing w:after="0" w:line="240" w:lineRule="auto"/>
              <w:contextualSpacing/>
              <w:jc w:val="left"/>
              <w:rPr>
                <w:rFonts w:eastAsia="Times New Roman"/>
                <w:sz w:val="22"/>
              </w:rPr>
            </w:pPr>
            <w:r w:rsidRPr="00EB11D3">
              <w:rPr>
                <w:rFonts w:eastAsia="Times New Roman"/>
                <w:bCs/>
                <w:sz w:val="22"/>
                <w:lang w:val="en-GB"/>
              </w:rPr>
              <w:t>Marginal changes</w:t>
            </w:r>
          </w:p>
        </w:tc>
      </w:tr>
      <w:tr w:rsidR="0039483D" w:rsidRPr="00EB11D3" w14:paraId="1642F9A7" w14:textId="77777777" w:rsidTr="00855392">
        <w:trPr>
          <w:trHeight w:val="4149"/>
        </w:trPr>
        <w:tc>
          <w:tcPr>
            <w:tcW w:w="904" w:type="pct"/>
          </w:tcPr>
          <w:p w14:paraId="6258F008" w14:textId="77777777" w:rsidR="00DC0D7C" w:rsidRPr="00EB11D3" w:rsidRDefault="00212BDF">
            <w:pPr>
              <w:spacing w:after="0" w:line="240" w:lineRule="auto"/>
              <w:rPr>
                <w:rFonts w:eastAsia="Calibri"/>
                <w:sz w:val="22"/>
                <w:shd w:val="clear" w:color="auto" w:fill="FFFFFF"/>
              </w:rPr>
            </w:pPr>
            <w:r w:rsidRPr="00EB11D3">
              <w:rPr>
                <w:rFonts w:eastAsia="Calibri"/>
                <w:sz w:val="22"/>
                <w:shd w:val="clear" w:color="auto" w:fill="FFFFFF"/>
              </w:rPr>
              <w:t xml:space="preserve">To determine the mediating effect of service innovation on the relationship between corporate governance and organisational performance of faith-based hospital in Kenya.  </w:t>
            </w:r>
          </w:p>
        </w:tc>
        <w:tc>
          <w:tcPr>
            <w:tcW w:w="1083" w:type="pct"/>
          </w:tcPr>
          <w:p w14:paraId="08FD5BC5" w14:textId="77777777" w:rsidR="00DC0D7C" w:rsidRPr="00EB11D3" w:rsidRDefault="00212BDF">
            <w:pPr>
              <w:spacing w:after="0" w:line="240" w:lineRule="auto"/>
              <w:rPr>
                <w:rFonts w:eastAsia="Calibri"/>
                <w:sz w:val="22"/>
                <w:shd w:val="clear" w:color="auto" w:fill="FFFFFF"/>
              </w:rPr>
            </w:pPr>
            <w:r w:rsidRPr="00EB11D3">
              <w:rPr>
                <w:rFonts w:eastAsia="Calibri"/>
                <w:sz w:val="22"/>
                <w:shd w:val="clear" w:color="auto" w:fill="FFFFFF"/>
              </w:rPr>
              <w:t xml:space="preserve">There is no significant mediating effect of service innovation in the relationship between </w:t>
            </w:r>
            <w:r w:rsidRPr="00EB11D3">
              <w:rPr>
                <w:rFonts w:eastAsia="Calibri"/>
                <w:sz w:val="22"/>
                <w:shd w:val="clear" w:color="auto" w:fill="FFFFFF"/>
                <w:lang w:val="en"/>
              </w:rPr>
              <w:t>corporate governance</w:t>
            </w:r>
            <w:r w:rsidR="00805339" w:rsidRPr="00EB11D3">
              <w:rPr>
                <w:rFonts w:eastAsia="Calibri"/>
                <w:sz w:val="22"/>
                <w:shd w:val="clear" w:color="auto" w:fill="FFFFFF"/>
                <w:lang w:val="en"/>
              </w:rPr>
              <w:t xml:space="preserve"> </w:t>
            </w:r>
            <w:r w:rsidRPr="00EB11D3">
              <w:rPr>
                <w:rFonts w:eastAsia="Calibri"/>
                <w:sz w:val="22"/>
                <w:shd w:val="clear" w:color="auto" w:fill="FFFFFF"/>
              </w:rPr>
              <w:t>and organisational performance of faith-based hospital in Kenya.</w:t>
            </w:r>
          </w:p>
        </w:tc>
        <w:tc>
          <w:tcPr>
            <w:tcW w:w="1417" w:type="pct"/>
          </w:tcPr>
          <w:p w14:paraId="7AB64784" w14:textId="77777777" w:rsidR="00DC0D7C" w:rsidRPr="00EB11D3" w:rsidRDefault="00212BDF">
            <w:pPr>
              <w:spacing w:after="0" w:line="240" w:lineRule="auto"/>
              <w:rPr>
                <w:rFonts w:eastAsia="Calibri"/>
                <w:bCs/>
                <w:sz w:val="22"/>
              </w:rPr>
            </w:pPr>
            <w:r w:rsidRPr="00EB11D3">
              <w:rPr>
                <w:rFonts w:eastAsia="Calibri"/>
                <w:bCs/>
                <w:sz w:val="22"/>
              </w:rPr>
              <w:t xml:space="preserve">Four step mediation methodology (Baron, &amp; Kenny, 1986) </w:t>
            </w:r>
          </w:p>
          <w:p w14:paraId="3DE28093" w14:textId="77777777" w:rsidR="00DC0D7C" w:rsidRPr="00EB11D3" w:rsidRDefault="00212BDF">
            <w:pPr>
              <w:spacing w:after="0" w:line="240" w:lineRule="auto"/>
              <w:rPr>
                <w:rFonts w:eastAsia="Calibri"/>
                <w:bCs/>
                <w:sz w:val="22"/>
              </w:rPr>
            </w:pPr>
            <w:r w:rsidRPr="00EB11D3">
              <w:rPr>
                <w:rFonts w:eastAsia="Calibri"/>
                <w:bCs/>
                <w:sz w:val="22"/>
              </w:rPr>
              <w:t>Step I:  OP = α+ β</w:t>
            </w:r>
            <w:r w:rsidRPr="00EB11D3">
              <w:rPr>
                <w:rFonts w:eastAsia="Calibri"/>
                <w:bCs/>
                <w:sz w:val="22"/>
                <w:vertAlign w:val="subscript"/>
              </w:rPr>
              <w:t>1</w:t>
            </w:r>
            <w:r w:rsidRPr="00EB11D3">
              <w:rPr>
                <w:rFonts w:eastAsia="Calibri"/>
                <w:bCs/>
                <w:sz w:val="22"/>
              </w:rPr>
              <w:t>SI + е</w:t>
            </w:r>
          </w:p>
          <w:p w14:paraId="356B575A" w14:textId="77777777" w:rsidR="00DC0D7C" w:rsidRPr="00EB11D3" w:rsidRDefault="00212BDF">
            <w:pPr>
              <w:spacing w:after="0" w:line="240" w:lineRule="auto"/>
              <w:rPr>
                <w:rFonts w:eastAsia="Calibri"/>
                <w:bCs/>
                <w:sz w:val="22"/>
              </w:rPr>
            </w:pPr>
            <w:r w:rsidRPr="00EB11D3">
              <w:rPr>
                <w:rFonts w:eastAsia="Calibri"/>
                <w:bCs/>
                <w:sz w:val="22"/>
              </w:rPr>
              <w:t>Step 2: SI = αo + β</w:t>
            </w:r>
            <w:r w:rsidRPr="00EB11D3">
              <w:rPr>
                <w:rFonts w:eastAsia="Calibri"/>
                <w:bCs/>
                <w:sz w:val="22"/>
                <w:vertAlign w:val="subscript"/>
              </w:rPr>
              <w:t>1</w:t>
            </w:r>
            <w:r w:rsidRPr="00EB11D3">
              <w:rPr>
                <w:rFonts w:eastAsia="Calibri"/>
                <w:bCs/>
                <w:sz w:val="22"/>
              </w:rPr>
              <w:t>, CG + е</w:t>
            </w:r>
          </w:p>
          <w:p w14:paraId="7202EA43" w14:textId="77777777" w:rsidR="00DC0D7C" w:rsidRPr="00EB11D3" w:rsidRDefault="00212BDF">
            <w:pPr>
              <w:spacing w:after="0" w:line="240" w:lineRule="auto"/>
              <w:rPr>
                <w:rFonts w:eastAsia="Calibri"/>
                <w:bCs/>
                <w:sz w:val="22"/>
              </w:rPr>
            </w:pPr>
            <w:r w:rsidRPr="00EB11D3">
              <w:rPr>
                <w:rFonts w:eastAsia="Calibri"/>
                <w:bCs/>
                <w:sz w:val="22"/>
              </w:rPr>
              <w:t>Step 3: OP = α + β</w:t>
            </w:r>
            <w:r w:rsidRPr="00EB11D3">
              <w:rPr>
                <w:rFonts w:eastAsia="Calibri"/>
                <w:bCs/>
                <w:sz w:val="22"/>
                <w:vertAlign w:val="subscript"/>
              </w:rPr>
              <w:t>2</w:t>
            </w:r>
            <w:r w:rsidRPr="00EB11D3">
              <w:rPr>
                <w:rFonts w:eastAsia="Calibri"/>
                <w:bCs/>
                <w:sz w:val="22"/>
              </w:rPr>
              <w:t>SI + е</w:t>
            </w:r>
          </w:p>
          <w:p w14:paraId="74E212FC" w14:textId="77777777" w:rsidR="00DC0D7C" w:rsidRPr="00EB11D3" w:rsidRDefault="00212BDF">
            <w:pPr>
              <w:spacing w:after="0" w:line="240" w:lineRule="auto"/>
              <w:rPr>
                <w:rFonts w:eastAsia="Calibri"/>
                <w:bCs/>
                <w:sz w:val="22"/>
              </w:rPr>
            </w:pPr>
            <w:r w:rsidRPr="00EB11D3">
              <w:rPr>
                <w:rFonts w:eastAsia="Calibri"/>
                <w:bCs/>
                <w:sz w:val="22"/>
              </w:rPr>
              <w:t>If the relationship is significant, proceed to Step 4: OP = αo +β</w:t>
            </w:r>
            <w:r w:rsidRPr="00EB11D3">
              <w:rPr>
                <w:rFonts w:eastAsia="Calibri"/>
                <w:bCs/>
                <w:sz w:val="22"/>
                <w:vertAlign w:val="subscript"/>
              </w:rPr>
              <w:t>1</w:t>
            </w:r>
            <w:r w:rsidRPr="00EB11D3">
              <w:rPr>
                <w:rFonts w:eastAsia="Calibri"/>
                <w:bCs/>
                <w:sz w:val="22"/>
              </w:rPr>
              <w:t>CG + β</w:t>
            </w:r>
            <w:r w:rsidRPr="00EB11D3">
              <w:rPr>
                <w:rFonts w:eastAsia="Calibri"/>
                <w:bCs/>
                <w:sz w:val="22"/>
                <w:vertAlign w:val="subscript"/>
              </w:rPr>
              <w:t>2</w:t>
            </w:r>
            <w:r w:rsidRPr="00EB11D3">
              <w:rPr>
                <w:rFonts w:eastAsia="Calibri"/>
                <w:bCs/>
                <w:sz w:val="22"/>
              </w:rPr>
              <w:t xml:space="preserve">SI + е </w:t>
            </w:r>
          </w:p>
          <w:p w14:paraId="1FFF3720" w14:textId="77777777" w:rsidR="00DC0D7C" w:rsidRPr="00EB11D3" w:rsidRDefault="00212BDF">
            <w:pPr>
              <w:spacing w:after="0" w:line="240" w:lineRule="auto"/>
              <w:rPr>
                <w:rFonts w:eastAsia="Calibri"/>
                <w:bCs/>
                <w:sz w:val="22"/>
              </w:rPr>
            </w:pPr>
            <w:r w:rsidRPr="00EB11D3">
              <w:rPr>
                <w:rFonts w:eastAsia="Calibri"/>
                <w:bCs/>
                <w:sz w:val="22"/>
              </w:rPr>
              <w:t xml:space="preserve">Where: </w:t>
            </w:r>
          </w:p>
          <w:p w14:paraId="1CF2778E" w14:textId="77777777" w:rsidR="00DC0D7C" w:rsidRPr="00EB11D3" w:rsidRDefault="00212BDF">
            <w:pPr>
              <w:spacing w:after="0" w:line="240" w:lineRule="auto"/>
              <w:rPr>
                <w:rFonts w:eastAsia="Calibri"/>
                <w:bCs/>
                <w:sz w:val="22"/>
              </w:rPr>
            </w:pPr>
            <w:r w:rsidRPr="00EB11D3">
              <w:rPr>
                <w:rFonts w:eastAsia="Calibri"/>
                <w:bCs/>
                <w:sz w:val="22"/>
              </w:rPr>
              <w:t>OP = Organisational performance</w:t>
            </w:r>
          </w:p>
          <w:p w14:paraId="1CE14D84" w14:textId="77777777" w:rsidR="00DC0D7C" w:rsidRPr="00EB11D3" w:rsidRDefault="00212BDF">
            <w:pPr>
              <w:spacing w:after="0" w:line="240" w:lineRule="auto"/>
              <w:rPr>
                <w:rFonts w:eastAsia="Calibri"/>
                <w:bCs/>
                <w:sz w:val="22"/>
              </w:rPr>
            </w:pPr>
            <w:r w:rsidRPr="00EB11D3">
              <w:rPr>
                <w:rFonts w:eastAsia="Calibri"/>
                <w:bCs/>
                <w:spacing w:val="-3"/>
                <w:sz w:val="22"/>
              </w:rPr>
              <w:t xml:space="preserve">CG = </w:t>
            </w:r>
            <w:r w:rsidRPr="00EB11D3">
              <w:rPr>
                <w:rFonts w:eastAsia="Calibri"/>
                <w:bCs/>
                <w:sz w:val="22"/>
              </w:rPr>
              <w:t xml:space="preserve">Corporate governance </w:t>
            </w:r>
          </w:p>
          <w:p w14:paraId="0A678D02" w14:textId="77777777" w:rsidR="00DC0D7C" w:rsidRPr="00EB11D3" w:rsidRDefault="00212BDF">
            <w:pPr>
              <w:spacing w:after="0" w:line="240" w:lineRule="auto"/>
              <w:rPr>
                <w:rFonts w:eastAsia="Calibri"/>
                <w:bCs/>
                <w:sz w:val="22"/>
              </w:rPr>
            </w:pPr>
            <w:r w:rsidRPr="00EB11D3">
              <w:rPr>
                <w:rFonts w:eastAsia="Calibri"/>
                <w:bCs/>
                <w:sz w:val="22"/>
              </w:rPr>
              <w:t>SI = Service Innovation</w:t>
            </w:r>
          </w:p>
          <w:p w14:paraId="41994737" w14:textId="77777777" w:rsidR="00DC0D7C" w:rsidRPr="00EB11D3" w:rsidRDefault="00212BDF">
            <w:pPr>
              <w:widowControl w:val="0"/>
              <w:autoSpaceDE w:val="0"/>
              <w:autoSpaceDN w:val="0"/>
              <w:adjustRightInd w:val="0"/>
              <w:spacing w:after="0" w:line="240" w:lineRule="auto"/>
              <w:ind w:left="397" w:hanging="397"/>
              <w:rPr>
                <w:rFonts w:eastAsia="Calibri"/>
                <w:bCs/>
                <w:sz w:val="22"/>
              </w:rPr>
            </w:pPr>
            <w:r w:rsidRPr="00EB11D3">
              <w:rPr>
                <w:rFonts w:eastAsia="Calibri"/>
                <w:bCs/>
                <w:sz w:val="22"/>
              </w:rPr>
              <w:t>е = Error term</w:t>
            </w:r>
          </w:p>
        </w:tc>
        <w:tc>
          <w:tcPr>
            <w:tcW w:w="703" w:type="pct"/>
          </w:tcPr>
          <w:p w14:paraId="304DD961" w14:textId="77777777" w:rsidR="00DC0D7C" w:rsidRPr="00EB11D3" w:rsidRDefault="00212BDF">
            <w:pPr>
              <w:widowControl w:val="0"/>
              <w:autoSpaceDE w:val="0"/>
              <w:autoSpaceDN w:val="0"/>
              <w:adjustRightInd w:val="0"/>
              <w:spacing w:after="0" w:line="240" w:lineRule="auto"/>
              <w:contextualSpacing/>
              <w:jc w:val="left"/>
              <w:rPr>
                <w:rFonts w:eastAsia="Times New Roman"/>
                <w:bCs/>
                <w:sz w:val="22"/>
              </w:rPr>
            </w:pPr>
            <w:r w:rsidRPr="00EB11D3">
              <w:rPr>
                <w:rFonts w:eastAsia="Times New Roman"/>
                <w:bCs/>
                <w:sz w:val="22"/>
              </w:rPr>
              <w:t>Multiple linear regression and Baron and Kenny’s test</w:t>
            </w:r>
          </w:p>
        </w:tc>
        <w:tc>
          <w:tcPr>
            <w:tcW w:w="893" w:type="pct"/>
          </w:tcPr>
          <w:p w14:paraId="35993442" w14:textId="77777777" w:rsidR="00DC0D7C" w:rsidRPr="00EB11D3" w:rsidRDefault="00212BDF">
            <w:pPr>
              <w:widowControl w:val="0"/>
              <w:autoSpaceDE w:val="0"/>
              <w:autoSpaceDN w:val="0"/>
              <w:adjustRightInd w:val="0"/>
              <w:spacing w:after="0" w:line="240" w:lineRule="auto"/>
              <w:contextualSpacing/>
              <w:jc w:val="left"/>
              <w:rPr>
                <w:rFonts w:eastAsia="Times New Roman"/>
                <w:bCs/>
                <w:sz w:val="22"/>
              </w:rPr>
            </w:pPr>
            <w:r w:rsidRPr="00EB11D3">
              <w:rPr>
                <w:rFonts w:eastAsia="Times New Roman"/>
                <w:bCs/>
                <w:sz w:val="22"/>
              </w:rPr>
              <w:t>R</w:t>
            </w:r>
            <w:r w:rsidRPr="00EB11D3">
              <w:rPr>
                <w:rFonts w:eastAsia="Times New Roman"/>
                <w:bCs/>
                <w:sz w:val="22"/>
                <w:vertAlign w:val="superscript"/>
              </w:rPr>
              <w:t>2</w:t>
            </w:r>
            <w:r w:rsidRPr="00EB11D3">
              <w:rPr>
                <w:rFonts w:eastAsia="Times New Roman"/>
                <w:bCs/>
                <w:sz w:val="22"/>
              </w:rPr>
              <w:t xml:space="preserve"> for goodness-of fit</w:t>
            </w:r>
          </w:p>
          <w:p w14:paraId="51768F88" w14:textId="77777777" w:rsidR="00DC0D7C" w:rsidRPr="00EB11D3" w:rsidRDefault="00212BDF">
            <w:pPr>
              <w:widowControl w:val="0"/>
              <w:autoSpaceDE w:val="0"/>
              <w:autoSpaceDN w:val="0"/>
              <w:adjustRightInd w:val="0"/>
              <w:spacing w:after="0" w:line="240" w:lineRule="auto"/>
              <w:contextualSpacing/>
              <w:jc w:val="left"/>
              <w:rPr>
                <w:rFonts w:eastAsia="Times New Roman"/>
                <w:bCs/>
                <w:sz w:val="22"/>
              </w:rPr>
            </w:pPr>
            <w:r w:rsidRPr="00EB11D3">
              <w:rPr>
                <w:rFonts w:eastAsia="Times New Roman"/>
                <w:bCs/>
                <w:sz w:val="22"/>
              </w:rPr>
              <w:t xml:space="preserve">Test i, ii &amp;iii, </w:t>
            </w:r>
          </w:p>
          <w:p w14:paraId="4C6D4027" w14:textId="77777777" w:rsidR="00DC0D7C" w:rsidRPr="00EB11D3" w:rsidRDefault="00212BDF">
            <w:pPr>
              <w:widowControl w:val="0"/>
              <w:autoSpaceDE w:val="0"/>
              <w:autoSpaceDN w:val="0"/>
              <w:adjustRightInd w:val="0"/>
              <w:spacing w:after="0" w:line="240" w:lineRule="auto"/>
              <w:contextualSpacing/>
              <w:jc w:val="left"/>
              <w:rPr>
                <w:rFonts w:eastAsia="Times New Roman"/>
                <w:bCs/>
                <w:sz w:val="22"/>
              </w:rPr>
            </w:pPr>
            <w:r w:rsidRPr="00EB11D3">
              <w:rPr>
                <w:rFonts w:eastAsia="Times New Roman"/>
                <w:bCs/>
                <w:sz w:val="22"/>
              </w:rPr>
              <w:t>If significant, move to iv. Control CG in model iv, if M becomes insignificant then there is full mediation if both are significant then there is partial mediation</w:t>
            </w:r>
          </w:p>
        </w:tc>
      </w:tr>
      <w:tr w:rsidR="0039483D" w:rsidRPr="00EB11D3" w14:paraId="6AE3ACB6" w14:textId="77777777" w:rsidTr="004E005E">
        <w:tc>
          <w:tcPr>
            <w:tcW w:w="904" w:type="pct"/>
          </w:tcPr>
          <w:p w14:paraId="22703B36" w14:textId="77777777" w:rsidR="00DC0D7C" w:rsidRPr="00EB11D3" w:rsidRDefault="00212BDF">
            <w:pPr>
              <w:spacing w:after="0" w:line="240" w:lineRule="auto"/>
              <w:rPr>
                <w:rFonts w:eastAsia="Calibri"/>
                <w:sz w:val="22"/>
              </w:rPr>
            </w:pPr>
            <w:r w:rsidRPr="00EB11D3">
              <w:rPr>
                <w:rFonts w:eastAsia="Calibri"/>
                <w:sz w:val="22"/>
              </w:rPr>
              <w:t>To examine the moderating effect of government regulations on the relationship between co</w:t>
            </w:r>
            <w:r w:rsidR="00C00455" w:rsidRPr="00EB11D3">
              <w:rPr>
                <w:rFonts w:eastAsia="Calibri"/>
                <w:sz w:val="22"/>
              </w:rPr>
              <w:t>r</w:t>
            </w:r>
            <w:r w:rsidRPr="00EB11D3">
              <w:rPr>
                <w:rFonts w:eastAsia="Calibri"/>
                <w:sz w:val="22"/>
              </w:rPr>
              <w:t>p</w:t>
            </w:r>
            <w:r w:rsidR="00C00455" w:rsidRPr="00EB11D3">
              <w:rPr>
                <w:rFonts w:eastAsia="Calibri"/>
                <w:sz w:val="22"/>
              </w:rPr>
              <w:t>o</w:t>
            </w:r>
            <w:r w:rsidRPr="00EB11D3">
              <w:rPr>
                <w:rFonts w:eastAsia="Calibri"/>
                <w:sz w:val="22"/>
              </w:rPr>
              <w:t xml:space="preserve">rate governance and organisational performance of faith-based hospital in Kenya.  </w:t>
            </w:r>
          </w:p>
        </w:tc>
        <w:tc>
          <w:tcPr>
            <w:tcW w:w="1083" w:type="pct"/>
          </w:tcPr>
          <w:p w14:paraId="469C3B4B" w14:textId="77777777" w:rsidR="00DC0D7C" w:rsidRPr="00EB11D3" w:rsidRDefault="00212BDF">
            <w:pPr>
              <w:spacing w:after="0" w:line="240" w:lineRule="auto"/>
              <w:rPr>
                <w:rFonts w:eastAsia="Calibri"/>
                <w:sz w:val="22"/>
              </w:rPr>
            </w:pPr>
            <w:r w:rsidRPr="00EB11D3">
              <w:rPr>
                <w:rFonts w:eastAsia="Calibri"/>
                <w:sz w:val="22"/>
              </w:rPr>
              <w:t xml:space="preserve">There is no significant moderating effect of government regulations on the relationship between </w:t>
            </w:r>
            <w:r w:rsidRPr="00EB11D3">
              <w:rPr>
                <w:rFonts w:eastAsia="Calibri"/>
                <w:sz w:val="22"/>
                <w:lang w:val="en"/>
              </w:rPr>
              <w:t xml:space="preserve">corporate governance </w:t>
            </w:r>
            <w:r w:rsidRPr="00EB11D3">
              <w:rPr>
                <w:rFonts w:eastAsia="Calibri"/>
                <w:sz w:val="22"/>
              </w:rPr>
              <w:t>and organisational performance of faith-based hospital in Kenya.</w:t>
            </w:r>
          </w:p>
        </w:tc>
        <w:tc>
          <w:tcPr>
            <w:tcW w:w="1417" w:type="pct"/>
          </w:tcPr>
          <w:p w14:paraId="729B7A52" w14:textId="77777777" w:rsidR="00DC0D7C" w:rsidRPr="00EB11D3" w:rsidRDefault="00212BDF">
            <w:pPr>
              <w:spacing w:after="0" w:line="240" w:lineRule="auto"/>
              <w:rPr>
                <w:rFonts w:eastAsia="Calibri"/>
                <w:bCs/>
                <w:sz w:val="22"/>
              </w:rPr>
            </w:pPr>
            <w:r w:rsidRPr="00EB11D3">
              <w:rPr>
                <w:rFonts w:eastAsia="Calibri"/>
                <w:bCs/>
                <w:sz w:val="22"/>
              </w:rPr>
              <w:t xml:space="preserve">Regression analysis (Baron &amp; Kenny (1986) </w:t>
            </w:r>
          </w:p>
          <w:p w14:paraId="51B07FF8" w14:textId="77777777" w:rsidR="00DC0D7C" w:rsidRPr="00EB11D3" w:rsidRDefault="00212BDF">
            <w:pPr>
              <w:spacing w:after="0" w:line="240" w:lineRule="auto"/>
              <w:rPr>
                <w:rFonts w:eastAsia="Calibri"/>
                <w:bCs/>
                <w:sz w:val="22"/>
              </w:rPr>
            </w:pPr>
            <w:r w:rsidRPr="00EB11D3">
              <w:rPr>
                <w:rFonts w:eastAsia="Calibri"/>
                <w:bCs/>
                <w:sz w:val="22"/>
              </w:rPr>
              <w:t>OP =   α + β</w:t>
            </w:r>
            <w:r w:rsidRPr="00EB11D3">
              <w:rPr>
                <w:rFonts w:eastAsia="Calibri"/>
                <w:bCs/>
                <w:sz w:val="22"/>
                <w:vertAlign w:val="subscript"/>
              </w:rPr>
              <w:t>1</w:t>
            </w:r>
            <w:r w:rsidRPr="00EB11D3">
              <w:rPr>
                <w:rFonts w:eastAsia="Calibri"/>
                <w:bCs/>
                <w:sz w:val="22"/>
              </w:rPr>
              <w:t xml:space="preserve">CG + е </w:t>
            </w:r>
          </w:p>
          <w:p w14:paraId="7B2A2163" w14:textId="77777777" w:rsidR="00DC0D7C" w:rsidRPr="00EB11D3" w:rsidRDefault="00212BDF">
            <w:pPr>
              <w:spacing w:after="0" w:line="240" w:lineRule="auto"/>
              <w:rPr>
                <w:rFonts w:eastAsia="Calibri"/>
                <w:bCs/>
                <w:sz w:val="22"/>
              </w:rPr>
            </w:pPr>
            <w:r w:rsidRPr="00EB11D3">
              <w:rPr>
                <w:rFonts w:eastAsia="Calibri"/>
                <w:bCs/>
                <w:sz w:val="22"/>
              </w:rPr>
              <w:t>OP = α + β</w:t>
            </w:r>
            <w:r w:rsidRPr="00EB11D3">
              <w:rPr>
                <w:rFonts w:eastAsia="Calibri"/>
                <w:bCs/>
                <w:sz w:val="22"/>
                <w:vertAlign w:val="subscript"/>
              </w:rPr>
              <w:t>1</w:t>
            </w:r>
            <w:r w:rsidRPr="00EB11D3">
              <w:rPr>
                <w:rFonts w:eastAsia="Calibri"/>
                <w:bCs/>
                <w:sz w:val="22"/>
              </w:rPr>
              <w:t>CG + β</w:t>
            </w:r>
            <w:r w:rsidRPr="00EB11D3">
              <w:rPr>
                <w:rFonts w:eastAsia="Calibri"/>
                <w:bCs/>
                <w:sz w:val="22"/>
                <w:vertAlign w:val="subscript"/>
              </w:rPr>
              <w:t>2</w:t>
            </w:r>
            <w:r w:rsidRPr="00EB11D3">
              <w:rPr>
                <w:rFonts w:eastAsia="Calibri"/>
                <w:bCs/>
                <w:sz w:val="22"/>
              </w:rPr>
              <w:t xml:space="preserve"> GR + е </w:t>
            </w:r>
          </w:p>
          <w:p w14:paraId="1A4FBA12" w14:textId="77777777" w:rsidR="00DC0D7C" w:rsidRPr="00EB11D3" w:rsidRDefault="00212BDF">
            <w:pPr>
              <w:spacing w:after="0" w:line="240" w:lineRule="auto"/>
              <w:rPr>
                <w:rFonts w:eastAsia="Calibri"/>
                <w:bCs/>
                <w:sz w:val="22"/>
              </w:rPr>
            </w:pPr>
            <w:r w:rsidRPr="00EB11D3">
              <w:rPr>
                <w:rFonts w:eastAsia="Calibri"/>
                <w:bCs/>
                <w:sz w:val="22"/>
              </w:rPr>
              <w:t>OP = α + β</w:t>
            </w:r>
            <w:r w:rsidRPr="00EB11D3">
              <w:rPr>
                <w:rFonts w:eastAsia="Calibri"/>
                <w:bCs/>
                <w:sz w:val="22"/>
                <w:vertAlign w:val="subscript"/>
              </w:rPr>
              <w:t>1</w:t>
            </w:r>
            <w:r w:rsidRPr="00EB11D3">
              <w:rPr>
                <w:rFonts w:eastAsia="Calibri"/>
                <w:bCs/>
                <w:sz w:val="22"/>
              </w:rPr>
              <w:t>CG + B</w:t>
            </w:r>
            <w:r w:rsidRPr="00EB11D3">
              <w:rPr>
                <w:rFonts w:eastAsia="Calibri"/>
                <w:bCs/>
                <w:sz w:val="22"/>
                <w:vertAlign w:val="subscript"/>
              </w:rPr>
              <w:t>2</w:t>
            </w:r>
            <w:r w:rsidRPr="00EB11D3">
              <w:rPr>
                <w:rFonts w:eastAsia="Calibri"/>
                <w:bCs/>
                <w:sz w:val="22"/>
              </w:rPr>
              <w:t>GR + β</w:t>
            </w:r>
            <w:r w:rsidRPr="00EB11D3">
              <w:rPr>
                <w:rFonts w:eastAsia="Calibri"/>
                <w:bCs/>
                <w:sz w:val="22"/>
                <w:vertAlign w:val="subscript"/>
              </w:rPr>
              <w:t>2</w:t>
            </w:r>
            <w:r w:rsidRPr="00EB11D3">
              <w:rPr>
                <w:rFonts w:eastAsia="Calibri"/>
                <w:bCs/>
                <w:sz w:val="22"/>
              </w:rPr>
              <w:t>CG* GR + е</w:t>
            </w:r>
          </w:p>
          <w:p w14:paraId="7FA1F59D" w14:textId="77777777" w:rsidR="00DC0D7C" w:rsidRPr="00EB11D3" w:rsidRDefault="00212BDF">
            <w:pPr>
              <w:spacing w:after="0" w:line="240" w:lineRule="auto"/>
              <w:rPr>
                <w:rFonts w:eastAsia="Calibri"/>
                <w:bCs/>
                <w:sz w:val="22"/>
              </w:rPr>
            </w:pPr>
            <w:r w:rsidRPr="00EB11D3">
              <w:rPr>
                <w:rFonts w:eastAsia="Calibri"/>
                <w:bCs/>
                <w:sz w:val="22"/>
              </w:rPr>
              <w:t xml:space="preserve">OP = Organisational performance </w:t>
            </w:r>
          </w:p>
          <w:p w14:paraId="03588744" w14:textId="77777777" w:rsidR="00DC0D7C" w:rsidRPr="00EB11D3" w:rsidRDefault="00212BDF">
            <w:pPr>
              <w:spacing w:after="0" w:line="240" w:lineRule="auto"/>
              <w:rPr>
                <w:rFonts w:eastAsia="Calibri"/>
                <w:bCs/>
                <w:sz w:val="22"/>
              </w:rPr>
            </w:pPr>
            <w:r w:rsidRPr="00EB11D3">
              <w:rPr>
                <w:rFonts w:eastAsia="Calibri"/>
                <w:bCs/>
                <w:spacing w:val="-3"/>
                <w:sz w:val="22"/>
              </w:rPr>
              <w:t xml:space="preserve">CG = </w:t>
            </w:r>
            <w:r w:rsidRPr="00EB11D3">
              <w:rPr>
                <w:rFonts w:eastAsia="Calibri"/>
                <w:bCs/>
                <w:sz w:val="22"/>
              </w:rPr>
              <w:t xml:space="preserve">Corporate Governance </w:t>
            </w:r>
          </w:p>
          <w:p w14:paraId="7649FF83" w14:textId="77777777" w:rsidR="00DC0D7C" w:rsidRPr="00EB11D3" w:rsidRDefault="00212BDF">
            <w:pPr>
              <w:spacing w:after="0" w:line="240" w:lineRule="auto"/>
              <w:rPr>
                <w:rFonts w:eastAsia="Calibri"/>
                <w:bCs/>
                <w:sz w:val="22"/>
              </w:rPr>
            </w:pPr>
            <w:r w:rsidRPr="00EB11D3">
              <w:rPr>
                <w:rFonts w:eastAsia="Calibri"/>
                <w:bCs/>
                <w:sz w:val="22"/>
              </w:rPr>
              <w:t>GR= Government Regulations</w:t>
            </w:r>
          </w:p>
          <w:p w14:paraId="0FDC2D31" w14:textId="77777777" w:rsidR="00DC0D7C" w:rsidRPr="00EB11D3" w:rsidRDefault="00212BDF">
            <w:pPr>
              <w:spacing w:after="0" w:line="240" w:lineRule="auto"/>
              <w:rPr>
                <w:rFonts w:eastAsia="Calibri"/>
                <w:bCs/>
                <w:sz w:val="22"/>
              </w:rPr>
            </w:pPr>
            <w:r w:rsidRPr="00EB11D3">
              <w:rPr>
                <w:rFonts w:eastAsia="Calibri"/>
                <w:bCs/>
                <w:sz w:val="22"/>
              </w:rPr>
              <w:t>е = Error term</w:t>
            </w:r>
          </w:p>
        </w:tc>
        <w:tc>
          <w:tcPr>
            <w:tcW w:w="703" w:type="pct"/>
          </w:tcPr>
          <w:p w14:paraId="0CBE7A29" w14:textId="77777777" w:rsidR="00DC0D7C" w:rsidRPr="00EB11D3" w:rsidRDefault="00212BDF">
            <w:pPr>
              <w:spacing w:after="0" w:line="240" w:lineRule="auto"/>
              <w:rPr>
                <w:rFonts w:eastAsia="Calibri"/>
                <w:sz w:val="22"/>
              </w:rPr>
            </w:pPr>
            <w:r w:rsidRPr="00EB11D3">
              <w:rPr>
                <w:rFonts w:eastAsia="Calibri"/>
                <w:bCs/>
                <w:sz w:val="22"/>
              </w:rPr>
              <w:t xml:space="preserve">Multiple linear regression </w:t>
            </w:r>
          </w:p>
        </w:tc>
        <w:tc>
          <w:tcPr>
            <w:tcW w:w="893" w:type="pct"/>
          </w:tcPr>
          <w:p w14:paraId="026123B5" w14:textId="77777777" w:rsidR="00DC0D7C" w:rsidRPr="00EB11D3" w:rsidRDefault="00212BDF">
            <w:pPr>
              <w:spacing w:after="0" w:line="240" w:lineRule="auto"/>
              <w:contextualSpacing/>
              <w:jc w:val="left"/>
              <w:rPr>
                <w:rFonts w:eastAsia="Times New Roman"/>
                <w:bCs/>
                <w:sz w:val="22"/>
              </w:rPr>
            </w:pPr>
            <w:r w:rsidRPr="00EB11D3">
              <w:rPr>
                <w:rFonts w:eastAsia="Times New Roman"/>
                <w:bCs/>
                <w:sz w:val="22"/>
              </w:rPr>
              <w:t>R</w:t>
            </w:r>
            <w:r w:rsidRPr="00EB11D3">
              <w:rPr>
                <w:rFonts w:eastAsia="Times New Roman"/>
                <w:bCs/>
                <w:sz w:val="22"/>
                <w:vertAlign w:val="superscript"/>
              </w:rPr>
              <w:t>2</w:t>
            </w:r>
            <w:r w:rsidRPr="00EB11D3">
              <w:rPr>
                <w:rFonts w:eastAsia="Times New Roman"/>
                <w:bCs/>
                <w:sz w:val="22"/>
              </w:rPr>
              <w:t xml:space="preserve"> for goodness-of fit</w:t>
            </w:r>
          </w:p>
          <w:p w14:paraId="63A37BB1" w14:textId="77777777" w:rsidR="00DC0D7C" w:rsidRPr="00EB11D3" w:rsidRDefault="00212BDF">
            <w:pPr>
              <w:spacing w:after="0" w:line="240" w:lineRule="auto"/>
              <w:contextualSpacing/>
              <w:jc w:val="left"/>
              <w:rPr>
                <w:rFonts w:eastAsia="Times New Roman"/>
                <w:bCs/>
                <w:sz w:val="22"/>
              </w:rPr>
            </w:pPr>
            <w:r w:rsidRPr="00EB11D3">
              <w:rPr>
                <w:rFonts w:eastAsia="Times New Roman"/>
                <w:bCs/>
                <w:sz w:val="22"/>
              </w:rPr>
              <w:t>F-test for overall significance</w:t>
            </w:r>
          </w:p>
          <w:p w14:paraId="11CD2433" w14:textId="77777777" w:rsidR="00DC0D7C" w:rsidRPr="00EB11D3" w:rsidRDefault="00212BDF">
            <w:pPr>
              <w:spacing w:after="0" w:line="240" w:lineRule="auto"/>
              <w:contextualSpacing/>
              <w:jc w:val="left"/>
              <w:rPr>
                <w:rFonts w:eastAsia="Times New Roman"/>
                <w:bCs/>
                <w:sz w:val="22"/>
              </w:rPr>
            </w:pPr>
            <w:r w:rsidRPr="00EB11D3">
              <w:rPr>
                <w:rFonts w:eastAsia="Times New Roman"/>
                <w:bCs/>
                <w:sz w:val="22"/>
              </w:rPr>
              <w:t>t-test for individual significance</w:t>
            </w:r>
          </w:p>
          <w:p w14:paraId="05F27C6B" w14:textId="77777777" w:rsidR="00DC0D7C" w:rsidRPr="00EB11D3" w:rsidRDefault="00212BDF">
            <w:pPr>
              <w:spacing w:after="0" w:line="240" w:lineRule="auto"/>
              <w:contextualSpacing/>
              <w:jc w:val="left"/>
              <w:rPr>
                <w:rFonts w:eastAsia="Times New Roman"/>
                <w:bCs/>
                <w:sz w:val="22"/>
              </w:rPr>
            </w:pPr>
            <w:r w:rsidRPr="00EB11D3">
              <w:rPr>
                <w:rFonts w:eastAsia="Times New Roman"/>
                <w:bCs/>
                <w:sz w:val="22"/>
              </w:rPr>
              <w:t>Marginal changes</w:t>
            </w:r>
          </w:p>
          <w:p w14:paraId="429BB7B7" w14:textId="77777777" w:rsidR="00DC0D7C" w:rsidRPr="00EB11D3" w:rsidRDefault="00212BDF">
            <w:pPr>
              <w:spacing w:after="0" w:line="240" w:lineRule="auto"/>
              <w:contextualSpacing/>
              <w:jc w:val="left"/>
              <w:rPr>
                <w:rFonts w:eastAsia="Times New Roman"/>
                <w:bCs/>
                <w:sz w:val="22"/>
              </w:rPr>
            </w:pPr>
            <w:r w:rsidRPr="00EB11D3">
              <w:rPr>
                <w:rFonts w:eastAsia="Times New Roman"/>
                <w:bCs/>
                <w:sz w:val="22"/>
              </w:rPr>
              <w:t xml:space="preserve">Check on </w:t>
            </w:r>
            <w:r w:rsidRPr="00EB11D3">
              <w:rPr>
                <w:rFonts w:eastAsia="Times New Roman"/>
                <w:sz w:val="22"/>
              </w:rPr>
              <w:t>R</w:t>
            </w:r>
            <w:r w:rsidRPr="00EB11D3">
              <w:rPr>
                <w:rFonts w:eastAsia="Times New Roman"/>
                <w:sz w:val="22"/>
                <w:vertAlign w:val="superscript"/>
              </w:rPr>
              <w:t>2</w:t>
            </w:r>
            <w:r w:rsidRPr="00EB11D3">
              <w:rPr>
                <w:rFonts w:eastAsia="Times New Roman"/>
                <w:sz w:val="22"/>
              </w:rPr>
              <w:t xml:space="preserve"> </w:t>
            </w:r>
            <w:r w:rsidRPr="00EB11D3">
              <w:rPr>
                <w:rFonts w:eastAsia="Times New Roman"/>
                <w:bCs/>
                <w:sz w:val="22"/>
              </w:rPr>
              <w:t xml:space="preserve">change if positive it means enhancing moderation  </w:t>
            </w:r>
          </w:p>
        </w:tc>
      </w:tr>
      <w:tr w:rsidR="0039483D" w:rsidRPr="00EB11D3" w14:paraId="084BFB43" w14:textId="77777777" w:rsidTr="004E005E">
        <w:trPr>
          <w:trHeight w:val="71"/>
        </w:trPr>
        <w:tc>
          <w:tcPr>
            <w:tcW w:w="904" w:type="pct"/>
            <w:tcBorders>
              <w:top w:val="nil"/>
              <w:left w:val="nil"/>
              <w:bottom w:val="single" w:sz="4" w:space="0" w:color="auto"/>
              <w:right w:val="nil"/>
            </w:tcBorders>
          </w:tcPr>
          <w:p w14:paraId="3B65BC07" w14:textId="77777777" w:rsidR="00DC0D7C" w:rsidRPr="00EB11D3" w:rsidRDefault="00212BDF">
            <w:pPr>
              <w:spacing w:after="0" w:line="240" w:lineRule="auto"/>
              <w:contextualSpacing/>
              <w:jc w:val="left"/>
              <w:rPr>
                <w:rFonts w:eastAsia="Calibri"/>
                <w:sz w:val="22"/>
                <w:lang w:val="en"/>
              </w:rPr>
            </w:pPr>
            <w:r w:rsidRPr="00EB11D3">
              <w:rPr>
                <w:rFonts w:eastAsia="Calibri"/>
                <w:sz w:val="22"/>
                <w:lang w:val="en"/>
              </w:rPr>
              <w:t xml:space="preserve">To determine </w:t>
            </w:r>
            <w:r w:rsidR="00D6059E" w:rsidRPr="00EB11D3">
              <w:rPr>
                <w:rFonts w:eastAsia="Calibri"/>
                <w:sz w:val="22"/>
                <w:lang w:val="en"/>
              </w:rPr>
              <w:t xml:space="preserve">the </w:t>
            </w:r>
            <w:r w:rsidR="004E6C36" w:rsidRPr="00EB11D3">
              <w:rPr>
                <w:rFonts w:eastAsia="Calibri"/>
                <w:sz w:val="22"/>
                <w:lang w:val="en"/>
              </w:rPr>
              <w:t>mediated moderation</w:t>
            </w:r>
            <w:r w:rsidR="006A7649" w:rsidRPr="00EB11D3">
              <w:rPr>
                <w:rFonts w:eastAsia="Calibri"/>
                <w:sz w:val="22"/>
                <w:lang w:val="en"/>
              </w:rPr>
              <w:t xml:space="preserve"> </w:t>
            </w:r>
            <w:r w:rsidR="00D6059E" w:rsidRPr="00EB11D3">
              <w:rPr>
                <w:rFonts w:eastAsia="Calibri"/>
                <w:sz w:val="22"/>
                <w:lang w:val="en"/>
              </w:rPr>
              <w:t xml:space="preserve">effect of </w:t>
            </w:r>
            <w:r w:rsidR="006A7649" w:rsidRPr="00EB11D3">
              <w:rPr>
                <w:rFonts w:eastAsia="Calibri"/>
                <w:sz w:val="22"/>
                <w:lang w:val="en"/>
              </w:rPr>
              <w:t xml:space="preserve">service innovation and government regulation </w:t>
            </w:r>
            <w:r w:rsidR="00D6059E" w:rsidRPr="00EB11D3">
              <w:rPr>
                <w:rFonts w:eastAsia="Calibri"/>
                <w:sz w:val="22"/>
                <w:lang w:val="en"/>
              </w:rPr>
              <w:t xml:space="preserve">on the relationship between corporate governance and </w:t>
            </w:r>
            <w:r w:rsidR="006D5C62" w:rsidRPr="00EB11D3">
              <w:rPr>
                <w:rFonts w:eastAsia="Calibri"/>
                <w:sz w:val="22"/>
                <w:lang w:val="en"/>
              </w:rPr>
              <w:t>organisational performance of Faith-Based Hospitals</w:t>
            </w:r>
            <w:r w:rsidR="00D6059E" w:rsidRPr="00EB11D3">
              <w:rPr>
                <w:rFonts w:eastAsia="Calibri"/>
                <w:sz w:val="22"/>
                <w:lang w:val="en"/>
              </w:rPr>
              <w:t xml:space="preserve"> in Kenya.</w:t>
            </w:r>
          </w:p>
        </w:tc>
        <w:tc>
          <w:tcPr>
            <w:tcW w:w="1083" w:type="pct"/>
            <w:tcBorders>
              <w:top w:val="nil"/>
              <w:left w:val="nil"/>
              <w:bottom w:val="single" w:sz="4" w:space="0" w:color="auto"/>
              <w:right w:val="nil"/>
            </w:tcBorders>
          </w:tcPr>
          <w:p w14:paraId="48EB2066" w14:textId="77777777" w:rsidR="00DC0D7C" w:rsidRPr="00EB11D3" w:rsidRDefault="00212BDF">
            <w:pPr>
              <w:spacing w:after="0" w:line="240" w:lineRule="auto"/>
              <w:rPr>
                <w:rFonts w:eastAsia="Calibri"/>
                <w:sz w:val="22"/>
                <w:lang w:val="en"/>
              </w:rPr>
            </w:pPr>
            <w:r w:rsidRPr="00EB11D3">
              <w:rPr>
                <w:rFonts w:eastAsia="Calibri"/>
                <w:sz w:val="22"/>
                <w:lang w:val="en"/>
              </w:rPr>
              <w:t xml:space="preserve">There is no significant </w:t>
            </w:r>
            <w:r w:rsidR="004E6C36" w:rsidRPr="00EB11D3">
              <w:rPr>
                <w:rFonts w:eastAsia="Calibri"/>
                <w:sz w:val="22"/>
                <w:lang w:val="en"/>
              </w:rPr>
              <w:t>mediated moderation</w:t>
            </w:r>
            <w:r w:rsidR="00D6059E" w:rsidRPr="00EB11D3">
              <w:rPr>
                <w:rFonts w:eastAsia="Calibri"/>
                <w:sz w:val="22"/>
                <w:lang w:val="en"/>
              </w:rPr>
              <w:t xml:space="preserve"> effect of </w:t>
            </w:r>
            <w:r w:rsidR="00731C66" w:rsidRPr="00EB11D3">
              <w:rPr>
                <w:rFonts w:eastAsia="Calibri"/>
                <w:sz w:val="22"/>
                <w:lang w:val="en"/>
              </w:rPr>
              <w:t xml:space="preserve">service innovation and </w:t>
            </w:r>
            <w:r w:rsidR="00D6059E" w:rsidRPr="00EB11D3">
              <w:rPr>
                <w:rFonts w:eastAsia="Calibri"/>
                <w:sz w:val="22"/>
                <w:lang w:val="en"/>
              </w:rPr>
              <w:t xml:space="preserve">government regulation on the relationship between corporate governance and </w:t>
            </w:r>
            <w:r w:rsidR="006D5C62" w:rsidRPr="00EB11D3">
              <w:rPr>
                <w:rFonts w:eastAsia="Calibri"/>
                <w:sz w:val="22"/>
                <w:lang w:val="en"/>
              </w:rPr>
              <w:t>organisational performance of Faith-Based Hospitals</w:t>
            </w:r>
            <w:r w:rsidR="00D6059E" w:rsidRPr="00EB11D3">
              <w:rPr>
                <w:rFonts w:eastAsia="Calibri"/>
                <w:sz w:val="22"/>
                <w:lang w:val="en"/>
              </w:rPr>
              <w:t xml:space="preserve"> in Kenya.</w:t>
            </w:r>
          </w:p>
          <w:p w14:paraId="7F46CA4F" w14:textId="77777777" w:rsidR="00DC0D7C" w:rsidRPr="00EB11D3" w:rsidRDefault="00DC0D7C">
            <w:pPr>
              <w:spacing w:after="0" w:line="240" w:lineRule="auto"/>
              <w:rPr>
                <w:rFonts w:eastAsia="Calibri"/>
                <w:sz w:val="22"/>
                <w:lang w:val="en"/>
              </w:rPr>
            </w:pPr>
          </w:p>
        </w:tc>
        <w:tc>
          <w:tcPr>
            <w:tcW w:w="1417" w:type="pct"/>
            <w:tcBorders>
              <w:top w:val="nil"/>
              <w:left w:val="nil"/>
              <w:bottom w:val="single" w:sz="4" w:space="0" w:color="auto"/>
              <w:right w:val="nil"/>
            </w:tcBorders>
          </w:tcPr>
          <w:p w14:paraId="59CC300F" w14:textId="77777777" w:rsidR="00DC0D7C" w:rsidRPr="00EB11D3" w:rsidRDefault="00212BDF">
            <w:pPr>
              <w:spacing w:after="0" w:line="240" w:lineRule="auto"/>
              <w:rPr>
                <w:rFonts w:eastAsia="Calibri"/>
                <w:bCs/>
                <w:sz w:val="22"/>
              </w:rPr>
            </w:pPr>
            <w:r w:rsidRPr="00EB11D3">
              <w:rPr>
                <w:rFonts w:eastAsia="Calibri"/>
                <w:bCs/>
                <w:sz w:val="22"/>
              </w:rPr>
              <w:t xml:space="preserve">Stepwise Regression Analysis: </w:t>
            </w:r>
          </w:p>
          <w:p w14:paraId="095C96EE" w14:textId="77777777" w:rsidR="00DC0D7C" w:rsidRPr="00EB11D3" w:rsidRDefault="00212BDF">
            <w:pPr>
              <w:spacing w:after="0" w:line="240" w:lineRule="auto"/>
              <w:rPr>
                <w:rFonts w:eastAsia="Calibri"/>
                <w:bCs/>
                <w:sz w:val="22"/>
              </w:rPr>
            </w:pPr>
            <w:r w:rsidRPr="00EB11D3">
              <w:rPr>
                <w:rFonts w:eastAsia="Calibri"/>
                <w:bCs/>
                <w:sz w:val="22"/>
              </w:rPr>
              <w:t>CG = α</w:t>
            </w:r>
            <w:r w:rsidRPr="00EB11D3">
              <w:rPr>
                <w:rFonts w:eastAsia="Calibri"/>
                <w:bCs/>
                <w:sz w:val="22"/>
                <w:vertAlign w:val="subscript"/>
              </w:rPr>
              <w:t>0</w:t>
            </w:r>
            <w:r w:rsidRPr="00EB11D3">
              <w:rPr>
                <w:rFonts w:eastAsia="Calibri"/>
                <w:bCs/>
                <w:sz w:val="22"/>
              </w:rPr>
              <w:t xml:space="preserve"> + β</w:t>
            </w:r>
            <w:r w:rsidRPr="00EB11D3">
              <w:rPr>
                <w:rFonts w:eastAsia="Calibri"/>
                <w:bCs/>
                <w:sz w:val="22"/>
                <w:vertAlign w:val="subscript"/>
              </w:rPr>
              <w:t>1</w:t>
            </w:r>
            <w:r w:rsidRPr="00EB11D3">
              <w:rPr>
                <w:rFonts w:eastAsia="Calibri"/>
                <w:bCs/>
                <w:sz w:val="22"/>
              </w:rPr>
              <w:t>SI + ε</w:t>
            </w:r>
          </w:p>
          <w:p w14:paraId="4016D605" w14:textId="77777777" w:rsidR="00DC0D7C" w:rsidRPr="00EB11D3" w:rsidRDefault="00212BDF">
            <w:pPr>
              <w:spacing w:after="0" w:line="240" w:lineRule="auto"/>
              <w:rPr>
                <w:rFonts w:eastAsia="Calibri"/>
                <w:bCs/>
                <w:sz w:val="22"/>
              </w:rPr>
            </w:pPr>
            <w:r w:rsidRPr="00EB11D3">
              <w:rPr>
                <w:rFonts w:eastAsia="Calibri"/>
                <w:bCs/>
                <w:sz w:val="22"/>
              </w:rPr>
              <w:t>OP = α</w:t>
            </w:r>
            <w:r w:rsidRPr="00EB11D3">
              <w:rPr>
                <w:rFonts w:eastAsia="Calibri"/>
                <w:bCs/>
                <w:sz w:val="22"/>
                <w:vertAlign w:val="subscript"/>
              </w:rPr>
              <w:t>0</w:t>
            </w:r>
            <w:r w:rsidRPr="00EB11D3">
              <w:rPr>
                <w:rFonts w:eastAsia="Calibri"/>
                <w:bCs/>
                <w:sz w:val="22"/>
              </w:rPr>
              <w:t>+ β</w:t>
            </w:r>
            <w:r w:rsidRPr="00EB11D3">
              <w:rPr>
                <w:rFonts w:eastAsia="Calibri"/>
                <w:bCs/>
                <w:sz w:val="22"/>
                <w:vertAlign w:val="subscript"/>
              </w:rPr>
              <w:t>1</w:t>
            </w:r>
            <w:r w:rsidRPr="00EB11D3">
              <w:rPr>
                <w:rFonts w:eastAsia="Calibri"/>
                <w:bCs/>
                <w:sz w:val="22"/>
              </w:rPr>
              <w:t>CG+ β</w:t>
            </w:r>
            <w:r w:rsidRPr="00EB11D3">
              <w:rPr>
                <w:rFonts w:eastAsia="Calibri"/>
                <w:bCs/>
                <w:sz w:val="22"/>
                <w:vertAlign w:val="subscript"/>
              </w:rPr>
              <w:t>2</w:t>
            </w:r>
            <w:r w:rsidR="00731C66" w:rsidRPr="00EB11D3">
              <w:rPr>
                <w:rFonts w:eastAsia="Calibri"/>
                <w:bCs/>
                <w:sz w:val="22"/>
              </w:rPr>
              <w:t>SI</w:t>
            </w:r>
            <w:r w:rsidRPr="00EB11D3">
              <w:rPr>
                <w:rFonts w:eastAsia="Calibri"/>
                <w:bCs/>
                <w:sz w:val="22"/>
              </w:rPr>
              <w:t>+β3 CG*</w:t>
            </w:r>
            <w:r w:rsidR="00731C66" w:rsidRPr="00EB11D3">
              <w:rPr>
                <w:rFonts w:eastAsia="Calibri"/>
                <w:bCs/>
                <w:sz w:val="22"/>
              </w:rPr>
              <w:t>GR</w:t>
            </w:r>
            <w:r w:rsidRPr="00EB11D3">
              <w:rPr>
                <w:rFonts w:eastAsia="Calibri"/>
                <w:bCs/>
                <w:sz w:val="22"/>
              </w:rPr>
              <w:t>+ ε</w:t>
            </w:r>
          </w:p>
          <w:p w14:paraId="471D4213" w14:textId="77777777" w:rsidR="00DC0D7C" w:rsidRPr="00EB11D3" w:rsidRDefault="00212BDF">
            <w:pPr>
              <w:spacing w:after="0" w:line="240" w:lineRule="auto"/>
              <w:rPr>
                <w:rFonts w:eastAsia="Calibri"/>
                <w:bCs/>
                <w:sz w:val="22"/>
              </w:rPr>
            </w:pPr>
            <w:r w:rsidRPr="00EB11D3">
              <w:rPr>
                <w:rFonts w:eastAsia="Calibri"/>
                <w:bCs/>
                <w:sz w:val="22"/>
              </w:rPr>
              <w:t>Where;</w:t>
            </w:r>
          </w:p>
          <w:p w14:paraId="487CBEF3" w14:textId="77777777" w:rsidR="00DC0D7C" w:rsidRPr="00EB11D3" w:rsidRDefault="00212BDF">
            <w:pPr>
              <w:widowControl w:val="0"/>
              <w:autoSpaceDE w:val="0"/>
              <w:autoSpaceDN w:val="0"/>
              <w:adjustRightInd w:val="0"/>
              <w:spacing w:after="0" w:line="240" w:lineRule="auto"/>
              <w:rPr>
                <w:rFonts w:eastAsia="Calibri"/>
                <w:bCs/>
                <w:sz w:val="22"/>
              </w:rPr>
            </w:pPr>
            <w:r w:rsidRPr="00EB11D3">
              <w:rPr>
                <w:rFonts w:eastAsia="Calibri"/>
                <w:bCs/>
                <w:sz w:val="22"/>
              </w:rPr>
              <w:t>OP = Organisational Performance</w:t>
            </w:r>
          </w:p>
          <w:p w14:paraId="74B64744" w14:textId="77777777" w:rsidR="00DC0D7C" w:rsidRPr="00EB11D3" w:rsidRDefault="00212BDF">
            <w:pPr>
              <w:spacing w:after="0" w:line="240" w:lineRule="auto"/>
              <w:rPr>
                <w:rFonts w:eastAsia="Calibri"/>
                <w:bCs/>
                <w:sz w:val="22"/>
              </w:rPr>
            </w:pPr>
            <w:r w:rsidRPr="00EB11D3">
              <w:rPr>
                <w:rFonts w:eastAsia="Calibri"/>
                <w:bCs/>
                <w:spacing w:val="-3"/>
                <w:sz w:val="22"/>
              </w:rPr>
              <w:t xml:space="preserve">CG = </w:t>
            </w:r>
            <w:r w:rsidRPr="00EB11D3">
              <w:rPr>
                <w:rFonts w:eastAsia="Calibri"/>
                <w:bCs/>
                <w:sz w:val="22"/>
              </w:rPr>
              <w:t xml:space="preserve">Corporate governance </w:t>
            </w:r>
          </w:p>
          <w:p w14:paraId="0FD8F77D" w14:textId="77777777" w:rsidR="00DC0D7C" w:rsidRPr="00EB11D3" w:rsidRDefault="00212BDF">
            <w:pPr>
              <w:spacing w:after="0" w:line="240" w:lineRule="auto"/>
              <w:rPr>
                <w:rFonts w:eastAsia="Calibri"/>
                <w:bCs/>
                <w:sz w:val="22"/>
              </w:rPr>
            </w:pPr>
            <w:r w:rsidRPr="00EB11D3">
              <w:rPr>
                <w:rFonts w:eastAsia="Calibri"/>
                <w:bCs/>
                <w:sz w:val="22"/>
              </w:rPr>
              <w:t>SI = Service Innovation</w:t>
            </w:r>
          </w:p>
          <w:p w14:paraId="119B2C96" w14:textId="77777777" w:rsidR="00DC0D7C" w:rsidRPr="00EB11D3" w:rsidRDefault="00212BDF">
            <w:pPr>
              <w:spacing w:after="0" w:line="240" w:lineRule="auto"/>
              <w:rPr>
                <w:rFonts w:eastAsia="Calibri"/>
                <w:bCs/>
                <w:sz w:val="22"/>
              </w:rPr>
            </w:pPr>
            <w:r w:rsidRPr="00EB11D3">
              <w:rPr>
                <w:rFonts w:eastAsia="Calibri"/>
                <w:bCs/>
                <w:sz w:val="22"/>
              </w:rPr>
              <w:t>GR= Government Regulations</w:t>
            </w:r>
          </w:p>
          <w:p w14:paraId="090A367C" w14:textId="77777777" w:rsidR="00DC0D7C" w:rsidRPr="00EB11D3" w:rsidRDefault="00212BDF">
            <w:pPr>
              <w:widowControl w:val="0"/>
              <w:autoSpaceDE w:val="0"/>
              <w:autoSpaceDN w:val="0"/>
              <w:adjustRightInd w:val="0"/>
              <w:spacing w:after="0" w:line="240" w:lineRule="auto"/>
              <w:rPr>
                <w:rFonts w:eastAsia="Calibri"/>
                <w:bCs/>
                <w:sz w:val="22"/>
              </w:rPr>
            </w:pPr>
            <w:r w:rsidRPr="00EB11D3">
              <w:rPr>
                <w:rFonts w:eastAsia="Calibri"/>
                <w:bCs/>
                <w:sz w:val="22"/>
              </w:rPr>
              <w:t>е = Error term</w:t>
            </w:r>
          </w:p>
        </w:tc>
        <w:tc>
          <w:tcPr>
            <w:tcW w:w="703" w:type="pct"/>
            <w:tcBorders>
              <w:top w:val="nil"/>
              <w:left w:val="nil"/>
              <w:bottom w:val="single" w:sz="4" w:space="0" w:color="auto"/>
              <w:right w:val="nil"/>
            </w:tcBorders>
          </w:tcPr>
          <w:p w14:paraId="67D8EB2B" w14:textId="77777777" w:rsidR="00DC0D7C" w:rsidRPr="00EB11D3" w:rsidRDefault="00212BDF">
            <w:pPr>
              <w:spacing w:after="0" w:line="240" w:lineRule="auto"/>
              <w:rPr>
                <w:rFonts w:eastAsia="Calibri"/>
                <w:sz w:val="22"/>
              </w:rPr>
            </w:pPr>
            <w:r w:rsidRPr="00EB11D3">
              <w:rPr>
                <w:rFonts w:eastAsia="Calibri"/>
                <w:bCs/>
                <w:sz w:val="22"/>
              </w:rPr>
              <w:t>Multiple linear regression</w:t>
            </w:r>
          </w:p>
        </w:tc>
        <w:tc>
          <w:tcPr>
            <w:tcW w:w="893" w:type="pct"/>
            <w:tcBorders>
              <w:top w:val="nil"/>
              <w:left w:val="nil"/>
              <w:bottom w:val="single" w:sz="4" w:space="0" w:color="auto"/>
              <w:right w:val="nil"/>
            </w:tcBorders>
          </w:tcPr>
          <w:p w14:paraId="07C2AC56" w14:textId="77777777" w:rsidR="00DC0D7C" w:rsidRPr="00EB11D3" w:rsidRDefault="00212BDF">
            <w:pPr>
              <w:widowControl w:val="0"/>
              <w:autoSpaceDE w:val="0"/>
              <w:autoSpaceDN w:val="0"/>
              <w:adjustRightInd w:val="0"/>
              <w:spacing w:before="240" w:after="0" w:line="240" w:lineRule="auto"/>
              <w:contextualSpacing/>
              <w:jc w:val="left"/>
              <w:rPr>
                <w:rFonts w:eastAsia="Times New Roman"/>
                <w:bCs/>
                <w:sz w:val="22"/>
              </w:rPr>
            </w:pPr>
            <w:r w:rsidRPr="00EB11D3">
              <w:rPr>
                <w:rFonts w:eastAsia="Times New Roman"/>
                <w:bCs/>
                <w:sz w:val="22"/>
              </w:rPr>
              <w:t>R</w:t>
            </w:r>
            <w:r w:rsidRPr="00EB11D3">
              <w:rPr>
                <w:rFonts w:eastAsia="Times New Roman"/>
                <w:bCs/>
                <w:sz w:val="22"/>
                <w:vertAlign w:val="superscript"/>
              </w:rPr>
              <w:t>2</w:t>
            </w:r>
            <w:r w:rsidRPr="00EB11D3">
              <w:rPr>
                <w:rFonts w:eastAsia="Times New Roman"/>
                <w:bCs/>
                <w:sz w:val="22"/>
              </w:rPr>
              <w:t xml:space="preserve"> for goodness-of fit</w:t>
            </w:r>
          </w:p>
          <w:p w14:paraId="525A1F4E" w14:textId="77777777" w:rsidR="00DC0D7C" w:rsidRPr="00EB11D3" w:rsidRDefault="00212BDF">
            <w:pPr>
              <w:widowControl w:val="0"/>
              <w:autoSpaceDE w:val="0"/>
              <w:autoSpaceDN w:val="0"/>
              <w:adjustRightInd w:val="0"/>
              <w:spacing w:before="240" w:after="0" w:line="240" w:lineRule="auto"/>
              <w:contextualSpacing/>
              <w:jc w:val="left"/>
              <w:rPr>
                <w:rFonts w:eastAsia="Times New Roman"/>
                <w:bCs/>
                <w:sz w:val="22"/>
              </w:rPr>
            </w:pPr>
            <w:r w:rsidRPr="00EB11D3">
              <w:rPr>
                <w:rFonts w:eastAsia="Times New Roman"/>
                <w:bCs/>
                <w:sz w:val="22"/>
              </w:rPr>
              <w:t>F-test for overall significance</w:t>
            </w:r>
          </w:p>
          <w:p w14:paraId="666FD8C9" w14:textId="77777777" w:rsidR="00DC0D7C" w:rsidRPr="00EB11D3" w:rsidRDefault="00212BDF">
            <w:pPr>
              <w:widowControl w:val="0"/>
              <w:autoSpaceDE w:val="0"/>
              <w:autoSpaceDN w:val="0"/>
              <w:adjustRightInd w:val="0"/>
              <w:spacing w:before="240" w:after="0" w:line="240" w:lineRule="auto"/>
              <w:contextualSpacing/>
              <w:jc w:val="left"/>
              <w:rPr>
                <w:rFonts w:eastAsia="Times New Roman"/>
                <w:bCs/>
                <w:sz w:val="22"/>
              </w:rPr>
            </w:pPr>
            <w:r w:rsidRPr="00EB11D3">
              <w:rPr>
                <w:rFonts w:eastAsia="Times New Roman"/>
                <w:bCs/>
                <w:sz w:val="22"/>
              </w:rPr>
              <w:t>t-test for individual significance</w:t>
            </w:r>
          </w:p>
          <w:p w14:paraId="6BDC94F9" w14:textId="77777777" w:rsidR="00DC0D7C" w:rsidRPr="00EB11D3" w:rsidRDefault="00212BDF">
            <w:pPr>
              <w:spacing w:before="240" w:after="0" w:line="240" w:lineRule="auto"/>
              <w:contextualSpacing/>
              <w:jc w:val="left"/>
              <w:rPr>
                <w:rFonts w:eastAsia="Times New Roman"/>
                <w:sz w:val="22"/>
              </w:rPr>
            </w:pPr>
            <w:r w:rsidRPr="00EB11D3">
              <w:rPr>
                <w:rFonts w:eastAsia="Times New Roman"/>
                <w:bCs/>
                <w:sz w:val="22"/>
              </w:rPr>
              <w:t xml:space="preserve">Marginal changes </w:t>
            </w:r>
          </w:p>
        </w:tc>
      </w:tr>
    </w:tbl>
    <w:p w14:paraId="65F2F4E8" w14:textId="77777777" w:rsidR="00DC0D7C" w:rsidRPr="00EB11D3" w:rsidRDefault="00212BDF" w:rsidP="00BC2395">
      <w:pPr>
        <w:pStyle w:val="Heading2"/>
        <w:keepNext w:val="0"/>
        <w:keepLines w:val="0"/>
        <w:spacing w:before="100" w:beforeAutospacing="1" w:after="100" w:afterAutospacing="1" w:line="240" w:lineRule="auto"/>
        <w:jc w:val="both"/>
        <w:rPr>
          <w:szCs w:val="24"/>
        </w:rPr>
      </w:pPr>
      <w:bookmarkStart w:id="476" w:name="_Toc177387858"/>
      <w:bookmarkEnd w:id="475"/>
      <w:r w:rsidRPr="00EB11D3">
        <w:rPr>
          <w:szCs w:val="24"/>
        </w:rPr>
        <w:t>3.</w:t>
      </w:r>
      <w:bookmarkStart w:id="477" w:name="_Toc132031178"/>
      <w:bookmarkStart w:id="478" w:name="_Toc11164663"/>
      <w:bookmarkStart w:id="479" w:name="_Toc525549565"/>
      <w:bookmarkStart w:id="480" w:name="_Toc525231273"/>
      <w:bookmarkStart w:id="481" w:name="_Toc525231160"/>
      <w:bookmarkStart w:id="482" w:name="_Toc526935008"/>
      <w:bookmarkEnd w:id="405"/>
      <w:bookmarkEnd w:id="406"/>
      <w:bookmarkEnd w:id="407"/>
      <w:bookmarkEnd w:id="408"/>
      <w:r w:rsidR="003F0603" w:rsidRPr="00EB11D3">
        <w:rPr>
          <w:szCs w:val="24"/>
        </w:rPr>
        <w:t>1</w:t>
      </w:r>
      <w:r w:rsidR="00B60CD7" w:rsidRPr="00EB11D3">
        <w:rPr>
          <w:szCs w:val="24"/>
        </w:rPr>
        <w:t>1</w:t>
      </w:r>
      <w:r w:rsidR="003F0603" w:rsidRPr="00EB11D3">
        <w:rPr>
          <w:szCs w:val="24"/>
        </w:rPr>
        <w:t xml:space="preserve"> </w:t>
      </w:r>
      <w:r w:rsidRPr="00EB11D3">
        <w:rPr>
          <w:szCs w:val="24"/>
        </w:rPr>
        <w:t>Ethical Considerations</w:t>
      </w:r>
      <w:bookmarkEnd w:id="476"/>
    </w:p>
    <w:p w14:paraId="34AA51A2" w14:textId="77777777" w:rsidR="00DC0D7C" w:rsidRPr="00EB11D3" w:rsidRDefault="00212BDF">
      <w:pPr>
        <w:spacing w:line="360" w:lineRule="auto"/>
        <w:rPr>
          <w:szCs w:val="24"/>
          <w:lang w:eastAsia="zh-CN"/>
        </w:rPr>
      </w:pPr>
      <w:r w:rsidRPr="00EB11D3">
        <w:rPr>
          <w:szCs w:val="24"/>
          <w:lang w:eastAsia="zh-CN"/>
        </w:rPr>
        <w:t xml:space="preserve">The importance of ethical considerations in research cannot be overlooked. It encompasses principles that protect morality and guide during the research keeping the researcher accountable and within the convenes of ethical standards of research. Various steps </w:t>
      </w:r>
      <w:r w:rsidR="00A45C2C" w:rsidRPr="00EB11D3">
        <w:rPr>
          <w:szCs w:val="24"/>
          <w:lang w:eastAsia="zh-CN"/>
        </w:rPr>
        <w:t>were</w:t>
      </w:r>
      <w:r w:rsidRPr="00EB11D3">
        <w:rPr>
          <w:szCs w:val="24"/>
          <w:lang w:eastAsia="zh-CN"/>
        </w:rPr>
        <w:t xml:space="preserve"> undertaken to maintain the ethical standards of research.</w:t>
      </w:r>
    </w:p>
    <w:p w14:paraId="050A762B" w14:textId="77777777" w:rsidR="00DC0D7C" w:rsidRPr="00EB11D3" w:rsidRDefault="00212BDF" w:rsidP="00AD1CB7">
      <w:pPr>
        <w:pStyle w:val="Heading3"/>
      </w:pPr>
      <w:bookmarkStart w:id="483" w:name="_Toc132709953"/>
      <w:bookmarkStart w:id="484" w:name="_Toc134174677"/>
      <w:bookmarkStart w:id="485" w:name="_Toc135405894"/>
      <w:bookmarkStart w:id="486" w:name="_Toc135938105"/>
      <w:bookmarkStart w:id="487" w:name="_Toc135938311"/>
      <w:bookmarkStart w:id="488" w:name="_Toc140111874"/>
      <w:bookmarkStart w:id="489" w:name="_Toc153052102"/>
      <w:bookmarkStart w:id="490" w:name="_Toc164148979"/>
      <w:bookmarkStart w:id="491" w:name="_Toc164151240"/>
      <w:bookmarkStart w:id="492" w:name="_Toc168673432"/>
      <w:bookmarkStart w:id="493" w:name="_Toc168737874"/>
      <w:bookmarkStart w:id="494" w:name="_Toc171602627"/>
      <w:bookmarkStart w:id="495" w:name="_Toc171603454"/>
      <w:bookmarkStart w:id="496" w:name="_Toc177387859"/>
      <w:r w:rsidRPr="00EB11D3">
        <w:t>3.</w:t>
      </w:r>
      <w:r w:rsidR="003F0603" w:rsidRPr="00EB11D3">
        <w:t>1</w:t>
      </w:r>
      <w:r w:rsidR="00B60CD7" w:rsidRPr="00EB11D3">
        <w:t>1</w:t>
      </w:r>
      <w:r w:rsidRPr="00EB11D3">
        <w:t>.1 Informed Consent</w:t>
      </w:r>
      <w:bookmarkEnd w:id="477"/>
      <w:bookmarkEnd w:id="478"/>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r w:rsidRPr="00EB11D3">
        <w:t xml:space="preserve"> </w:t>
      </w:r>
    </w:p>
    <w:p w14:paraId="7D63F994" w14:textId="77777777" w:rsidR="00DC0D7C" w:rsidRPr="00EB11D3" w:rsidRDefault="007D2C05">
      <w:pPr>
        <w:spacing w:line="360" w:lineRule="auto"/>
        <w:rPr>
          <w:szCs w:val="24"/>
          <w:lang w:eastAsia="zh-CN"/>
        </w:rPr>
      </w:pPr>
      <w:bookmarkStart w:id="497" w:name="_Toc132031179"/>
      <w:bookmarkStart w:id="498" w:name="_Toc11164664"/>
      <w:r w:rsidRPr="00EB11D3">
        <w:rPr>
          <w:szCs w:val="24"/>
          <w:lang w:eastAsia="zh-CN"/>
        </w:rPr>
        <w:t>The participants </w:t>
      </w:r>
      <w:r w:rsidR="00A45C2C" w:rsidRPr="00EB11D3">
        <w:rPr>
          <w:szCs w:val="24"/>
          <w:lang w:eastAsia="zh-CN"/>
        </w:rPr>
        <w:t>were</w:t>
      </w:r>
      <w:r w:rsidRPr="00EB11D3">
        <w:rPr>
          <w:szCs w:val="24"/>
          <w:lang w:eastAsia="zh-CN"/>
        </w:rPr>
        <w:t xml:space="preserve"> entirely informed about the study, with the goal of the study made clear, giving participants confidence in the study's objectivity. This </w:t>
      </w:r>
      <w:r w:rsidR="00A45C2C" w:rsidRPr="00EB11D3">
        <w:rPr>
          <w:szCs w:val="24"/>
          <w:lang w:eastAsia="zh-CN"/>
        </w:rPr>
        <w:t>gave</w:t>
      </w:r>
      <w:r w:rsidRPr="00EB11D3">
        <w:rPr>
          <w:szCs w:val="24"/>
          <w:lang w:eastAsia="zh-CN"/>
        </w:rPr>
        <w:t xml:space="preserve"> the participant the information they need</w:t>
      </w:r>
      <w:r w:rsidR="00E2054B" w:rsidRPr="00EB11D3">
        <w:rPr>
          <w:szCs w:val="24"/>
          <w:lang w:eastAsia="zh-CN"/>
        </w:rPr>
        <w:t>ed</w:t>
      </w:r>
      <w:r w:rsidRPr="00EB11D3">
        <w:rPr>
          <w:szCs w:val="24"/>
          <w:lang w:eastAsia="zh-CN"/>
        </w:rPr>
        <w:t xml:space="preserve"> to decide whether or not to participate. </w:t>
      </w:r>
      <w:r w:rsidR="006011B1" w:rsidRPr="00EB11D3">
        <w:rPr>
          <w:szCs w:val="24"/>
          <w:lang w:eastAsia="zh-CN"/>
        </w:rPr>
        <w:t xml:space="preserve">A consent form describing the purpose of the study and assuring the confidentiality of any data </w:t>
      </w:r>
      <w:r w:rsidR="00E2054B" w:rsidRPr="00EB11D3">
        <w:rPr>
          <w:szCs w:val="24"/>
          <w:lang w:eastAsia="zh-CN"/>
        </w:rPr>
        <w:t xml:space="preserve">to be </w:t>
      </w:r>
      <w:r w:rsidR="006011B1" w:rsidRPr="00EB11D3">
        <w:rPr>
          <w:szCs w:val="24"/>
          <w:lang w:eastAsia="zh-CN"/>
        </w:rPr>
        <w:t xml:space="preserve">gathered </w:t>
      </w:r>
      <w:r w:rsidR="00E2054B" w:rsidRPr="00EB11D3">
        <w:rPr>
          <w:szCs w:val="24"/>
          <w:lang w:eastAsia="zh-CN"/>
        </w:rPr>
        <w:t>was</w:t>
      </w:r>
      <w:r w:rsidR="006011B1" w:rsidRPr="00EB11D3">
        <w:rPr>
          <w:szCs w:val="24"/>
          <w:lang w:eastAsia="zh-CN"/>
        </w:rPr>
        <w:t xml:space="preserve"> sent to participants. Before beginning data collection, all necessary documents </w:t>
      </w:r>
      <w:r w:rsidR="00490184" w:rsidRPr="00EB11D3">
        <w:rPr>
          <w:szCs w:val="24"/>
          <w:lang w:eastAsia="zh-CN"/>
        </w:rPr>
        <w:t>were</w:t>
      </w:r>
      <w:r w:rsidR="006011B1" w:rsidRPr="00EB11D3">
        <w:rPr>
          <w:szCs w:val="24"/>
          <w:lang w:eastAsia="zh-CN"/>
        </w:rPr>
        <w:t xml:space="preserve"> obtained, including </w:t>
      </w:r>
      <w:r w:rsidR="00FD7457" w:rsidRPr="00EB11D3">
        <w:rPr>
          <w:szCs w:val="24"/>
          <w:lang w:eastAsia="zh-CN"/>
        </w:rPr>
        <w:t xml:space="preserve">the </w:t>
      </w:r>
      <w:r w:rsidR="006011B1" w:rsidRPr="00EB11D3">
        <w:rPr>
          <w:szCs w:val="24"/>
          <w:lang w:eastAsia="zh-CN"/>
        </w:rPr>
        <w:t>approval to conduct the study, an introduction letter from the Management University of Africa's DML administration, and official authorization from CHAK, the Catholic Secretariat, and SUPKEM to collect data from the various hospitals. Furthermore, in order to protect respondents, the research team treat</w:t>
      </w:r>
      <w:r w:rsidR="00FD7457" w:rsidRPr="00EB11D3">
        <w:rPr>
          <w:szCs w:val="24"/>
          <w:lang w:eastAsia="zh-CN"/>
        </w:rPr>
        <w:t>ed</w:t>
      </w:r>
      <w:r w:rsidR="006011B1" w:rsidRPr="00EB11D3">
        <w:rPr>
          <w:szCs w:val="24"/>
          <w:lang w:eastAsia="zh-CN"/>
        </w:rPr>
        <w:t xml:space="preserve"> all data obtained with the highest integrity and confidentiality, and the findings </w:t>
      </w:r>
      <w:r w:rsidR="003B12C7" w:rsidRPr="00EB11D3">
        <w:rPr>
          <w:szCs w:val="24"/>
          <w:lang w:eastAsia="zh-CN"/>
        </w:rPr>
        <w:t xml:space="preserve">were to </w:t>
      </w:r>
      <w:r w:rsidR="006011B1" w:rsidRPr="00EB11D3">
        <w:rPr>
          <w:szCs w:val="24"/>
          <w:lang w:eastAsia="zh-CN"/>
        </w:rPr>
        <w:t xml:space="preserve">be used solely for academic purposes. Respondents </w:t>
      </w:r>
      <w:r w:rsidR="00B30F66" w:rsidRPr="00EB11D3">
        <w:rPr>
          <w:szCs w:val="24"/>
          <w:lang w:eastAsia="zh-CN"/>
        </w:rPr>
        <w:t>were</w:t>
      </w:r>
      <w:r w:rsidR="006011B1" w:rsidRPr="00EB11D3">
        <w:rPr>
          <w:szCs w:val="24"/>
          <w:lang w:eastAsia="zh-CN"/>
        </w:rPr>
        <w:t xml:space="preserve"> notified that failing to participate </w:t>
      </w:r>
      <w:r w:rsidR="00B30F66" w:rsidRPr="00EB11D3">
        <w:rPr>
          <w:szCs w:val="24"/>
          <w:lang w:eastAsia="zh-CN"/>
        </w:rPr>
        <w:t xml:space="preserve">would </w:t>
      </w:r>
      <w:r w:rsidR="006011B1" w:rsidRPr="00EB11D3">
        <w:rPr>
          <w:szCs w:val="24"/>
          <w:lang w:eastAsia="zh-CN"/>
        </w:rPr>
        <w:t>result in no immediate benefits or losses.</w:t>
      </w:r>
    </w:p>
    <w:p w14:paraId="7F6A982D" w14:textId="77777777" w:rsidR="00DC0D7C" w:rsidRPr="00EB11D3" w:rsidRDefault="00212BDF" w:rsidP="00AD1CB7">
      <w:pPr>
        <w:pStyle w:val="Heading3"/>
      </w:pPr>
      <w:bookmarkStart w:id="499" w:name="_Toc132709954"/>
      <w:bookmarkStart w:id="500" w:name="_Toc134174678"/>
      <w:bookmarkStart w:id="501" w:name="_Toc135405895"/>
      <w:bookmarkStart w:id="502" w:name="_Toc135938106"/>
      <w:bookmarkStart w:id="503" w:name="_Toc135938312"/>
      <w:bookmarkStart w:id="504" w:name="_Toc140111875"/>
      <w:bookmarkStart w:id="505" w:name="_Toc153052103"/>
      <w:bookmarkStart w:id="506" w:name="_Toc164148980"/>
      <w:bookmarkStart w:id="507" w:name="_Toc164151241"/>
      <w:bookmarkStart w:id="508" w:name="_Toc168673433"/>
      <w:bookmarkStart w:id="509" w:name="_Toc168737875"/>
      <w:bookmarkStart w:id="510" w:name="_Toc171602628"/>
      <w:bookmarkStart w:id="511" w:name="_Toc171603455"/>
      <w:bookmarkStart w:id="512" w:name="_Toc177387860"/>
      <w:r w:rsidRPr="00EB11D3">
        <w:t>3.</w:t>
      </w:r>
      <w:r w:rsidR="003F0603" w:rsidRPr="00EB11D3">
        <w:t>1</w:t>
      </w:r>
      <w:r w:rsidR="00B60CD7" w:rsidRPr="00EB11D3">
        <w:t>1</w:t>
      </w:r>
      <w:r w:rsidRPr="00EB11D3">
        <w:t>.2 Voluntary Participation</w:t>
      </w:r>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p>
    <w:p w14:paraId="375CE877" w14:textId="77777777" w:rsidR="00DC0D7C" w:rsidRPr="00EB11D3" w:rsidRDefault="00212BDF">
      <w:pPr>
        <w:spacing w:line="360" w:lineRule="auto"/>
        <w:rPr>
          <w:szCs w:val="24"/>
          <w:lang w:eastAsia="zh-CN"/>
        </w:rPr>
      </w:pPr>
      <w:bookmarkStart w:id="513" w:name="_Toc11164665"/>
      <w:bookmarkStart w:id="514" w:name="_Toc132031180"/>
      <w:r w:rsidRPr="00EB11D3">
        <w:rPr>
          <w:szCs w:val="24"/>
          <w:lang w:eastAsia="zh-CN"/>
        </w:rPr>
        <w:t xml:space="preserve">The </w:t>
      </w:r>
      <w:r w:rsidR="00B30F66" w:rsidRPr="00EB11D3">
        <w:rPr>
          <w:szCs w:val="24"/>
          <w:lang w:eastAsia="zh-CN"/>
        </w:rPr>
        <w:t xml:space="preserve">participants </w:t>
      </w:r>
      <w:r w:rsidRPr="00EB11D3">
        <w:rPr>
          <w:szCs w:val="24"/>
          <w:lang w:eastAsia="zh-CN"/>
        </w:rPr>
        <w:t xml:space="preserve">in the research free from any coercion. A verbal consent </w:t>
      </w:r>
      <w:r w:rsidR="00B30F66" w:rsidRPr="00EB11D3">
        <w:rPr>
          <w:szCs w:val="24"/>
          <w:lang w:eastAsia="zh-CN"/>
        </w:rPr>
        <w:t>was</w:t>
      </w:r>
      <w:r w:rsidRPr="00EB11D3">
        <w:rPr>
          <w:szCs w:val="24"/>
          <w:lang w:eastAsia="zh-CN"/>
        </w:rPr>
        <w:t xml:space="preserve"> obtained from all the respondents. </w:t>
      </w:r>
      <w:r w:rsidR="009C430F" w:rsidRPr="00EB11D3">
        <w:rPr>
          <w:szCs w:val="24"/>
          <w:lang w:eastAsia="zh-CN"/>
        </w:rPr>
        <w:t xml:space="preserve">The </w:t>
      </w:r>
      <w:r w:rsidR="0079224E" w:rsidRPr="00EB11D3">
        <w:rPr>
          <w:szCs w:val="24"/>
          <w:lang w:eastAsia="zh-CN"/>
        </w:rPr>
        <w:t>participants</w:t>
      </w:r>
      <w:r w:rsidR="009C430F" w:rsidRPr="00EB11D3">
        <w:rPr>
          <w:szCs w:val="24"/>
          <w:lang w:eastAsia="zh-CN"/>
        </w:rPr>
        <w:t xml:space="preserve"> </w:t>
      </w:r>
      <w:r w:rsidR="00264474" w:rsidRPr="00EB11D3">
        <w:rPr>
          <w:szCs w:val="24"/>
          <w:lang w:eastAsia="zh-CN"/>
        </w:rPr>
        <w:t xml:space="preserve">were </w:t>
      </w:r>
      <w:r w:rsidR="009C430F" w:rsidRPr="00EB11D3">
        <w:rPr>
          <w:szCs w:val="24"/>
          <w:lang w:eastAsia="zh-CN"/>
        </w:rPr>
        <w:t>not subject</w:t>
      </w:r>
      <w:r w:rsidR="00264474" w:rsidRPr="00EB11D3">
        <w:rPr>
          <w:szCs w:val="24"/>
          <w:lang w:eastAsia="zh-CN"/>
        </w:rPr>
        <w:t>ed</w:t>
      </w:r>
      <w:r w:rsidR="009C430F" w:rsidRPr="00EB11D3">
        <w:rPr>
          <w:szCs w:val="24"/>
          <w:lang w:eastAsia="zh-CN"/>
        </w:rPr>
        <w:t xml:space="preserve"> to any pressure to continue and are free to end their participation at any time.</w:t>
      </w:r>
      <w:r w:rsidRPr="00EB11D3">
        <w:rPr>
          <w:szCs w:val="24"/>
          <w:lang w:eastAsia="zh-CN"/>
        </w:rPr>
        <w:t xml:space="preserve"> Any </w:t>
      </w:r>
      <w:r w:rsidR="0079224E" w:rsidRPr="00EB11D3">
        <w:rPr>
          <w:szCs w:val="24"/>
          <w:lang w:eastAsia="zh-CN"/>
        </w:rPr>
        <w:t>participant</w:t>
      </w:r>
      <w:r w:rsidRPr="00EB11D3">
        <w:rPr>
          <w:szCs w:val="24"/>
          <w:lang w:eastAsia="zh-CN"/>
        </w:rPr>
        <w:t xml:space="preserve"> who chose to withdraw </w:t>
      </w:r>
      <w:r w:rsidR="003A064D" w:rsidRPr="00EB11D3">
        <w:rPr>
          <w:szCs w:val="24"/>
          <w:lang w:eastAsia="zh-CN"/>
        </w:rPr>
        <w:t xml:space="preserve">was </w:t>
      </w:r>
      <w:r w:rsidRPr="00EB11D3">
        <w:rPr>
          <w:szCs w:val="24"/>
          <w:lang w:eastAsia="zh-CN"/>
        </w:rPr>
        <w:t xml:space="preserve">not be required to give explanations for such actions. An introductory statement </w:t>
      </w:r>
      <w:r w:rsidR="003A064D" w:rsidRPr="00EB11D3">
        <w:rPr>
          <w:szCs w:val="24"/>
          <w:lang w:eastAsia="zh-CN"/>
        </w:rPr>
        <w:t>was</w:t>
      </w:r>
      <w:r w:rsidRPr="00EB11D3">
        <w:rPr>
          <w:szCs w:val="24"/>
          <w:lang w:eastAsia="zh-CN"/>
        </w:rPr>
        <w:t xml:space="preserve"> placed on all the research tool indicating the voluntary nature of participation.</w:t>
      </w:r>
    </w:p>
    <w:p w14:paraId="024EE949" w14:textId="77777777" w:rsidR="00DC0D7C" w:rsidRPr="00EB11D3" w:rsidRDefault="00212BDF" w:rsidP="00AD1CB7">
      <w:pPr>
        <w:pStyle w:val="Heading3"/>
      </w:pPr>
      <w:bookmarkStart w:id="515" w:name="_Toc132709955"/>
      <w:bookmarkStart w:id="516" w:name="_Toc134174679"/>
      <w:bookmarkStart w:id="517" w:name="_Toc135405896"/>
      <w:bookmarkStart w:id="518" w:name="_Toc135938107"/>
      <w:bookmarkStart w:id="519" w:name="_Toc135938313"/>
      <w:bookmarkStart w:id="520" w:name="_Toc140111876"/>
      <w:bookmarkStart w:id="521" w:name="_Toc153052104"/>
      <w:bookmarkStart w:id="522" w:name="_Toc164148981"/>
      <w:bookmarkStart w:id="523" w:name="_Toc164151242"/>
      <w:bookmarkStart w:id="524" w:name="_Toc168673434"/>
      <w:bookmarkStart w:id="525" w:name="_Toc168737876"/>
      <w:bookmarkStart w:id="526" w:name="_Toc171602629"/>
      <w:bookmarkStart w:id="527" w:name="_Toc171603456"/>
      <w:bookmarkStart w:id="528" w:name="_Toc177387861"/>
      <w:r w:rsidRPr="00EB11D3">
        <w:t>3.</w:t>
      </w:r>
      <w:r w:rsidR="003F0603" w:rsidRPr="00EB11D3">
        <w:t>1</w:t>
      </w:r>
      <w:r w:rsidR="00B60CD7" w:rsidRPr="00EB11D3">
        <w:t>1</w:t>
      </w:r>
      <w:r w:rsidRPr="00EB11D3">
        <w:t>.3 Confidentiality</w:t>
      </w:r>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p>
    <w:p w14:paraId="28585702" w14:textId="77777777" w:rsidR="00DC0D7C" w:rsidRPr="00EB11D3" w:rsidRDefault="00796C44">
      <w:pPr>
        <w:spacing w:line="360" w:lineRule="auto"/>
        <w:rPr>
          <w:szCs w:val="24"/>
          <w:lang w:eastAsia="zh-CN"/>
        </w:rPr>
      </w:pPr>
      <w:bookmarkStart w:id="529" w:name="_Toc132031181"/>
      <w:bookmarkStart w:id="530" w:name="_Toc11164666"/>
      <w:r w:rsidRPr="00EB11D3">
        <w:rPr>
          <w:szCs w:val="24"/>
          <w:lang w:eastAsia="zh-CN"/>
        </w:rPr>
        <w:t xml:space="preserve">The </w:t>
      </w:r>
      <w:r w:rsidR="0079224E" w:rsidRPr="00EB11D3">
        <w:rPr>
          <w:szCs w:val="24"/>
          <w:lang w:eastAsia="zh-CN"/>
        </w:rPr>
        <w:t>participants</w:t>
      </w:r>
      <w:r w:rsidRPr="00EB11D3">
        <w:rPr>
          <w:szCs w:val="24"/>
          <w:lang w:eastAsia="zh-CN"/>
        </w:rPr>
        <w:t xml:space="preserve"> </w:t>
      </w:r>
      <w:r w:rsidR="0079224E" w:rsidRPr="00EB11D3">
        <w:rPr>
          <w:szCs w:val="24"/>
          <w:lang w:eastAsia="zh-CN"/>
        </w:rPr>
        <w:t>were</w:t>
      </w:r>
      <w:r w:rsidRPr="00EB11D3">
        <w:rPr>
          <w:szCs w:val="24"/>
          <w:lang w:eastAsia="zh-CN"/>
        </w:rPr>
        <w:t xml:space="preserve"> guaranteed that the information they so provide </w:t>
      </w:r>
      <w:r w:rsidR="0079224E" w:rsidRPr="00EB11D3">
        <w:rPr>
          <w:szCs w:val="24"/>
          <w:lang w:eastAsia="zh-CN"/>
        </w:rPr>
        <w:t xml:space="preserve">would </w:t>
      </w:r>
      <w:r w:rsidRPr="00EB11D3">
        <w:rPr>
          <w:szCs w:val="24"/>
          <w:lang w:eastAsia="zh-CN"/>
        </w:rPr>
        <w:t xml:space="preserve">be kept completely confidential. The information provided </w:t>
      </w:r>
      <w:r w:rsidR="0079224E" w:rsidRPr="00EB11D3">
        <w:rPr>
          <w:szCs w:val="24"/>
          <w:lang w:eastAsia="zh-CN"/>
        </w:rPr>
        <w:t>was made un</w:t>
      </w:r>
      <w:r w:rsidRPr="00EB11D3">
        <w:rPr>
          <w:szCs w:val="24"/>
          <w:lang w:eastAsia="zh-CN"/>
        </w:rPr>
        <w:t xml:space="preserve">available and </w:t>
      </w:r>
      <w:r w:rsidR="0079224E" w:rsidRPr="00EB11D3">
        <w:rPr>
          <w:szCs w:val="24"/>
          <w:lang w:eastAsia="zh-CN"/>
        </w:rPr>
        <w:t>in</w:t>
      </w:r>
      <w:r w:rsidRPr="00EB11D3">
        <w:rPr>
          <w:szCs w:val="24"/>
          <w:lang w:eastAsia="zh-CN"/>
        </w:rPr>
        <w:t xml:space="preserve">accessible to third party other than researcher and </w:t>
      </w:r>
      <w:r w:rsidR="0079224E" w:rsidRPr="00EB11D3">
        <w:rPr>
          <w:szCs w:val="24"/>
          <w:lang w:eastAsia="zh-CN"/>
        </w:rPr>
        <w:t xml:space="preserve">was </w:t>
      </w:r>
      <w:r w:rsidRPr="00EB11D3">
        <w:rPr>
          <w:szCs w:val="24"/>
          <w:lang w:eastAsia="zh-CN"/>
        </w:rPr>
        <w:t xml:space="preserve">only </w:t>
      </w:r>
      <w:r w:rsidR="0079224E" w:rsidRPr="00EB11D3">
        <w:rPr>
          <w:szCs w:val="24"/>
          <w:lang w:eastAsia="zh-CN"/>
        </w:rPr>
        <w:t xml:space="preserve">to </w:t>
      </w:r>
      <w:r w:rsidRPr="00EB11D3">
        <w:rPr>
          <w:szCs w:val="24"/>
          <w:lang w:eastAsia="zh-CN"/>
        </w:rPr>
        <w:t xml:space="preserve">be used for data analysis in this study. Identifying information </w:t>
      </w:r>
      <w:r w:rsidR="00310126" w:rsidRPr="00EB11D3">
        <w:rPr>
          <w:szCs w:val="24"/>
          <w:lang w:eastAsia="zh-CN"/>
        </w:rPr>
        <w:t>was</w:t>
      </w:r>
      <w:r w:rsidRPr="00EB11D3">
        <w:rPr>
          <w:szCs w:val="24"/>
          <w:lang w:eastAsia="zh-CN"/>
        </w:rPr>
        <w:t xml:space="preserve"> removed from any report or publication. </w:t>
      </w:r>
      <w:r w:rsidR="00212BDF" w:rsidRPr="00EB11D3">
        <w:rPr>
          <w:szCs w:val="24"/>
          <w:lang w:eastAsia="zh-CN"/>
        </w:rPr>
        <w:t>The wording of the reports and publications ensure</w:t>
      </w:r>
      <w:r w:rsidR="004C4BF1" w:rsidRPr="00EB11D3">
        <w:rPr>
          <w:szCs w:val="24"/>
          <w:lang w:eastAsia="zh-CN"/>
        </w:rPr>
        <w:t>d</w:t>
      </w:r>
      <w:r w:rsidR="00212BDF" w:rsidRPr="00EB11D3">
        <w:rPr>
          <w:szCs w:val="24"/>
          <w:lang w:eastAsia="zh-CN"/>
        </w:rPr>
        <w:t xml:space="preserve"> no opportunity for anyone to identify </w:t>
      </w:r>
      <w:r w:rsidR="0000436C" w:rsidRPr="00EB11D3">
        <w:rPr>
          <w:szCs w:val="24"/>
          <w:lang w:eastAsia="zh-CN"/>
        </w:rPr>
        <w:t>participants</w:t>
      </w:r>
      <w:r w:rsidR="00212BDF" w:rsidRPr="00EB11D3">
        <w:rPr>
          <w:szCs w:val="24"/>
          <w:lang w:eastAsia="zh-CN"/>
        </w:rPr>
        <w:t xml:space="preserve">. </w:t>
      </w:r>
      <w:r w:rsidR="00732C46" w:rsidRPr="00EB11D3">
        <w:rPr>
          <w:szCs w:val="24"/>
          <w:lang w:eastAsia="zh-CN"/>
        </w:rPr>
        <w:t xml:space="preserve">Additionally, pseudonyms </w:t>
      </w:r>
      <w:r w:rsidR="00883185" w:rsidRPr="00EB11D3">
        <w:rPr>
          <w:szCs w:val="24"/>
          <w:lang w:eastAsia="zh-CN"/>
        </w:rPr>
        <w:t>were</w:t>
      </w:r>
      <w:r w:rsidR="00732C46" w:rsidRPr="00EB11D3">
        <w:rPr>
          <w:szCs w:val="24"/>
          <w:lang w:eastAsia="zh-CN"/>
        </w:rPr>
        <w:t xml:space="preserve"> used to refer to the response from the participants.</w:t>
      </w:r>
    </w:p>
    <w:p w14:paraId="600EB820" w14:textId="77777777" w:rsidR="00DC0D7C" w:rsidRPr="00EB11D3" w:rsidRDefault="00212BDF" w:rsidP="00AD1CB7">
      <w:pPr>
        <w:pStyle w:val="Heading3"/>
      </w:pPr>
      <w:bookmarkStart w:id="531" w:name="_Toc132709956"/>
      <w:bookmarkStart w:id="532" w:name="_Toc134174680"/>
      <w:bookmarkStart w:id="533" w:name="_Toc135405897"/>
      <w:bookmarkStart w:id="534" w:name="_Toc135938108"/>
      <w:bookmarkStart w:id="535" w:name="_Toc135938314"/>
      <w:bookmarkStart w:id="536" w:name="_Toc140111877"/>
      <w:bookmarkStart w:id="537" w:name="_Toc153052105"/>
      <w:bookmarkStart w:id="538" w:name="_Toc164148982"/>
      <w:bookmarkStart w:id="539" w:name="_Toc164151243"/>
      <w:bookmarkStart w:id="540" w:name="_Toc168673435"/>
      <w:bookmarkStart w:id="541" w:name="_Toc168737877"/>
      <w:bookmarkStart w:id="542" w:name="_Toc171602630"/>
      <w:bookmarkStart w:id="543" w:name="_Toc171603457"/>
      <w:bookmarkStart w:id="544" w:name="_Toc177387862"/>
      <w:r w:rsidRPr="00EB11D3">
        <w:t>3.</w:t>
      </w:r>
      <w:r w:rsidR="003F0603" w:rsidRPr="00EB11D3">
        <w:t>1</w:t>
      </w:r>
      <w:r w:rsidR="00B60CD7" w:rsidRPr="00EB11D3">
        <w:t>1</w:t>
      </w:r>
      <w:r w:rsidRPr="00EB11D3">
        <w:t>.4 Privacy</w:t>
      </w:r>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p>
    <w:p w14:paraId="2FBA90A6" w14:textId="77777777" w:rsidR="00DC0D7C" w:rsidRPr="00EB11D3" w:rsidRDefault="00212BDF">
      <w:pPr>
        <w:spacing w:line="360" w:lineRule="auto"/>
        <w:rPr>
          <w:szCs w:val="24"/>
          <w:lang w:eastAsia="zh-CN"/>
        </w:rPr>
      </w:pPr>
      <w:bookmarkStart w:id="545" w:name="_Toc132031182"/>
      <w:bookmarkStart w:id="546" w:name="_Toc11164667"/>
      <w:r w:rsidRPr="00EB11D3">
        <w:rPr>
          <w:szCs w:val="24"/>
          <w:lang w:eastAsia="zh-CN"/>
        </w:rPr>
        <w:t xml:space="preserve">The participants </w:t>
      </w:r>
      <w:r w:rsidR="00883185" w:rsidRPr="00EB11D3">
        <w:rPr>
          <w:szCs w:val="24"/>
          <w:lang w:eastAsia="zh-CN"/>
        </w:rPr>
        <w:t>were</w:t>
      </w:r>
      <w:r w:rsidRPr="00EB11D3">
        <w:rPr>
          <w:szCs w:val="24"/>
          <w:lang w:eastAsia="zh-CN"/>
        </w:rPr>
        <w:t xml:space="preserve"> assured that no third parties </w:t>
      </w:r>
      <w:r w:rsidR="00883185" w:rsidRPr="00EB11D3">
        <w:rPr>
          <w:szCs w:val="24"/>
          <w:lang w:eastAsia="zh-CN"/>
        </w:rPr>
        <w:t xml:space="preserve">would </w:t>
      </w:r>
      <w:r w:rsidRPr="00EB11D3">
        <w:rPr>
          <w:szCs w:val="24"/>
          <w:lang w:eastAsia="zh-CN"/>
        </w:rPr>
        <w:t xml:space="preserve">have access to the information and relevant permission </w:t>
      </w:r>
      <w:r w:rsidR="00883185" w:rsidRPr="00EB11D3">
        <w:rPr>
          <w:szCs w:val="24"/>
          <w:lang w:eastAsia="zh-CN"/>
        </w:rPr>
        <w:t xml:space="preserve">would </w:t>
      </w:r>
      <w:r w:rsidRPr="00EB11D3">
        <w:rPr>
          <w:szCs w:val="24"/>
          <w:lang w:eastAsia="zh-CN"/>
        </w:rPr>
        <w:t>be sought from the participating institutions</w:t>
      </w:r>
      <w:r w:rsidR="00606D98" w:rsidRPr="00EB11D3">
        <w:rPr>
          <w:szCs w:val="24"/>
          <w:lang w:eastAsia="zh-CN"/>
        </w:rPr>
        <w:t xml:space="preserve">. </w:t>
      </w:r>
      <w:r w:rsidR="00C43DEE" w:rsidRPr="00EB11D3">
        <w:rPr>
          <w:szCs w:val="24"/>
          <w:lang w:eastAsia="zh-CN"/>
        </w:rPr>
        <w:t>The researcher safeguard</w:t>
      </w:r>
      <w:r w:rsidR="00883185" w:rsidRPr="00EB11D3">
        <w:rPr>
          <w:szCs w:val="24"/>
          <w:lang w:eastAsia="zh-CN"/>
        </w:rPr>
        <w:t>ed</w:t>
      </w:r>
      <w:r w:rsidR="00C43DEE" w:rsidRPr="00EB11D3">
        <w:rPr>
          <w:szCs w:val="24"/>
          <w:lang w:eastAsia="zh-CN"/>
        </w:rPr>
        <w:t xml:space="preserve"> the privacy and security of the information acquired from the </w:t>
      </w:r>
      <w:r w:rsidR="0000436C" w:rsidRPr="00EB11D3">
        <w:rPr>
          <w:szCs w:val="24"/>
          <w:lang w:eastAsia="zh-CN"/>
        </w:rPr>
        <w:t>participants</w:t>
      </w:r>
      <w:r w:rsidR="00C43DEE" w:rsidRPr="00EB11D3">
        <w:rPr>
          <w:szCs w:val="24"/>
          <w:lang w:eastAsia="zh-CN"/>
        </w:rPr>
        <w:t xml:space="preserve"> by restricting unauthorised parties from accessing information that contains elements that could betray the respondent's identity. </w:t>
      </w:r>
      <w:r w:rsidR="00047E40" w:rsidRPr="00EB11D3">
        <w:rPr>
          <w:szCs w:val="24"/>
          <w:lang w:eastAsia="zh-CN"/>
        </w:rPr>
        <w:t xml:space="preserve">Additionally, data files </w:t>
      </w:r>
      <w:r w:rsidR="00883185" w:rsidRPr="00EB11D3">
        <w:rPr>
          <w:szCs w:val="24"/>
          <w:lang w:eastAsia="zh-CN"/>
        </w:rPr>
        <w:t>were</w:t>
      </w:r>
      <w:r w:rsidR="00047E40" w:rsidRPr="00EB11D3">
        <w:rPr>
          <w:szCs w:val="24"/>
          <w:lang w:eastAsia="zh-CN"/>
        </w:rPr>
        <w:t xml:space="preserve"> properly kept and maintained.</w:t>
      </w:r>
      <w:r w:rsidRPr="00EB11D3">
        <w:rPr>
          <w:szCs w:val="24"/>
          <w:lang w:eastAsia="zh-CN"/>
        </w:rPr>
        <w:t xml:space="preserve"> Rightful credits </w:t>
      </w:r>
      <w:r w:rsidR="008F2E81" w:rsidRPr="00EB11D3">
        <w:rPr>
          <w:szCs w:val="24"/>
          <w:lang w:eastAsia="zh-CN"/>
        </w:rPr>
        <w:t>were</w:t>
      </w:r>
      <w:r w:rsidRPr="00EB11D3">
        <w:rPr>
          <w:szCs w:val="24"/>
          <w:lang w:eastAsia="zh-CN"/>
        </w:rPr>
        <w:t xml:space="preserve"> given to the articles used in the research to avoid cases of plagiarism, authorship and copyrights.</w:t>
      </w:r>
    </w:p>
    <w:p w14:paraId="234BEECC" w14:textId="77777777" w:rsidR="00DC0D7C" w:rsidRPr="00EB11D3" w:rsidRDefault="00212BDF" w:rsidP="00AD1CB7">
      <w:pPr>
        <w:pStyle w:val="Heading3"/>
      </w:pPr>
      <w:bookmarkStart w:id="547" w:name="_Toc132709957"/>
      <w:bookmarkStart w:id="548" w:name="_Toc134174681"/>
      <w:bookmarkStart w:id="549" w:name="_Toc135405898"/>
      <w:bookmarkStart w:id="550" w:name="_Toc135938109"/>
      <w:bookmarkStart w:id="551" w:name="_Toc135938315"/>
      <w:bookmarkStart w:id="552" w:name="_Toc140111878"/>
      <w:bookmarkStart w:id="553" w:name="_Toc153052106"/>
      <w:bookmarkStart w:id="554" w:name="_Toc164148983"/>
      <w:bookmarkStart w:id="555" w:name="_Toc164151244"/>
      <w:bookmarkStart w:id="556" w:name="_Toc168673436"/>
      <w:bookmarkStart w:id="557" w:name="_Toc168737878"/>
      <w:bookmarkStart w:id="558" w:name="_Toc171602631"/>
      <w:bookmarkStart w:id="559" w:name="_Toc171603458"/>
      <w:bookmarkStart w:id="560" w:name="_Toc177387863"/>
      <w:r w:rsidRPr="00EB11D3">
        <w:t>3.</w:t>
      </w:r>
      <w:r w:rsidR="003F0603" w:rsidRPr="00EB11D3">
        <w:t>1</w:t>
      </w:r>
      <w:r w:rsidR="00B60CD7" w:rsidRPr="00EB11D3">
        <w:t>1</w:t>
      </w:r>
      <w:r w:rsidRPr="00EB11D3">
        <w:t>.5 Anonymity</w:t>
      </w:r>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p>
    <w:p w14:paraId="3314CE51" w14:textId="77777777" w:rsidR="00DC0D7C" w:rsidRPr="00EB11D3" w:rsidRDefault="0000436C">
      <w:pPr>
        <w:spacing w:line="360" w:lineRule="auto"/>
        <w:rPr>
          <w:szCs w:val="24"/>
          <w:lang w:eastAsia="zh-CN"/>
        </w:rPr>
      </w:pPr>
      <w:r w:rsidRPr="00EB11D3">
        <w:rPr>
          <w:szCs w:val="24"/>
          <w:lang w:eastAsia="zh-CN"/>
        </w:rPr>
        <w:t>Participants</w:t>
      </w:r>
      <w:r w:rsidR="00212BDF" w:rsidRPr="00EB11D3">
        <w:rPr>
          <w:szCs w:val="24"/>
          <w:lang w:eastAsia="zh-CN"/>
        </w:rPr>
        <w:t xml:space="preserve"> </w:t>
      </w:r>
      <w:r w:rsidRPr="00EB11D3">
        <w:rPr>
          <w:szCs w:val="24"/>
          <w:lang w:eastAsia="zh-CN"/>
        </w:rPr>
        <w:t>were</w:t>
      </w:r>
      <w:r w:rsidR="00212BDF" w:rsidRPr="00EB11D3">
        <w:rPr>
          <w:szCs w:val="24"/>
          <w:lang w:eastAsia="zh-CN"/>
        </w:rPr>
        <w:t xml:space="preserve"> assured that any information they provide would not harm them whether physical or psychological or be used for selfish, commercial or personal gains but would be meant for academic purposes. This therefore mean</w:t>
      </w:r>
      <w:r w:rsidRPr="00EB11D3">
        <w:rPr>
          <w:szCs w:val="24"/>
          <w:lang w:eastAsia="zh-CN"/>
        </w:rPr>
        <w:t>t</w:t>
      </w:r>
      <w:r w:rsidR="00212BDF" w:rsidRPr="00EB11D3">
        <w:rPr>
          <w:szCs w:val="24"/>
          <w:lang w:eastAsia="zh-CN"/>
        </w:rPr>
        <w:t xml:space="preserve"> there </w:t>
      </w:r>
      <w:r w:rsidR="00C5184C" w:rsidRPr="00EB11D3">
        <w:rPr>
          <w:szCs w:val="24"/>
          <w:lang w:eastAsia="zh-CN"/>
        </w:rPr>
        <w:t xml:space="preserve">was </w:t>
      </w:r>
      <w:r w:rsidR="00212BDF" w:rsidRPr="00EB11D3">
        <w:rPr>
          <w:szCs w:val="24"/>
          <w:lang w:eastAsia="zh-CN"/>
        </w:rPr>
        <w:t xml:space="preserve">no form of pain, stress, injured self-esteem or invasion of privacy to the respondents. The participants </w:t>
      </w:r>
      <w:r w:rsidR="00D1253D" w:rsidRPr="00EB11D3">
        <w:rPr>
          <w:szCs w:val="24"/>
          <w:lang w:eastAsia="zh-CN"/>
        </w:rPr>
        <w:t>were</w:t>
      </w:r>
      <w:r w:rsidR="00212BDF" w:rsidRPr="00EB11D3">
        <w:rPr>
          <w:szCs w:val="24"/>
          <w:lang w:eastAsia="zh-CN"/>
        </w:rPr>
        <w:t xml:space="preserve"> assured that information they provide</w:t>
      </w:r>
      <w:r w:rsidR="00D1253D" w:rsidRPr="00EB11D3">
        <w:rPr>
          <w:szCs w:val="24"/>
          <w:lang w:eastAsia="zh-CN"/>
        </w:rPr>
        <w:t>d</w:t>
      </w:r>
      <w:r w:rsidR="00212BDF" w:rsidRPr="00EB11D3">
        <w:rPr>
          <w:szCs w:val="24"/>
          <w:lang w:eastAsia="zh-CN"/>
        </w:rPr>
        <w:t xml:space="preserve"> would not be linked directly to them. Additionally, the research </w:t>
      </w:r>
      <w:r w:rsidR="00E54EE7" w:rsidRPr="00EB11D3">
        <w:rPr>
          <w:szCs w:val="24"/>
          <w:lang w:eastAsia="zh-CN"/>
        </w:rPr>
        <w:t xml:space="preserve">was </w:t>
      </w:r>
      <w:r w:rsidR="00212BDF" w:rsidRPr="00EB11D3">
        <w:rPr>
          <w:szCs w:val="24"/>
          <w:lang w:eastAsia="zh-CN"/>
        </w:rPr>
        <w:t>premised on the ethical requirements of full disclosure, fair treatment, and privacy.</w:t>
      </w:r>
    </w:p>
    <w:p w14:paraId="403BDAD5" w14:textId="77777777" w:rsidR="00DC0D7C" w:rsidRPr="00EB11D3" w:rsidRDefault="00212BDF">
      <w:pPr>
        <w:pStyle w:val="Heading2"/>
        <w:spacing w:before="0" w:line="360" w:lineRule="auto"/>
        <w:rPr>
          <w:szCs w:val="24"/>
        </w:rPr>
      </w:pPr>
      <w:bookmarkStart w:id="561" w:name="_Toc177387864"/>
      <w:r w:rsidRPr="00EB11D3">
        <w:rPr>
          <w:szCs w:val="24"/>
        </w:rPr>
        <w:t>3.</w:t>
      </w:r>
      <w:r w:rsidR="003F0603" w:rsidRPr="00EB11D3">
        <w:rPr>
          <w:szCs w:val="24"/>
        </w:rPr>
        <w:t>1</w:t>
      </w:r>
      <w:r w:rsidR="00B60CD7" w:rsidRPr="00EB11D3">
        <w:rPr>
          <w:szCs w:val="24"/>
        </w:rPr>
        <w:t>2</w:t>
      </w:r>
      <w:r w:rsidR="003F0603" w:rsidRPr="00EB11D3">
        <w:rPr>
          <w:szCs w:val="24"/>
        </w:rPr>
        <w:t xml:space="preserve"> </w:t>
      </w:r>
      <w:r w:rsidRPr="00EB11D3">
        <w:rPr>
          <w:szCs w:val="24"/>
        </w:rPr>
        <w:t>Summary</w:t>
      </w:r>
      <w:bookmarkEnd w:id="479"/>
      <w:bookmarkEnd w:id="480"/>
      <w:bookmarkEnd w:id="481"/>
      <w:bookmarkEnd w:id="482"/>
      <w:bookmarkEnd w:id="561"/>
      <w:r w:rsidRPr="00EB11D3">
        <w:rPr>
          <w:szCs w:val="24"/>
        </w:rPr>
        <w:t xml:space="preserve"> </w:t>
      </w:r>
    </w:p>
    <w:p w14:paraId="5346FC50" w14:textId="77777777" w:rsidR="003859C9" w:rsidRPr="00EB11D3" w:rsidRDefault="00B1391F">
      <w:pPr>
        <w:spacing w:line="360" w:lineRule="auto"/>
        <w:rPr>
          <w:szCs w:val="24"/>
          <w:lang w:eastAsia="zh-CN"/>
        </w:rPr>
      </w:pPr>
      <w:r w:rsidRPr="00EB11D3">
        <w:rPr>
          <w:szCs w:val="24"/>
          <w:lang w:eastAsia="zh-CN"/>
        </w:rPr>
        <w:t xml:space="preserve">This chapter discusses the general approach that </w:t>
      </w:r>
      <w:r w:rsidR="00C020C9" w:rsidRPr="00EB11D3">
        <w:rPr>
          <w:szCs w:val="24"/>
          <w:lang w:eastAsia="zh-CN"/>
        </w:rPr>
        <w:t>was</w:t>
      </w:r>
      <w:r w:rsidRPr="00EB11D3">
        <w:rPr>
          <w:szCs w:val="24"/>
          <w:lang w:eastAsia="zh-CN"/>
        </w:rPr>
        <w:t xml:space="preserve"> used in this study to answer the research questions and achieve the stated study objectives</w:t>
      </w:r>
      <w:r w:rsidR="00212BDF" w:rsidRPr="00EB11D3">
        <w:rPr>
          <w:szCs w:val="24"/>
          <w:lang w:eastAsia="zh-CN"/>
        </w:rPr>
        <w:t>. The research methodology, research design, study's target audience, respondents, data collection and instrumentation, and data gathering process</w:t>
      </w:r>
      <w:r w:rsidR="00C020C9" w:rsidRPr="00EB11D3">
        <w:rPr>
          <w:szCs w:val="24"/>
          <w:lang w:eastAsia="zh-CN"/>
        </w:rPr>
        <w:t xml:space="preserve"> are discussed</w:t>
      </w:r>
      <w:r w:rsidR="00212BDF" w:rsidRPr="00EB11D3">
        <w:rPr>
          <w:szCs w:val="24"/>
          <w:lang w:eastAsia="zh-CN"/>
        </w:rPr>
        <w:t xml:space="preserve">. Additionally covered in this chapter are ethical issues, hypothesis testing, and piloting. The outcomes of data analysis and study </w:t>
      </w:r>
      <w:r w:rsidR="00134B5A" w:rsidRPr="00EB11D3">
        <w:rPr>
          <w:szCs w:val="24"/>
          <w:lang w:eastAsia="zh-CN"/>
        </w:rPr>
        <w:t>are</w:t>
      </w:r>
      <w:r w:rsidR="00212BDF" w:rsidRPr="00EB11D3">
        <w:rPr>
          <w:szCs w:val="24"/>
          <w:lang w:eastAsia="zh-CN"/>
        </w:rPr>
        <w:t xml:space="preserve"> given in the following chapter.</w:t>
      </w:r>
    </w:p>
    <w:p w14:paraId="654A6838" w14:textId="77777777" w:rsidR="003859C9" w:rsidRPr="00EB11D3" w:rsidRDefault="003859C9" w:rsidP="000B5937">
      <w:pPr>
        <w:shd w:val="clear" w:color="auto" w:fill="FFFFFF"/>
        <w:spacing w:after="0" w:line="360" w:lineRule="auto"/>
        <w:jc w:val="center"/>
        <w:outlineLvl w:val="0"/>
        <w:rPr>
          <w:rFonts w:eastAsia="Times New Roman"/>
          <w:b/>
          <w:bCs/>
          <w:kern w:val="36"/>
          <w:szCs w:val="24"/>
          <w:lang w:eastAsia="en-GB"/>
        </w:rPr>
      </w:pPr>
      <w:r w:rsidRPr="00EB11D3">
        <w:rPr>
          <w:szCs w:val="24"/>
          <w:lang w:eastAsia="zh-CN"/>
        </w:rPr>
        <w:br w:type="page"/>
      </w:r>
      <w:bookmarkStart w:id="562" w:name="_Toc84504756"/>
      <w:bookmarkStart w:id="563" w:name="_Toc126071123"/>
      <w:bookmarkStart w:id="564" w:name="_Toc177387865"/>
      <w:bookmarkStart w:id="565" w:name="_Toc94528926"/>
      <w:bookmarkStart w:id="566" w:name="_Toc103414503"/>
      <w:r w:rsidRPr="00EB11D3">
        <w:rPr>
          <w:rFonts w:eastAsia="Times New Roman"/>
          <w:b/>
          <w:bCs/>
          <w:kern w:val="36"/>
          <w:szCs w:val="24"/>
          <w:lang w:eastAsia="en-GB"/>
        </w:rPr>
        <w:t>CHAPTER FOUR</w:t>
      </w:r>
      <w:bookmarkStart w:id="567" w:name="_Toc84504757"/>
      <w:bookmarkEnd w:id="562"/>
      <w:bookmarkEnd w:id="563"/>
      <w:bookmarkEnd w:id="564"/>
    </w:p>
    <w:p w14:paraId="728D2068" w14:textId="77777777" w:rsidR="003859C9" w:rsidRPr="00EB11D3" w:rsidRDefault="003859C9" w:rsidP="000B5937">
      <w:pPr>
        <w:shd w:val="clear" w:color="auto" w:fill="FFFFFF"/>
        <w:spacing w:after="0" w:line="360" w:lineRule="auto"/>
        <w:jc w:val="center"/>
        <w:outlineLvl w:val="0"/>
        <w:rPr>
          <w:rFonts w:eastAsia="Times New Roman"/>
          <w:b/>
          <w:bCs/>
          <w:kern w:val="36"/>
          <w:szCs w:val="24"/>
          <w:lang w:eastAsia="en-GB"/>
        </w:rPr>
      </w:pPr>
      <w:bookmarkStart w:id="568" w:name="_Toc126071124"/>
      <w:bookmarkStart w:id="569" w:name="_Toc177387866"/>
      <w:r w:rsidRPr="00EB11D3">
        <w:rPr>
          <w:rFonts w:eastAsia="Times New Roman"/>
          <w:b/>
          <w:bCs/>
          <w:kern w:val="36"/>
          <w:szCs w:val="24"/>
          <w:lang w:eastAsia="en-GB"/>
        </w:rPr>
        <w:t>DATA ANALYSIS AND RESEARCH RESULTS</w:t>
      </w:r>
      <w:bookmarkEnd w:id="565"/>
      <w:bookmarkEnd w:id="567"/>
      <w:bookmarkEnd w:id="568"/>
      <w:bookmarkEnd w:id="569"/>
    </w:p>
    <w:p w14:paraId="2B211D7C" w14:textId="77777777" w:rsidR="003859C9" w:rsidRPr="00EB11D3" w:rsidRDefault="005544FC" w:rsidP="00823CEA">
      <w:pPr>
        <w:pStyle w:val="Heading2"/>
        <w:spacing w:line="360" w:lineRule="auto"/>
      </w:pPr>
      <w:bookmarkStart w:id="570" w:name="_Toc126071125"/>
      <w:bookmarkStart w:id="571" w:name="_Toc177387867"/>
      <w:r w:rsidRPr="00EB11D3">
        <w:t>4.</w:t>
      </w:r>
      <w:r w:rsidR="00C37F69">
        <w:t>0</w:t>
      </w:r>
      <w:r w:rsidRPr="00EB11D3">
        <w:t xml:space="preserve"> </w:t>
      </w:r>
      <w:r w:rsidR="003859C9" w:rsidRPr="00EB11D3">
        <w:t>Introduction</w:t>
      </w:r>
      <w:bookmarkEnd w:id="566"/>
      <w:bookmarkEnd w:id="570"/>
      <w:bookmarkEnd w:id="571"/>
    </w:p>
    <w:p w14:paraId="3074E082" w14:textId="77777777" w:rsidR="003859C9" w:rsidRPr="00EB11D3" w:rsidRDefault="00B204C1" w:rsidP="00823CEA">
      <w:pPr>
        <w:spacing w:line="360" w:lineRule="auto"/>
        <w:rPr>
          <w:rFonts w:eastAsia="Times New Roman"/>
          <w:b/>
          <w:bCs/>
          <w:szCs w:val="36"/>
        </w:rPr>
      </w:pPr>
      <w:r w:rsidRPr="00B204C1">
        <w:t xml:space="preserve">The data analysis and study findings are presented in this chapter. The study examined the connections between </w:t>
      </w:r>
      <w:r w:rsidR="00EA0577" w:rsidRPr="00B204C1">
        <w:t xml:space="preserve">organisational performance </w:t>
      </w:r>
      <w:r w:rsidR="00EA0577">
        <w:t xml:space="preserve">of </w:t>
      </w:r>
      <w:r w:rsidRPr="00B204C1">
        <w:t>faith-based hospitals in</w:t>
      </w:r>
      <w:r w:rsidR="00EA0577">
        <w:t xml:space="preserve"> Kenya</w:t>
      </w:r>
      <w:r w:rsidRPr="00B204C1">
        <w:t xml:space="preserve">, service innovation, corporate governance, and government regulation. The collected data was edited, coded, classed, and tabulated. Descriptive and inferential statistics were then used to analyse the data; the findings of the demographic and pilot surveys are shown in section 4.3, while the response rate results are addressed in section 4.2. Factor analysis, diagnostic tests, validity, and reliability are all included in the section of the pilot survey. The descriptive data for </w:t>
      </w:r>
      <w:r w:rsidR="00290ED4">
        <w:t xml:space="preserve">organisational performance of </w:t>
      </w:r>
      <w:r w:rsidR="00EA0577">
        <w:t>faith-based</w:t>
      </w:r>
      <w:r w:rsidR="00290ED4">
        <w:t xml:space="preserve"> hospitals in Kenya</w:t>
      </w:r>
      <w:r w:rsidRPr="00B204C1">
        <w:t>, service innovation, corporate governance, and compliance with government regulations are shown in Section 4.4. Correlation analysis and hypothesis testing are presented in Sections 4.5 and 4.6, respectively.</w:t>
      </w:r>
      <w:r w:rsidR="003859C9" w:rsidRPr="00EB11D3">
        <w:t xml:space="preserve"> </w:t>
      </w:r>
      <w:r w:rsidRPr="00B204C1">
        <w:t xml:space="preserve">The relationship between faith-based hospitals' corporate governance and organisational performance, the mediating role of service innovation in this relationship, and the moderating influence of governmental regulations on this relationship are all the subjects of hypothesis testing. The last hypothesis to be tested was </w:t>
      </w:r>
      <w:r w:rsidR="003859C9" w:rsidRPr="00EB11D3">
        <w:t>on the</w:t>
      </w:r>
      <w:r w:rsidR="003859C9" w:rsidRPr="00EB11D3">
        <w:rPr>
          <w:lang w:val="en"/>
        </w:rPr>
        <w:t xml:space="preserve"> </w:t>
      </w:r>
      <w:r w:rsidR="00E70D07" w:rsidRPr="00EB11D3">
        <w:rPr>
          <w:lang w:val="en"/>
        </w:rPr>
        <w:t xml:space="preserve">mediated moderation </w:t>
      </w:r>
      <w:r w:rsidR="003859C9" w:rsidRPr="00EB11D3">
        <w:rPr>
          <w:lang w:val="en"/>
        </w:rPr>
        <w:t xml:space="preserve">effect of service innovation and government regulation on the relationship between corporate governance and </w:t>
      </w:r>
      <w:r w:rsidR="006D5C62" w:rsidRPr="00EB11D3">
        <w:rPr>
          <w:lang w:val="en"/>
        </w:rPr>
        <w:t>organisational performance of Faith-Based Hospitals</w:t>
      </w:r>
      <w:r w:rsidR="003859C9" w:rsidRPr="00EB11D3">
        <w:rPr>
          <w:lang w:val="en"/>
        </w:rPr>
        <w:t xml:space="preserve"> in Kenya.</w:t>
      </w:r>
    </w:p>
    <w:p w14:paraId="0ED5B97D" w14:textId="77777777" w:rsidR="003859C9" w:rsidRPr="00EB11D3" w:rsidRDefault="003859C9" w:rsidP="00823CEA">
      <w:pPr>
        <w:pStyle w:val="Heading2"/>
        <w:spacing w:line="360" w:lineRule="auto"/>
      </w:pPr>
      <w:bookmarkStart w:id="572" w:name="_Toc103414504"/>
      <w:bookmarkStart w:id="573" w:name="_Toc126071126"/>
      <w:bookmarkStart w:id="574" w:name="_Toc177387868"/>
      <w:r w:rsidRPr="00EB11D3">
        <w:t>4.</w:t>
      </w:r>
      <w:r w:rsidR="00C37F69">
        <w:t>1</w:t>
      </w:r>
      <w:r w:rsidRPr="00EB11D3">
        <w:t xml:space="preserve"> Response Rate</w:t>
      </w:r>
      <w:bookmarkEnd w:id="572"/>
      <w:bookmarkEnd w:id="573"/>
      <w:bookmarkEnd w:id="574"/>
    </w:p>
    <w:p w14:paraId="3839B738" w14:textId="77777777" w:rsidR="003859C9" w:rsidRPr="00EB11D3" w:rsidRDefault="0027262D" w:rsidP="005544FC">
      <w:pPr>
        <w:shd w:val="clear" w:color="auto" w:fill="FFFFFF"/>
        <w:spacing w:after="160" w:line="360" w:lineRule="auto"/>
        <w:rPr>
          <w:rFonts w:eastAsia="Cambria"/>
          <w:szCs w:val="24"/>
        </w:rPr>
      </w:pPr>
      <w:r w:rsidRPr="0027262D">
        <w:rPr>
          <w:rFonts w:eastAsia="Cambria"/>
          <w:szCs w:val="24"/>
        </w:rPr>
        <w:t>The representativeness of the sample size was evaluated using the response rate. The reliability of the study findings is greatly dependent on the response rate. Generally speaking, a low response rate might reduce the data collection's statistical power and jeopardise the accuracy of the findings. As a result, this makes it more difficult for the researcher to extrapolate the findings to the wider target audience. Furthermore, a low response rate could point to non-response bias in the sample.</w:t>
      </w:r>
      <w:r w:rsidR="003859C9" w:rsidRPr="00EB11D3">
        <w:rPr>
          <w:rFonts w:eastAsia="Cambria"/>
          <w:szCs w:val="24"/>
        </w:rPr>
        <w:t xml:space="preserve"> </w:t>
      </w:r>
      <w:bookmarkStart w:id="575" w:name="_Hlk170494253"/>
      <w:r w:rsidR="003859C9" w:rsidRPr="00EB11D3">
        <w:rPr>
          <w:rFonts w:eastAsia="Cambria"/>
          <w:szCs w:val="24"/>
        </w:rPr>
        <w:t xml:space="preserve">In this study 309 questionnaires were administered to the </w:t>
      </w:r>
      <w:r w:rsidR="003859C9" w:rsidRPr="00EB11D3">
        <w:rPr>
          <w:rFonts w:eastAsia="Calibri"/>
          <w:szCs w:val="24"/>
        </w:rPr>
        <w:t xml:space="preserve">level 4 and 5 Faith-Based Hospitals (FBHs) in Kenya </w:t>
      </w:r>
      <w:r w:rsidR="003859C9" w:rsidRPr="00EB11D3">
        <w:rPr>
          <w:rFonts w:eastAsia="Cambria"/>
          <w:szCs w:val="24"/>
        </w:rPr>
        <w:t>and the response results are as shown in Table 6.</w:t>
      </w:r>
    </w:p>
    <w:p w14:paraId="1936ABC6" w14:textId="77777777" w:rsidR="003859C9" w:rsidRPr="00EB11D3" w:rsidRDefault="0027262D" w:rsidP="003859C9">
      <w:pPr>
        <w:keepNext/>
        <w:shd w:val="clear" w:color="auto" w:fill="FFFFFF"/>
        <w:spacing w:after="0" w:line="240" w:lineRule="auto"/>
        <w:rPr>
          <w:rFonts w:eastAsia="Times New Roman"/>
          <w:b/>
          <w:bCs/>
          <w:szCs w:val="24"/>
        </w:rPr>
      </w:pPr>
      <w:bookmarkStart w:id="576" w:name="_Toc100987957"/>
      <w:bookmarkStart w:id="577" w:name="_Toc126666741"/>
      <w:r>
        <w:rPr>
          <w:rFonts w:eastAsia="Times New Roman"/>
          <w:b/>
          <w:bCs/>
          <w:szCs w:val="24"/>
        </w:rPr>
        <w:br w:type="page"/>
      </w:r>
      <w:bookmarkStart w:id="578" w:name="_Toc177387937"/>
      <w:r w:rsidR="003859C9" w:rsidRPr="00EB11D3">
        <w:rPr>
          <w:rFonts w:eastAsia="Times New Roman"/>
          <w:b/>
          <w:bCs/>
          <w:szCs w:val="24"/>
        </w:rPr>
        <w:t xml:space="preserve">Table </w:t>
      </w:r>
      <w:r w:rsidR="003859C9" w:rsidRPr="00EB11D3">
        <w:rPr>
          <w:rFonts w:eastAsia="Times New Roman"/>
          <w:b/>
          <w:bCs/>
          <w:szCs w:val="24"/>
        </w:rPr>
        <w:fldChar w:fldCharType="begin"/>
      </w:r>
      <w:r w:rsidR="003859C9" w:rsidRPr="00EB11D3">
        <w:rPr>
          <w:rFonts w:eastAsia="Times New Roman"/>
          <w:b/>
          <w:bCs/>
          <w:szCs w:val="24"/>
        </w:rPr>
        <w:instrText xml:space="preserve"> SEQ Table \* ARABIC </w:instrText>
      </w:r>
      <w:r w:rsidR="003859C9" w:rsidRPr="00EB11D3">
        <w:rPr>
          <w:rFonts w:eastAsia="Times New Roman"/>
          <w:b/>
          <w:bCs/>
          <w:szCs w:val="24"/>
        </w:rPr>
        <w:fldChar w:fldCharType="separate"/>
      </w:r>
      <w:r w:rsidR="003859C9" w:rsidRPr="00EB11D3">
        <w:rPr>
          <w:rFonts w:eastAsia="Times New Roman"/>
          <w:b/>
          <w:bCs/>
          <w:noProof/>
          <w:szCs w:val="24"/>
        </w:rPr>
        <w:t>6</w:t>
      </w:r>
      <w:r w:rsidR="003859C9" w:rsidRPr="00EB11D3">
        <w:rPr>
          <w:rFonts w:eastAsia="Times New Roman"/>
          <w:b/>
          <w:bCs/>
          <w:szCs w:val="24"/>
        </w:rPr>
        <w:fldChar w:fldCharType="end"/>
      </w:r>
      <w:r w:rsidR="003859C9" w:rsidRPr="00EB11D3">
        <w:rPr>
          <w:rFonts w:eastAsia="Times New Roman"/>
          <w:b/>
          <w:bCs/>
          <w:szCs w:val="24"/>
        </w:rPr>
        <w:t>: Response Rate</w:t>
      </w:r>
      <w:bookmarkEnd w:id="576"/>
      <w:bookmarkEnd w:id="577"/>
      <w:bookmarkEnd w:id="578"/>
      <w:r w:rsidR="003859C9" w:rsidRPr="00EB11D3">
        <w:rPr>
          <w:rFonts w:eastAsia="Times New Roman"/>
          <w:b/>
          <w:bCs/>
          <w:szCs w:val="24"/>
        </w:rPr>
        <w:t xml:space="preserve"> </w:t>
      </w:r>
    </w:p>
    <w:p w14:paraId="616888E5" w14:textId="77777777" w:rsidR="003859C9" w:rsidRPr="00EB11D3" w:rsidRDefault="003859C9" w:rsidP="003859C9">
      <w:pPr>
        <w:shd w:val="clear" w:color="auto" w:fill="FFFFFF"/>
        <w:spacing w:after="160" w:line="259" w:lineRule="auto"/>
        <w:jc w:val="left"/>
        <w:rPr>
          <w:rFonts w:eastAsia="Calibri"/>
          <w:szCs w:val="24"/>
        </w:rPr>
      </w:pPr>
    </w:p>
    <w:tbl>
      <w:tblPr>
        <w:tblW w:w="5000" w:type="pct"/>
        <w:tblBorders>
          <w:top w:val="single" w:sz="8" w:space="0" w:color="000000"/>
          <w:bottom w:val="single" w:sz="8" w:space="0" w:color="000000"/>
        </w:tblBorders>
        <w:shd w:val="clear" w:color="auto" w:fill="FFFFFF"/>
        <w:tblLook w:val="04A0" w:firstRow="1" w:lastRow="0" w:firstColumn="1" w:lastColumn="0" w:noHBand="0" w:noVBand="1"/>
      </w:tblPr>
      <w:tblGrid>
        <w:gridCol w:w="2300"/>
        <w:gridCol w:w="3939"/>
        <w:gridCol w:w="3121"/>
      </w:tblGrid>
      <w:tr w:rsidR="003859C9" w:rsidRPr="00EB11D3" w14:paraId="12753845" w14:textId="77777777" w:rsidTr="00007E09">
        <w:tc>
          <w:tcPr>
            <w:tcW w:w="1229" w:type="pct"/>
            <w:tcBorders>
              <w:top w:val="single" w:sz="8" w:space="0" w:color="000000"/>
              <w:left w:val="nil"/>
              <w:bottom w:val="single" w:sz="8" w:space="0" w:color="000000"/>
              <w:right w:val="nil"/>
            </w:tcBorders>
            <w:shd w:val="clear" w:color="auto" w:fill="FFFFFF"/>
          </w:tcPr>
          <w:p w14:paraId="02589B5A" w14:textId="77777777" w:rsidR="003859C9" w:rsidRPr="00EB11D3" w:rsidRDefault="003859C9" w:rsidP="00007E09">
            <w:pPr>
              <w:shd w:val="clear" w:color="auto" w:fill="FFFFFF"/>
              <w:spacing w:after="160" w:line="360" w:lineRule="auto"/>
              <w:rPr>
                <w:rFonts w:eastAsia="Cambria"/>
                <w:b/>
                <w:bCs/>
                <w:szCs w:val="24"/>
              </w:rPr>
            </w:pPr>
            <w:bookmarkStart w:id="579" w:name="_Hlk170494280"/>
            <w:r w:rsidRPr="00EB11D3">
              <w:rPr>
                <w:rFonts w:eastAsia="Cambria"/>
                <w:b/>
                <w:bCs/>
                <w:szCs w:val="24"/>
              </w:rPr>
              <w:t>Category</w:t>
            </w:r>
          </w:p>
        </w:tc>
        <w:tc>
          <w:tcPr>
            <w:tcW w:w="2104" w:type="pct"/>
            <w:tcBorders>
              <w:top w:val="single" w:sz="8" w:space="0" w:color="000000"/>
              <w:left w:val="nil"/>
              <w:bottom w:val="single" w:sz="8" w:space="0" w:color="000000"/>
              <w:right w:val="nil"/>
            </w:tcBorders>
            <w:shd w:val="clear" w:color="auto" w:fill="FFFFFF"/>
          </w:tcPr>
          <w:p w14:paraId="1C4C7D3A" w14:textId="77777777" w:rsidR="003859C9" w:rsidRPr="00EB11D3" w:rsidRDefault="003859C9" w:rsidP="00007E09">
            <w:pPr>
              <w:shd w:val="clear" w:color="auto" w:fill="FFFFFF"/>
              <w:spacing w:after="160" w:line="360" w:lineRule="auto"/>
              <w:rPr>
                <w:rFonts w:eastAsia="Cambria"/>
                <w:b/>
                <w:bCs/>
                <w:szCs w:val="24"/>
              </w:rPr>
            </w:pPr>
            <w:r w:rsidRPr="00EB11D3">
              <w:rPr>
                <w:rFonts w:eastAsia="Cambria"/>
                <w:b/>
                <w:bCs/>
                <w:szCs w:val="24"/>
              </w:rPr>
              <w:t>Administered Questionnaires</w:t>
            </w:r>
          </w:p>
        </w:tc>
        <w:tc>
          <w:tcPr>
            <w:tcW w:w="1667" w:type="pct"/>
            <w:tcBorders>
              <w:top w:val="single" w:sz="8" w:space="0" w:color="000000"/>
              <w:left w:val="nil"/>
              <w:bottom w:val="single" w:sz="8" w:space="0" w:color="000000"/>
              <w:right w:val="nil"/>
            </w:tcBorders>
            <w:shd w:val="clear" w:color="auto" w:fill="FFFFFF"/>
          </w:tcPr>
          <w:p w14:paraId="3D6CD006" w14:textId="77777777" w:rsidR="003859C9" w:rsidRPr="00EB11D3" w:rsidRDefault="003859C9" w:rsidP="00007E09">
            <w:pPr>
              <w:shd w:val="clear" w:color="auto" w:fill="FFFFFF"/>
              <w:spacing w:after="160" w:line="360" w:lineRule="auto"/>
              <w:rPr>
                <w:rFonts w:eastAsia="Cambria"/>
                <w:b/>
                <w:bCs/>
                <w:szCs w:val="24"/>
              </w:rPr>
            </w:pPr>
            <w:r w:rsidRPr="00EB11D3">
              <w:rPr>
                <w:rFonts w:eastAsia="Cambria"/>
                <w:b/>
                <w:bCs/>
                <w:szCs w:val="24"/>
              </w:rPr>
              <w:t>Response Rate</w:t>
            </w:r>
          </w:p>
        </w:tc>
      </w:tr>
      <w:tr w:rsidR="003859C9" w:rsidRPr="00BB4654" w14:paraId="2B41F5CF" w14:textId="77777777" w:rsidTr="00007E09">
        <w:tc>
          <w:tcPr>
            <w:tcW w:w="1229" w:type="pct"/>
            <w:tcBorders>
              <w:left w:val="nil"/>
              <w:right w:val="nil"/>
            </w:tcBorders>
            <w:shd w:val="clear" w:color="auto" w:fill="FFFFFF"/>
          </w:tcPr>
          <w:p w14:paraId="35FC6A7C" w14:textId="77777777" w:rsidR="003859C9" w:rsidRPr="00BB4654" w:rsidRDefault="003859C9" w:rsidP="00007E09">
            <w:pPr>
              <w:shd w:val="clear" w:color="auto" w:fill="FFFFFF"/>
              <w:spacing w:after="160" w:line="259" w:lineRule="auto"/>
              <w:rPr>
                <w:rFonts w:eastAsia="Cambria"/>
                <w:szCs w:val="24"/>
              </w:rPr>
            </w:pPr>
            <w:r w:rsidRPr="00BB4654">
              <w:rPr>
                <w:rFonts w:eastAsia="Cambria"/>
                <w:szCs w:val="24"/>
              </w:rPr>
              <w:t>Returned</w:t>
            </w:r>
          </w:p>
        </w:tc>
        <w:tc>
          <w:tcPr>
            <w:tcW w:w="2104" w:type="pct"/>
            <w:tcBorders>
              <w:right w:val="nil"/>
            </w:tcBorders>
            <w:shd w:val="clear" w:color="auto" w:fill="FFFFFF"/>
          </w:tcPr>
          <w:p w14:paraId="2F8DF276" w14:textId="77777777" w:rsidR="003859C9" w:rsidRPr="00BB4654" w:rsidRDefault="003859C9" w:rsidP="00007E09">
            <w:pPr>
              <w:shd w:val="clear" w:color="auto" w:fill="FFFFFF"/>
              <w:spacing w:after="160" w:line="259" w:lineRule="auto"/>
              <w:rPr>
                <w:rFonts w:eastAsia="Cambria"/>
                <w:szCs w:val="24"/>
              </w:rPr>
            </w:pPr>
            <w:r w:rsidRPr="00BB4654">
              <w:rPr>
                <w:rFonts w:eastAsia="Cambria"/>
                <w:szCs w:val="24"/>
              </w:rPr>
              <w:t xml:space="preserve">       250</w:t>
            </w:r>
          </w:p>
        </w:tc>
        <w:tc>
          <w:tcPr>
            <w:tcW w:w="1667" w:type="pct"/>
            <w:tcBorders>
              <w:right w:val="nil"/>
            </w:tcBorders>
            <w:shd w:val="clear" w:color="auto" w:fill="FFFFFF"/>
          </w:tcPr>
          <w:p w14:paraId="739B636B" w14:textId="77777777" w:rsidR="003859C9" w:rsidRPr="00BB4654" w:rsidRDefault="003859C9" w:rsidP="00007E09">
            <w:pPr>
              <w:shd w:val="clear" w:color="auto" w:fill="FFFFFF"/>
              <w:spacing w:after="160" w:line="259" w:lineRule="auto"/>
              <w:rPr>
                <w:rFonts w:eastAsia="Cambria"/>
                <w:szCs w:val="24"/>
              </w:rPr>
            </w:pPr>
            <w:r w:rsidRPr="00BB4654">
              <w:rPr>
                <w:rFonts w:eastAsia="Cambria"/>
                <w:szCs w:val="24"/>
              </w:rPr>
              <w:t xml:space="preserve">     80.9%</w:t>
            </w:r>
          </w:p>
        </w:tc>
      </w:tr>
      <w:tr w:rsidR="003859C9" w:rsidRPr="00BB4654" w14:paraId="470AC1BB" w14:textId="77777777" w:rsidTr="00007E09">
        <w:tc>
          <w:tcPr>
            <w:tcW w:w="1229" w:type="pct"/>
            <w:tcBorders>
              <w:bottom w:val="single" w:sz="4" w:space="0" w:color="auto"/>
            </w:tcBorders>
            <w:shd w:val="clear" w:color="auto" w:fill="FFFFFF"/>
          </w:tcPr>
          <w:p w14:paraId="1C7FDC4B" w14:textId="77777777" w:rsidR="003859C9" w:rsidRPr="00BB4654" w:rsidRDefault="003859C9" w:rsidP="00007E09">
            <w:pPr>
              <w:shd w:val="clear" w:color="auto" w:fill="FFFFFF"/>
              <w:spacing w:after="160" w:line="259" w:lineRule="auto"/>
              <w:rPr>
                <w:rFonts w:eastAsia="Cambria"/>
                <w:szCs w:val="24"/>
              </w:rPr>
            </w:pPr>
            <w:r w:rsidRPr="00BB4654">
              <w:rPr>
                <w:rFonts w:eastAsia="Cambria"/>
                <w:szCs w:val="24"/>
              </w:rPr>
              <w:t>Unreturned</w:t>
            </w:r>
          </w:p>
        </w:tc>
        <w:tc>
          <w:tcPr>
            <w:tcW w:w="2104" w:type="pct"/>
            <w:tcBorders>
              <w:bottom w:val="single" w:sz="4" w:space="0" w:color="auto"/>
            </w:tcBorders>
            <w:shd w:val="clear" w:color="auto" w:fill="FFFFFF"/>
          </w:tcPr>
          <w:p w14:paraId="7032F7C5" w14:textId="77777777" w:rsidR="003859C9" w:rsidRPr="00BB4654" w:rsidRDefault="003859C9" w:rsidP="00007E09">
            <w:pPr>
              <w:shd w:val="clear" w:color="auto" w:fill="FFFFFF"/>
              <w:spacing w:after="160" w:line="259" w:lineRule="auto"/>
              <w:rPr>
                <w:rFonts w:eastAsia="Cambria"/>
                <w:szCs w:val="24"/>
              </w:rPr>
            </w:pPr>
            <w:r w:rsidRPr="00BB4654">
              <w:rPr>
                <w:rFonts w:eastAsia="Cambria"/>
                <w:szCs w:val="24"/>
              </w:rPr>
              <w:t xml:space="preserve">        59</w:t>
            </w:r>
          </w:p>
        </w:tc>
        <w:tc>
          <w:tcPr>
            <w:tcW w:w="1667" w:type="pct"/>
            <w:tcBorders>
              <w:bottom w:val="single" w:sz="4" w:space="0" w:color="auto"/>
            </w:tcBorders>
            <w:shd w:val="clear" w:color="auto" w:fill="FFFFFF"/>
          </w:tcPr>
          <w:p w14:paraId="6E582831" w14:textId="77777777" w:rsidR="003859C9" w:rsidRPr="00BB4654" w:rsidRDefault="003859C9" w:rsidP="00007E09">
            <w:pPr>
              <w:shd w:val="clear" w:color="auto" w:fill="FFFFFF"/>
              <w:spacing w:after="160" w:line="259" w:lineRule="auto"/>
              <w:rPr>
                <w:rFonts w:eastAsia="Cambria"/>
                <w:szCs w:val="24"/>
              </w:rPr>
            </w:pPr>
            <w:r w:rsidRPr="00BB4654">
              <w:rPr>
                <w:rFonts w:eastAsia="Cambria"/>
                <w:szCs w:val="24"/>
              </w:rPr>
              <w:t xml:space="preserve">    19.1%</w:t>
            </w:r>
          </w:p>
        </w:tc>
      </w:tr>
      <w:tr w:rsidR="003859C9" w:rsidRPr="00EB11D3" w14:paraId="266E1CA6" w14:textId="77777777" w:rsidTr="00007E09">
        <w:trPr>
          <w:trHeight w:val="201"/>
        </w:trPr>
        <w:tc>
          <w:tcPr>
            <w:tcW w:w="1229" w:type="pct"/>
            <w:tcBorders>
              <w:top w:val="single" w:sz="4" w:space="0" w:color="auto"/>
              <w:left w:val="nil"/>
              <w:bottom w:val="single" w:sz="8" w:space="0" w:color="000000"/>
              <w:right w:val="nil"/>
            </w:tcBorders>
            <w:shd w:val="clear" w:color="auto" w:fill="FFFFFF"/>
          </w:tcPr>
          <w:p w14:paraId="02B70C5D" w14:textId="77777777" w:rsidR="003859C9" w:rsidRPr="00EB11D3" w:rsidRDefault="003859C9" w:rsidP="00007E09">
            <w:pPr>
              <w:shd w:val="clear" w:color="auto" w:fill="FFFFFF"/>
              <w:spacing w:after="160" w:line="360" w:lineRule="auto"/>
              <w:rPr>
                <w:rFonts w:eastAsia="Cambria"/>
                <w:b/>
                <w:bCs/>
                <w:szCs w:val="24"/>
              </w:rPr>
            </w:pPr>
            <w:r w:rsidRPr="00EB11D3">
              <w:rPr>
                <w:rFonts w:eastAsia="Cambria"/>
                <w:b/>
                <w:bCs/>
                <w:szCs w:val="24"/>
              </w:rPr>
              <w:t>Total</w:t>
            </w:r>
          </w:p>
        </w:tc>
        <w:tc>
          <w:tcPr>
            <w:tcW w:w="2104" w:type="pct"/>
            <w:tcBorders>
              <w:top w:val="single" w:sz="4" w:space="0" w:color="auto"/>
              <w:bottom w:val="single" w:sz="8" w:space="0" w:color="000000"/>
              <w:right w:val="nil"/>
            </w:tcBorders>
            <w:shd w:val="clear" w:color="auto" w:fill="FFFFFF"/>
          </w:tcPr>
          <w:p w14:paraId="4361EEB4" w14:textId="77777777" w:rsidR="003859C9" w:rsidRPr="00EB11D3" w:rsidRDefault="003859C9" w:rsidP="00007E09">
            <w:pPr>
              <w:shd w:val="clear" w:color="auto" w:fill="FFFFFF"/>
              <w:spacing w:after="160" w:line="360" w:lineRule="auto"/>
              <w:rPr>
                <w:rFonts w:eastAsia="Cambria"/>
                <w:b/>
                <w:bCs/>
                <w:szCs w:val="24"/>
              </w:rPr>
            </w:pPr>
            <w:r w:rsidRPr="00EB11D3">
              <w:rPr>
                <w:rFonts w:eastAsia="Cambria"/>
                <w:b/>
                <w:bCs/>
                <w:szCs w:val="24"/>
              </w:rPr>
              <w:t xml:space="preserve">     309</w:t>
            </w:r>
          </w:p>
        </w:tc>
        <w:tc>
          <w:tcPr>
            <w:tcW w:w="1667" w:type="pct"/>
            <w:tcBorders>
              <w:top w:val="single" w:sz="4" w:space="0" w:color="auto"/>
              <w:bottom w:val="single" w:sz="8" w:space="0" w:color="000000"/>
              <w:right w:val="nil"/>
            </w:tcBorders>
            <w:shd w:val="clear" w:color="auto" w:fill="FFFFFF"/>
          </w:tcPr>
          <w:p w14:paraId="1F0F3B99" w14:textId="77777777" w:rsidR="003859C9" w:rsidRPr="00EB11D3" w:rsidRDefault="003859C9" w:rsidP="00007E09">
            <w:pPr>
              <w:shd w:val="clear" w:color="auto" w:fill="FFFFFF"/>
              <w:spacing w:after="160" w:line="360" w:lineRule="auto"/>
              <w:rPr>
                <w:rFonts w:eastAsia="Cambria"/>
                <w:b/>
                <w:bCs/>
                <w:szCs w:val="24"/>
              </w:rPr>
            </w:pPr>
            <w:r w:rsidRPr="00EB11D3">
              <w:rPr>
                <w:rFonts w:eastAsia="Cambria"/>
                <w:b/>
                <w:bCs/>
                <w:szCs w:val="24"/>
              </w:rPr>
              <w:t xml:space="preserve">    100%</w:t>
            </w:r>
          </w:p>
        </w:tc>
      </w:tr>
      <w:bookmarkEnd w:id="579"/>
    </w:tbl>
    <w:p w14:paraId="694DCB64" w14:textId="77777777" w:rsidR="003859C9" w:rsidRPr="00EB11D3" w:rsidRDefault="003859C9" w:rsidP="003859C9">
      <w:pPr>
        <w:shd w:val="clear" w:color="auto" w:fill="FFFFFF"/>
        <w:spacing w:after="160" w:line="360" w:lineRule="auto"/>
        <w:rPr>
          <w:rFonts w:eastAsia="Cambria"/>
          <w:szCs w:val="24"/>
        </w:rPr>
      </w:pPr>
    </w:p>
    <w:p w14:paraId="6880B948"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Results in Table 6 </w:t>
      </w:r>
      <w:r w:rsidR="007E13C7" w:rsidRPr="007E13C7">
        <w:rPr>
          <w:rFonts w:eastAsia="Cambria"/>
          <w:szCs w:val="24"/>
        </w:rPr>
        <w:t xml:space="preserve">indicate that 250 respondents completed and returned their surveys successfully, yielding an 80.9% response rate. </w:t>
      </w:r>
      <w:r w:rsidRPr="00EB11D3">
        <w:rPr>
          <w:rFonts w:eastAsia="Cambria"/>
          <w:szCs w:val="24"/>
        </w:rPr>
        <w:t>According to Mugenda and Mugenda (2003) and Kothari and Garg (2014), a descriptive study can be considered sufficient if the response rate is greater than 50%. Babbie (2004) places return rates of 60% or above as good, and return rates of 70% or higher as very good. Thus, 80.9% was considered very good for the study.</w:t>
      </w:r>
    </w:p>
    <w:p w14:paraId="2D50E5F6" w14:textId="77777777" w:rsidR="003859C9" w:rsidRPr="00EB11D3" w:rsidRDefault="003859C9" w:rsidP="003859C9">
      <w:pPr>
        <w:shd w:val="clear" w:color="auto" w:fill="FFFFFF"/>
        <w:spacing w:before="100" w:beforeAutospacing="1" w:after="100" w:afterAutospacing="1" w:line="240" w:lineRule="auto"/>
        <w:jc w:val="left"/>
        <w:outlineLvl w:val="1"/>
        <w:rPr>
          <w:rFonts w:eastAsia="Times New Roman"/>
          <w:b/>
          <w:bCs/>
          <w:szCs w:val="36"/>
        </w:rPr>
      </w:pPr>
      <w:bookmarkStart w:id="580" w:name="_Toc103414505"/>
      <w:bookmarkStart w:id="581" w:name="_Toc126071127"/>
      <w:bookmarkStart w:id="582" w:name="_Toc177387869"/>
      <w:bookmarkEnd w:id="575"/>
      <w:r w:rsidRPr="00EB11D3">
        <w:rPr>
          <w:rFonts w:eastAsia="Times New Roman"/>
          <w:b/>
          <w:bCs/>
          <w:szCs w:val="36"/>
        </w:rPr>
        <w:t>4.</w:t>
      </w:r>
      <w:r w:rsidR="00C37F69">
        <w:rPr>
          <w:rFonts w:eastAsia="Times New Roman"/>
          <w:b/>
          <w:bCs/>
          <w:szCs w:val="36"/>
        </w:rPr>
        <w:t>2</w:t>
      </w:r>
      <w:r w:rsidRPr="00EB11D3">
        <w:rPr>
          <w:rFonts w:eastAsia="Times New Roman"/>
          <w:b/>
          <w:bCs/>
          <w:szCs w:val="36"/>
        </w:rPr>
        <w:t xml:space="preserve"> Demographic Characteristics of Respondents</w:t>
      </w:r>
      <w:bookmarkEnd w:id="580"/>
      <w:bookmarkEnd w:id="581"/>
      <w:bookmarkEnd w:id="582"/>
    </w:p>
    <w:p w14:paraId="1392C9F0"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Demographic characteristics are the attributes of the respondents. </w:t>
      </w:r>
      <w:r w:rsidR="005D0F9D" w:rsidRPr="005D0F9D">
        <w:rPr>
          <w:rFonts w:eastAsia="Cambria"/>
          <w:szCs w:val="24"/>
        </w:rPr>
        <w:t>In order to determine if the participants in a study are representative samples of the target population for the sake of drawing generalisations, demographic information about the participants is provided.</w:t>
      </w:r>
      <w:r w:rsidRPr="00EB11D3">
        <w:rPr>
          <w:rFonts w:eastAsia="Cambria"/>
          <w:szCs w:val="24"/>
        </w:rPr>
        <w:t xml:space="preserve"> The demographic characteristics on which data was collected in this study included sex, age, level of education of respondents and years or duration the respondents have worked in their respective </w:t>
      </w:r>
      <w:r w:rsidRPr="00EB11D3">
        <w:rPr>
          <w:rFonts w:eastAsia="Cambria"/>
          <w:szCs w:val="24"/>
          <w:lang w:val="en"/>
        </w:rPr>
        <w:t>of faith-based hospitals in Kenya</w:t>
      </w:r>
      <w:r w:rsidRPr="00EB11D3">
        <w:rPr>
          <w:rFonts w:eastAsia="Cambria"/>
          <w:szCs w:val="24"/>
        </w:rPr>
        <w:t xml:space="preserve">. </w:t>
      </w:r>
      <w:r w:rsidR="009B55F0" w:rsidRPr="009B55F0">
        <w:rPr>
          <w:rFonts w:eastAsia="Cambria"/>
          <w:szCs w:val="24"/>
        </w:rPr>
        <w:t>The findings for each demographic feature are covered in the corresponding sections that follow.</w:t>
      </w:r>
    </w:p>
    <w:p w14:paraId="0159BF2D" w14:textId="77777777" w:rsidR="003859C9" w:rsidRPr="00EB11D3" w:rsidRDefault="003859C9" w:rsidP="00823CEA">
      <w:pPr>
        <w:pStyle w:val="Heading3"/>
      </w:pPr>
      <w:bookmarkStart w:id="583" w:name="_Toc117773058"/>
      <w:bookmarkStart w:id="584" w:name="_Toc103414506"/>
      <w:bookmarkStart w:id="585" w:name="_Toc117772198"/>
      <w:bookmarkStart w:id="586" w:name="_Toc100987653"/>
      <w:bookmarkStart w:id="587" w:name="_Toc124240237"/>
      <w:bookmarkStart w:id="588" w:name="_Toc126071128"/>
      <w:bookmarkStart w:id="589" w:name="_Toc164148990"/>
      <w:bookmarkStart w:id="590" w:name="_Toc164151251"/>
      <w:bookmarkStart w:id="591" w:name="_Toc168673443"/>
      <w:bookmarkStart w:id="592" w:name="_Toc168737885"/>
      <w:bookmarkStart w:id="593" w:name="_Toc171602638"/>
      <w:bookmarkStart w:id="594" w:name="_Toc171603465"/>
      <w:bookmarkStart w:id="595" w:name="_Toc177387870"/>
      <w:r w:rsidRPr="00EB11D3">
        <w:t>4.</w:t>
      </w:r>
      <w:r w:rsidR="00C37F69">
        <w:t>2</w:t>
      </w:r>
      <w:r w:rsidRPr="00EB11D3">
        <w:t>.1 Gender of Respondents</w:t>
      </w:r>
      <w:bookmarkEnd w:id="583"/>
      <w:bookmarkEnd w:id="584"/>
      <w:bookmarkEnd w:id="585"/>
      <w:bookmarkEnd w:id="586"/>
      <w:bookmarkEnd w:id="587"/>
      <w:bookmarkEnd w:id="588"/>
      <w:bookmarkEnd w:id="589"/>
      <w:bookmarkEnd w:id="590"/>
      <w:bookmarkEnd w:id="591"/>
      <w:bookmarkEnd w:id="592"/>
      <w:bookmarkEnd w:id="593"/>
      <w:bookmarkEnd w:id="594"/>
      <w:bookmarkEnd w:id="595"/>
    </w:p>
    <w:p w14:paraId="6B07E3A8" w14:textId="77777777" w:rsidR="003859C9" w:rsidRPr="00EB11D3" w:rsidRDefault="002C7858" w:rsidP="003859C9">
      <w:pPr>
        <w:shd w:val="clear" w:color="auto" w:fill="FFFFFF"/>
        <w:spacing w:after="160" w:line="360" w:lineRule="auto"/>
        <w:rPr>
          <w:rFonts w:eastAsia="Cambria"/>
          <w:szCs w:val="24"/>
        </w:rPr>
      </w:pPr>
      <w:bookmarkStart w:id="596" w:name="_Hlk160638531"/>
      <w:r w:rsidRPr="002C7858">
        <w:rPr>
          <w:rFonts w:eastAsia="Cambria"/>
          <w:szCs w:val="24"/>
        </w:rPr>
        <w:t>In order to determine the gender diversity of all registered hospitals on the Ministry of Health's master facility list for 2023, respondents provided data on gender</w:t>
      </w:r>
      <w:r w:rsidR="003859C9" w:rsidRPr="00EB11D3">
        <w:rPr>
          <w:rFonts w:eastAsia="Cambria"/>
          <w:szCs w:val="24"/>
        </w:rPr>
        <w:t>.</w:t>
      </w:r>
      <w:bookmarkEnd w:id="596"/>
      <w:r w:rsidR="003859C9" w:rsidRPr="00EB11D3">
        <w:rPr>
          <w:rFonts w:eastAsia="Cambria"/>
          <w:szCs w:val="24"/>
        </w:rPr>
        <w:t xml:space="preserve"> The respondents were asked to indicate their gender to establish the gender diversity in </w:t>
      </w:r>
      <w:r w:rsidR="00245C0F" w:rsidRPr="00EB11D3">
        <w:rPr>
          <w:szCs w:val="24"/>
          <w:lang w:val="en"/>
        </w:rPr>
        <w:t xml:space="preserve">Finance Director, Executive Director and Medical </w:t>
      </w:r>
      <w:r w:rsidR="00C37F69">
        <w:rPr>
          <w:szCs w:val="24"/>
          <w:lang w:val="en"/>
        </w:rPr>
        <w:t>Director</w:t>
      </w:r>
      <w:r w:rsidR="003859C9" w:rsidRPr="00EB11D3">
        <w:rPr>
          <w:rFonts w:eastAsia="Calibri"/>
          <w:szCs w:val="24"/>
        </w:rPr>
        <w:t xml:space="preserve"> of each Faith-based hospital</w:t>
      </w:r>
      <w:r w:rsidR="003859C9" w:rsidRPr="00EB11D3">
        <w:rPr>
          <w:rFonts w:eastAsia="Cambria"/>
          <w:szCs w:val="24"/>
        </w:rPr>
        <w:t xml:space="preserve">. This was achieved by using the frequency of the respondents </w:t>
      </w:r>
      <w:r w:rsidR="00C37F69">
        <w:rPr>
          <w:rFonts w:eastAsia="Cambria"/>
          <w:szCs w:val="24"/>
        </w:rPr>
        <w:t>who</w:t>
      </w:r>
      <w:r w:rsidR="003859C9" w:rsidRPr="00EB11D3">
        <w:rPr>
          <w:rFonts w:eastAsia="Cambria"/>
          <w:szCs w:val="24"/>
        </w:rPr>
        <w:t xml:space="preserve"> responded to being male or female in the questionnaire. The results for gender are ahown in Table 7.</w:t>
      </w:r>
    </w:p>
    <w:p w14:paraId="28B59AB8" w14:textId="77777777" w:rsidR="003859C9" w:rsidRPr="00EB11D3" w:rsidRDefault="003859C9" w:rsidP="003859C9">
      <w:pPr>
        <w:keepNext/>
        <w:shd w:val="clear" w:color="auto" w:fill="FFFFFF"/>
        <w:spacing w:after="0" w:line="240" w:lineRule="auto"/>
        <w:rPr>
          <w:rFonts w:eastAsia="Cambria"/>
          <w:b/>
          <w:bCs/>
          <w:szCs w:val="24"/>
        </w:rPr>
      </w:pPr>
      <w:bookmarkStart w:id="597" w:name="_Toc100987958"/>
      <w:bookmarkStart w:id="598" w:name="_Toc126666742"/>
      <w:bookmarkStart w:id="599" w:name="_Toc177387938"/>
      <w:r w:rsidRPr="00EB11D3">
        <w:rPr>
          <w:rFonts w:eastAsia="Times New Roman"/>
          <w:b/>
          <w:bCs/>
          <w:szCs w:val="24"/>
        </w:rPr>
        <w:t xml:space="preserve">Table </w:t>
      </w:r>
      <w:r w:rsidRPr="00EB11D3">
        <w:rPr>
          <w:rFonts w:eastAsia="Times New Roman"/>
          <w:b/>
          <w:bCs/>
          <w:szCs w:val="24"/>
        </w:rPr>
        <w:fldChar w:fldCharType="begin"/>
      </w:r>
      <w:r w:rsidRPr="00EB11D3">
        <w:rPr>
          <w:rFonts w:eastAsia="Times New Roman"/>
          <w:b/>
          <w:bCs/>
          <w:szCs w:val="24"/>
        </w:rPr>
        <w:instrText xml:space="preserve"> SEQ Table \* ARABIC </w:instrText>
      </w:r>
      <w:r w:rsidRPr="00EB11D3">
        <w:rPr>
          <w:rFonts w:eastAsia="Times New Roman"/>
          <w:b/>
          <w:bCs/>
          <w:szCs w:val="24"/>
        </w:rPr>
        <w:fldChar w:fldCharType="separate"/>
      </w:r>
      <w:r w:rsidRPr="00EB11D3">
        <w:rPr>
          <w:rFonts w:eastAsia="Times New Roman"/>
          <w:b/>
          <w:bCs/>
          <w:noProof/>
          <w:szCs w:val="24"/>
        </w:rPr>
        <w:t>7</w:t>
      </w:r>
      <w:r w:rsidRPr="00EB11D3">
        <w:rPr>
          <w:rFonts w:eastAsia="Times New Roman"/>
          <w:b/>
          <w:bCs/>
          <w:szCs w:val="24"/>
        </w:rPr>
        <w:fldChar w:fldCharType="end"/>
      </w:r>
      <w:r w:rsidRPr="00EB11D3">
        <w:rPr>
          <w:rFonts w:eastAsia="Cambria"/>
          <w:b/>
          <w:bCs/>
          <w:szCs w:val="24"/>
        </w:rPr>
        <w:t>: Gender of Respondents</w:t>
      </w:r>
      <w:bookmarkEnd w:id="597"/>
      <w:bookmarkEnd w:id="598"/>
      <w:bookmarkEnd w:id="599"/>
    </w:p>
    <w:p w14:paraId="59FD5F6E"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tbl>
      <w:tblPr>
        <w:tblW w:w="5000" w:type="pct"/>
        <w:tblBorders>
          <w:bottom w:val="single" w:sz="4" w:space="0" w:color="auto"/>
        </w:tblBorders>
        <w:tblLook w:val="04A0" w:firstRow="1" w:lastRow="0" w:firstColumn="1" w:lastColumn="0" w:noHBand="0" w:noVBand="1"/>
      </w:tblPr>
      <w:tblGrid>
        <w:gridCol w:w="3914"/>
        <w:gridCol w:w="2896"/>
        <w:gridCol w:w="2550"/>
      </w:tblGrid>
      <w:tr w:rsidR="003859C9" w:rsidRPr="00EB11D3" w14:paraId="6950EF0B" w14:textId="77777777" w:rsidTr="00007E09">
        <w:tc>
          <w:tcPr>
            <w:tcW w:w="2091" w:type="pct"/>
            <w:tcBorders>
              <w:top w:val="single" w:sz="4" w:space="0" w:color="auto"/>
              <w:bottom w:val="single" w:sz="4" w:space="0" w:color="auto"/>
            </w:tcBorders>
            <w:shd w:val="clear" w:color="auto" w:fill="auto"/>
          </w:tcPr>
          <w:p w14:paraId="6842EFF3" w14:textId="77777777" w:rsidR="003859C9" w:rsidRPr="00EB11D3" w:rsidRDefault="00BB4654" w:rsidP="00007E09">
            <w:pPr>
              <w:shd w:val="clear" w:color="auto" w:fill="FFFFFF"/>
              <w:spacing w:after="160" w:line="259" w:lineRule="auto"/>
              <w:jc w:val="left"/>
              <w:rPr>
                <w:rFonts w:eastAsia="Calibri"/>
                <w:b/>
                <w:szCs w:val="24"/>
              </w:rPr>
            </w:pPr>
            <w:r w:rsidRPr="00093CED">
              <w:rPr>
                <w:b/>
                <w:bCs/>
                <w:sz w:val="22"/>
              </w:rPr>
              <w:t>Demographic Profiles</w:t>
            </w:r>
          </w:p>
        </w:tc>
        <w:tc>
          <w:tcPr>
            <w:tcW w:w="2909" w:type="pct"/>
            <w:gridSpan w:val="2"/>
            <w:tcBorders>
              <w:top w:val="single" w:sz="4" w:space="0" w:color="auto"/>
              <w:bottom w:val="single" w:sz="4" w:space="0" w:color="auto"/>
            </w:tcBorders>
            <w:shd w:val="clear" w:color="auto" w:fill="auto"/>
          </w:tcPr>
          <w:p w14:paraId="6AFC3A2E" w14:textId="77777777" w:rsidR="003859C9" w:rsidRPr="00EB11D3" w:rsidRDefault="003859C9" w:rsidP="00007E09">
            <w:pPr>
              <w:shd w:val="clear" w:color="auto" w:fill="FFFFFF"/>
              <w:spacing w:after="160" w:line="259" w:lineRule="auto"/>
              <w:jc w:val="left"/>
              <w:rPr>
                <w:rFonts w:eastAsia="Calibri"/>
                <w:b/>
                <w:szCs w:val="24"/>
              </w:rPr>
            </w:pPr>
            <w:r w:rsidRPr="00EB11D3">
              <w:rPr>
                <w:rFonts w:eastAsia="Calibri"/>
                <w:b/>
                <w:szCs w:val="24"/>
              </w:rPr>
              <w:t>Frequency                             Percent</w:t>
            </w:r>
          </w:p>
        </w:tc>
      </w:tr>
      <w:tr w:rsidR="003859C9" w:rsidRPr="00EB11D3" w14:paraId="390DB3FE" w14:textId="77777777" w:rsidTr="00007E09">
        <w:tc>
          <w:tcPr>
            <w:tcW w:w="2091" w:type="pct"/>
            <w:tcBorders>
              <w:top w:val="single" w:sz="4" w:space="0" w:color="auto"/>
              <w:bottom w:val="nil"/>
            </w:tcBorders>
            <w:shd w:val="clear" w:color="auto" w:fill="auto"/>
          </w:tcPr>
          <w:p w14:paraId="60EF6E42" w14:textId="77777777" w:rsidR="003859C9" w:rsidRPr="00EB11D3" w:rsidRDefault="003859C9" w:rsidP="00007E09">
            <w:pPr>
              <w:shd w:val="clear" w:color="auto" w:fill="FFFFFF"/>
              <w:spacing w:after="160" w:line="259" w:lineRule="auto"/>
              <w:jc w:val="left"/>
              <w:rPr>
                <w:rFonts w:eastAsia="Calibri"/>
                <w:szCs w:val="24"/>
              </w:rPr>
            </w:pPr>
            <w:r w:rsidRPr="00EB11D3">
              <w:rPr>
                <w:rFonts w:eastAsia="Calibri"/>
                <w:szCs w:val="24"/>
              </w:rPr>
              <w:t>Male</w:t>
            </w:r>
          </w:p>
        </w:tc>
        <w:tc>
          <w:tcPr>
            <w:tcW w:w="1547" w:type="pct"/>
            <w:tcBorders>
              <w:top w:val="single" w:sz="4" w:space="0" w:color="auto"/>
              <w:bottom w:val="nil"/>
            </w:tcBorders>
            <w:shd w:val="clear" w:color="auto" w:fill="auto"/>
          </w:tcPr>
          <w:p w14:paraId="5C65BE14" w14:textId="77777777" w:rsidR="003859C9" w:rsidRPr="00EB11D3" w:rsidRDefault="003859C9" w:rsidP="00007E09">
            <w:pPr>
              <w:shd w:val="clear" w:color="auto" w:fill="FFFFFF"/>
              <w:spacing w:after="160" w:line="259" w:lineRule="auto"/>
              <w:jc w:val="left"/>
              <w:rPr>
                <w:rFonts w:eastAsia="Calibri"/>
                <w:szCs w:val="24"/>
              </w:rPr>
            </w:pPr>
            <w:r w:rsidRPr="00EB11D3">
              <w:rPr>
                <w:rFonts w:eastAsia="Calibri"/>
                <w:szCs w:val="24"/>
              </w:rPr>
              <w:t>143</w:t>
            </w:r>
          </w:p>
        </w:tc>
        <w:tc>
          <w:tcPr>
            <w:tcW w:w="1362" w:type="pct"/>
            <w:tcBorders>
              <w:top w:val="single" w:sz="4" w:space="0" w:color="auto"/>
              <w:bottom w:val="nil"/>
            </w:tcBorders>
            <w:shd w:val="clear" w:color="auto" w:fill="auto"/>
          </w:tcPr>
          <w:p w14:paraId="4639F8E1" w14:textId="77777777" w:rsidR="003859C9" w:rsidRPr="00EB11D3" w:rsidRDefault="003859C9" w:rsidP="00007E09">
            <w:pPr>
              <w:shd w:val="clear" w:color="auto" w:fill="FFFFFF"/>
              <w:spacing w:after="160" w:line="259" w:lineRule="auto"/>
              <w:jc w:val="left"/>
              <w:rPr>
                <w:rFonts w:eastAsia="Calibri"/>
                <w:szCs w:val="24"/>
              </w:rPr>
            </w:pPr>
            <w:r w:rsidRPr="00EB11D3">
              <w:rPr>
                <w:rFonts w:eastAsia="Calibri"/>
                <w:szCs w:val="24"/>
              </w:rPr>
              <w:t>57.2</w:t>
            </w:r>
          </w:p>
        </w:tc>
      </w:tr>
      <w:tr w:rsidR="003859C9" w:rsidRPr="00EB11D3" w14:paraId="298B3CD2" w14:textId="77777777" w:rsidTr="00007E09">
        <w:tc>
          <w:tcPr>
            <w:tcW w:w="2091" w:type="pct"/>
            <w:tcBorders>
              <w:top w:val="nil"/>
              <w:bottom w:val="single" w:sz="4" w:space="0" w:color="auto"/>
            </w:tcBorders>
            <w:shd w:val="clear" w:color="auto" w:fill="auto"/>
          </w:tcPr>
          <w:p w14:paraId="5DBEF276" w14:textId="77777777" w:rsidR="003859C9" w:rsidRPr="00EB11D3" w:rsidRDefault="003859C9" w:rsidP="00007E09">
            <w:pPr>
              <w:shd w:val="clear" w:color="auto" w:fill="FFFFFF"/>
              <w:spacing w:after="160" w:line="259" w:lineRule="auto"/>
              <w:jc w:val="left"/>
              <w:rPr>
                <w:rFonts w:eastAsia="Calibri"/>
                <w:szCs w:val="24"/>
              </w:rPr>
            </w:pPr>
            <w:r w:rsidRPr="00EB11D3">
              <w:rPr>
                <w:rFonts w:eastAsia="Calibri"/>
                <w:szCs w:val="24"/>
              </w:rPr>
              <w:t>Female</w:t>
            </w:r>
          </w:p>
        </w:tc>
        <w:tc>
          <w:tcPr>
            <w:tcW w:w="1547" w:type="pct"/>
            <w:tcBorders>
              <w:top w:val="nil"/>
              <w:bottom w:val="single" w:sz="4" w:space="0" w:color="auto"/>
            </w:tcBorders>
            <w:shd w:val="clear" w:color="auto" w:fill="auto"/>
          </w:tcPr>
          <w:p w14:paraId="016874E2" w14:textId="77777777" w:rsidR="003859C9" w:rsidRPr="00EB11D3" w:rsidRDefault="003859C9" w:rsidP="00007E09">
            <w:pPr>
              <w:shd w:val="clear" w:color="auto" w:fill="FFFFFF"/>
              <w:spacing w:after="160" w:line="259" w:lineRule="auto"/>
              <w:jc w:val="left"/>
              <w:rPr>
                <w:rFonts w:eastAsia="Calibri"/>
                <w:szCs w:val="24"/>
              </w:rPr>
            </w:pPr>
            <w:r w:rsidRPr="00EB11D3">
              <w:rPr>
                <w:rFonts w:eastAsia="Calibri"/>
                <w:szCs w:val="24"/>
              </w:rPr>
              <w:t>107</w:t>
            </w:r>
          </w:p>
        </w:tc>
        <w:tc>
          <w:tcPr>
            <w:tcW w:w="1362" w:type="pct"/>
            <w:tcBorders>
              <w:top w:val="nil"/>
              <w:bottom w:val="single" w:sz="4" w:space="0" w:color="auto"/>
            </w:tcBorders>
            <w:shd w:val="clear" w:color="auto" w:fill="auto"/>
          </w:tcPr>
          <w:p w14:paraId="1F58B7AD" w14:textId="77777777" w:rsidR="003859C9" w:rsidRPr="00EB11D3" w:rsidRDefault="003859C9" w:rsidP="00007E09">
            <w:pPr>
              <w:shd w:val="clear" w:color="auto" w:fill="FFFFFF"/>
              <w:spacing w:after="160" w:line="259" w:lineRule="auto"/>
              <w:jc w:val="left"/>
              <w:rPr>
                <w:rFonts w:eastAsia="Calibri"/>
                <w:szCs w:val="24"/>
              </w:rPr>
            </w:pPr>
            <w:r w:rsidRPr="00EB11D3">
              <w:rPr>
                <w:rFonts w:eastAsia="Calibri"/>
                <w:szCs w:val="24"/>
              </w:rPr>
              <w:t>42.8</w:t>
            </w:r>
          </w:p>
        </w:tc>
      </w:tr>
      <w:tr w:rsidR="003859C9" w:rsidRPr="00EB11D3" w14:paraId="2BDF9776" w14:textId="77777777" w:rsidTr="00007E09">
        <w:tc>
          <w:tcPr>
            <w:tcW w:w="2091" w:type="pct"/>
            <w:tcBorders>
              <w:top w:val="single" w:sz="4" w:space="0" w:color="auto"/>
              <w:bottom w:val="single" w:sz="4" w:space="0" w:color="auto"/>
            </w:tcBorders>
            <w:shd w:val="clear" w:color="auto" w:fill="auto"/>
          </w:tcPr>
          <w:p w14:paraId="5DA90284" w14:textId="77777777" w:rsidR="003859C9" w:rsidRPr="00EB11D3" w:rsidRDefault="003859C9" w:rsidP="00007E09">
            <w:pPr>
              <w:shd w:val="clear" w:color="auto" w:fill="FFFFFF"/>
              <w:spacing w:after="160" w:line="259" w:lineRule="auto"/>
              <w:jc w:val="left"/>
              <w:rPr>
                <w:rFonts w:eastAsia="Calibri"/>
                <w:b/>
                <w:szCs w:val="24"/>
              </w:rPr>
            </w:pPr>
            <w:r w:rsidRPr="00EB11D3">
              <w:rPr>
                <w:rFonts w:eastAsia="Calibri"/>
                <w:b/>
                <w:szCs w:val="24"/>
              </w:rPr>
              <w:t>Total</w:t>
            </w:r>
          </w:p>
        </w:tc>
        <w:tc>
          <w:tcPr>
            <w:tcW w:w="1547" w:type="pct"/>
            <w:tcBorders>
              <w:top w:val="single" w:sz="4" w:space="0" w:color="auto"/>
              <w:bottom w:val="single" w:sz="4" w:space="0" w:color="auto"/>
            </w:tcBorders>
            <w:shd w:val="clear" w:color="auto" w:fill="auto"/>
          </w:tcPr>
          <w:p w14:paraId="37D26951" w14:textId="77777777" w:rsidR="003859C9" w:rsidRPr="00EB11D3" w:rsidRDefault="003859C9" w:rsidP="00007E09">
            <w:pPr>
              <w:shd w:val="clear" w:color="auto" w:fill="FFFFFF"/>
              <w:spacing w:after="160" w:line="259" w:lineRule="auto"/>
              <w:jc w:val="left"/>
              <w:rPr>
                <w:rFonts w:eastAsia="Calibri"/>
                <w:b/>
                <w:szCs w:val="24"/>
              </w:rPr>
            </w:pPr>
            <w:r w:rsidRPr="00EB11D3">
              <w:rPr>
                <w:rFonts w:eastAsia="Calibri"/>
                <w:b/>
                <w:szCs w:val="24"/>
              </w:rPr>
              <w:t>250</w:t>
            </w:r>
          </w:p>
        </w:tc>
        <w:tc>
          <w:tcPr>
            <w:tcW w:w="1362" w:type="pct"/>
            <w:tcBorders>
              <w:top w:val="single" w:sz="4" w:space="0" w:color="auto"/>
              <w:bottom w:val="single" w:sz="4" w:space="0" w:color="auto"/>
            </w:tcBorders>
            <w:shd w:val="clear" w:color="auto" w:fill="auto"/>
          </w:tcPr>
          <w:p w14:paraId="1E1F251D" w14:textId="77777777" w:rsidR="003859C9" w:rsidRPr="00EB11D3" w:rsidRDefault="003859C9" w:rsidP="00007E09">
            <w:pPr>
              <w:shd w:val="clear" w:color="auto" w:fill="FFFFFF"/>
              <w:spacing w:after="160" w:line="259" w:lineRule="auto"/>
              <w:jc w:val="left"/>
              <w:rPr>
                <w:rFonts w:eastAsia="Calibri"/>
                <w:b/>
                <w:szCs w:val="24"/>
              </w:rPr>
            </w:pPr>
            <w:r w:rsidRPr="00EB11D3">
              <w:rPr>
                <w:rFonts w:eastAsia="Calibri"/>
                <w:b/>
                <w:szCs w:val="24"/>
              </w:rPr>
              <w:t>100.0</w:t>
            </w:r>
          </w:p>
        </w:tc>
      </w:tr>
    </w:tbl>
    <w:p w14:paraId="3BC2601C" w14:textId="77777777" w:rsidR="003859C9" w:rsidRPr="00EB11D3" w:rsidRDefault="003859C9" w:rsidP="003859C9">
      <w:pPr>
        <w:shd w:val="clear" w:color="auto" w:fill="FFFFFF"/>
        <w:autoSpaceDE w:val="0"/>
        <w:autoSpaceDN w:val="0"/>
        <w:adjustRightInd w:val="0"/>
        <w:spacing w:after="0" w:line="400" w:lineRule="atLeast"/>
        <w:jc w:val="left"/>
        <w:rPr>
          <w:rFonts w:eastAsia="Calibri"/>
          <w:b/>
          <w:szCs w:val="24"/>
        </w:rPr>
      </w:pPr>
    </w:p>
    <w:p w14:paraId="2AEDEEA3" w14:textId="77777777" w:rsidR="003859C9" w:rsidRPr="00EB11D3" w:rsidRDefault="003859C9" w:rsidP="003859C9">
      <w:pPr>
        <w:shd w:val="clear" w:color="auto" w:fill="FFFFFF"/>
        <w:autoSpaceDE w:val="0"/>
        <w:autoSpaceDN w:val="0"/>
        <w:spacing w:after="160" w:line="360" w:lineRule="auto"/>
        <w:rPr>
          <w:rFonts w:eastAsia="Cambria"/>
          <w:szCs w:val="24"/>
        </w:rPr>
      </w:pPr>
      <w:r w:rsidRPr="00EB11D3">
        <w:rPr>
          <w:rFonts w:eastAsia="Cambria"/>
          <w:szCs w:val="24"/>
        </w:rPr>
        <w:t xml:space="preserve">The results show that majority of the </w:t>
      </w:r>
      <w:r w:rsidRPr="00EB11D3">
        <w:rPr>
          <w:rFonts w:eastAsia="Calibri"/>
          <w:szCs w:val="24"/>
        </w:rPr>
        <w:t xml:space="preserve">head of </w:t>
      </w:r>
      <w:r w:rsidR="00245C0F" w:rsidRPr="00EB11D3">
        <w:rPr>
          <w:szCs w:val="24"/>
          <w:lang w:val="en"/>
        </w:rPr>
        <w:t>Finance Director, Executive Director and Medical director</w:t>
      </w:r>
      <w:r w:rsidRPr="00EB11D3">
        <w:rPr>
          <w:rFonts w:eastAsia="Calibri"/>
          <w:szCs w:val="24"/>
        </w:rPr>
        <w:t xml:space="preserve"> of each Faith-based hospital </w:t>
      </w:r>
      <w:r w:rsidRPr="00EB11D3">
        <w:rPr>
          <w:rFonts w:eastAsia="Cambria"/>
          <w:szCs w:val="24"/>
        </w:rPr>
        <w:t xml:space="preserve">were male represented by 57.2% with 42.8% being female. This implied that the </w:t>
      </w:r>
      <w:r w:rsidRPr="00EB11D3">
        <w:rPr>
          <w:rFonts w:eastAsia="Calibri"/>
          <w:szCs w:val="24"/>
        </w:rPr>
        <w:t xml:space="preserve">head of Administration, Finance and Clinical services departments of each Faith-based hospital </w:t>
      </w:r>
      <w:r w:rsidRPr="00EB11D3">
        <w:rPr>
          <w:rFonts w:eastAsia="Cambria"/>
          <w:szCs w:val="24"/>
        </w:rPr>
        <w:t>was made up of male gender.</w:t>
      </w:r>
    </w:p>
    <w:p w14:paraId="04E89C3D" w14:textId="77777777" w:rsidR="003859C9" w:rsidRPr="00EB11D3" w:rsidRDefault="003859C9" w:rsidP="003859C9">
      <w:pPr>
        <w:shd w:val="clear" w:color="auto" w:fill="FFFFFF"/>
        <w:autoSpaceDE w:val="0"/>
        <w:autoSpaceDN w:val="0"/>
        <w:spacing w:after="160" w:line="360" w:lineRule="auto"/>
        <w:rPr>
          <w:rFonts w:eastAsia="Cambria"/>
          <w:szCs w:val="24"/>
        </w:rPr>
      </w:pPr>
      <w:bookmarkStart w:id="600" w:name="_Hlk160639011"/>
      <w:r w:rsidRPr="00EB11D3">
        <w:rPr>
          <w:rFonts w:eastAsia="Cambria"/>
          <w:szCs w:val="24"/>
        </w:rPr>
        <w:t xml:space="preserve">Because diverse boards are more likely to consider a larger range of viewpoints and solutions, gender diversity in corporate governance is associated with improved decision-making processes, </w:t>
      </w:r>
      <w:r w:rsidRPr="00EB11D3">
        <w:rPr>
          <w:szCs w:val="24"/>
          <w:shd w:val="clear" w:color="auto" w:fill="FFFFFF"/>
        </w:rPr>
        <w:t>innovation, and organizational performance</w:t>
      </w:r>
      <w:r w:rsidRPr="00EB11D3">
        <w:rPr>
          <w:rFonts w:eastAsia="Cambria"/>
          <w:szCs w:val="24"/>
        </w:rPr>
        <w:t xml:space="preserve">. Diverse leadership </w:t>
      </w:r>
      <w:r w:rsidR="00EA0577">
        <w:rPr>
          <w:rFonts w:eastAsia="Cambria"/>
          <w:szCs w:val="24"/>
        </w:rPr>
        <w:t>in the</w:t>
      </w:r>
      <w:r w:rsidRPr="00EB11D3">
        <w:rPr>
          <w:rFonts w:eastAsia="Cambria"/>
          <w:szCs w:val="24"/>
        </w:rPr>
        <w:t xml:space="preserve"> faith-based hospitals may result </w:t>
      </w:r>
      <w:r w:rsidR="00134B5A" w:rsidRPr="00EB11D3">
        <w:rPr>
          <w:rFonts w:eastAsia="Cambria"/>
          <w:szCs w:val="24"/>
        </w:rPr>
        <w:t>in ethical</w:t>
      </w:r>
      <w:r w:rsidRPr="00EB11D3">
        <w:rPr>
          <w:rFonts w:eastAsia="Cambria"/>
          <w:szCs w:val="24"/>
        </w:rPr>
        <w:t xml:space="preserve"> practices and inclusive governance procedures, which might improve the hospital's standing and community confidence (Mumu et al., 2022). Because they bring a variety of experiences and perspectives to the table, diverse teams have been demonstrated to be more inventive. This could result in better patient care services, more creative approaches to healthcare problems, and community health programs that are specifically designed to meet the needs of faith-based hospitals (Wikhamn &amp; Wikhamn, 2020). </w:t>
      </w:r>
    </w:p>
    <w:bookmarkEnd w:id="600"/>
    <w:p w14:paraId="6ABE8C66" w14:textId="77777777" w:rsidR="003859C9" w:rsidRPr="00EB11D3" w:rsidRDefault="003859C9" w:rsidP="003859C9">
      <w:pPr>
        <w:shd w:val="clear" w:color="auto" w:fill="FFFFFF"/>
        <w:autoSpaceDE w:val="0"/>
        <w:autoSpaceDN w:val="0"/>
        <w:spacing w:after="160" w:line="360" w:lineRule="auto"/>
        <w:rPr>
          <w:rFonts w:eastAsia="Cambria"/>
          <w:szCs w:val="24"/>
        </w:rPr>
      </w:pPr>
      <w:r w:rsidRPr="00EB11D3">
        <w:rPr>
          <w:rFonts w:eastAsia="Cambria"/>
          <w:szCs w:val="24"/>
        </w:rPr>
        <w:t>Diversity in gender can also affect an organization's ability to comply with and react to legal requirements. This might result in stricter adherence to health standards and regulations in the healthcare industry, in part because diverse teams may be better able to anticipate and reduce the dangers associated with non-compliance. Additionally, they might interact more positively with regulatory agencies in order to promote laws that uphold the hospital's objectives and provision of services (Elmagrhi et al., 2019). Gender diversity on boards and in management teams may have a positive impact on organizational performance, according to several studies. This could lead to increased patient satisfaction, better operational efficiency, and stronger financial standing for faith-based hospitals</w:t>
      </w:r>
      <w:r w:rsidR="00EA0577">
        <w:rPr>
          <w:rFonts w:eastAsia="Cambria"/>
          <w:szCs w:val="24"/>
        </w:rPr>
        <w:t xml:space="preserve"> in Kenya</w:t>
      </w:r>
      <w:r w:rsidRPr="00EB11D3">
        <w:rPr>
          <w:rFonts w:eastAsia="Cambria"/>
          <w:szCs w:val="24"/>
        </w:rPr>
        <w:t>. According to Zhang (2020), gender-diverse leadership is frequently linked to improved collaboration, communication, and conflict resolution, all of which support a healthy workplace culture and higher performance levels.</w:t>
      </w:r>
      <w:bookmarkStart w:id="601" w:name="_Toc100987654"/>
      <w:bookmarkStart w:id="602" w:name="_Toc117773059"/>
      <w:bookmarkStart w:id="603" w:name="_Toc103414507"/>
      <w:bookmarkStart w:id="604" w:name="_Toc117772199"/>
      <w:bookmarkStart w:id="605" w:name="_Toc124240238"/>
      <w:bookmarkStart w:id="606" w:name="_Toc126071129"/>
    </w:p>
    <w:p w14:paraId="2B1D26C2" w14:textId="77777777" w:rsidR="003859C9" w:rsidRPr="00EB11D3" w:rsidRDefault="003859C9" w:rsidP="00823CEA">
      <w:pPr>
        <w:pStyle w:val="Heading3"/>
        <w:rPr>
          <w:rFonts w:eastAsia="Cambria"/>
        </w:rPr>
      </w:pPr>
      <w:bookmarkStart w:id="607" w:name="_Toc164148991"/>
      <w:bookmarkStart w:id="608" w:name="_Toc164151252"/>
      <w:bookmarkStart w:id="609" w:name="_Toc168673444"/>
      <w:bookmarkStart w:id="610" w:name="_Toc168737886"/>
      <w:bookmarkStart w:id="611" w:name="_Toc171602639"/>
      <w:bookmarkStart w:id="612" w:name="_Toc171603466"/>
      <w:bookmarkStart w:id="613" w:name="_Toc177387871"/>
      <w:r w:rsidRPr="00EB11D3">
        <w:t>4.</w:t>
      </w:r>
      <w:r w:rsidR="004373D8">
        <w:t>2</w:t>
      </w:r>
      <w:r w:rsidRPr="00EB11D3">
        <w:t>.2 Age of Respondents</w:t>
      </w:r>
      <w:bookmarkEnd w:id="601"/>
      <w:bookmarkEnd w:id="602"/>
      <w:bookmarkEnd w:id="603"/>
      <w:bookmarkEnd w:id="604"/>
      <w:bookmarkEnd w:id="605"/>
      <w:bookmarkEnd w:id="606"/>
      <w:bookmarkEnd w:id="607"/>
      <w:bookmarkEnd w:id="608"/>
      <w:bookmarkEnd w:id="609"/>
      <w:bookmarkEnd w:id="610"/>
      <w:bookmarkEnd w:id="611"/>
      <w:bookmarkEnd w:id="612"/>
      <w:bookmarkEnd w:id="613"/>
    </w:p>
    <w:p w14:paraId="1864A411" w14:textId="77777777" w:rsidR="00111FE5" w:rsidRDefault="003859C9" w:rsidP="00111FE5">
      <w:pPr>
        <w:shd w:val="clear" w:color="auto" w:fill="FFFFFF"/>
        <w:spacing w:after="160" w:line="360" w:lineRule="auto"/>
        <w:rPr>
          <w:rFonts w:eastAsia="Cambria"/>
          <w:szCs w:val="24"/>
        </w:rPr>
      </w:pPr>
      <w:r w:rsidRPr="00EB11D3">
        <w:rPr>
          <w:rFonts w:eastAsia="Cambria"/>
          <w:szCs w:val="24"/>
        </w:rPr>
        <w:t xml:space="preserve">The respondents were asked to indicate their age brackets. This was achieved by providing a range of years which the respondents were asked to choose from. </w:t>
      </w:r>
      <w:bookmarkStart w:id="614" w:name="_Toc100987959"/>
      <w:bookmarkStart w:id="615" w:name="_Toc126666743"/>
      <w:r w:rsidR="00111FE5" w:rsidRPr="00111FE5">
        <w:rPr>
          <w:rFonts w:eastAsia="Cambria"/>
          <w:szCs w:val="24"/>
        </w:rPr>
        <w:t xml:space="preserve">Table 8 presents the findings. </w:t>
      </w:r>
    </w:p>
    <w:p w14:paraId="67F6CD81" w14:textId="77777777" w:rsidR="003859C9" w:rsidRPr="00BB4654" w:rsidRDefault="003859C9" w:rsidP="00BB4654">
      <w:pPr>
        <w:shd w:val="clear" w:color="auto" w:fill="FFFFFF"/>
        <w:spacing w:after="160" w:line="360" w:lineRule="auto"/>
        <w:rPr>
          <w:rFonts w:eastAsia="Times New Roman"/>
          <w:b/>
          <w:bCs/>
          <w:szCs w:val="24"/>
        </w:rPr>
      </w:pPr>
      <w:bookmarkStart w:id="616" w:name="_Toc177387939"/>
      <w:r w:rsidRPr="00EB11D3">
        <w:rPr>
          <w:rFonts w:eastAsia="Times New Roman"/>
          <w:b/>
          <w:bCs/>
          <w:szCs w:val="24"/>
        </w:rPr>
        <w:t xml:space="preserve">Table </w:t>
      </w:r>
      <w:r w:rsidRPr="00EB11D3">
        <w:rPr>
          <w:rFonts w:eastAsia="Times New Roman"/>
          <w:b/>
          <w:bCs/>
          <w:szCs w:val="24"/>
        </w:rPr>
        <w:fldChar w:fldCharType="begin"/>
      </w:r>
      <w:r w:rsidRPr="00EB11D3">
        <w:rPr>
          <w:rFonts w:eastAsia="Times New Roman"/>
          <w:b/>
          <w:bCs/>
          <w:szCs w:val="24"/>
        </w:rPr>
        <w:instrText xml:space="preserve"> SEQ Table \* ARABIC </w:instrText>
      </w:r>
      <w:r w:rsidRPr="00EB11D3">
        <w:rPr>
          <w:rFonts w:eastAsia="Times New Roman"/>
          <w:b/>
          <w:bCs/>
          <w:szCs w:val="24"/>
        </w:rPr>
        <w:fldChar w:fldCharType="separate"/>
      </w:r>
      <w:r w:rsidRPr="00EB11D3">
        <w:rPr>
          <w:rFonts w:eastAsia="Times New Roman"/>
          <w:b/>
          <w:bCs/>
          <w:noProof/>
          <w:szCs w:val="24"/>
        </w:rPr>
        <w:t>8</w:t>
      </w:r>
      <w:r w:rsidRPr="00EB11D3">
        <w:rPr>
          <w:rFonts w:eastAsia="Times New Roman"/>
          <w:b/>
          <w:bCs/>
          <w:szCs w:val="24"/>
        </w:rPr>
        <w:fldChar w:fldCharType="end"/>
      </w:r>
      <w:r w:rsidRPr="00EB11D3">
        <w:rPr>
          <w:rFonts w:eastAsia="Times New Roman"/>
          <w:b/>
          <w:bCs/>
          <w:szCs w:val="24"/>
        </w:rPr>
        <w:t xml:space="preserve">: Age of </w:t>
      </w:r>
      <w:bookmarkStart w:id="617" w:name="_Hlk160640332"/>
      <w:bookmarkEnd w:id="614"/>
      <w:bookmarkEnd w:id="615"/>
      <w:r w:rsidRPr="00EB11D3">
        <w:rPr>
          <w:rFonts w:eastAsia="Times New Roman"/>
          <w:b/>
          <w:bCs/>
          <w:szCs w:val="24"/>
        </w:rPr>
        <w:t>Head of Administration, Finance and Clinical Services Departments of Each Faith-Based Hospital</w:t>
      </w:r>
      <w:bookmarkEnd w:id="616"/>
      <w:bookmarkEnd w:id="617"/>
    </w:p>
    <w:tbl>
      <w:tblPr>
        <w:tblW w:w="5000" w:type="pct"/>
        <w:tblBorders>
          <w:top w:val="single" w:sz="8" w:space="0" w:color="000000"/>
          <w:bottom w:val="single" w:sz="8" w:space="0" w:color="000000"/>
        </w:tblBorders>
        <w:tblLook w:val="04A0" w:firstRow="1" w:lastRow="0" w:firstColumn="1" w:lastColumn="0" w:noHBand="0" w:noVBand="1"/>
      </w:tblPr>
      <w:tblGrid>
        <w:gridCol w:w="3977"/>
        <w:gridCol w:w="3225"/>
        <w:gridCol w:w="2158"/>
      </w:tblGrid>
      <w:tr w:rsidR="003859C9" w:rsidRPr="00EB11D3" w14:paraId="6B8D253C" w14:textId="77777777" w:rsidTr="00BB4654">
        <w:tc>
          <w:tcPr>
            <w:tcW w:w="2124" w:type="pct"/>
            <w:tcBorders>
              <w:top w:val="single" w:sz="8" w:space="0" w:color="000000"/>
              <w:left w:val="nil"/>
              <w:bottom w:val="single" w:sz="8" w:space="0" w:color="000000"/>
              <w:right w:val="nil"/>
            </w:tcBorders>
            <w:shd w:val="clear" w:color="auto" w:fill="auto"/>
          </w:tcPr>
          <w:p w14:paraId="0236C9F3" w14:textId="77777777" w:rsidR="003859C9" w:rsidRPr="00EB11D3" w:rsidRDefault="00BB4654" w:rsidP="00007E09">
            <w:pPr>
              <w:shd w:val="clear" w:color="auto" w:fill="FFFFFF"/>
              <w:spacing w:after="160" w:line="259" w:lineRule="auto"/>
              <w:jc w:val="left"/>
              <w:rPr>
                <w:b/>
                <w:bCs/>
                <w:szCs w:val="24"/>
              </w:rPr>
            </w:pPr>
            <w:r w:rsidRPr="00093CED">
              <w:rPr>
                <w:b/>
                <w:bCs/>
                <w:sz w:val="22"/>
              </w:rPr>
              <w:t>Demographic Profiles</w:t>
            </w:r>
            <w:r w:rsidR="003859C9" w:rsidRPr="00EB11D3">
              <w:rPr>
                <w:b/>
                <w:bCs/>
                <w:szCs w:val="24"/>
              </w:rPr>
              <w:t xml:space="preserve">                                                    </w:t>
            </w:r>
          </w:p>
        </w:tc>
        <w:tc>
          <w:tcPr>
            <w:tcW w:w="2876" w:type="pct"/>
            <w:gridSpan w:val="2"/>
            <w:tcBorders>
              <w:top w:val="single" w:sz="8" w:space="0" w:color="000000"/>
              <w:left w:val="nil"/>
              <w:bottom w:val="single" w:sz="8" w:space="0" w:color="000000"/>
              <w:right w:val="nil"/>
            </w:tcBorders>
            <w:shd w:val="clear" w:color="auto" w:fill="auto"/>
          </w:tcPr>
          <w:p w14:paraId="0AEE1AF7" w14:textId="77777777" w:rsidR="003859C9" w:rsidRPr="00EB11D3" w:rsidRDefault="00BB4654" w:rsidP="00007E09">
            <w:pPr>
              <w:shd w:val="clear" w:color="auto" w:fill="FFFFFF"/>
              <w:spacing w:after="160" w:line="259" w:lineRule="auto"/>
              <w:jc w:val="left"/>
              <w:rPr>
                <w:b/>
                <w:bCs/>
                <w:szCs w:val="24"/>
              </w:rPr>
            </w:pPr>
            <w:r w:rsidRPr="00EB11D3">
              <w:rPr>
                <w:b/>
                <w:bCs/>
                <w:szCs w:val="24"/>
              </w:rPr>
              <w:t>Frequency</w:t>
            </w:r>
            <w:r w:rsidR="003859C9" w:rsidRPr="00EB11D3">
              <w:rPr>
                <w:b/>
                <w:bCs/>
                <w:szCs w:val="24"/>
              </w:rPr>
              <w:t xml:space="preserve">                                                      Percent</w:t>
            </w:r>
          </w:p>
        </w:tc>
      </w:tr>
      <w:tr w:rsidR="003859C9" w:rsidRPr="00BB4654" w14:paraId="0EBAEBEE" w14:textId="77777777" w:rsidTr="00BB4654">
        <w:tc>
          <w:tcPr>
            <w:tcW w:w="2124" w:type="pct"/>
            <w:shd w:val="clear" w:color="auto" w:fill="auto"/>
          </w:tcPr>
          <w:p w14:paraId="20DA65C7" w14:textId="77777777" w:rsidR="003859C9" w:rsidRPr="00BB4654" w:rsidRDefault="003859C9" w:rsidP="00007E09">
            <w:pPr>
              <w:shd w:val="clear" w:color="auto" w:fill="FFFFFF"/>
              <w:spacing w:after="160" w:line="259" w:lineRule="auto"/>
              <w:jc w:val="left"/>
              <w:rPr>
                <w:szCs w:val="24"/>
              </w:rPr>
            </w:pPr>
            <w:r w:rsidRPr="00BB4654">
              <w:rPr>
                <w:szCs w:val="24"/>
              </w:rPr>
              <w:t>Less than 30</w:t>
            </w:r>
          </w:p>
        </w:tc>
        <w:tc>
          <w:tcPr>
            <w:tcW w:w="1723" w:type="pct"/>
            <w:shd w:val="clear" w:color="auto" w:fill="auto"/>
          </w:tcPr>
          <w:p w14:paraId="757F3890" w14:textId="77777777" w:rsidR="003859C9" w:rsidRPr="00BB4654" w:rsidRDefault="003859C9" w:rsidP="00007E09">
            <w:pPr>
              <w:shd w:val="clear" w:color="auto" w:fill="FFFFFF"/>
              <w:autoSpaceDE w:val="0"/>
              <w:autoSpaceDN w:val="0"/>
              <w:adjustRightInd w:val="0"/>
              <w:spacing w:after="160" w:line="320" w:lineRule="atLeast"/>
              <w:ind w:left="60" w:right="60"/>
              <w:jc w:val="left"/>
              <w:rPr>
                <w:szCs w:val="24"/>
              </w:rPr>
            </w:pPr>
            <w:r w:rsidRPr="00BB4654">
              <w:rPr>
                <w:szCs w:val="24"/>
              </w:rPr>
              <w:t>67</w:t>
            </w:r>
          </w:p>
        </w:tc>
        <w:tc>
          <w:tcPr>
            <w:tcW w:w="1153" w:type="pct"/>
            <w:shd w:val="clear" w:color="auto" w:fill="auto"/>
          </w:tcPr>
          <w:p w14:paraId="2CA9F223" w14:textId="77777777" w:rsidR="003859C9" w:rsidRPr="00BB4654" w:rsidRDefault="003859C9" w:rsidP="00007E09">
            <w:pPr>
              <w:shd w:val="clear" w:color="auto" w:fill="FFFFFF"/>
              <w:autoSpaceDE w:val="0"/>
              <w:autoSpaceDN w:val="0"/>
              <w:adjustRightInd w:val="0"/>
              <w:spacing w:after="160" w:line="320" w:lineRule="atLeast"/>
              <w:ind w:left="60" w:right="60"/>
              <w:jc w:val="right"/>
              <w:rPr>
                <w:szCs w:val="24"/>
              </w:rPr>
            </w:pPr>
            <w:r w:rsidRPr="00BB4654">
              <w:rPr>
                <w:szCs w:val="24"/>
              </w:rPr>
              <w:t>26.8</w:t>
            </w:r>
          </w:p>
        </w:tc>
      </w:tr>
      <w:tr w:rsidR="003859C9" w:rsidRPr="00BB4654" w14:paraId="7C0A7530" w14:textId="77777777" w:rsidTr="00BB4654">
        <w:tc>
          <w:tcPr>
            <w:tcW w:w="2124" w:type="pct"/>
            <w:shd w:val="clear" w:color="auto" w:fill="auto"/>
          </w:tcPr>
          <w:p w14:paraId="33F9BA51" w14:textId="77777777" w:rsidR="003859C9" w:rsidRPr="00BB4654" w:rsidRDefault="003859C9" w:rsidP="00007E09">
            <w:pPr>
              <w:shd w:val="clear" w:color="auto" w:fill="FFFFFF"/>
              <w:spacing w:after="160" w:line="259" w:lineRule="auto"/>
              <w:jc w:val="left"/>
              <w:rPr>
                <w:szCs w:val="24"/>
              </w:rPr>
            </w:pPr>
            <w:r w:rsidRPr="00BB4654">
              <w:rPr>
                <w:szCs w:val="24"/>
              </w:rPr>
              <w:t>Between 31 to 54 years</w:t>
            </w:r>
          </w:p>
        </w:tc>
        <w:tc>
          <w:tcPr>
            <w:tcW w:w="1723" w:type="pct"/>
            <w:shd w:val="clear" w:color="auto" w:fill="auto"/>
          </w:tcPr>
          <w:p w14:paraId="0E6D7964" w14:textId="77777777" w:rsidR="003859C9" w:rsidRPr="00BB4654" w:rsidRDefault="003859C9" w:rsidP="00007E09">
            <w:pPr>
              <w:shd w:val="clear" w:color="auto" w:fill="FFFFFF"/>
              <w:autoSpaceDE w:val="0"/>
              <w:autoSpaceDN w:val="0"/>
              <w:adjustRightInd w:val="0"/>
              <w:spacing w:after="160" w:line="320" w:lineRule="atLeast"/>
              <w:ind w:left="60" w:right="60"/>
              <w:jc w:val="left"/>
              <w:rPr>
                <w:szCs w:val="24"/>
              </w:rPr>
            </w:pPr>
            <w:r w:rsidRPr="00BB4654">
              <w:rPr>
                <w:szCs w:val="24"/>
              </w:rPr>
              <w:t>108</w:t>
            </w:r>
          </w:p>
        </w:tc>
        <w:tc>
          <w:tcPr>
            <w:tcW w:w="1153" w:type="pct"/>
            <w:shd w:val="clear" w:color="auto" w:fill="auto"/>
          </w:tcPr>
          <w:p w14:paraId="18D69B24" w14:textId="77777777" w:rsidR="003859C9" w:rsidRPr="00BB4654" w:rsidRDefault="003859C9" w:rsidP="00007E09">
            <w:pPr>
              <w:shd w:val="clear" w:color="auto" w:fill="FFFFFF"/>
              <w:autoSpaceDE w:val="0"/>
              <w:autoSpaceDN w:val="0"/>
              <w:adjustRightInd w:val="0"/>
              <w:spacing w:after="160" w:line="320" w:lineRule="atLeast"/>
              <w:ind w:left="60" w:right="60"/>
              <w:jc w:val="right"/>
              <w:rPr>
                <w:szCs w:val="24"/>
              </w:rPr>
            </w:pPr>
            <w:r w:rsidRPr="00BB4654">
              <w:rPr>
                <w:szCs w:val="24"/>
              </w:rPr>
              <w:t>43.2</w:t>
            </w:r>
          </w:p>
        </w:tc>
      </w:tr>
      <w:tr w:rsidR="003859C9" w:rsidRPr="00BB4654" w14:paraId="539618C9" w14:textId="77777777" w:rsidTr="00BB4654">
        <w:tc>
          <w:tcPr>
            <w:tcW w:w="2124" w:type="pct"/>
            <w:tcBorders>
              <w:bottom w:val="single" w:sz="4" w:space="0" w:color="auto"/>
            </w:tcBorders>
            <w:shd w:val="clear" w:color="auto" w:fill="auto"/>
          </w:tcPr>
          <w:p w14:paraId="383EACB9" w14:textId="77777777" w:rsidR="003859C9" w:rsidRPr="00BB4654" w:rsidRDefault="003859C9" w:rsidP="00007E09">
            <w:pPr>
              <w:shd w:val="clear" w:color="auto" w:fill="FFFFFF"/>
              <w:spacing w:after="160" w:line="259" w:lineRule="auto"/>
              <w:jc w:val="left"/>
              <w:rPr>
                <w:szCs w:val="24"/>
              </w:rPr>
            </w:pPr>
            <w:r w:rsidRPr="00BB4654">
              <w:rPr>
                <w:szCs w:val="24"/>
              </w:rPr>
              <w:t xml:space="preserve">More than 55 years </w:t>
            </w:r>
          </w:p>
        </w:tc>
        <w:tc>
          <w:tcPr>
            <w:tcW w:w="1723" w:type="pct"/>
            <w:tcBorders>
              <w:bottom w:val="single" w:sz="4" w:space="0" w:color="auto"/>
            </w:tcBorders>
            <w:shd w:val="clear" w:color="auto" w:fill="auto"/>
          </w:tcPr>
          <w:p w14:paraId="5774F977" w14:textId="77777777" w:rsidR="003859C9" w:rsidRPr="00BB4654" w:rsidRDefault="003859C9" w:rsidP="00007E09">
            <w:pPr>
              <w:shd w:val="clear" w:color="auto" w:fill="FFFFFF"/>
              <w:autoSpaceDE w:val="0"/>
              <w:autoSpaceDN w:val="0"/>
              <w:adjustRightInd w:val="0"/>
              <w:spacing w:after="160" w:line="320" w:lineRule="atLeast"/>
              <w:ind w:left="60" w:right="60"/>
              <w:jc w:val="left"/>
              <w:rPr>
                <w:szCs w:val="24"/>
              </w:rPr>
            </w:pPr>
            <w:r w:rsidRPr="00BB4654">
              <w:rPr>
                <w:szCs w:val="24"/>
              </w:rPr>
              <w:t>75</w:t>
            </w:r>
          </w:p>
        </w:tc>
        <w:tc>
          <w:tcPr>
            <w:tcW w:w="1153" w:type="pct"/>
            <w:tcBorders>
              <w:bottom w:val="single" w:sz="4" w:space="0" w:color="auto"/>
            </w:tcBorders>
            <w:shd w:val="clear" w:color="auto" w:fill="auto"/>
          </w:tcPr>
          <w:p w14:paraId="3D933647" w14:textId="77777777" w:rsidR="003859C9" w:rsidRPr="00BB4654" w:rsidRDefault="003859C9" w:rsidP="00007E09">
            <w:pPr>
              <w:shd w:val="clear" w:color="auto" w:fill="FFFFFF"/>
              <w:autoSpaceDE w:val="0"/>
              <w:autoSpaceDN w:val="0"/>
              <w:adjustRightInd w:val="0"/>
              <w:spacing w:after="160" w:line="320" w:lineRule="atLeast"/>
              <w:ind w:left="60" w:right="60"/>
              <w:jc w:val="right"/>
              <w:rPr>
                <w:szCs w:val="24"/>
              </w:rPr>
            </w:pPr>
            <w:r w:rsidRPr="00BB4654">
              <w:rPr>
                <w:szCs w:val="24"/>
              </w:rPr>
              <w:t>30.0</w:t>
            </w:r>
          </w:p>
        </w:tc>
      </w:tr>
      <w:tr w:rsidR="003859C9" w:rsidRPr="00EB11D3" w14:paraId="3C5F13EF" w14:textId="77777777" w:rsidTr="00BB4654">
        <w:trPr>
          <w:trHeight w:val="315"/>
        </w:trPr>
        <w:tc>
          <w:tcPr>
            <w:tcW w:w="2124" w:type="pct"/>
            <w:tcBorders>
              <w:top w:val="single" w:sz="4" w:space="0" w:color="auto"/>
              <w:bottom w:val="single" w:sz="8" w:space="0" w:color="000000"/>
            </w:tcBorders>
            <w:shd w:val="clear" w:color="auto" w:fill="auto"/>
          </w:tcPr>
          <w:p w14:paraId="4041AC70" w14:textId="77777777" w:rsidR="003859C9" w:rsidRPr="00EB11D3" w:rsidRDefault="003859C9" w:rsidP="00007E09">
            <w:pPr>
              <w:shd w:val="clear" w:color="auto" w:fill="FFFFFF"/>
              <w:spacing w:after="160" w:line="259" w:lineRule="auto"/>
              <w:jc w:val="left"/>
              <w:rPr>
                <w:b/>
                <w:bCs/>
                <w:szCs w:val="24"/>
              </w:rPr>
            </w:pPr>
            <w:r w:rsidRPr="00EB11D3">
              <w:rPr>
                <w:b/>
                <w:bCs/>
                <w:szCs w:val="24"/>
              </w:rPr>
              <w:t>Total</w:t>
            </w:r>
          </w:p>
        </w:tc>
        <w:tc>
          <w:tcPr>
            <w:tcW w:w="1723" w:type="pct"/>
            <w:tcBorders>
              <w:top w:val="single" w:sz="4" w:space="0" w:color="auto"/>
              <w:bottom w:val="single" w:sz="8" w:space="0" w:color="000000"/>
            </w:tcBorders>
            <w:shd w:val="clear" w:color="auto" w:fill="auto"/>
          </w:tcPr>
          <w:p w14:paraId="3281213A" w14:textId="77777777" w:rsidR="003859C9" w:rsidRPr="00EB11D3" w:rsidRDefault="003859C9" w:rsidP="00007E09">
            <w:pPr>
              <w:shd w:val="clear" w:color="auto" w:fill="FFFFFF"/>
              <w:autoSpaceDE w:val="0"/>
              <w:autoSpaceDN w:val="0"/>
              <w:adjustRightInd w:val="0"/>
              <w:spacing w:after="160" w:line="320" w:lineRule="atLeast"/>
              <w:ind w:left="60" w:right="60"/>
              <w:jc w:val="left"/>
              <w:rPr>
                <w:b/>
                <w:szCs w:val="24"/>
              </w:rPr>
            </w:pPr>
            <w:r w:rsidRPr="00EB11D3">
              <w:rPr>
                <w:b/>
                <w:szCs w:val="24"/>
              </w:rPr>
              <w:t>250</w:t>
            </w:r>
          </w:p>
        </w:tc>
        <w:tc>
          <w:tcPr>
            <w:tcW w:w="1153" w:type="pct"/>
            <w:tcBorders>
              <w:top w:val="single" w:sz="4" w:space="0" w:color="auto"/>
              <w:bottom w:val="single" w:sz="8" w:space="0" w:color="000000"/>
            </w:tcBorders>
            <w:shd w:val="clear" w:color="auto" w:fill="auto"/>
          </w:tcPr>
          <w:p w14:paraId="1EE46E10" w14:textId="77777777" w:rsidR="003859C9" w:rsidRPr="00EB11D3" w:rsidRDefault="003859C9" w:rsidP="00007E09">
            <w:pPr>
              <w:shd w:val="clear" w:color="auto" w:fill="FFFFFF"/>
              <w:autoSpaceDE w:val="0"/>
              <w:autoSpaceDN w:val="0"/>
              <w:adjustRightInd w:val="0"/>
              <w:spacing w:after="160" w:line="320" w:lineRule="atLeast"/>
              <w:ind w:left="60" w:right="60"/>
              <w:jc w:val="right"/>
              <w:rPr>
                <w:b/>
                <w:szCs w:val="24"/>
              </w:rPr>
            </w:pPr>
            <w:r w:rsidRPr="00EB11D3">
              <w:rPr>
                <w:b/>
                <w:szCs w:val="24"/>
              </w:rPr>
              <w:t>100.0</w:t>
            </w:r>
          </w:p>
        </w:tc>
      </w:tr>
    </w:tbl>
    <w:p w14:paraId="268C938A" w14:textId="77777777" w:rsidR="003859C9" w:rsidRPr="00EB11D3" w:rsidRDefault="003859C9" w:rsidP="003859C9">
      <w:pPr>
        <w:shd w:val="clear" w:color="auto" w:fill="FFFFFF"/>
        <w:autoSpaceDE w:val="0"/>
        <w:autoSpaceDN w:val="0"/>
        <w:adjustRightInd w:val="0"/>
        <w:spacing w:after="0" w:line="360" w:lineRule="auto"/>
        <w:jc w:val="left"/>
        <w:rPr>
          <w:rFonts w:eastAsia="Cambria"/>
          <w:szCs w:val="24"/>
        </w:rPr>
      </w:pPr>
    </w:p>
    <w:p w14:paraId="7A04D531" w14:textId="77777777" w:rsidR="00BB4654" w:rsidRDefault="003859C9" w:rsidP="00BB4654">
      <w:pPr>
        <w:shd w:val="clear" w:color="auto" w:fill="FFFFFF"/>
        <w:autoSpaceDE w:val="0"/>
        <w:autoSpaceDN w:val="0"/>
        <w:adjustRightInd w:val="0"/>
        <w:spacing w:line="360" w:lineRule="auto"/>
        <w:rPr>
          <w:rFonts w:eastAsia="Cambria"/>
          <w:szCs w:val="24"/>
        </w:rPr>
      </w:pPr>
      <w:r w:rsidRPr="00EB11D3">
        <w:rPr>
          <w:rFonts w:eastAsia="Cambria"/>
          <w:szCs w:val="24"/>
        </w:rPr>
        <w:t xml:space="preserve">The results indicate that 43.2% of the </w:t>
      </w:r>
      <w:r w:rsidR="00C10AED" w:rsidRPr="00EB11D3">
        <w:rPr>
          <w:szCs w:val="24"/>
          <w:lang w:val="en"/>
        </w:rPr>
        <w:t>Finance Director, Executive Director and Medical director</w:t>
      </w:r>
      <w:r w:rsidRPr="00EB11D3">
        <w:rPr>
          <w:rFonts w:eastAsia="Calibri"/>
          <w:bCs/>
          <w:szCs w:val="24"/>
        </w:rPr>
        <w:t xml:space="preserve"> of Each Faith-Based Hospital</w:t>
      </w:r>
      <w:r w:rsidRPr="00EB11D3">
        <w:rPr>
          <w:rFonts w:eastAsia="Calibri"/>
          <w:szCs w:val="24"/>
        </w:rPr>
        <w:t xml:space="preserve"> </w:t>
      </w:r>
      <w:r w:rsidRPr="00EB11D3">
        <w:rPr>
          <w:rFonts w:eastAsia="Cambria"/>
          <w:szCs w:val="24"/>
        </w:rPr>
        <w:t xml:space="preserve">were in the age bracket of between 31 to 54 years followed by more than 55 years and above who were 30.0%. Those less than 30 years and below were 26.8%. This implies that most of the managers were above middle age. </w:t>
      </w:r>
      <w:bookmarkStart w:id="618" w:name="_Toc100987655"/>
      <w:bookmarkStart w:id="619" w:name="_Toc103414508"/>
      <w:r w:rsidR="002D244E" w:rsidRPr="00EB11D3">
        <w:rPr>
          <w:rFonts w:eastAsia="Cambria"/>
          <w:szCs w:val="24"/>
        </w:rPr>
        <w:t xml:space="preserve">Any organization's greatest asset, one that influences both the individual and collective performances of the group, is its workforce. One significant component that has been noticed is the age variety among the </w:t>
      </w:r>
      <w:r w:rsidR="00403161" w:rsidRPr="00EB11D3">
        <w:rPr>
          <w:rFonts w:eastAsia="Cambria"/>
          <w:szCs w:val="24"/>
        </w:rPr>
        <w:t>workforce which</w:t>
      </w:r>
      <w:r w:rsidR="002D244E" w:rsidRPr="00EB11D3">
        <w:rPr>
          <w:rFonts w:eastAsia="Cambria"/>
          <w:szCs w:val="24"/>
        </w:rPr>
        <w:t xml:space="preserve"> affect the effectiveness of the company. It benefits organizations by fostering innovation and creativity in solving issues and improving performance. </w:t>
      </w:r>
    </w:p>
    <w:p w14:paraId="2673C49E" w14:textId="77777777" w:rsidR="00BB4654" w:rsidRDefault="002D244E" w:rsidP="00BB4654">
      <w:pPr>
        <w:shd w:val="clear" w:color="auto" w:fill="FFFFFF"/>
        <w:autoSpaceDE w:val="0"/>
        <w:autoSpaceDN w:val="0"/>
        <w:adjustRightInd w:val="0"/>
        <w:spacing w:line="360" w:lineRule="auto"/>
        <w:rPr>
          <w:rFonts w:eastAsia="Cambria"/>
          <w:szCs w:val="24"/>
        </w:rPr>
      </w:pPr>
      <w:r w:rsidRPr="00EB11D3">
        <w:rPr>
          <w:rFonts w:eastAsia="Cambria"/>
          <w:szCs w:val="24"/>
        </w:rPr>
        <w:t>The workforce's combination of experience and inexperience helps to minimize organizational issues and gain from experienced workers for inexperience. The likelihood of mistakes in organizational decision-making is decreased by having a thorough awareness of market trends, demands, and weaknesses (Zaidi, Saif &amp; Zaheer, 2018).</w:t>
      </w:r>
      <w:r w:rsidR="00BB4654">
        <w:rPr>
          <w:rFonts w:eastAsia="Cambria"/>
          <w:szCs w:val="24"/>
        </w:rPr>
        <w:t xml:space="preserve"> </w:t>
      </w:r>
      <w:r w:rsidRPr="00EB11D3">
        <w:rPr>
          <w:rFonts w:eastAsia="Cambria"/>
          <w:szCs w:val="24"/>
        </w:rPr>
        <w:t xml:space="preserve">Nonetheless, the extensive expertise and youthful enthusiasm of senior employees can stimulate fresh ideas within </w:t>
      </w:r>
      <w:r w:rsidR="00302E81" w:rsidRPr="00EB11D3">
        <w:rPr>
          <w:rFonts w:eastAsia="Cambria"/>
          <w:szCs w:val="24"/>
        </w:rPr>
        <w:t>hospitals</w:t>
      </w:r>
      <w:r w:rsidRPr="00EB11D3">
        <w:rPr>
          <w:rFonts w:eastAsia="Cambria"/>
          <w:szCs w:val="24"/>
        </w:rPr>
        <w:t xml:space="preserve">. According to Zincirkiran, Emhan, and Yasar (2019), the company should maintain a balance with regard to age. </w:t>
      </w:r>
    </w:p>
    <w:p w14:paraId="424AB8FD" w14:textId="77777777" w:rsidR="003859C9" w:rsidRPr="00EB11D3" w:rsidRDefault="002D244E" w:rsidP="00BB4654">
      <w:pPr>
        <w:shd w:val="clear" w:color="auto" w:fill="FFFFFF"/>
        <w:autoSpaceDE w:val="0"/>
        <w:autoSpaceDN w:val="0"/>
        <w:adjustRightInd w:val="0"/>
        <w:spacing w:line="360" w:lineRule="auto"/>
        <w:rPr>
          <w:rFonts w:eastAsia="Cambria"/>
          <w:szCs w:val="24"/>
        </w:rPr>
      </w:pPr>
      <w:r w:rsidRPr="00EB11D3">
        <w:rPr>
          <w:rFonts w:eastAsia="Cambria"/>
          <w:szCs w:val="24"/>
        </w:rPr>
        <w:t>Age diversity in the workplace has been linked to increased innovation and appropriate solutions to organizational issues. The heterogeneous environment within a company can handle quality issue solving, decision making, and such other relevant matters. Conflicts may arise from the age diversity of the workforce and generational divides, but these can be avoided by strengthening human resource practices.</w:t>
      </w:r>
      <w:r w:rsidR="00BB4654">
        <w:rPr>
          <w:rFonts w:eastAsia="Cambria"/>
          <w:szCs w:val="24"/>
        </w:rPr>
        <w:t xml:space="preserve"> </w:t>
      </w:r>
      <w:r w:rsidRPr="00EB11D3">
        <w:rPr>
          <w:rFonts w:eastAsia="Cambria"/>
          <w:szCs w:val="24"/>
        </w:rPr>
        <w:t>On the other hand, Seong and Hong (2018) stated that a company's ability to produce ideas and think imaginatively about problem-solving is one of its most valuable assets, much like the age variety of its workforce. Because they possess a variety of abilities like creativity, problem solving, sharing knowledge, and teamwork, workers of all ages provide enormous value to our enterprises. These qualities will be crucial in the varied workforce of the future. Given the significance of the subject, this study looked into the connection between employee age diversity and organizational success.</w:t>
      </w:r>
    </w:p>
    <w:p w14:paraId="47A7A8B6" w14:textId="77777777" w:rsidR="003859C9" w:rsidRPr="00EB11D3" w:rsidRDefault="003859C9" w:rsidP="00823CEA">
      <w:pPr>
        <w:pStyle w:val="Heading3"/>
        <w:spacing w:after="240"/>
        <w:rPr>
          <w:rFonts w:eastAsia="Times New Roman"/>
          <w:bCs/>
        </w:rPr>
      </w:pPr>
      <w:bookmarkStart w:id="620" w:name="_Toc117772200"/>
      <w:bookmarkStart w:id="621" w:name="_Toc117773060"/>
      <w:bookmarkStart w:id="622" w:name="_Toc124240239"/>
      <w:bookmarkStart w:id="623" w:name="_Toc126071130"/>
      <w:bookmarkStart w:id="624" w:name="_Toc164148992"/>
      <w:bookmarkStart w:id="625" w:name="_Toc164151253"/>
      <w:bookmarkStart w:id="626" w:name="_Toc168673445"/>
      <w:bookmarkStart w:id="627" w:name="_Toc168737887"/>
      <w:bookmarkStart w:id="628" w:name="_Toc171602640"/>
      <w:bookmarkStart w:id="629" w:name="_Toc171603467"/>
      <w:bookmarkStart w:id="630" w:name="_Toc177387872"/>
      <w:r w:rsidRPr="00EB11D3">
        <w:rPr>
          <w:rFonts w:eastAsia="Times New Roman"/>
          <w:bCs/>
        </w:rPr>
        <w:t>4.</w:t>
      </w:r>
      <w:r w:rsidR="004373D8">
        <w:rPr>
          <w:rFonts w:eastAsia="Times New Roman"/>
          <w:bCs/>
        </w:rPr>
        <w:t>2</w:t>
      </w:r>
      <w:r w:rsidRPr="00EB11D3">
        <w:rPr>
          <w:rFonts w:eastAsia="Times New Roman"/>
          <w:bCs/>
        </w:rPr>
        <w:t>.3 Level of Education</w:t>
      </w:r>
      <w:bookmarkEnd w:id="618"/>
      <w:bookmarkEnd w:id="619"/>
      <w:bookmarkEnd w:id="620"/>
      <w:bookmarkEnd w:id="621"/>
      <w:bookmarkEnd w:id="622"/>
      <w:bookmarkEnd w:id="623"/>
      <w:bookmarkEnd w:id="624"/>
      <w:bookmarkEnd w:id="625"/>
      <w:bookmarkEnd w:id="626"/>
      <w:bookmarkEnd w:id="627"/>
      <w:bookmarkEnd w:id="628"/>
      <w:bookmarkEnd w:id="629"/>
      <w:bookmarkEnd w:id="630"/>
    </w:p>
    <w:p w14:paraId="0600300D" w14:textId="77777777" w:rsidR="003859C9" w:rsidRPr="00EB11D3" w:rsidRDefault="005D3D5D" w:rsidP="003859C9">
      <w:pPr>
        <w:shd w:val="clear" w:color="auto" w:fill="FFFFFF"/>
        <w:spacing w:after="160" w:line="360" w:lineRule="auto"/>
        <w:rPr>
          <w:rFonts w:eastAsia="Cambria"/>
          <w:szCs w:val="24"/>
        </w:rPr>
      </w:pPr>
      <w:r w:rsidRPr="005D3D5D">
        <w:rPr>
          <w:rFonts w:eastAsia="Cambria"/>
          <w:szCs w:val="24"/>
        </w:rPr>
        <w:t>The academic qualifications that a person has earned are referred to as their education level.</w:t>
      </w:r>
      <w:r w:rsidR="003859C9" w:rsidRPr="00EB11D3">
        <w:rPr>
          <w:rFonts w:eastAsia="Cambria"/>
          <w:szCs w:val="24"/>
        </w:rPr>
        <w:t xml:space="preserve"> </w:t>
      </w:r>
      <w:r w:rsidRPr="005D3D5D">
        <w:rPr>
          <w:rFonts w:eastAsia="Cambria"/>
          <w:szCs w:val="24"/>
        </w:rPr>
        <w:t>The frequency with which respondents responded to the questionnaire's education category allowed for the distribution of respondents by degree of education. The response on education, the respondents provided information, which is displayed in Table 9.</w:t>
      </w:r>
      <w:r w:rsidR="003859C9" w:rsidRPr="00EB11D3">
        <w:rPr>
          <w:rFonts w:eastAsia="Cambria"/>
          <w:szCs w:val="24"/>
        </w:rPr>
        <w:t xml:space="preserve"> </w:t>
      </w:r>
      <w:bookmarkStart w:id="631" w:name="_Toc100987960"/>
    </w:p>
    <w:p w14:paraId="504025B5" w14:textId="77777777" w:rsidR="003859C9" w:rsidRPr="00EB11D3" w:rsidRDefault="003859C9" w:rsidP="00BB4654">
      <w:pPr>
        <w:spacing w:after="0" w:line="360" w:lineRule="auto"/>
        <w:jc w:val="left"/>
        <w:rPr>
          <w:rFonts w:eastAsia="Cambria"/>
          <w:b/>
          <w:bCs/>
          <w:szCs w:val="24"/>
        </w:rPr>
      </w:pPr>
      <w:bookmarkStart w:id="632" w:name="_Toc126666744"/>
      <w:bookmarkStart w:id="633" w:name="_Toc177387940"/>
      <w:r w:rsidRPr="00EB11D3">
        <w:rPr>
          <w:rFonts w:eastAsia="Times New Roman"/>
          <w:b/>
          <w:bCs/>
          <w:szCs w:val="24"/>
        </w:rPr>
        <w:t xml:space="preserve">Table </w:t>
      </w:r>
      <w:r w:rsidRPr="00EB11D3">
        <w:rPr>
          <w:rFonts w:eastAsia="Times New Roman"/>
          <w:b/>
          <w:bCs/>
          <w:szCs w:val="24"/>
        </w:rPr>
        <w:fldChar w:fldCharType="begin"/>
      </w:r>
      <w:r w:rsidRPr="00EB11D3">
        <w:rPr>
          <w:rFonts w:eastAsia="Times New Roman"/>
          <w:b/>
          <w:bCs/>
          <w:szCs w:val="24"/>
        </w:rPr>
        <w:instrText xml:space="preserve"> SEQ Table \* ARABIC </w:instrText>
      </w:r>
      <w:r w:rsidRPr="00EB11D3">
        <w:rPr>
          <w:rFonts w:eastAsia="Times New Roman"/>
          <w:b/>
          <w:bCs/>
          <w:szCs w:val="24"/>
        </w:rPr>
        <w:fldChar w:fldCharType="separate"/>
      </w:r>
      <w:r w:rsidRPr="00EB11D3">
        <w:rPr>
          <w:rFonts w:eastAsia="Times New Roman"/>
          <w:b/>
          <w:bCs/>
          <w:noProof/>
          <w:szCs w:val="24"/>
        </w:rPr>
        <w:t>9</w:t>
      </w:r>
      <w:r w:rsidRPr="00EB11D3">
        <w:rPr>
          <w:rFonts w:eastAsia="Times New Roman"/>
          <w:b/>
          <w:bCs/>
          <w:szCs w:val="24"/>
        </w:rPr>
        <w:fldChar w:fldCharType="end"/>
      </w:r>
      <w:r w:rsidRPr="00EB11D3">
        <w:rPr>
          <w:rFonts w:eastAsia="Cambria"/>
          <w:b/>
          <w:bCs/>
          <w:szCs w:val="24"/>
        </w:rPr>
        <w:t>: Level of Education</w:t>
      </w:r>
      <w:bookmarkEnd w:id="631"/>
      <w:bookmarkEnd w:id="632"/>
      <w:bookmarkEnd w:id="633"/>
    </w:p>
    <w:tbl>
      <w:tblPr>
        <w:tblW w:w="0" w:type="auto"/>
        <w:tblBorders>
          <w:top w:val="single" w:sz="8" w:space="0" w:color="000000"/>
          <w:bottom w:val="single" w:sz="8" w:space="0" w:color="000000"/>
        </w:tblBorders>
        <w:tblLook w:val="04A0" w:firstRow="1" w:lastRow="0" w:firstColumn="1" w:lastColumn="0" w:noHBand="0" w:noVBand="1"/>
      </w:tblPr>
      <w:tblGrid>
        <w:gridCol w:w="3137"/>
        <w:gridCol w:w="3107"/>
        <w:gridCol w:w="3116"/>
      </w:tblGrid>
      <w:tr w:rsidR="00136E4E" w:rsidRPr="00EB11D3" w14:paraId="718318B7" w14:textId="77777777" w:rsidTr="00664558">
        <w:tc>
          <w:tcPr>
            <w:tcW w:w="3192" w:type="dxa"/>
            <w:tcBorders>
              <w:top w:val="single" w:sz="8" w:space="0" w:color="000000"/>
              <w:left w:val="nil"/>
              <w:bottom w:val="single" w:sz="8" w:space="0" w:color="000000"/>
              <w:right w:val="nil"/>
            </w:tcBorders>
            <w:shd w:val="clear" w:color="auto" w:fill="auto"/>
          </w:tcPr>
          <w:p w14:paraId="47F3796E" w14:textId="77777777" w:rsidR="00136E4E" w:rsidRPr="00EB11D3" w:rsidRDefault="00DA3A3E" w:rsidP="00664558">
            <w:pPr>
              <w:autoSpaceDE w:val="0"/>
              <w:autoSpaceDN w:val="0"/>
              <w:adjustRightInd w:val="0"/>
              <w:spacing w:after="0" w:line="360" w:lineRule="auto"/>
              <w:rPr>
                <w:rFonts w:eastAsia="Calibri"/>
                <w:b/>
                <w:bCs/>
                <w:szCs w:val="24"/>
              </w:rPr>
            </w:pPr>
            <w:r w:rsidRPr="00093CED">
              <w:rPr>
                <w:b/>
                <w:bCs/>
                <w:sz w:val="22"/>
              </w:rPr>
              <w:t>Demographic Profiles</w:t>
            </w:r>
          </w:p>
        </w:tc>
        <w:tc>
          <w:tcPr>
            <w:tcW w:w="3192" w:type="dxa"/>
            <w:tcBorders>
              <w:top w:val="single" w:sz="8" w:space="0" w:color="000000"/>
              <w:left w:val="nil"/>
              <w:bottom w:val="single" w:sz="8" w:space="0" w:color="000000"/>
              <w:right w:val="nil"/>
            </w:tcBorders>
            <w:shd w:val="clear" w:color="auto" w:fill="auto"/>
          </w:tcPr>
          <w:p w14:paraId="62864148" w14:textId="77777777" w:rsidR="00136E4E" w:rsidRPr="00EB11D3" w:rsidRDefault="00136E4E" w:rsidP="00664558">
            <w:pPr>
              <w:autoSpaceDE w:val="0"/>
              <w:autoSpaceDN w:val="0"/>
              <w:adjustRightInd w:val="0"/>
              <w:spacing w:after="0" w:line="360" w:lineRule="auto"/>
              <w:rPr>
                <w:rFonts w:eastAsia="Calibri"/>
                <w:b/>
                <w:bCs/>
                <w:szCs w:val="24"/>
              </w:rPr>
            </w:pPr>
            <w:r w:rsidRPr="00EB11D3">
              <w:rPr>
                <w:rFonts w:eastAsia="Calibri"/>
                <w:b/>
                <w:bCs/>
                <w:szCs w:val="24"/>
              </w:rPr>
              <w:t>N</w:t>
            </w:r>
          </w:p>
        </w:tc>
        <w:tc>
          <w:tcPr>
            <w:tcW w:w="3192" w:type="dxa"/>
            <w:tcBorders>
              <w:top w:val="single" w:sz="8" w:space="0" w:color="000000"/>
              <w:left w:val="nil"/>
              <w:bottom w:val="single" w:sz="8" w:space="0" w:color="000000"/>
              <w:right w:val="nil"/>
            </w:tcBorders>
            <w:shd w:val="clear" w:color="auto" w:fill="auto"/>
          </w:tcPr>
          <w:p w14:paraId="53835C91" w14:textId="77777777" w:rsidR="00136E4E" w:rsidRPr="00EB11D3" w:rsidRDefault="00136E4E" w:rsidP="00664558">
            <w:pPr>
              <w:autoSpaceDE w:val="0"/>
              <w:autoSpaceDN w:val="0"/>
              <w:adjustRightInd w:val="0"/>
              <w:spacing w:after="0" w:line="360" w:lineRule="auto"/>
              <w:rPr>
                <w:rFonts w:eastAsia="Calibri"/>
                <w:b/>
                <w:bCs/>
                <w:szCs w:val="24"/>
              </w:rPr>
            </w:pPr>
            <w:r w:rsidRPr="00EB11D3">
              <w:rPr>
                <w:rFonts w:eastAsia="Calibri"/>
                <w:b/>
                <w:bCs/>
                <w:szCs w:val="24"/>
              </w:rPr>
              <w:t>%</w:t>
            </w:r>
          </w:p>
        </w:tc>
      </w:tr>
      <w:tr w:rsidR="00136E4E" w:rsidRPr="00EB11D3" w14:paraId="7F32FC89" w14:textId="77777777" w:rsidTr="00664558">
        <w:tc>
          <w:tcPr>
            <w:tcW w:w="3192" w:type="dxa"/>
            <w:shd w:val="clear" w:color="auto" w:fill="auto"/>
          </w:tcPr>
          <w:p w14:paraId="4D580FDA" w14:textId="77777777" w:rsidR="00136E4E" w:rsidRPr="00EB11D3" w:rsidRDefault="00136E4E" w:rsidP="00664558">
            <w:pPr>
              <w:autoSpaceDE w:val="0"/>
              <w:autoSpaceDN w:val="0"/>
              <w:adjustRightInd w:val="0"/>
              <w:spacing w:after="0" w:line="360" w:lineRule="auto"/>
              <w:rPr>
                <w:rFonts w:eastAsia="Calibri"/>
                <w:b/>
                <w:bCs/>
                <w:szCs w:val="24"/>
              </w:rPr>
            </w:pPr>
            <w:r w:rsidRPr="00EB11D3">
              <w:rPr>
                <w:rFonts w:eastAsia="Times New Roman"/>
                <w:b/>
                <w:bCs/>
                <w:szCs w:val="24"/>
              </w:rPr>
              <w:t>Bachelor’s Degree</w:t>
            </w:r>
          </w:p>
        </w:tc>
        <w:tc>
          <w:tcPr>
            <w:tcW w:w="3192" w:type="dxa"/>
            <w:shd w:val="clear" w:color="auto" w:fill="auto"/>
          </w:tcPr>
          <w:p w14:paraId="46650346" w14:textId="77777777" w:rsidR="00136E4E" w:rsidRPr="00EB11D3" w:rsidRDefault="004E7BD0" w:rsidP="00664558">
            <w:pPr>
              <w:autoSpaceDE w:val="0"/>
              <w:autoSpaceDN w:val="0"/>
              <w:adjustRightInd w:val="0"/>
              <w:spacing w:after="0" w:line="360" w:lineRule="auto"/>
              <w:rPr>
                <w:rFonts w:eastAsia="Calibri"/>
                <w:szCs w:val="24"/>
              </w:rPr>
            </w:pPr>
            <w:r w:rsidRPr="00EB11D3">
              <w:rPr>
                <w:rFonts w:eastAsia="Calibri"/>
                <w:szCs w:val="24"/>
              </w:rPr>
              <w:t>97</w:t>
            </w:r>
          </w:p>
        </w:tc>
        <w:tc>
          <w:tcPr>
            <w:tcW w:w="3192" w:type="dxa"/>
            <w:shd w:val="clear" w:color="auto" w:fill="auto"/>
          </w:tcPr>
          <w:p w14:paraId="2C3B6F8B" w14:textId="77777777" w:rsidR="00136E4E" w:rsidRPr="00EB11D3" w:rsidRDefault="004E7BD0" w:rsidP="00664558">
            <w:pPr>
              <w:autoSpaceDE w:val="0"/>
              <w:autoSpaceDN w:val="0"/>
              <w:adjustRightInd w:val="0"/>
              <w:spacing w:after="0" w:line="360" w:lineRule="auto"/>
              <w:rPr>
                <w:rFonts w:eastAsia="Calibri"/>
                <w:szCs w:val="24"/>
              </w:rPr>
            </w:pPr>
            <w:r w:rsidRPr="00EB11D3">
              <w:rPr>
                <w:rFonts w:eastAsia="Calibri"/>
                <w:szCs w:val="24"/>
              </w:rPr>
              <w:t>38.8%</w:t>
            </w:r>
          </w:p>
        </w:tc>
      </w:tr>
      <w:tr w:rsidR="00136E4E" w:rsidRPr="00EB11D3" w14:paraId="3C0C284B" w14:textId="77777777" w:rsidTr="00664558">
        <w:tc>
          <w:tcPr>
            <w:tcW w:w="3192" w:type="dxa"/>
            <w:shd w:val="clear" w:color="auto" w:fill="auto"/>
          </w:tcPr>
          <w:p w14:paraId="620F1A30" w14:textId="77777777" w:rsidR="00136E4E" w:rsidRPr="00EB11D3" w:rsidRDefault="00136E4E" w:rsidP="00664558">
            <w:pPr>
              <w:autoSpaceDE w:val="0"/>
              <w:autoSpaceDN w:val="0"/>
              <w:adjustRightInd w:val="0"/>
              <w:spacing w:after="0" w:line="360" w:lineRule="auto"/>
              <w:rPr>
                <w:rFonts w:eastAsia="Calibri"/>
                <w:b/>
                <w:bCs/>
                <w:szCs w:val="24"/>
              </w:rPr>
            </w:pPr>
            <w:r w:rsidRPr="00EB11D3">
              <w:rPr>
                <w:rFonts w:eastAsia="Times New Roman"/>
                <w:b/>
                <w:bCs/>
                <w:szCs w:val="24"/>
              </w:rPr>
              <w:t>Master’s Degree</w:t>
            </w:r>
          </w:p>
        </w:tc>
        <w:tc>
          <w:tcPr>
            <w:tcW w:w="3192" w:type="dxa"/>
            <w:shd w:val="clear" w:color="auto" w:fill="auto"/>
          </w:tcPr>
          <w:p w14:paraId="786C9E64" w14:textId="77777777" w:rsidR="00136E4E" w:rsidRPr="00EB11D3" w:rsidRDefault="004E7BD0" w:rsidP="00664558">
            <w:pPr>
              <w:autoSpaceDE w:val="0"/>
              <w:autoSpaceDN w:val="0"/>
              <w:adjustRightInd w:val="0"/>
              <w:spacing w:after="0" w:line="360" w:lineRule="auto"/>
              <w:rPr>
                <w:rFonts w:eastAsia="Calibri"/>
                <w:szCs w:val="24"/>
              </w:rPr>
            </w:pPr>
            <w:r w:rsidRPr="00EB11D3">
              <w:rPr>
                <w:rFonts w:eastAsia="Calibri"/>
                <w:szCs w:val="24"/>
              </w:rPr>
              <w:t>152</w:t>
            </w:r>
          </w:p>
        </w:tc>
        <w:tc>
          <w:tcPr>
            <w:tcW w:w="3192" w:type="dxa"/>
            <w:shd w:val="clear" w:color="auto" w:fill="auto"/>
          </w:tcPr>
          <w:p w14:paraId="7A05654D" w14:textId="77777777" w:rsidR="00136E4E" w:rsidRPr="00EB11D3" w:rsidRDefault="004E7BD0" w:rsidP="00664558">
            <w:pPr>
              <w:autoSpaceDE w:val="0"/>
              <w:autoSpaceDN w:val="0"/>
              <w:adjustRightInd w:val="0"/>
              <w:spacing w:after="0" w:line="360" w:lineRule="auto"/>
              <w:rPr>
                <w:rFonts w:eastAsia="Calibri"/>
                <w:szCs w:val="24"/>
              </w:rPr>
            </w:pPr>
            <w:r w:rsidRPr="00EB11D3">
              <w:rPr>
                <w:rFonts w:eastAsia="Calibri"/>
                <w:szCs w:val="24"/>
              </w:rPr>
              <w:t>60.8%</w:t>
            </w:r>
          </w:p>
        </w:tc>
      </w:tr>
      <w:tr w:rsidR="00136E4E" w:rsidRPr="00EB11D3" w14:paraId="433808BA" w14:textId="77777777" w:rsidTr="00664558">
        <w:tc>
          <w:tcPr>
            <w:tcW w:w="3192" w:type="dxa"/>
            <w:tcBorders>
              <w:bottom w:val="single" w:sz="4" w:space="0" w:color="auto"/>
            </w:tcBorders>
            <w:shd w:val="clear" w:color="auto" w:fill="auto"/>
          </w:tcPr>
          <w:p w14:paraId="39729FAF" w14:textId="77777777" w:rsidR="00136E4E" w:rsidRPr="00EB11D3" w:rsidRDefault="00136E4E" w:rsidP="00664558">
            <w:pPr>
              <w:autoSpaceDE w:val="0"/>
              <w:autoSpaceDN w:val="0"/>
              <w:adjustRightInd w:val="0"/>
              <w:spacing w:after="0" w:line="360" w:lineRule="auto"/>
              <w:rPr>
                <w:rFonts w:eastAsia="Calibri"/>
                <w:b/>
                <w:bCs/>
                <w:szCs w:val="24"/>
              </w:rPr>
            </w:pPr>
            <w:r w:rsidRPr="00EB11D3">
              <w:rPr>
                <w:rFonts w:eastAsia="Times New Roman"/>
                <w:b/>
                <w:bCs/>
                <w:szCs w:val="24"/>
              </w:rPr>
              <w:t>Doctorate or PhD</w:t>
            </w:r>
          </w:p>
        </w:tc>
        <w:tc>
          <w:tcPr>
            <w:tcW w:w="3192" w:type="dxa"/>
            <w:tcBorders>
              <w:bottom w:val="single" w:sz="4" w:space="0" w:color="auto"/>
            </w:tcBorders>
            <w:shd w:val="clear" w:color="auto" w:fill="auto"/>
          </w:tcPr>
          <w:p w14:paraId="7D64DFA0" w14:textId="77777777" w:rsidR="00136E4E" w:rsidRPr="00EB11D3" w:rsidRDefault="00136E4E" w:rsidP="00664558">
            <w:pPr>
              <w:autoSpaceDE w:val="0"/>
              <w:autoSpaceDN w:val="0"/>
              <w:adjustRightInd w:val="0"/>
              <w:spacing w:after="0" w:line="360" w:lineRule="auto"/>
              <w:rPr>
                <w:rFonts w:eastAsia="Calibri"/>
                <w:szCs w:val="24"/>
              </w:rPr>
            </w:pPr>
            <w:r w:rsidRPr="00EB11D3">
              <w:rPr>
                <w:rFonts w:eastAsia="Calibri"/>
                <w:szCs w:val="24"/>
              </w:rPr>
              <w:t>1</w:t>
            </w:r>
          </w:p>
        </w:tc>
        <w:tc>
          <w:tcPr>
            <w:tcW w:w="3192" w:type="dxa"/>
            <w:tcBorders>
              <w:bottom w:val="single" w:sz="4" w:space="0" w:color="auto"/>
            </w:tcBorders>
            <w:shd w:val="clear" w:color="auto" w:fill="auto"/>
          </w:tcPr>
          <w:p w14:paraId="21E40246" w14:textId="77777777" w:rsidR="00136E4E" w:rsidRPr="00EB11D3" w:rsidRDefault="00136E4E" w:rsidP="00664558">
            <w:pPr>
              <w:autoSpaceDE w:val="0"/>
              <w:autoSpaceDN w:val="0"/>
              <w:adjustRightInd w:val="0"/>
              <w:spacing w:after="0" w:line="360" w:lineRule="auto"/>
              <w:rPr>
                <w:rFonts w:eastAsia="Calibri"/>
                <w:szCs w:val="24"/>
              </w:rPr>
            </w:pPr>
            <w:r w:rsidRPr="00EB11D3">
              <w:rPr>
                <w:rFonts w:eastAsia="Calibri"/>
                <w:szCs w:val="24"/>
              </w:rPr>
              <w:t>0.4%</w:t>
            </w:r>
          </w:p>
        </w:tc>
      </w:tr>
      <w:tr w:rsidR="00136E4E" w:rsidRPr="00EB11D3" w14:paraId="5F8D42F6" w14:textId="77777777" w:rsidTr="00664558">
        <w:tc>
          <w:tcPr>
            <w:tcW w:w="3192" w:type="dxa"/>
            <w:tcBorders>
              <w:top w:val="single" w:sz="4" w:space="0" w:color="auto"/>
              <w:bottom w:val="single" w:sz="8" w:space="0" w:color="000000"/>
            </w:tcBorders>
            <w:shd w:val="clear" w:color="auto" w:fill="auto"/>
          </w:tcPr>
          <w:p w14:paraId="57B3A47B" w14:textId="77777777" w:rsidR="00136E4E" w:rsidRPr="00EB11D3" w:rsidRDefault="00136E4E" w:rsidP="00664558">
            <w:pPr>
              <w:autoSpaceDE w:val="0"/>
              <w:autoSpaceDN w:val="0"/>
              <w:adjustRightInd w:val="0"/>
              <w:spacing w:after="0" w:line="360" w:lineRule="auto"/>
              <w:rPr>
                <w:rFonts w:eastAsia="Calibri"/>
                <w:b/>
                <w:szCs w:val="24"/>
              </w:rPr>
            </w:pPr>
            <w:r w:rsidRPr="00EB11D3">
              <w:rPr>
                <w:rFonts w:eastAsia="Calibri"/>
                <w:b/>
                <w:szCs w:val="24"/>
              </w:rPr>
              <w:t>Total</w:t>
            </w:r>
          </w:p>
        </w:tc>
        <w:tc>
          <w:tcPr>
            <w:tcW w:w="3192" w:type="dxa"/>
            <w:tcBorders>
              <w:top w:val="single" w:sz="4" w:space="0" w:color="auto"/>
              <w:bottom w:val="single" w:sz="8" w:space="0" w:color="000000"/>
            </w:tcBorders>
            <w:shd w:val="clear" w:color="auto" w:fill="auto"/>
          </w:tcPr>
          <w:p w14:paraId="21B9E584" w14:textId="77777777" w:rsidR="00136E4E" w:rsidRPr="00EB11D3" w:rsidRDefault="00136E4E" w:rsidP="00664558">
            <w:pPr>
              <w:autoSpaceDE w:val="0"/>
              <w:autoSpaceDN w:val="0"/>
              <w:adjustRightInd w:val="0"/>
              <w:spacing w:after="0" w:line="360" w:lineRule="auto"/>
              <w:rPr>
                <w:rFonts w:eastAsia="Calibri"/>
                <w:b/>
                <w:szCs w:val="24"/>
              </w:rPr>
            </w:pPr>
            <w:r w:rsidRPr="00EB11D3">
              <w:rPr>
                <w:rFonts w:eastAsia="Calibri"/>
                <w:b/>
                <w:szCs w:val="24"/>
              </w:rPr>
              <w:t>250</w:t>
            </w:r>
          </w:p>
        </w:tc>
        <w:tc>
          <w:tcPr>
            <w:tcW w:w="3192" w:type="dxa"/>
            <w:tcBorders>
              <w:top w:val="single" w:sz="4" w:space="0" w:color="auto"/>
              <w:bottom w:val="single" w:sz="8" w:space="0" w:color="000000"/>
            </w:tcBorders>
            <w:shd w:val="clear" w:color="auto" w:fill="auto"/>
          </w:tcPr>
          <w:p w14:paraId="73A6C2D4" w14:textId="77777777" w:rsidR="00136E4E" w:rsidRPr="00EB11D3" w:rsidRDefault="00136E4E" w:rsidP="00664558">
            <w:pPr>
              <w:autoSpaceDE w:val="0"/>
              <w:autoSpaceDN w:val="0"/>
              <w:adjustRightInd w:val="0"/>
              <w:spacing w:after="0" w:line="360" w:lineRule="auto"/>
              <w:rPr>
                <w:rFonts w:eastAsia="Calibri"/>
                <w:b/>
                <w:szCs w:val="24"/>
              </w:rPr>
            </w:pPr>
            <w:r w:rsidRPr="00EB11D3">
              <w:rPr>
                <w:rFonts w:eastAsia="Calibri"/>
                <w:b/>
                <w:szCs w:val="24"/>
              </w:rPr>
              <w:t>100</w:t>
            </w:r>
          </w:p>
        </w:tc>
      </w:tr>
    </w:tbl>
    <w:p w14:paraId="494ED2A0" w14:textId="77777777" w:rsidR="00136E4E" w:rsidRPr="00EB11D3" w:rsidRDefault="00136E4E" w:rsidP="003859C9">
      <w:pPr>
        <w:shd w:val="clear" w:color="auto" w:fill="FFFFFF"/>
        <w:autoSpaceDE w:val="0"/>
        <w:autoSpaceDN w:val="0"/>
        <w:adjustRightInd w:val="0"/>
        <w:spacing w:after="0" w:line="360" w:lineRule="auto"/>
        <w:rPr>
          <w:rFonts w:eastAsia="Calibri"/>
          <w:szCs w:val="24"/>
        </w:rPr>
      </w:pPr>
    </w:p>
    <w:p w14:paraId="6FF3163E" w14:textId="77777777" w:rsidR="00BB4654" w:rsidRDefault="003859C9" w:rsidP="00BB4654">
      <w:pPr>
        <w:shd w:val="clear" w:color="auto" w:fill="FFFFFF"/>
        <w:autoSpaceDE w:val="0"/>
        <w:autoSpaceDN w:val="0"/>
        <w:adjustRightInd w:val="0"/>
        <w:spacing w:line="360" w:lineRule="auto"/>
        <w:rPr>
          <w:rFonts w:eastAsia="Calibri"/>
          <w:szCs w:val="24"/>
        </w:rPr>
      </w:pPr>
      <w:r w:rsidRPr="00EB11D3">
        <w:rPr>
          <w:rFonts w:eastAsia="Calibri"/>
          <w:szCs w:val="24"/>
        </w:rPr>
        <w:t xml:space="preserve">The results show that most of the </w:t>
      </w:r>
      <w:r w:rsidR="00302E81" w:rsidRPr="00EB11D3">
        <w:rPr>
          <w:szCs w:val="24"/>
          <w:lang w:val="en"/>
        </w:rPr>
        <w:t xml:space="preserve">Finance Director, Executive Director and Medical director </w:t>
      </w:r>
      <w:r w:rsidRPr="00EB11D3">
        <w:rPr>
          <w:rFonts w:eastAsia="Calibri"/>
          <w:bCs/>
          <w:szCs w:val="24"/>
        </w:rPr>
        <w:t>of each faith-based hospital</w:t>
      </w:r>
      <w:r w:rsidRPr="00EB11D3">
        <w:rPr>
          <w:rFonts w:eastAsia="Calibri"/>
          <w:szCs w:val="24"/>
        </w:rPr>
        <w:t xml:space="preserve"> had Master’s degree represented by 60.8% followed by bachelor’s degree at 38.8% and total of 0.4% had a PhD degree.</w:t>
      </w:r>
      <w:r w:rsidR="00BB4654">
        <w:rPr>
          <w:rFonts w:eastAsia="Calibri"/>
          <w:szCs w:val="24"/>
        </w:rPr>
        <w:t xml:space="preserve"> </w:t>
      </w:r>
      <w:r w:rsidRPr="00EB11D3">
        <w:rPr>
          <w:rFonts w:eastAsia="Calibri"/>
          <w:szCs w:val="24"/>
        </w:rPr>
        <w:t xml:space="preserve">Higher education levels among hospital management and personnel can result in a better awareness of corporate governance concepts, ethics, innovations, and best practices </w:t>
      </w:r>
      <w:r w:rsidR="00567260" w:rsidRPr="00EB11D3">
        <w:rPr>
          <w:rFonts w:eastAsia="Calibri"/>
          <w:szCs w:val="24"/>
        </w:rPr>
        <w:t>(</w:t>
      </w:r>
      <w:r w:rsidRPr="00EB11D3">
        <w:rPr>
          <w:rFonts w:eastAsia="Calibri"/>
          <w:szCs w:val="24"/>
        </w:rPr>
        <w:t xml:space="preserve">Ramírez </w:t>
      </w:r>
      <w:r w:rsidR="00567260" w:rsidRPr="00EB11D3">
        <w:rPr>
          <w:rFonts w:eastAsia="Calibri"/>
          <w:szCs w:val="24"/>
        </w:rPr>
        <w:t>&amp;</w:t>
      </w:r>
      <w:r w:rsidRPr="00EB11D3">
        <w:rPr>
          <w:rFonts w:eastAsia="Calibri"/>
          <w:szCs w:val="24"/>
        </w:rPr>
        <w:t xml:space="preserve"> Tejada</w:t>
      </w:r>
      <w:r w:rsidR="00567260" w:rsidRPr="00EB11D3">
        <w:rPr>
          <w:rFonts w:eastAsia="Calibri"/>
          <w:szCs w:val="24"/>
        </w:rPr>
        <w:t xml:space="preserve">, </w:t>
      </w:r>
      <w:r w:rsidRPr="00EB11D3">
        <w:rPr>
          <w:rFonts w:eastAsia="Calibri"/>
          <w:szCs w:val="24"/>
        </w:rPr>
        <w:t xml:space="preserve">2018). Leaders with higher levels of education are more likely to implement responsible and transparent governance procedures, which can improve the organization's reputation and stakeholders. Critical thinking and creativity are fostered by education and are necessary for service innovation. Higher educated employees in faith-based hospitals can use their expertise to apply state-of-the-art medical technologies, enhance patient care methods, and launch new healthcare services (Ribeiro &amp; Yücel, 2020). </w:t>
      </w:r>
    </w:p>
    <w:p w14:paraId="5BA94BB9" w14:textId="77777777" w:rsidR="003859C9" w:rsidRPr="00EB11D3" w:rsidRDefault="003859C9" w:rsidP="00823CEA">
      <w:pPr>
        <w:shd w:val="clear" w:color="auto" w:fill="FFFFFF"/>
        <w:autoSpaceDE w:val="0"/>
        <w:autoSpaceDN w:val="0"/>
        <w:adjustRightInd w:val="0"/>
        <w:spacing w:after="0" w:line="360" w:lineRule="auto"/>
      </w:pPr>
      <w:r w:rsidRPr="00EB11D3">
        <w:rPr>
          <w:rFonts w:eastAsia="Calibri"/>
          <w:szCs w:val="24"/>
        </w:rPr>
        <w:t xml:space="preserve">Higher education gives hospital administrators and employees the ability to better comprehend and abide by complex government healthcare rules </w:t>
      </w:r>
      <w:r w:rsidR="00C16603" w:rsidRPr="00EB11D3">
        <w:rPr>
          <w:rFonts w:eastAsia="Calibri"/>
          <w:szCs w:val="24"/>
        </w:rPr>
        <w:t>(</w:t>
      </w:r>
      <w:r w:rsidRPr="00EB11D3">
        <w:rPr>
          <w:rFonts w:eastAsia="Calibri"/>
          <w:szCs w:val="24"/>
        </w:rPr>
        <w:t xml:space="preserve">Boadi Li </w:t>
      </w:r>
      <w:r w:rsidR="00C16603" w:rsidRPr="00EB11D3">
        <w:rPr>
          <w:rFonts w:eastAsia="Calibri"/>
          <w:szCs w:val="24"/>
        </w:rPr>
        <w:t>&amp;</w:t>
      </w:r>
      <w:r w:rsidRPr="00EB11D3">
        <w:rPr>
          <w:rFonts w:eastAsia="Calibri"/>
          <w:szCs w:val="24"/>
        </w:rPr>
        <w:t xml:space="preserve"> He</w:t>
      </w:r>
      <w:r w:rsidR="00C16603" w:rsidRPr="00EB11D3">
        <w:rPr>
          <w:rFonts w:eastAsia="Calibri"/>
          <w:szCs w:val="24"/>
        </w:rPr>
        <w:t xml:space="preserve">, </w:t>
      </w:r>
      <w:r w:rsidRPr="00EB11D3">
        <w:rPr>
          <w:rFonts w:eastAsia="Calibri"/>
          <w:szCs w:val="24"/>
        </w:rPr>
        <w:t xml:space="preserve">2020). With appropriate and adequate academic qualifications, faith-based hospitals in Kenya will not only ensures legal adherence but also demonstrates a company's commitment to social responsibility and </w:t>
      </w:r>
      <w:r w:rsidR="003B4775" w:rsidRPr="00EB11D3">
        <w:rPr>
          <w:rFonts w:eastAsia="Calibri"/>
          <w:szCs w:val="24"/>
        </w:rPr>
        <w:t>equality.</w:t>
      </w:r>
      <w:r w:rsidRPr="00EB11D3">
        <w:rPr>
          <w:rFonts w:eastAsia="Calibri"/>
          <w:szCs w:val="24"/>
        </w:rPr>
        <w:t xml:space="preserve"> </w:t>
      </w:r>
      <w:bookmarkStart w:id="634" w:name="_Toc100987656"/>
      <w:bookmarkStart w:id="635" w:name="_Toc117772201"/>
      <w:bookmarkStart w:id="636" w:name="_Toc117773061"/>
      <w:bookmarkStart w:id="637" w:name="_Toc103414509"/>
      <w:bookmarkStart w:id="638" w:name="_Toc124240240"/>
      <w:bookmarkStart w:id="639" w:name="_Toc126071131"/>
      <w:r w:rsidRPr="00EB11D3">
        <w:t>Better corporate governance, creative service delivery, and adherence to legal requirements all work together to promote better organizational performance. Employees with higher levels of education are probably better at strategic planning, resource management, and decision-making, all of which improve faith-based hospitals' overall performance and long-term viability (Iqbal et al., 2018).</w:t>
      </w:r>
    </w:p>
    <w:p w14:paraId="08CAD426" w14:textId="77777777" w:rsidR="003859C9" w:rsidRPr="00EB11D3" w:rsidRDefault="003859C9" w:rsidP="00823CEA">
      <w:pPr>
        <w:pStyle w:val="Heading3"/>
        <w:spacing w:after="240"/>
      </w:pPr>
      <w:bookmarkStart w:id="640" w:name="_Toc164148993"/>
      <w:bookmarkStart w:id="641" w:name="_Toc164151254"/>
      <w:bookmarkStart w:id="642" w:name="_Toc168673446"/>
      <w:bookmarkStart w:id="643" w:name="_Toc168737888"/>
      <w:bookmarkStart w:id="644" w:name="_Toc171602641"/>
      <w:bookmarkStart w:id="645" w:name="_Toc171603468"/>
      <w:bookmarkStart w:id="646" w:name="_Toc177387873"/>
      <w:r w:rsidRPr="00EB11D3">
        <w:t>4.</w:t>
      </w:r>
      <w:r w:rsidR="004373D8">
        <w:t>2</w:t>
      </w:r>
      <w:r w:rsidRPr="00EB11D3">
        <w:t>.4 Duration of Service</w:t>
      </w:r>
      <w:bookmarkEnd w:id="634"/>
      <w:bookmarkEnd w:id="635"/>
      <w:bookmarkEnd w:id="636"/>
      <w:bookmarkEnd w:id="637"/>
      <w:bookmarkEnd w:id="638"/>
      <w:bookmarkEnd w:id="639"/>
      <w:bookmarkEnd w:id="640"/>
      <w:bookmarkEnd w:id="641"/>
      <w:bookmarkEnd w:id="642"/>
      <w:bookmarkEnd w:id="643"/>
      <w:bookmarkEnd w:id="644"/>
      <w:bookmarkEnd w:id="645"/>
      <w:bookmarkEnd w:id="646"/>
    </w:p>
    <w:p w14:paraId="68396468" w14:textId="77777777" w:rsidR="003859C9" w:rsidRPr="00EB11D3" w:rsidRDefault="0091507C" w:rsidP="003859C9">
      <w:pPr>
        <w:shd w:val="clear" w:color="auto" w:fill="FFFFFF"/>
        <w:spacing w:after="160" w:line="360" w:lineRule="auto"/>
        <w:rPr>
          <w:rFonts w:eastAsia="Cambria"/>
          <w:szCs w:val="24"/>
        </w:rPr>
      </w:pPr>
      <w:r w:rsidRPr="0091507C">
        <w:rPr>
          <w:rFonts w:eastAsia="Cambria"/>
          <w:szCs w:val="24"/>
        </w:rPr>
        <w:t xml:space="preserve">In order to gauge the respondents' degree of expertise with management and implementation challenges inside the organisation, the research attempted to ascertain how long the respondents had worked in Level Four and Level Five faith-based hospitals. This was accomplished by utilising the frequency with which the respondents answered the questionnaire's question about years of service. The </w:t>
      </w:r>
      <w:r w:rsidR="00905C6B">
        <w:rPr>
          <w:rFonts w:eastAsia="Cambria"/>
          <w:szCs w:val="24"/>
        </w:rPr>
        <w:t>results were represented</w:t>
      </w:r>
      <w:r w:rsidRPr="0091507C">
        <w:rPr>
          <w:rFonts w:eastAsia="Cambria"/>
          <w:szCs w:val="24"/>
        </w:rPr>
        <w:t xml:space="preserve"> in Table 10.</w:t>
      </w:r>
    </w:p>
    <w:p w14:paraId="7CCDE93B" w14:textId="77777777" w:rsidR="003859C9" w:rsidRPr="00EB11D3" w:rsidRDefault="004E7BD0" w:rsidP="003859C9">
      <w:pPr>
        <w:spacing w:after="0" w:line="240" w:lineRule="auto"/>
        <w:jc w:val="left"/>
        <w:rPr>
          <w:rFonts w:eastAsia="Times New Roman"/>
          <w:b/>
          <w:bCs/>
          <w:szCs w:val="24"/>
        </w:rPr>
      </w:pPr>
      <w:bookmarkStart w:id="647" w:name="_Toc100987961"/>
      <w:bookmarkStart w:id="648" w:name="_Toc126666745"/>
      <w:r w:rsidRPr="00EB11D3">
        <w:rPr>
          <w:rFonts w:eastAsia="Times New Roman"/>
          <w:b/>
          <w:bCs/>
          <w:szCs w:val="24"/>
        </w:rPr>
        <w:br w:type="page"/>
      </w:r>
      <w:bookmarkStart w:id="649" w:name="_Toc177387941"/>
      <w:r w:rsidR="003859C9" w:rsidRPr="00EB11D3">
        <w:rPr>
          <w:rFonts w:eastAsia="Times New Roman"/>
          <w:b/>
          <w:bCs/>
          <w:szCs w:val="24"/>
        </w:rPr>
        <w:t xml:space="preserve">Table </w:t>
      </w:r>
      <w:r w:rsidR="003859C9" w:rsidRPr="00EB11D3">
        <w:rPr>
          <w:rFonts w:eastAsia="Times New Roman"/>
          <w:b/>
          <w:bCs/>
          <w:szCs w:val="24"/>
        </w:rPr>
        <w:fldChar w:fldCharType="begin"/>
      </w:r>
      <w:r w:rsidR="003859C9" w:rsidRPr="00EB11D3">
        <w:rPr>
          <w:rFonts w:eastAsia="Times New Roman"/>
          <w:b/>
          <w:bCs/>
          <w:szCs w:val="24"/>
        </w:rPr>
        <w:instrText xml:space="preserve"> SEQ Table \* ARABIC </w:instrText>
      </w:r>
      <w:r w:rsidR="003859C9" w:rsidRPr="00EB11D3">
        <w:rPr>
          <w:rFonts w:eastAsia="Times New Roman"/>
          <w:b/>
          <w:bCs/>
          <w:szCs w:val="24"/>
        </w:rPr>
        <w:fldChar w:fldCharType="separate"/>
      </w:r>
      <w:r w:rsidR="003859C9" w:rsidRPr="00EB11D3">
        <w:rPr>
          <w:rFonts w:eastAsia="Times New Roman"/>
          <w:b/>
          <w:bCs/>
          <w:noProof/>
          <w:szCs w:val="24"/>
        </w:rPr>
        <w:t>10</w:t>
      </w:r>
      <w:r w:rsidR="003859C9" w:rsidRPr="00EB11D3">
        <w:rPr>
          <w:rFonts w:eastAsia="Times New Roman"/>
          <w:b/>
          <w:bCs/>
          <w:szCs w:val="24"/>
        </w:rPr>
        <w:fldChar w:fldCharType="end"/>
      </w:r>
      <w:r w:rsidR="003859C9" w:rsidRPr="00EB11D3">
        <w:rPr>
          <w:rFonts w:eastAsia="Times New Roman"/>
          <w:b/>
          <w:bCs/>
          <w:szCs w:val="24"/>
        </w:rPr>
        <w:t>: Years of Service</w:t>
      </w:r>
      <w:bookmarkEnd w:id="647"/>
      <w:bookmarkEnd w:id="648"/>
      <w:bookmarkEnd w:id="649"/>
    </w:p>
    <w:p w14:paraId="02797B84" w14:textId="77777777" w:rsidR="003859C9" w:rsidRPr="00EB11D3" w:rsidRDefault="003859C9" w:rsidP="003859C9">
      <w:pPr>
        <w:spacing w:after="0" w:line="240" w:lineRule="auto"/>
        <w:jc w:val="left"/>
        <w:rPr>
          <w:rFonts w:eastAsia="Times New Roman"/>
          <w:b/>
          <w:bCs/>
          <w:szCs w:val="24"/>
        </w:rPr>
      </w:pPr>
    </w:p>
    <w:tbl>
      <w:tblPr>
        <w:tblpPr w:leftFromText="180" w:rightFromText="180" w:vertAnchor="text" w:tblpY="1"/>
        <w:tblW w:w="5000" w:type="pct"/>
        <w:tblBorders>
          <w:top w:val="single" w:sz="8" w:space="0" w:color="000000"/>
          <w:bottom w:val="single" w:sz="8" w:space="0" w:color="000000"/>
        </w:tblBorders>
        <w:tblLook w:val="0000" w:firstRow="0" w:lastRow="0" w:firstColumn="0" w:lastColumn="0" w:noHBand="0" w:noVBand="0"/>
      </w:tblPr>
      <w:tblGrid>
        <w:gridCol w:w="7658"/>
        <w:gridCol w:w="811"/>
        <w:gridCol w:w="891"/>
      </w:tblGrid>
      <w:tr w:rsidR="00305BB9" w:rsidRPr="00EB11D3" w14:paraId="548E228F" w14:textId="77777777" w:rsidTr="00664558">
        <w:trPr>
          <w:trHeight w:val="73"/>
        </w:trPr>
        <w:tc>
          <w:tcPr>
            <w:tcW w:w="4091" w:type="pct"/>
            <w:tcBorders>
              <w:top w:val="single" w:sz="8" w:space="0" w:color="000000"/>
              <w:bottom w:val="single" w:sz="4" w:space="0" w:color="auto"/>
            </w:tcBorders>
            <w:shd w:val="clear" w:color="auto" w:fill="auto"/>
          </w:tcPr>
          <w:p w14:paraId="09842CD5" w14:textId="77777777" w:rsidR="00D24FC5" w:rsidRPr="00EB11D3" w:rsidRDefault="00DA3A3E" w:rsidP="00664558">
            <w:pPr>
              <w:spacing w:after="160" w:line="259" w:lineRule="auto"/>
              <w:jc w:val="left"/>
              <w:rPr>
                <w:rFonts w:eastAsia="Times New Roman"/>
                <w:b/>
                <w:bCs/>
                <w:szCs w:val="24"/>
              </w:rPr>
            </w:pPr>
            <w:r w:rsidRPr="00093CED">
              <w:rPr>
                <w:b/>
                <w:bCs/>
                <w:sz w:val="22"/>
              </w:rPr>
              <w:t>Demographic Profiles</w:t>
            </w:r>
          </w:p>
        </w:tc>
        <w:tc>
          <w:tcPr>
            <w:tcW w:w="433" w:type="pct"/>
            <w:tcBorders>
              <w:top w:val="single" w:sz="8" w:space="0" w:color="000000"/>
              <w:bottom w:val="single" w:sz="4" w:space="0" w:color="auto"/>
            </w:tcBorders>
            <w:shd w:val="clear" w:color="auto" w:fill="auto"/>
          </w:tcPr>
          <w:p w14:paraId="2EB88B80" w14:textId="77777777" w:rsidR="00D24FC5" w:rsidRPr="00EB11D3" w:rsidRDefault="00D24FC5" w:rsidP="00664558">
            <w:pPr>
              <w:spacing w:after="160" w:line="259" w:lineRule="auto"/>
              <w:jc w:val="left"/>
              <w:rPr>
                <w:rFonts w:eastAsia="Times New Roman"/>
                <w:b/>
                <w:bCs/>
                <w:szCs w:val="24"/>
              </w:rPr>
            </w:pPr>
            <w:r w:rsidRPr="00EB11D3">
              <w:rPr>
                <w:rFonts w:eastAsia="Times New Roman"/>
                <w:b/>
                <w:bCs/>
                <w:szCs w:val="24"/>
              </w:rPr>
              <w:t>N</w:t>
            </w:r>
          </w:p>
        </w:tc>
        <w:tc>
          <w:tcPr>
            <w:tcW w:w="476" w:type="pct"/>
            <w:tcBorders>
              <w:top w:val="single" w:sz="8" w:space="0" w:color="000000"/>
              <w:bottom w:val="single" w:sz="4" w:space="0" w:color="auto"/>
            </w:tcBorders>
            <w:shd w:val="clear" w:color="auto" w:fill="auto"/>
          </w:tcPr>
          <w:p w14:paraId="78CC66BC" w14:textId="77777777" w:rsidR="00D24FC5" w:rsidRPr="00EB11D3" w:rsidRDefault="00D24FC5" w:rsidP="00664558">
            <w:pPr>
              <w:spacing w:after="160" w:line="259" w:lineRule="auto"/>
              <w:jc w:val="left"/>
              <w:rPr>
                <w:rFonts w:eastAsia="Times New Roman"/>
                <w:b/>
                <w:bCs/>
                <w:szCs w:val="24"/>
              </w:rPr>
            </w:pPr>
            <w:r w:rsidRPr="00EB11D3">
              <w:rPr>
                <w:rFonts w:eastAsia="Times New Roman"/>
                <w:b/>
                <w:bCs/>
                <w:szCs w:val="24"/>
              </w:rPr>
              <w:t>%</w:t>
            </w:r>
          </w:p>
        </w:tc>
      </w:tr>
      <w:tr w:rsidR="00D24FC5" w:rsidRPr="00EB11D3" w14:paraId="6DE4EEE7" w14:textId="77777777" w:rsidTr="00664558">
        <w:trPr>
          <w:trHeight w:val="443"/>
        </w:trPr>
        <w:tc>
          <w:tcPr>
            <w:tcW w:w="4091" w:type="pct"/>
            <w:tcBorders>
              <w:top w:val="single" w:sz="4" w:space="0" w:color="auto"/>
            </w:tcBorders>
            <w:shd w:val="clear" w:color="auto" w:fill="auto"/>
          </w:tcPr>
          <w:p w14:paraId="6BD0AB87" w14:textId="77777777" w:rsidR="00D24FC5" w:rsidRPr="00EB11D3" w:rsidRDefault="00D24FC5" w:rsidP="00664558">
            <w:pPr>
              <w:spacing w:after="160" w:line="259" w:lineRule="auto"/>
              <w:jc w:val="left"/>
              <w:rPr>
                <w:rFonts w:eastAsia="Times New Roman"/>
                <w:bCs/>
                <w:szCs w:val="24"/>
              </w:rPr>
            </w:pPr>
            <w:r w:rsidRPr="00EB11D3">
              <w:rPr>
                <w:rFonts w:eastAsia="Times New Roman"/>
                <w:bCs/>
                <w:szCs w:val="24"/>
              </w:rPr>
              <w:t>Less than 1 year</w:t>
            </w:r>
          </w:p>
        </w:tc>
        <w:tc>
          <w:tcPr>
            <w:tcW w:w="433" w:type="pct"/>
            <w:tcBorders>
              <w:top w:val="single" w:sz="4" w:space="0" w:color="auto"/>
            </w:tcBorders>
            <w:shd w:val="clear" w:color="auto" w:fill="auto"/>
          </w:tcPr>
          <w:p w14:paraId="3F51433E" w14:textId="77777777" w:rsidR="00D24FC5" w:rsidRPr="00EB11D3" w:rsidRDefault="00D24FC5" w:rsidP="00664558">
            <w:pPr>
              <w:spacing w:after="160" w:line="259" w:lineRule="auto"/>
              <w:jc w:val="left"/>
              <w:rPr>
                <w:rFonts w:eastAsia="Times New Roman"/>
                <w:bCs/>
                <w:szCs w:val="24"/>
              </w:rPr>
            </w:pPr>
            <w:r w:rsidRPr="00EB11D3">
              <w:rPr>
                <w:rFonts w:eastAsia="Times New Roman"/>
                <w:bCs/>
                <w:szCs w:val="24"/>
              </w:rPr>
              <w:t>29</w:t>
            </w:r>
          </w:p>
        </w:tc>
        <w:tc>
          <w:tcPr>
            <w:tcW w:w="476" w:type="pct"/>
            <w:tcBorders>
              <w:top w:val="single" w:sz="4" w:space="0" w:color="auto"/>
            </w:tcBorders>
            <w:shd w:val="clear" w:color="auto" w:fill="auto"/>
          </w:tcPr>
          <w:p w14:paraId="2B8D7C43" w14:textId="77777777" w:rsidR="00D24FC5" w:rsidRPr="00EB11D3" w:rsidRDefault="00D24FC5" w:rsidP="00664558">
            <w:pPr>
              <w:spacing w:after="160" w:line="259" w:lineRule="auto"/>
              <w:jc w:val="left"/>
              <w:rPr>
                <w:rFonts w:eastAsia="Times New Roman"/>
                <w:bCs/>
                <w:szCs w:val="24"/>
              </w:rPr>
            </w:pPr>
            <w:r w:rsidRPr="00EB11D3">
              <w:rPr>
                <w:rFonts w:eastAsia="Times New Roman"/>
                <w:bCs/>
                <w:szCs w:val="24"/>
              </w:rPr>
              <w:t>11.6%</w:t>
            </w:r>
          </w:p>
        </w:tc>
      </w:tr>
      <w:tr w:rsidR="00D24FC5" w:rsidRPr="00EB11D3" w14:paraId="5F3719DF" w14:textId="77777777" w:rsidTr="00664558">
        <w:trPr>
          <w:trHeight w:val="443"/>
        </w:trPr>
        <w:tc>
          <w:tcPr>
            <w:tcW w:w="4091" w:type="pct"/>
            <w:shd w:val="clear" w:color="auto" w:fill="auto"/>
          </w:tcPr>
          <w:p w14:paraId="02AE0896" w14:textId="77777777" w:rsidR="00D24FC5" w:rsidRPr="00EB11D3" w:rsidRDefault="00D24FC5" w:rsidP="00664558">
            <w:pPr>
              <w:spacing w:after="160" w:line="259" w:lineRule="auto"/>
              <w:jc w:val="left"/>
              <w:rPr>
                <w:rFonts w:eastAsia="Times New Roman"/>
                <w:bCs/>
                <w:szCs w:val="24"/>
              </w:rPr>
            </w:pPr>
            <w:r w:rsidRPr="00EB11D3">
              <w:rPr>
                <w:rFonts w:eastAsia="Times New Roman"/>
                <w:bCs/>
                <w:szCs w:val="24"/>
              </w:rPr>
              <w:t>Between 1 and 5 years</w:t>
            </w:r>
          </w:p>
        </w:tc>
        <w:tc>
          <w:tcPr>
            <w:tcW w:w="433" w:type="pct"/>
            <w:shd w:val="clear" w:color="auto" w:fill="auto"/>
          </w:tcPr>
          <w:p w14:paraId="698C0EEC" w14:textId="77777777" w:rsidR="00D24FC5" w:rsidRPr="00EB11D3" w:rsidRDefault="00D24FC5" w:rsidP="00664558">
            <w:pPr>
              <w:spacing w:after="160" w:line="259" w:lineRule="auto"/>
              <w:jc w:val="left"/>
              <w:rPr>
                <w:rFonts w:eastAsia="Times New Roman"/>
                <w:bCs/>
                <w:szCs w:val="24"/>
              </w:rPr>
            </w:pPr>
            <w:r w:rsidRPr="00EB11D3">
              <w:rPr>
                <w:rFonts w:eastAsia="Times New Roman"/>
                <w:bCs/>
                <w:szCs w:val="24"/>
              </w:rPr>
              <w:t>52</w:t>
            </w:r>
          </w:p>
        </w:tc>
        <w:tc>
          <w:tcPr>
            <w:tcW w:w="476" w:type="pct"/>
            <w:shd w:val="clear" w:color="auto" w:fill="auto"/>
          </w:tcPr>
          <w:p w14:paraId="3D2568ED" w14:textId="77777777" w:rsidR="00D24FC5" w:rsidRPr="00EB11D3" w:rsidRDefault="00D24FC5" w:rsidP="00664558">
            <w:pPr>
              <w:spacing w:after="160" w:line="259" w:lineRule="auto"/>
              <w:jc w:val="left"/>
              <w:rPr>
                <w:rFonts w:eastAsia="Times New Roman"/>
                <w:bCs/>
                <w:szCs w:val="24"/>
              </w:rPr>
            </w:pPr>
            <w:r w:rsidRPr="00EB11D3">
              <w:rPr>
                <w:rFonts w:eastAsia="Times New Roman"/>
                <w:bCs/>
                <w:szCs w:val="24"/>
              </w:rPr>
              <w:t>20.8%</w:t>
            </w:r>
          </w:p>
        </w:tc>
      </w:tr>
      <w:tr w:rsidR="00D24FC5" w:rsidRPr="00EB11D3" w14:paraId="1776654E" w14:textId="77777777" w:rsidTr="00664558">
        <w:trPr>
          <w:trHeight w:val="443"/>
        </w:trPr>
        <w:tc>
          <w:tcPr>
            <w:tcW w:w="4091" w:type="pct"/>
            <w:shd w:val="clear" w:color="auto" w:fill="auto"/>
          </w:tcPr>
          <w:p w14:paraId="5FE86EAE" w14:textId="77777777" w:rsidR="00D24FC5" w:rsidRPr="00EB11D3" w:rsidRDefault="00D24FC5" w:rsidP="00664558">
            <w:pPr>
              <w:spacing w:after="160" w:line="259" w:lineRule="auto"/>
              <w:jc w:val="left"/>
              <w:rPr>
                <w:rFonts w:eastAsia="Times New Roman"/>
                <w:bCs/>
                <w:szCs w:val="24"/>
              </w:rPr>
            </w:pPr>
            <w:r w:rsidRPr="00EB11D3">
              <w:rPr>
                <w:rFonts w:eastAsia="Times New Roman"/>
                <w:bCs/>
                <w:szCs w:val="24"/>
              </w:rPr>
              <w:t>More than 5 years to 10 years</w:t>
            </w:r>
          </w:p>
        </w:tc>
        <w:tc>
          <w:tcPr>
            <w:tcW w:w="433" w:type="pct"/>
            <w:shd w:val="clear" w:color="auto" w:fill="auto"/>
          </w:tcPr>
          <w:p w14:paraId="72EAEDE9" w14:textId="77777777" w:rsidR="00D24FC5" w:rsidRPr="00EB11D3" w:rsidRDefault="00D24FC5" w:rsidP="00664558">
            <w:pPr>
              <w:spacing w:after="160" w:line="259" w:lineRule="auto"/>
              <w:jc w:val="left"/>
              <w:rPr>
                <w:rFonts w:eastAsia="Times New Roman"/>
                <w:bCs/>
                <w:szCs w:val="24"/>
              </w:rPr>
            </w:pPr>
            <w:r w:rsidRPr="00EB11D3">
              <w:rPr>
                <w:rFonts w:eastAsia="Times New Roman"/>
                <w:bCs/>
                <w:szCs w:val="24"/>
              </w:rPr>
              <w:t>80</w:t>
            </w:r>
          </w:p>
        </w:tc>
        <w:tc>
          <w:tcPr>
            <w:tcW w:w="476" w:type="pct"/>
            <w:shd w:val="clear" w:color="auto" w:fill="auto"/>
          </w:tcPr>
          <w:p w14:paraId="39B608A5" w14:textId="77777777" w:rsidR="00D24FC5" w:rsidRPr="00EB11D3" w:rsidRDefault="00D24FC5" w:rsidP="00664558">
            <w:pPr>
              <w:spacing w:after="160" w:line="259" w:lineRule="auto"/>
              <w:jc w:val="left"/>
              <w:rPr>
                <w:rFonts w:eastAsia="Times New Roman"/>
                <w:bCs/>
                <w:szCs w:val="24"/>
              </w:rPr>
            </w:pPr>
            <w:r w:rsidRPr="00EB11D3">
              <w:rPr>
                <w:rFonts w:eastAsia="Times New Roman"/>
                <w:bCs/>
                <w:szCs w:val="24"/>
              </w:rPr>
              <w:t>32%</w:t>
            </w:r>
          </w:p>
        </w:tc>
      </w:tr>
      <w:tr w:rsidR="00305BB9" w:rsidRPr="00EB11D3" w14:paraId="4C607248" w14:textId="77777777" w:rsidTr="00664558">
        <w:trPr>
          <w:trHeight w:val="443"/>
        </w:trPr>
        <w:tc>
          <w:tcPr>
            <w:tcW w:w="4091" w:type="pct"/>
            <w:tcBorders>
              <w:bottom w:val="single" w:sz="4" w:space="0" w:color="auto"/>
            </w:tcBorders>
            <w:shd w:val="clear" w:color="auto" w:fill="auto"/>
          </w:tcPr>
          <w:p w14:paraId="34192020" w14:textId="77777777" w:rsidR="00D24FC5" w:rsidRPr="00EB11D3" w:rsidRDefault="00D24FC5" w:rsidP="00664558">
            <w:pPr>
              <w:spacing w:after="160" w:line="259" w:lineRule="auto"/>
              <w:jc w:val="left"/>
              <w:rPr>
                <w:rFonts w:eastAsia="Times New Roman"/>
                <w:bCs/>
                <w:szCs w:val="24"/>
              </w:rPr>
            </w:pPr>
            <w:r w:rsidRPr="00EB11D3">
              <w:rPr>
                <w:rFonts w:eastAsia="Times New Roman"/>
                <w:bCs/>
                <w:szCs w:val="24"/>
              </w:rPr>
              <w:t>More than 10 years</w:t>
            </w:r>
          </w:p>
        </w:tc>
        <w:tc>
          <w:tcPr>
            <w:tcW w:w="433" w:type="pct"/>
            <w:tcBorders>
              <w:bottom w:val="single" w:sz="4" w:space="0" w:color="auto"/>
            </w:tcBorders>
            <w:shd w:val="clear" w:color="auto" w:fill="auto"/>
          </w:tcPr>
          <w:p w14:paraId="42F24DB5" w14:textId="77777777" w:rsidR="00D24FC5" w:rsidRPr="00EB11D3" w:rsidRDefault="00D24FC5" w:rsidP="00664558">
            <w:pPr>
              <w:spacing w:after="160" w:line="259" w:lineRule="auto"/>
              <w:jc w:val="left"/>
              <w:rPr>
                <w:rFonts w:eastAsia="Times New Roman"/>
                <w:bCs/>
                <w:szCs w:val="24"/>
              </w:rPr>
            </w:pPr>
            <w:r w:rsidRPr="00EB11D3">
              <w:rPr>
                <w:rFonts w:eastAsia="Times New Roman"/>
                <w:bCs/>
                <w:szCs w:val="24"/>
              </w:rPr>
              <w:t>89</w:t>
            </w:r>
          </w:p>
        </w:tc>
        <w:tc>
          <w:tcPr>
            <w:tcW w:w="476" w:type="pct"/>
            <w:tcBorders>
              <w:bottom w:val="single" w:sz="4" w:space="0" w:color="auto"/>
            </w:tcBorders>
            <w:shd w:val="clear" w:color="auto" w:fill="auto"/>
          </w:tcPr>
          <w:p w14:paraId="649BE9AD" w14:textId="77777777" w:rsidR="00D24FC5" w:rsidRPr="00EB11D3" w:rsidRDefault="00D24FC5" w:rsidP="00664558">
            <w:pPr>
              <w:spacing w:after="160" w:line="259" w:lineRule="auto"/>
              <w:jc w:val="left"/>
              <w:rPr>
                <w:rFonts w:eastAsia="Times New Roman"/>
                <w:bCs/>
                <w:szCs w:val="24"/>
              </w:rPr>
            </w:pPr>
            <w:r w:rsidRPr="00EB11D3">
              <w:rPr>
                <w:rFonts w:eastAsia="Times New Roman"/>
                <w:bCs/>
                <w:szCs w:val="24"/>
              </w:rPr>
              <w:t>35.6%</w:t>
            </w:r>
          </w:p>
        </w:tc>
      </w:tr>
      <w:tr w:rsidR="00D24FC5" w:rsidRPr="00EB11D3" w14:paraId="5BAA11DB" w14:textId="77777777" w:rsidTr="00664558">
        <w:trPr>
          <w:trHeight w:val="443"/>
        </w:trPr>
        <w:tc>
          <w:tcPr>
            <w:tcW w:w="4091" w:type="pct"/>
            <w:tcBorders>
              <w:top w:val="single" w:sz="4" w:space="0" w:color="auto"/>
              <w:bottom w:val="single" w:sz="8" w:space="0" w:color="000000"/>
            </w:tcBorders>
            <w:shd w:val="clear" w:color="auto" w:fill="auto"/>
          </w:tcPr>
          <w:p w14:paraId="2B0D053B" w14:textId="77777777" w:rsidR="00D24FC5" w:rsidRPr="00EB11D3" w:rsidRDefault="00D24FC5" w:rsidP="00664558">
            <w:pPr>
              <w:spacing w:after="160" w:line="259" w:lineRule="auto"/>
              <w:jc w:val="left"/>
              <w:rPr>
                <w:rFonts w:eastAsia="Times New Roman"/>
                <w:b/>
                <w:szCs w:val="24"/>
              </w:rPr>
            </w:pPr>
            <w:r w:rsidRPr="00EB11D3">
              <w:rPr>
                <w:rFonts w:eastAsia="Times New Roman"/>
                <w:b/>
                <w:szCs w:val="24"/>
              </w:rPr>
              <w:t>Total</w:t>
            </w:r>
          </w:p>
        </w:tc>
        <w:tc>
          <w:tcPr>
            <w:tcW w:w="433" w:type="pct"/>
            <w:tcBorders>
              <w:top w:val="single" w:sz="4" w:space="0" w:color="auto"/>
              <w:bottom w:val="single" w:sz="8" w:space="0" w:color="000000"/>
            </w:tcBorders>
            <w:shd w:val="clear" w:color="auto" w:fill="auto"/>
          </w:tcPr>
          <w:p w14:paraId="2D8E7071" w14:textId="77777777" w:rsidR="00D24FC5" w:rsidRPr="00EB11D3" w:rsidRDefault="00D24FC5" w:rsidP="00664558">
            <w:pPr>
              <w:spacing w:after="160" w:line="259" w:lineRule="auto"/>
              <w:jc w:val="left"/>
              <w:rPr>
                <w:rFonts w:eastAsia="Times New Roman"/>
                <w:b/>
                <w:szCs w:val="24"/>
              </w:rPr>
            </w:pPr>
            <w:r w:rsidRPr="00EB11D3">
              <w:rPr>
                <w:rFonts w:eastAsia="Times New Roman"/>
                <w:b/>
                <w:szCs w:val="24"/>
              </w:rPr>
              <w:t>250</w:t>
            </w:r>
          </w:p>
        </w:tc>
        <w:tc>
          <w:tcPr>
            <w:tcW w:w="476" w:type="pct"/>
            <w:tcBorders>
              <w:top w:val="single" w:sz="4" w:space="0" w:color="auto"/>
              <w:bottom w:val="single" w:sz="8" w:space="0" w:color="000000"/>
            </w:tcBorders>
            <w:shd w:val="clear" w:color="auto" w:fill="auto"/>
          </w:tcPr>
          <w:p w14:paraId="4C7C67E1" w14:textId="77777777" w:rsidR="00D24FC5" w:rsidRPr="00EB11D3" w:rsidRDefault="00D24FC5" w:rsidP="00664558">
            <w:pPr>
              <w:spacing w:after="160" w:line="259" w:lineRule="auto"/>
              <w:jc w:val="left"/>
              <w:rPr>
                <w:rFonts w:eastAsia="Times New Roman"/>
                <w:b/>
                <w:szCs w:val="24"/>
              </w:rPr>
            </w:pPr>
            <w:r w:rsidRPr="00EB11D3">
              <w:rPr>
                <w:rFonts w:eastAsia="Times New Roman"/>
                <w:b/>
                <w:szCs w:val="24"/>
              </w:rPr>
              <w:t>100%</w:t>
            </w:r>
          </w:p>
        </w:tc>
      </w:tr>
    </w:tbl>
    <w:p w14:paraId="267BE6B6" w14:textId="77777777" w:rsidR="003859C9" w:rsidRPr="00EB11D3" w:rsidRDefault="003859C9" w:rsidP="003859C9">
      <w:pPr>
        <w:shd w:val="clear" w:color="auto" w:fill="FFFFFF"/>
        <w:autoSpaceDE w:val="0"/>
        <w:autoSpaceDN w:val="0"/>
        <w:adjustRightInd w:val="0"/>
        <w:spacing w:after="0" w:line="400" w:lineRule="atLeast"/>
        <w:jc w:val="left"/>
        <w:rPr>
          <w:rFonts w:eastAsia="Calibri"/>
          <w:szCs w:val="24"/>
        </w:rPr>
      </w:pPr>
    </w:p>
    <w:p w14:paraId="7A4E9A06"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The results show that majority of the </w:t>
      </w:r>
      <w:r w:rsidR="00BB1030" w:rsidRPr="00EB11D3">
        <w:rPr>
          <w:szCs w:val="24"/>
          <w:lang w:val="en"/>
        </w:rPr>
        <w:t>Finance Director, Executive Director and Medical director</w:t>
      </w:r>
      <w:r w:rsidRPr="00EB11D3">
        <w:rPr>
          <w:rFonts w:eastAsia="Calibri"/>
          <w:szCs w:val="24"/>
        </w:rPr>
        <w:t xml:space="preserve"> each Faith-based hospital </w:t>
      </w:r>
      <w:r w:rsidRPr="00EB11D3">
        <w:rPr>
          <w:rFonts w:eastAsia="Cambria"/>
          <w:szCs w:val="24"/>
        </w:rPr>
        <w:t xml:space="preserve">have had more than 10 years of service in the respective hospitals, representing 35.6%, followed by more than 5 to 10 years of service being 32.0%. Those with between 1 and 5years of service were 20.7% while those with less than 1 year were 11.6%. This was an indication that </w:t>
      </w:r>
      <w:r w:rsidR="00BB1030" w:rsidRPr="00EB11D3">
        <w:rPr>
          <w:rFonts w:eastAsia="Cambria"/>
          <w:szCs w:val="24"/>
        </w:rPr>
        <w:t xml:space="preserve">Finance Director, Executive Director and Medical director </w:t>
      </w:r>
      <w:r w:rsidRPr="00EB11D3">
        <w:rPr>
          <w:rFonts w:eastAsia="Cambria"/>
          <w:szCs w:val="24"/>
        </w:rPr>
        <w:t xml:space="preserve">of each Faith-based hospital are experienced and well versed with strategic decisions of the organisation. </w:t>
      </w:r>
    </w:p>
    <w:p w14:paraId="3477C414"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More seasoned governance arrangements could result from longer service terms. Over time, Kenyan faith-based hospitals could improve ethical standards and accountability by establishing more defined roles, duties, and regulations (Shahab &amp; Ye, 2018). Hospitals that have been in operation for a longer period of time may be more innovative since they have gathered resources and expertise</w:t>
      </w:r>
      <w:r w:rsidR="00567260" w:rsidRPr="00EB11D3">
        <w:rPr>
          <w:rFonts w:eastAsia="Cambria"/>
          <w:szCs w:val="24"/>
        </w:rPr>
        <w:t xml:space="preserve"> (</w:t>
      </w:r>
      <w:r w:rsidRPr="00EB11D3">
        <w:rPr>
          <w:rFonts w:eastAsia="Cambria"/>
          <w:szCs w:val="24"/>
        </w:rPr>
        <w:t>Sjödin et al.</w:t>
      </w:r>
      <w:r w:rsidR="00567260" w:rsidRPr="00EB11D3">
        <w:rPr>
          <w:rFonts w:eastAsia="Cambria"/>
          <w:szCs w:val="24"/>
        </w:rPr>
        <w:t>,</w:t>
      </w:r>
      <w:r w:rsidRPr="00EB11D3">
        <w:rPr>
          <w:rFonts w:eastAsia="Cambria"/>
          <w:szCs w:val="24"/>
        </w:rPr>
        <w:t xml:space="preserve"> 2020). They might be in a better position to introduce innovative medical services or technology that would improve patient care. A faith-based hospital's likelihood of successfully navigating different regulatory environments increases with the length of time it has been in business. Improved adherence to governmental healthcare laws and regulations may result from this experience. Service length may have a favorable impact on an organization's effectiveness. Well-established faith-based hospitals have the potential to increase patient satisfaction and outcomes by providing high-quality healthcare services by utilizing their operational knowledge, community trust, and historical reputation (Kim &amp; Thapa, 2018).</w:t>
      </w:r>
    </w:p>
    <w:p w14:paraId="71A9FC51" w14:textId="77777777" w:rsidR="003859C9" w:rsidRPr="00EB11D3" w:rsidRDefault="003859C9" w:rsidP="00823CEA">
      <w:pPr>
        <w:pStyle w:val="Heading2"/>
        <w:spacing w:line="360" w:lineRule="auto"/>
      </w:pPr>
      <w:bookmarkStart w:id="650" w:name="_Toc103414510"/>
      <w:bookmarkStart w:id="651" w:name="_Toc126071132"/>
      <w:bookmarkStart w:id="652" w:name="_Toc177387874"/>
      <w:r w:rsidRPr="00EB11D3">
        <w:t>4.</w:t>
      </w:r>
      <w:r w:rsidR="004373D8">
        <w:t>3</w:t>
      </w:r>
      <w:r w:rsidR="00712E4A" w:rsidRPr="00EB11D3">
        <w:t xml:space="preserve"> </w:t>
      </w:r>
      <w:r w:rsidRPr="00EB11D3">
        <w:t>Results of the Pilot Survey</w:t>
      </w:r>
      <w:bookmarkEnd w:id="650"/>
      <w:bookmarkEnd w:id="651"/>
      <w:bookmarkEnd w:id="652"/>
    </w:p>
    <w:p w14:paraId="2141B374" w14:textId="77777777" w:rsidR="003859C9" w:rsidRDefault="00F36EB0" w:rsidP="00FA4A97">
      <w:pPr>
        <w:shd w:val="clear" w:color="auto" w:fill="FFFFFF"/>
        <w:spacing w:after="0" w:line="360" w:lineRule="auto"/>
        <w:rPr>
          <w:rFonts w:eastAsia="Cambria"/>
          <w:szCs w:val="24"/>
        </w:rPr>
      </w:pPr>
      <w:r w:rsidRPr="00F36EB0">
        <w:rPr>
          <w:rFonts w:eastAsia="Cambria"/>
          <w:szCs w:val="24"/>
        </w:rPr>
        <w:t>Before starting the study project, the research tool is first evaluated through pilot testing to determine its viability. Pilot testing the research instrument not only helps determine if the instrument answers to the research questions as intended, but also helps offer input about how clearly the respondents understand the interview questions. A pilot test of the research's questionnaires was conducted on 36 respondents, representing 10% of the total study population. Tests for validity and reliability were part of the pilot.</w:t>
      </w:r>
    </w:p>
    <w:p w14:paraId="708E1E90" w14:textId="77777777" w:rsidR="00FA4A97" w:rsidRPr="00EB11D3" w:rsidRDefault="00FA4A97" w:rsidP="00FA4A97">
      <w:pPr>
        <w:shd w:val="clear" w:color="auto" w:fill="FFFFFF"/>
        <w:spacing w:after="0" w:line="360" w:lineRule="auto"/>
        <w:rPr>
          <w:rFonts w:eastAsia="Cambria"/>
          <w:szCs w:val="24"/>
        </w:rPr>
      </w:pPr>
    </w:p>
    <w:p w14:paraId="173767B6" w14:textId="77777777" w:rsidR="003859C9" w:rsidRPr="00EB11D3" w:rsidRDefault="003859C9" w:rsidP="003859C9">
      <w:pPr>
        <w:keepNext/>
        <w:keepLines/>
        <w:shd w:val="clear" w:color="auto" w:fill="FFFFFF"/>
        <w:spacing w:before="40" w:after="0" w:line="360" w:lineRule="auto"/>
        <w:outlineLvl w:val="2"/>
        <w:rPr>
          <w:rFonts w:eastAsia="Times New Roman"/>
          <w:b/>
          <w:bCs/>
          <w:szCs w:val="24"/>
          <w:lang w:val="en-GB"/>
        </w:rPr>
      </w:pPr>
      <w:bookmarkStart w:id="653" w:name="_Toc117773063"/>
      <w:bookmarkStart w:id="654" w:name="_Toc103414511"/>
      <w:bookmarkStart w:id="655" w:name="_Toc117772203"/>
      <w:bookmarkStart w:id="656" w:name="_Toc100987658"/>
      <w:bookmarkStart w:id="657" w:name="_Toc124240242"/>
      <w:bookmarkStart w:id="658" w:name="_Toc126071133"/>
      <w:bookmarkStart w:id="659" w:name="_Toc164148995"/>
      <w:bookmarkStart w:id="660" w:name="_Toc164151256"/>
      <w:bookmarkStart w:id="661" w:name="_Toc168673448"/>
      <w:bookmarkStart w:id="662" w:name="_Toc168737890"/>
      <w:bookmarkStart w:id="663" w:name="_Toc171602643"/>
      <w:bookmarkStart w:id="664" w:name="_Toc171603470"/>
      <w:bookmarkStart w:id="665" w:name="_Toc177387875"/>
      <w:r w:rsidRPr="00EB11D3">
        <w:rPr>
          <w:rFonts w:eastAsia="Times New Roman"/>
          <w:b/>
          <w:bCs/>
          <w:szCs w:val="24"/>
          <w:lang w:val="en-GB"/>
        </w:rPr>
        <w:t>4.</w:t>
      </w:r>
      <w:r w:rsidR="004373D8">
        <w:rPr>
          <w:rFonts w:eastAsia="Times New Roman"/>
          <w:b/>
          <w:bCs/>
          <w:szCs w:val="24"/>
          <w:lang w:val="en-GB"/>
        </w:rPr>
        <w:t>3</w:t>
      </w:r>
      <w:r w:rsidRPr="00EB11D3">
        <w:rPr>
          <w:rFonts w:eastAsia="Times New Roman"/>
          <w:b/>
          <w:bCs/>
          <w:szCs w:val="24"/>
          <w:lang w:val="en-GB"/>
        </w:rPr>
        <w:t>.1 Validity</w:t>
      </w:r>
      <w:bookmarkEnd w:id="653"/>
      <w:bookmarkEnd w:id="654"/>
      <w:bookmarkEnd w:id="655"/>
      <w:bookmarkEnd w:id="656"/>
      <w:bookmarkEnd w:id="657"/>
      <w:bookmarkEnd w:id="658"/>
      <w:bookmarkEnd w:id="659"/>
      <w:bookmarkEnd w:id="660"/>
      <w:bookmarkEnd w:id="661"/>
      <w:bookmarkEnd w:id="662"/>
      <w:bookmarkEnd w:id="663"/>
      <w:bookmarkEnd w:id="664"/>
      <w:bookmarkEnd w:id="665"/>
    </w:p>
    <w:p w14:paraId="43926C16" w14:textId="77777777" w:rsidR="00FA4A97" w:rsidRDefault="00FA4A97" w:rsidP="00823CEA">
      <w:pPr>
        <w:pStyle w:val="Heading4"/>
        <w:rPr>
          <w:rFonts w:eastAsia="Cambria"/>
          <w:b w:val="0"/>
          <w:bCs w:val="0"/>
          <w:iCs w:val="0"/>
          <w:szCs w:val="24"/>
        </w:rPr>
      </w:pPr>
      <w:r w:rsidRPr="00FA4A97">
        <w:rPr>
          <w:rFonts w:eastAsia="Cambria"/>
          <w:b w:val="0"/>
          <w:bCs w:val="0"/>
          <w:iCs w:val="0"/>
          <w:szCs w:val="24"/>
        </w:rPr>
        <w:t>The precision with which an instrument measures what it purports to measure is known as validity. To make sure the measuring scale actually measures the unobservable construct it is supposed to measure, a validity test is carried out. Bhattacherjee (2012) noted that theoretical or empirical methods can be used to evaluate it. The face and content validity sub-types of theoretical assessment of validity, also known as translational/content validity, are concerned with how effectively an operational measure translates or represents a theoretical entity. The study employed sphericity and Kaiser-Meyer-Olkin (KMO) for construct validity.</w:t>
      </w:r>
    </w:p>
    <w:p w14:paraId="63495FF5" w14:textId="77777777" w:rsidR="00FA4A97" w:rsidRDefault="00FA4A97" w:rsidP="00FA4A97">
      <w:pPr>
        <w:pStyle w:val="Heading4"/>
        <w:spacing w:before="0"/>
        <w:rPr>
          <w:rFonts w:eastAsia="Cambria"/>
          <w:b w:val="0"/>
          <w:bCs w:val="0"/>
          <w:iCs w:val="0"/>
          <w:szCs w:val="24"/>
        </w:rPr>
      </w:pPr>
    </w:p>
    <w:p w14:paraId="10F31D49" w14:textId="77777777" w:rsidR="003859C9" w:rsidRPr="00EB11D3" w:rsidRDefault="003859C9" w:rsidP="00823CEA">
      <w:pPr>
        <w:pStyle w:val="Heading4"/>
      </w:pPr>
      <w:r w:rsidRPr="00EB11D3">
        <w:t>4.</w:t>
      </w:r>
      <w:r w:rsidR="00712E4A" w:rsidRPr="00EB11D3">
        <w:t>4</w:t>
      </w:r>
      <w:r w:rsidRPr="00EB11D3">
        <w:t>.1.1</w:t>
      </w:r>
      <w:r w:rsidRPr="00EB11D3">
        <w:tab/>
        <w:t>Content Validity</w:t>
      </w:r>
    </w:p>
    <w:p w14:paraId="59B746D8" w14:textId="77777777" w:rsidR="00955EE4" w:rsidRDefault="00955EE4" w:rsidP="003859C9">
      <w:pPr>
        <w:shd w:val="clear" w:color="auto" w:fill="FFFFFF"/>
        <w:spacing w:after="160" w:line="360" w:lineRule="auto"/>
        <w:rPr>
          <w:rFonts w:eastAsia="Cambria"/>
          <w:szCs w:val="24"/>
        </w:rPr>
      </w:pPr>
      <w:r w:rsidRPr="00955EE4">
        <w:rPr>
          <w:rFonts w:eastAsia="Cambria"/>
          <w:szCs w:val="24"/>
        </w:rPr>
        <w:t xml:space="preserve">The techniques suggested by Cooper and Schindler (2014) were applied in order to attain content validity. Specifically, the existing scales from the literature were identified, a data collection instrument was created, and it was given to two experts who were conveniently chosen in each of the following areas: corporate governance, service innovation, government regulations, and organisational performance of faith-based hospitals. The survey form was modified in response to these experts in order to improve its clarity, comprehensiveness, relevance, significance, and necessary depth. </w:t>
      </w:r>
    </w:p>
    <w:p w14:paraId="6725B7B0" w14:textId="77777777" w:rsidR="003859C9" w:rsidRPr="00EB11D3" w:rsidRDefault="00955EE4" w:rsidP="003859C9">
      <w:pPr>
        <w:shd w:val="clear" w:color="auto" w:fill="FFFFFF"/>
        <w:spacing w:after="160" w:line="360" w:lineRule="auto"/>
        <w:rPr>
          <w:rFonts w:eastAsia="Cambria"/>
          <w:szCs w:val="24"/>
        </w:rPr>
      </w:pPr>
      <w:r w:rsidRPr="00955EE4">
        <w:rPr>
          <w:rFonts w:eastAsia="Cambria"/>
          <w:szCs w:val="24"/>
        </w:rPr>
        <w:t>The tool was subjected to additional peer assessment, and feedback from doctorate defence forums hosted by the Management University of Africa was taken into account. Supervisors conducted a final evaluation of the data collecting tool, and their insightful suggestions were used to refine and finish the research instrument. This process was carried out to make sure that the measurement scale items accurately reflect theory, therefore measuring the study's constructs. According to Zikmund et al. (2010), the measure was deemed to have attained face validity since it was apparent to the experts that it demonstrated sufficient coverage of the idea.</w:t>
      </w:r>
    </w:p>
    <w:p w14:paraId="2D04D85E" w14:textId="77777777" w:rsidR="003859C9" w:rsidRPr="00EB11D3" w:rsidRDefault="003859C9" w:rsidP="00823CEA">
      <w:pPr>
        <w:pStyle w:val="Heading4"/>
      </w:pPr>
      <w:r w:rsidRPr="00EB11D3">
        <w:t>4.</w:t>
      </w:r>
      <w:r w:rsidR="00712E4A" w:rsidRPr="00EB11D3">
        <w:t>4</w:t>
      </w:r>
      <w:r w:rsidRPr="00EB11D3">
        <w:t>.1.2</w:t>
      </w:r>
      <w:r w:rsidRPr="00EB11D3">
        <w:tab/>
        <w:t>Construct Validity</w:t>
      </w:r>
    </w:p>
    <w:p w14:paraId="2DED6A89" w14:textId="77777777" w:rsidR="003859C9" w:rsidRPr="00EB11D3" w:rsidRDefault="00955EE4" w:rsidP="003859C9">
      <w:pPr>
        <w:shd w:val="clear" w:color="auto" w:fill="FFFFFF"/>
        <w:spacing w:after="160" w:line="360" w:lineRule="auto"/>
        <w:rPr>
          <w:rFonts w:eastAsia="Cambria"/>
          <w:szCs w:val="24"/>
        </w:rPr>
      </w:pPr>
      <w:bookmarkStart w:id="666" w:name="_Hlk129515965"/>
      <w:r w:rsidRPr="00955EE4">
        <w:rPr>
          <w:rFonts w:eastAsia="Cambria"/>
          <w:szCs w:val="24"/>
        </w:rPr>
        <w:t>The degree to which a test truly measures what it purports to assess is known as construct validity. The degree to which conclusions about the constructs that underpin the operationalization of ideas and observations in a study may be drawn from the operationalization itself is known as construct validity. Due to its continued reliance on people's perceptions to assess constructs that would otherwise be challenging to quantify, this method of measurement is seen as subjective. The study employed the Sphericity test as described by Dikko (2016) and the Kaiser- Meyer- Olkin (KMO) test for construct validity.</w:t>
      </w:r>
      <w:r w:rsidR="003859C9" w:rsidRPr="00EB11D3">
        <w:rPr>
          <w:rFonts w:eastAsia="Cambria"/>
          <w:szCs w:val="24"/>
        </w:rPr>
        <w:t xml:space="preserve"> </w:t>
      </w:r>
    </w:p>
    <w:bookmarkEnd w:id="666"/>
    <w:p w14:paraId="081CE230" w14:textId="77777777" w:rsidR="003859C9" w:rsidRPr="00EB11D3" w:rsidRDefault="00955EE4" w:rsidP="003859C9">
      <w:pPr>
        <w:shd w:val="clear" w:color="auto" w:fill="FFFFFF"/>
        <w:spacing w:after="160" w:line="360" w:lineRule="auto"/>
        <w:rPr>
          <w:rFonts w:eastAsia="Cambria"/>
          <w:szCs w:val="24"/>
        </w:rPr>
      </w:pPr>
      <w:r w:rsidRPr="00955EE4">
        <w:rPr>
          <w:rFonts w:eastAsia="Cambria"/>
          <w:szCs w:val="24"/>
        </w:rPr>
        <w:t>The Kaiser-Meyer-Olkin (KMO) Test assesses if the research data are appropriate for factor analysis. Both the overall sampling efficiency of the model and the sampling efficiency for each variable are assessed by the test. The statistic shows how much of the difference between the variables might be due to common variance. The research data is more suitable for factor analysis the smaller the fraction. The test took into account each variable's average response rate. Generally speaking, a statement is considered legitimate if the KMO value is more than 0.4 and the P-value for sphericity is less than 0.05. In other words, the statement measures what it claims to measure.</w:t>
      </w:r>
      <w:r w:rsidR="003859C9" w:rsidRPr="00EB11D3">
        <w:rPr>
          <w:rFonts w:eastAsia="Cambria"/>
          <w:szCs w:val="24"/>
        </w:rPr>
        <w:t xml:space="preserve"> Results are presented in Table 11.</w:t>
      </w:r>
    </w:p>
    <w:p w14:paraId="571E0BCD" w14:textId="77777777" w:rsidR="003859C9" w:rsidRPr="00EB11D3" w:rsidRDefault="003859C9" w:rsidP="003859C9">
      <w:pPr>
        <w:keepNext/>
        <w:shd w:val="clear" w:color="auto" w:fill="FFFFFF"/>
        <w:spacing w:after="0" w:line="240" w:lineRule="auto"/>
        <w:rPr>
          <w:rFonts w:eastAsia="Times New Roman"/>
          <w:b/>
          <w:bCs/>
          <w:szCs w:val="24"/>
        </w:rPr>
      </w:pPr>
      <w:bookmarkStart w:id="667" w:name="_Toc100987962"/>
      <w:bookmarkStart w:id="668" w:name="_Toc126666746"/>
      <w:bookmarkStart w:id="669" w:name="_Toc177387942"/>
      <w:r w:rsidRPr="00EB11D3">
        <w:rPr>
          <w:rFonts w:eastAsia="Times New Roman"/>
          <w:b/>
          <w:bCs/>
          <w:szCs w:val="24"/>
        </w:rPr>
        <w:t xml:space="preserve">Table </w:t>
      </w:r>
      <w:r w:rsidRPr="00EB11D3">
        <w:rPr>
          <w:rFonts w:eastAsia="Times New Roman"/>
          <w:b/>
          <w:bCs/>
          <w:szCs w:val="24"/>
        </w:rPr>
        <w:fldChar w:fldCharType="begin"/>
      </w:r>
      <w:r w:rsidRPr="00EB11D3">
        <w:rPr>
          <w:rFonts w:eastAsia="Times New Roman"/>
          <w:b/>
          <w:bCs/>
          <w:szCs w:val="24"/>
        </w:rPr>
        <w:instrText xml:space="preserve"> SEQ Table \* ARABIC </w:instrText>
      </w:r>
      <w:r w:rsidRPr="00EB11D3">
        <w:rPr>
          <w:rFonts w:eastAsia="Times New Roman"/>
          <w:b/>
          <w:bCs/>
          <w:szCs w:val="24"/>
        </w:rPr>
        <w:fldChar w:fldCharType="separate"/>
      </w:r>
      <w:r w:rsidRPr="00EB11D3">
        <w:rPr>
          <w:rFonts w:eastAsia="Times New Roman"/>
          <w:b/>
          <w:bCs/>
          <w:noProof/>
          <w:szCs w:val="24"/>
        </w:rPr>
        <w:t>11</w:t>
      </w:r>
      <w:r w:rsidRPr="00EB11D3">
        <w:rPr>
          <w:rFonts w:eastAsia="Times New Roman"/>
          <w:b/>
          <w:bCs/>
          <w:szCs w:val="24"/>
        </w:rPr>
        <w:fldChar w:fldCharType="end"/>
      </w:r>
      <w:r w:rsidRPr="00EB11D3">
        <w:rPr>
          <w:rFonts w:eastAsia="Times New Roman"/>
          <w:b/>
          <w:bCs/>
          <w:szCs w:val="24"/>
        </w:rPr>
        <w:t xml:space="preserve">: KMO and Bartlett’s Test for </w:t>
      </w:r>
      <w:bookmarkEnd w:id="667"/>
      <w:bookmarkEnd w:id="668"/>
      <w:r w:rsidRPr="00EB11D3">
        <w:rPr>
          <w:rFonts w:eastAsia="Times New Roman"/>
          <w:b/>
          <w:bCs/>
          <w:szCs w:val="24"/>
        </w:rPr>
        <w:t xml:space="preserve">Corporate </w:t>
      </w:r>
      <w:r w:rsidR="00D105E7">
        <w:rPr>
          <w:rFonts w:eastAsia="Times New Roman"/>
          <w:b/>
          <w:bCs/>
          <w:szCs w:val="24"/>
        </w:rPr>
        <w:t>G</w:t>
      </w:r>
      <w:r w:rsidRPr="00EB11D3">
        <w:rPr>
          <w:rFonts w:eastAsia="Times New Roman"/>
          <w:b/>
          <w:bCs/>
          <w:szCs w:val="24"/>
        </w:rPr>
        <w:t>overnance</w:t>
      </w:r>
      <w:bookmarkEnd w:id="669"/>
    </w:p>
    <w:p w14:paraId="36B79270" w14:textId="77777777" w:rsidR="003859C9" w:rsidRPr="00EB11D3" w:rsidRDefault="003859C9" w:rsidP="003859C9">
      <w:pPr>
        <w:autoSpaceDE w:val="0"/>
        <w:autoSpaceDN w:val="0"/>
        <w:adjustRightInd w:val="0"/>
        <w:spacing w:after="0" w:line="240" w:lineRule="auto"/>
        <w:jc w:val="left"/>
        <w:rPr>
          <w:szCs w:val="24"/>
        </w:rPr>
      </w:pPr>
    </w:p>
    <w:tbl>
      <w:tblPr>
        <w:tblW w:w="5000" w:type="pct"/>
        <w:tblCellMar>
          <w:left w:w="0" w:type="dxa"/>
          <w:right w:w="0" w:type="dxa"/>
        </w:tblCellMar>
        <w:tblLook w:val="0000" w:firstRow="0" w:lastRow="0" w:firstColumn="0" w:lastColumn="0" w:noHBand="0" w:noVBand="0"/>
      </w:tblPr>
      <w:tblGrid>
        <w:gridCol w:w="3922"/>
        <w:gridCol w:w="3699"/>
        <w:gridCol w:w="1739"/>
      </w:tblGrid>
      <w:tr w:rsidR="003859C9" w:rsidRPr="00EB11D3" w14:paraId="430DE90C" w14:textId="77777777" w:rsidTr="00007E09">
        <w:trPr>
          <w:cantSplit/>
        </w:trPr>
        <w:tc>
          <w:tcPr>
            <w:tcW w:w="5000" w:type="pct"/>
            <w:gridSpan w:val="3"/>
            <w:tcBorders>
              <w:top w:val="single" w:sz="4" w:space="0" w:color="auto"/>
              <w:left w:val="nil"/>
              <w:bottom w:val="single" w:sz="4" w:space="0" w:color="auto"/>
              <w:right w:val="nil"/>
            </w:tcBorders>
            <w:shd w:val="clear" w:color="auto" w:fill="auto"/>
            <w:vAlign w:val="center"/>
          </w:tcPr>
          <w:p w14:paraId="3B7999CC" w14:textId="77777777" w:rsidR="003859C9" w:rsidRPr="00EB11D3" w:rsidRDefault="003859C9" w:rsidP="003859C9">
            <w:pPr>
              <w:autoSpaceDE w:val="0"/>
              <w:autoSpaceDN w:val="0"/>
              <w:adjustRightInd w:val="0"/>
              <w:spacing w:after="0" w:line="320" w:lineRule="atLeast"/>
              <w:ind w:left="60" w:right="60"/>
              <w:jc w:val="center"/>
              <w:rPr>
                <w:szCs w:val="24"/>
              </w:rPr>
            </w:pPr>
            <w:r w:rsidRPr="00EB11D3">
              <w:rPr>
                <w:b/>
                <w:bCs/>
                <w:szCs w:val="24"/>
              </w:rPr>
              <w:t>KMO and Bartlett's Test</w:t>
            </w:r>
          </w:p>
        </w:tc>
      </w:tr>
      <w:tr w:rsidR="003859C9" w:rsidRPr="00EB11D3" w14:paraId="266227AA" w14:textId="77777777" w:rsidTr="00007E09">
        <w:trPr>
          <w:cantSplit/>
        </w:trPr>
        <w:tc>
          <w:tcPr>
            <w:tcW w:w="4071" w:type="pct"/>
            <w:gridSpan w:val="2"/>
            <w:tcBorders>
              <w:top w:val="single" w:sz="4" w:space="0" w:color="auto"/>
              <w:left w:val="nil"/>
              <w:bottom w:val="single" w:sz="8" w:space="0" w:color="AEAEAE"/>
              <w:right w:val="nil"/>
            </w:tcBorders>
            <w:shd w:val="clear" w:color="auto" w:fill="auto"/>
          </w:tcPr>
          <w:p w14:paraId="07B24535" w14:textId="77777777" w:rsidR="003859C9" w:rsidRPr="00EB11D3" w:rsidRDefault="003859C9" w:rsidP="003859C9">
            <w:pPr>
              <w:spacing w:after="160" w:line="259" w:lineRule="auto"/>
              <w:jc w:val="left"/>
              <w:rPr>
                <w:szCs w:val="24"/>
              </w:rPr>
            </w:pPr>
            <w:r w:rsidRPr="00EB11D3">
              <w:rPr>
                <w:szCs w:val="24"/>
              </w:rPr>
              <w:t>Kaiser-Meyer-Olkin Measure of Sampling Adequacy.</w:t>
            </w:r>
          </w:p>
        </w:tc>
        <w:tc>
          <w:tcPr>
            <w:tcW w:w="929" w:type="pct"/>
            <w:tcBorders>
              <w:top w:val="single" w:sz="4" w:space="0" w:color="auto"/>
              <w:left w:val="nil"/>
              <w:bottom w:val="single" w:sz="8" w:space="0" w:color="AEAEAE"/>
              <w:right w:val="nil"/>
            </w:tcBorders>
            <w:shd w:val="clear" w:color="auto" w:fill="auto"/>
          </w:tcPr>
          <w:p w14:paraId="5D15BF8B"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.922</w:t>
            </w:r>
          </w:p>
        </w:tc>
      </w:tr>
      <w:tr w:rsidR="003859C9" w:rsidRPr="00EB11D3" w14:paraId="0858C3E0" w14:textId="77777777" w:rsidTr="00007E09">
        <w:trPr>
          <w:cantSplit/>
        </w:trPr>
        <w:tc>
          <w:tcPr>
            <w:tcW w:w="2095" w:type="pct"/>
            <w:vMerge w:val="restart"/>
            <w:tcBorders>
              <w:top w:val="single" w:sz="8" w:space="0" w:color="AEAEAE"/>
              <w:left w:val="nil"/>
              <w:bottom w:val="single" w:sz="8" w:space="0" w:color="152935"/>
              <w:right w:val="nil"/>
            </w:tcBorders>
            <w:shd w:val="clear" w:color="auto" w:fill="auto"/>
          </w:tcPr>
          <w:p w14:paraId="1E987B61" w14:textId="77777777" w:rsidR="003859C9" w:rsidRPr="00EB11D3" w:rsidRDefault="003859C9" w:rsidP="003859C9">
            <w:pPr>
              <w:spacing w:after="160" w:line="259" w:lineRule="auto"/>
              <w:jc w:val="left"/>
              <w:rPr>
                <w:szCs w:val="24"/>
              </w:rPr>
            </w:pPr>
            <w:r w:rsidRPr="00EB11D3">
              <w:rPr>
                <w:szCs w:val="24"/>
              </w:rPr>
              <w:t>Bartlett's Test of Sphericity</w:t>
            </w:r>
          </w:p>
        </w:tc>
        <w:tc>
          <w:tcPr>
            <w:tcW w:w="1976" w:type="pct"/>
            <w:tcBorders>
              <w:top w:val="single" w:sz="8" w:space="0" w:color="AEAEAE"/>
              <w:left w:val="nil"/>
              <w:bottom w:val="single" w:sz="8" w:space="0" w:color="AEAEAE"/>
              <w:right w:val="nil"/>
            </w:tcBorders>
            <w:shd w:val="clear" w:color="auto" w:fill="auto"/>
          </w:tcPr>
          <w:p w14:paraId="5AC1EAD0" w14:textId="77777777" w:rsidR="003859C9" w:rsidRPr="00EB11D3" w:rsidRDefault="003859C9" w:rsidP="003859C9">
            <w:pPr>
              <w:spacing w:after="160" w:line="259" w:lineRule="auto"/>
              <w:jc w:val="left"/>
              <w:rPr>
                <w:szCs w:val="24"/>
              </w:rPr>
            </w:pPr>
            <w:r w:rsidRPr="00EB11D3">
              <w:rPr>
                <w:szCs w:val="24"/>
              </w:rPr>
              <w:t>Approx. Chi-Square</w:t>
            </w:r>
          </w:p>
        </w:tc>
        <w:tc>
          <w:tcPr>
            <w:tcW w:w="929" w:type="pct"/>
            <w:tcBorders>
              <w:top w:val="single" w:sz="8" w:space="0" w:color="AEAEAE"/>
              <w:left w:val="nil"/>
              <w:bottom w:val="single" w:sz="8" w:space="0" w:color="AEAEAE"/>
              <w:right w:val="nil"/>
            </w:tcBorders>
            <w:shd w:val="clear" w:color="auto" w:fill="auto"/>
          </w:tcPr>
          <w:p w14:paraId="5C5A1EB4"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3840.872</w:t>
            </w:r>
          </w:p>
        </w:tc>
      </w:tr>
      <w:tr w:rsidR="003859C9" w:rsidRPr="00EB11D3" w14:paraId="1D61BB44" w14:textId="77777777" w:rsidTr="00007E09">
        <w:trPr>
          <w:cantSplit/>
        </w:trPr>
        <w:tc>
          <w:tcPr>
            <w:tcW w:w="2095" w:type="pct"/>
            <w:vMerge/>
            <w:tcBorders>
              <w:top w:val="single" w:sz="8" w:space="0" w:color="AEAEAE"/>
              <w:left w:val="nil"/>
              <w:bottom w:val="single" w:sz="8" w:space="0" w:color="152935"/>
              <w:right w:val="nil"/>
            </w:tcBorders>
            <w:shd w:val="clear" w:color="auto" w:fill="auto"/>
          </w:tcPr>
          <w:p w14:paraId="505F0BBE" w14:textId="77777777" w:rsidR="003859C9" w:rsidRPr="00EB11D3" w:rsidRDefault="003859C9" w:rsidP="003859C9">
            <w:pPr>
              <w:spacing w:after="160" w:line="259" w:lineRule="auto"/>
              <w:jc w:val="left"/>
              <w:rPr>
                <w:szCs w:val="24"/>
              </w:rPr>
            </w:pPr>
          </w:p>
        </w:tc>
        <w:tc>
          <w:tcPr>
            <w:tcW w:w="1976" w:type="pct"/>
            <w:tcBorders>
              <w:top w:val="single" w:sz="8" w:space="0" w:color="AEAEAE"/>
              <w:left w:val="nil"/>
              <w:bottom w:val="single" w:sz="8" w:space="0" w:color="AEAEAE"/>
              <w:right w:val="nil"/>
            </w:tcBorders>
            <w:shd w:val="clear" w:color="auto" w:fill="auto"/>
          </w:tcPr>
          <w:p w14:paraId="695247AC" w14:textId="77777777" w:rsidR="003859C9" w:rsidRPr="00EB11D3" w:rsidRDefault="003859C9" w:rsidP="003859C9">
            <w:pPr>
              <w:spacing w:after="160" w:line="259" w:lineRule="auto"/>
              <w:jc w:val="left"/>
              <w:rPr>
                <w:szCs w:val="24"/>
              </w:rPr>
            </w:pPr>
            <w:r w:rsidRPr="00EB11D3">
              <w:rPr>
                <w:szCs w:val="24"/>
              </w:rPr>
              <w:t>Df</w:t>
            </w:r>
          </w:p>
        </w:tc>
        <w:tc>
          <w:tcPr>
            <w:tcW w:w="929" w:type="pct"/>
            <w:tcBorders>
              <w:top w:val="single" w:sz="8" w:space="0" w:color="AEAEAE"/>
              <w:left w:val="nil"/>
              <w:bottom w:val="single" w:sz="8" w:space="0" w:color="AEAEAE"/>
              <w:right w:val="nil"/>
            </w:tcBorders>
            <w:shd w:val="clear" w:color="auto" w:fill="auto"/>
          </w:tcPr>
          <w:p w14:paraId="14946E8C"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378</w:t>
            </w:r>
          </w:p>
        </w:tc>
      </w:tr>
      <w:tr w:rsidR="003859C9" w:rsidRPr="00EB11D3" w14:paraId="182B81D3" w14:textId="77777777" w:rsidTr="00007E09">
        <w:trPr>
          <w:cantSplit/>
        </w:trPr>
        <w:tc>
          <w:tcPr>
            <w:tcW w:w="2095" w:type="pct"/>
            <w:vMerge/>
            <w:tcBorders>
              <w:top w:val="single" w:sz="8" w:space="0" w:color="AEAEAE"/>
              <w:left w:val="nil"/>
              <w:bottom w:val="single" w:sz="8" w:space="0" w:color="152935"/>
              <w:right w:val="nil"/>
            </w:tcBorders>
            <w:shd w:val="clear" w:color="auto" w:fill="auto"/>
          </w:tcPr>
          <w:p w14:paraId="4959E157" w14:textId="77777777" w:rsidR="003859C9" w:rsidRPr="00EB11D3" w:rsidRDefault="003859C9" w:rsidP="003859C9">
            <w:pPr>
              <w:spacing w:after="160" w:line="259" w:lineRule="auto"/>
              <w:jc w:val="left"/>
              <w:rPr>
                <w:szCs w:val="24"/>
              </w:rPr>
            </w:pPr>
          </w:p>
        </w:tc>
        <w:tc>
          <w:tcPr>
            <w:tcW w:w="1976" w:type="pct"/>
            <w:tcBorders>
              <w:top w:val="single" w:sz="8" w:space="0" w:color="AEAEAE"/>
              <w:left w:val="nil"/>
              <w:bottom w:val="single" w:sz="8" w:space="0" w:color="152935"/>
              <w:right w:val="nil"/>
            </w:tcBorders>
            <w:shd w:val="clear" w:color="auto" w:fill="auto"/>
          </w:tcPr>
          <w:p w14:paraId="1826A4F1" w14:textId="77777777" w:rsidR="003859C9" w:rsidRPr="00EB11D3" w:rsidRDefault="003859C9" w:rsidP="003859C9">
            <w:pPr>
              <w:spacing w:after="160" w:line="259" w:lineRule="auto"/>
              <w:jc w:val="left"/>
              <w:rPr>
                <w:szCs w:val="24"/>
              </w:rPr>
            </w:pPr>
            <w:r w:rsidRPr="00EB11D3">
              <w:rPr>
                <w:szCs w:val="24"/>
              </w:rPr>
              <w:t>Sig.</w:t>
            </w:r>
          </w:p>
        </w:tc>
        <w:tc>
          <w:tcPr>
            <w:tcW w:w="929" w:type="pct"/>
            <w:tcBorders>
              <w:top w:val="single" w:sz="8" w:space="0" w:color="AEAEAE"/>
              <w:left w:val="nil"/>
              <w:bottom w:val="single" w:sz="8" w:space="0" w:color="152935"/>
              <w:right w:val="nil"/>
            </w:tcBorders>
            <w:shd w:val="clear" w:color="auto" w:fill="auto"/>
          </w:tcPr>
          <w:p w14:paraId="1D927F54"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.000</w:t>
            </w:r>
          </w:p>
        </w:tc>
      </w:tr>
    </w:tbl>
    <w:p w14:paraId="582039FE" w14:textId="77777777" w:rsidR="003859C9" w:rsidRPr="00EB11D3" w:rsidRDefault="003859C9" w:rsidP="003859C9">
      <w:pPr>
        <w:shd w:val="clear" w:color="auto" w:fill="FFFFFF"/>
        <w:autoSpaceDE w:val="0"/>
        <w:autoSpaceDN w:val="0"/>
        <w:adjustRightInd w:val="0"/>
        <w:spacing w:after="0" w:line="400" w:lineRule="atLeast"/>
        <w:jc w:val="left"/>
        <w:rPr>
          <w:rFonts w:eastAsia="Calibri"/>
          <w:szCs w:val="24"/>
        </w:rPr>
      </w:pPr>
    </w:p>
    <w:p w14:paraId="675DA3E8"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The results indicate that the sampling adequacy for </w:t>
      </w:r>
      <w:r w:rsidR="00D24FC5" w:rsidRPr="00EB11D3">
        <w:rPr>
          <w:rFonts w:eastAsia="Cambria"/>
          <w:bCs/>
          <w:szCs w:val="24"/>
        </w:rPr>
        <w:t>corporate</w:t>
      </w:r>
      <w:r w:rsidRPr="00EB11D3">
        <w:rPr>
          <w:rFonts w:eastAsia="Cambria"/>
          <w:bCs/>
          <w:szCs w:val="24"/>
        </w:rPr>
        <w:t xml:space="preserve"> governance</w:t>
      </w:r>
      <w:r w:rsidR="00D24FC5" w:rsidRPr="00EB11D3">
        <w:rPr>
          <w:rFonts w:eastAsia="Cambria"/>
          <w:bCs/>
          <w:szCs w:val="24"/>
        </w:rPr>
        <w:t xml:space="preserve"> </w:t>
      </w:r>
      <w:r w:rsidRPr="00EB11D3">
        <w:rPr>
          <w:rFonts w:eastAsia="Cambria"/>
          <w:szCs w:val="24"/>
        </w:rPr>
        <w:t>constructs showed adequacy in the respective samples with all values showing at least 0.6 (KMO=.922, Chi-square (χ</w:t>
      </w:r>
      <w:r w:rsidRPr="00EB11D3">
        <w:rPr>
          <w:rFonts w:eastAsia="Cambria"/>
          <w:szCs w:val="24"/>
          <w:vertAlign w:val="superscript"/>
        </w:rPr>
        <w:t>2</w:t>
      </w:r>
      <w:r w:rsidRPr="00EB11D3">
        <w:rPr>
          <w:rFonts w:eastAsia="Cambria"/>
          <w:szCs w:val="24"/>
        </w:rPr>
        <w:t xml:space="preserve">) = 3840.872, df=378 and sig. level=0.000) implying that the constructs under </w:t>
      </w:r>
      <w:r w:rsidRPr="00EB11D3">
        <w:rPr>
          <w:rFonts w:eastAsia="Cambria"/>
          <w:bCs/>
          <w:szCs w:val="24"/>
        </w:rPr>
        <w:t>corporate governance</w:t>
      </w:r>
      <w:r w:rsidRPr="00EB11D3">
        <w:rPr>
          <w:rFonts w:eastAsia="Cambria"/>
          <w:szCs w:val="24"/>
        </w:rPr>
        <w:t xml:space="preserve"> were adequate to measure the objectives in a true and accurate perspective. </w:t>
      </w:r>
      <w:bookmarkStart w:id="670" w:name="_Toc100987963"/>
      <w:bookmarkStart w:id="671" w:name="_Toc126666747"/>
    </w:p>
    <w:p w14:paraId="0E65E4EF" w14:textId="77777777" w:rsidR="003859C9" w:rsidRPr="00EB11D3" w:rsidRDefault="00280058" w:rsidP="003859C9">
      <w:pPr>
        <w:spacing w:after="160" w:line="259" w:lineRule="auto"/>
        <w:jc w:val="left"/>
        <w:rPr>
          <w:b/>
          <w:szCs w:val="24"/>
        </w:rPr>
      </w:pPr>
      <w:r>
        <w:rPr>
          <w:b/>
          <w:szCs w:val="24"/>
        </w:rPr>
        <w:br w:type="page"/>
      </w:r>
      <w:bookmarkStart w:id="672" w:name="_Toc177387943"/>
      <w:r w:rsidR="003859C9" w:rsidRPr="00EB11D3">
        <w:rPr>
          <w:b/>
          <w:szCs w:val="24"/>
        </w:rPr>
        <w:t xml:space="preserve">Table </w:t>
      </w:r>
      <w:r w:rsidR="003859C9" w:rsidRPr="00EB11D3">
        <w:rPr>
          <w:b/>
          <w:szCs w:val="24"/>
        </w:rPr>
        <w:fldChar w:fldCharType="begin"/>
      </w:r>
      <w:r w:rsidR="003859C9" w:rsidRPr="00EB11D3">
        <w:rPr>
          <w:b/>
          <w:szCs w:val="24"/>
        </w:rPr>
        <w:instrText xml:space="preserve"> SEQ Table \* ARABIC </w:instrText>
      </w:r>
      <w:r w:rsidR="003859C9" w:rsidRPr="00EB11D3">
        <w:rPr>
          <w:b/>
          <w:szCs w:val="24"/>
        </w:rPr>
        <w:fldChar w:fldCharType="separate"/>
      </w:r>
      <w:r w:rsidR="003859C9" w:rsidRPr="00EB11D3">
        <w:rPr>
          <w:b/>
          <w:noProof/>
          <w:szCs w:val="24"/>
        </w:rPr>
        <w:t>12</w:t>
      </w:r>
      <w:r w:rsidR="003859C9" w:rsidRPr="00EB11D3">
        <w:rPr>
          <w:b/>
          <w:szCs w:val="24"/>
        </w:rPr>
        <w:fldChar w:fldCharType="end"/>
      </w:r>
      <w:r w:rsidR="003859C9" w:rsidRPr="00EB11D3">
        <w:rPr>
          <w:b/>
          <w:szCs w:val="24"/>
        </w:rPr>
        <w:t xml:space="preserve">: KMO and Bartlett’s Test for </w:t>
      </w:r>
      <w:bookmarkEnd w:id="670"/>
      <w:bookmarkEnd w:id="671"/>
      <w:r w:rsidR="003859C9" w:rsidRPr="00EB11D3">
        <w:rPr>
          <w:b/>
          <w:szCs w:val="24"/>
        </w:rPr>
        <w:t>Service Innovation</w:t>
      </w:r>
      <w:bookmarkEnd w:id="672"/>
      <w:r w:rsidR="003859C9" w:rsidRPr="00EB11D3">
        <w:rPr>
          <w:b/>
          <w:szCs w:val="24"/>
        </w:rPr>
        <w:t xml:space="preserve"> </w:t>
      </w:r>
    </w:p>
    <w:tbl>
      <w:tblPr>
        <w:tblW w:w="5000" w:type="pct"/>
        <w:tblCellMar>
          <w:left w:w="0" w:type="dxa"/>
          <w:right w:w="0" w:type="dxa"/>
        </w:tblCellMar>
        <w:tblLook w:val="0000" w:firstRow="0" w:lastRow="0" w:firstColumn="0" w:lastColumn="0" w:noHBand="0" w:noVBand="0"/>
      </w:tblPr>
      <w:tblGrid>
        <w:gridCol w:w="3922"/>
        <w:gridCol w:w="3699"/>
        <w:gridCol w:w="1739"/>
      </w:tblGrid>
      <w:tr w:rsidR="003859C9" w:rsidRPr="00EB11D3" w14:paraId="534B0C25" w14:textId="77777777" w:rsidTr="00007E09">
        <w:trPr>
          <w:cantSplit/>
        </w:trPr>
        <w:tc>
          <w:tcPr>
            <w:tcW w:w="5000" w:type="pct"/>
            <w:gridSpan w:val="3"/>
            <w:tcBorders>
              <w:top w:val="single" w:sz="4" w:space="0" w:color="auto"/>
              <w:left w:val="nil"/>
              <w:bottom w:val="single" w:sz="4" w:space="0" w:color="auto"/>
              <w:right w:val="nil"/>
            </w:tcBorders>
            <w:shd w:val="clear" w:color="auto" w:fill="auto"/>
            <w:vAlign w:val="center"/>
          </w:tcPr>
          <w:p w14:paraId="760C5CA5" w14:textId="77777777" w:rsidR="003859C9" w:rsidRPr="00EB11D3" w:rsidRDefault="003859C9" w:rsidP="003859C9">
            <w:pPr>
              <w:autoSpaceDE w:val="0"/>
              <w:autoSpaceDN w:val="0"/>
              <w:adjustRightInd w:val="0"/>
              <w:spacing w:after="0" w:line="320" w:lineRule="atLeast"/>
              <w:ind w:left="60" w:right="60"/>
              <w:jc w:val="center"/>
              <w:rPr>
                <w:szCs w:val="24"/>
              </w:rPr>
            </w:pPr>
            <w:r w:rsidRPr="00EB11D3">
              <w:rPr>
                <w:b/>
                <w:bCs/>
                <w:szCs w:val="24"/>
              </w:rPr>
              <w:t>KMO and Bartlett's Test</w:t>
            </w:r>
          </w:p>
        </w:tc>
      </w:tr>
      <w:tr w:rsidR="003859C9" w:rsidRPr="00EB11D3" w14:paraId="60802BF6" w14:textId="77777777" w:rsidTr="00007E09">
        <w:trPr>
          <w:cantSplit/>
        </w:trPr>
        <w:tc>
          <w:tcPr>
            <w:tcW w:w="4071" w:type="pct"/>
            <w:gridSpan w:val="2"/>
            <w:tcBorders>
              <w:top w:val="single" w:sz="4" w:space="0" w:color="auto"/>
              <w:left w:val="nil"/>
              <w:bottom w:val="single" w:sz="8" w:space="0" w:color="AEAEAE"/>
              <w:right w:val="nil"/>
            </w:tcBorders>
            <w:shd w:val="clear" w:color="auto" w:fill="auto"/>
          </w:tcPr>
          <w:p w14:paraId="011DB7FE" w14:textId="77777777" w:rsidR="003859C9" w:rsidRPr="00EB11D3" w:rsidRDefault="003859C9" w:rsidP="003859C9">
            <w:pPr>
              <w:spacing w:after="160" w:line="259" w:lineRule="auto"/>
              <w:jc w:val="left"/>
              <w:rPr>
                <w:szCs w:val="24"/>
              </w:rPr>
            </w:pPr>
            <w:r w:rsidRPr="00EB11D3">
              <w:rPr>
                <w:szCs w:val="24"/>
              </w:rPr>
              <w:t>Kaiser-Meyer-Olkin Measure of Sampling Adequacy.</w:t>
            </w:r>
          </w:p>
        </w:tc>
        <w:tc>
          <w:tcPr>
            <w:tcW w:w="929" w:type="pct"/>
            <w:tcBorders>
              <w:top w:val="single" w:sz="4" w:space="0" w:color="auto"/>
              <w:left w:val="nil"/>
              <w:bottom w:val="single" w:sz="8" w:space="0" w:color="AEAEAE"/>
              <w:right w:val="nil"/>
            </w:tcBorders>
            <w:shd w:val="clear" w:color="auto" w:fill="auto"/>
          </w:tcPr>
          <w:p w14:paraId="6C2848DD"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.909</w:t>
            </w:r>
          </w:p>
        </w:tc>
      </w:tr>
      <w:tr w:rsidR="003859C9" w:rsidRPr="00EB11D3" w14:paraId="19BC4426" w14:textId="77777777" w:rsidTr="00007E09">
        <w:trPr>
          <w:cantSplit/>
        </w:trPr>
        <w:tc>
          <w:tcPr>
            <w:tcW w:w="2095" w:type="pct"/>
            <w:vMerge w:val="restart"/>
            <w:tcBorders>
              <w:top w:val="single" w:sz="8" w:space="0" w:color="AEAEAE"/>
              <w:left w:val="nil"/>
              <w:bottom w:val="single" w:sz="8" w:space="0" w:color="152935"/>
              <w:right w:val="nil"/>
            </w:tcBorders>
            <w:shd w:val="clear" w:color="auto" w:fill="auto"/>
          </w:tcPr>
          <w:p w14:paraId="30237454" w14:textId="77777777" w:rsidR="003859C9" w:rsidRPr="00EB11D3" w:rsidRDefault="003859C9" w:rsidP="003859C9">
            <w:pPr>
              <w:spacing w:after="160" w:line="259" w:lineRule="auto"/>
              <w:jc w:val="left"/>
              <w:rPr>
                <w:szCs w:val="24"/>
              </w:rPr>
            </w:pPr>
            <w:r w:rsidRPr="00EB11D3">
              <w:rPr>
                <w:szCs w:val="24"/>
              </w:rPr>
              <w:t>Bartlett's Test of Sphericity</w:t>
            </w:r>
          </w:p>
        </w:tc>
        <w:tc>
          <w:tcPr>
            <w:tcW w:w="1976" w:type="pct"/>
            <w:tcBorders>
              <w:top w:val="single" w:sz="8" w:space="0" w:color="AEAEAE"/>
              <w:left w:val="nil"/>
              <w:bottom w:val="single" w:sz="8" w:space="0" w:color="AEAEAE"/>
              <w:right w:val="nil"/>
            </w:tcBorders>
            <w:shd w:val="clear" w:color="auto" w:fill="auto"/>
          </w:tcPr>
          <w:p w14:paraId="5B328CEF" w14:textId="77777777" w:rsidR="003859C9" w:rsidRPr="00EB11D3" w:rsidRDefault="003859C9" w:rsidP="003859C9">
            <w:pPr>
              <w:spacing w:after="160" w:line="259" w:lineRule="auto"/>
              <w:jc w:val="left"/>
              <w:rPr>
                <w:szCs w:val="24"/>
              </w:rPr>
            </w:pPr>
            <w:r w:rsidRPr="00EB11D3">
              <w:rPr>
                <w:szCs w:val="24"/>
              </w:rPr>
              <w:t>Approx. Chi-Square</w:t>
            </w:r>
          </w:p>
        </w:tc>
        <w:tc>
          <w:tcPr>
            <w:tcW w:w="929" w:type="pct"/>
            <w:tcBorders>
              <w:top w:val="single" w:sz="8" w:space="0" w:color="AEAEAE"/>
              <w:left w:val="nil"/>
              <w:bottom w:val="single" w:sz="8" w:space="0" w:color="AEAEAE"/>
              <w:right w:val="nil"/>
            </w:tcBorders>
            <w:shd w:val="clear" w:color="auto" w:fill="auto"/>
          </w:tcPr>
          <w:p w14:paraId="3D55A589"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3648.877</w:t>
            </w:r>
          </w:p>
        </w:tc>
      </w:tr>
      <w:tr w:rsidR="003859C9" w:rsidRPr="00EB11D3" w14:paraId="2A8E25D8" w14:textId="77777777" w:rsidTr="00007E09">
        <w:trPr>
          <w:cantSplit/>
        </w:trPr>
        <w:tc>
          <w:tcPr>
            <w:tcW w:w="2095" w:type="pct"/>
            <w:vMerge/>
            <w:tcBorders>
              <w:top w:val="single" w:sz="8" w:space="0" w:color="AEAEAE"/>
              <w:left w:val="nil"/>
              <w:bottom w:val="single" w:sz="8" w:space="0" w:color="152935"/>
              <w:right w:val="nil"/>
            </w:tcBorders>
            <w:shd w:val="clear" w:color="auto" w:fill="auto"/>
          </w:tcPr>
          <w:p w14:paraId="668F354D" w14:textId="77777777" w:rsidR="003859C9" w:rsidRPr="00EB11D3" w:rsidRDefault="003859C9" w:rsidP="003859C9">
            <w:pPr>
              <w:spacing w:after="160" w:line="259" w:lineRule="auto"/>
              <w:jc w:val="left"/>
              <w:rPr>
                <w:szCs w:val="24"/>
              </w:rPr>
            </w:pPr>
          </w:p>
        </w:tc>
        <w:tc>
          <w:tcPr>
            <w:tcW w:w="1976" w:type="pct"/>
            <w:tcBorders>
              <w:top w:val="single" w:sz="8" w:space="0" w:color="AEAEAE"/>
              <w:left w:val="nil"/>
              <w:bottom w:val="single" w:sz="8" w:space="0" w:color="AEAEAE"/>
              <w:right w:val="nil"/>
            </w:tcBorders>
            <w:shd w:val="clear" w:color="auto" w:fill="auto"/>
          </w:tcPr>
          <w:p w14:paraId="1EFCC076" w14:textId="77777777" w:rsidR="003859C9" w:rsidRPr="00EB11D3" w:rsidRDefault="003859C9" w:rsidP="003859C9">
            <w:pPr>
              <w:spacing w:after="160" w:line="259" w:lineRule="auto"/>
              <w:jc w:val="left"/>
              <w:rPr>
                <w:szCs w:val="24"/>
              </w:rPr>
            </w:pPr>
            <w:r w:rsidRPr="00EB11D3">
              <w:rPr>
                <w:szCs w:val="24"/>
              </w:rPr>
              <w:t>Df</w:t>
            </w:r>
          </w:p>
        </w:tc>
        <w:tc>
          <w:tcPr>
            <w:tcW w:w="929" w:type="pct"/>
            <w:tcBorders>
              <w:top w:val="single" w:sz="8" w:space="0" w:color="AEAEAE"/>
              <w:left w:val="nil"/>
              <w:bottom w:val="single" w:sz="8" w:space="0" w:color="AEAEAE"/>
              <w:right w:val="nil"/>
            </w:tcBorders>
            <w:shd w:val="clear" w:color="auto" w:fill="auto"/>
          </w:tcPr>
          <w:p w14:paraId="61704183"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378</w:t>
            </w:r>
          </w:p>
        </w:tc>
      </w:tr>
      <w:tr w:rsidR="003859C9" w:rsidRPr="00EB11D3" w14:paraId="4161198E" w14:textId="77777777" w:rsidTr="00007E09">
        <w:trPr>
          <w:cantSplit/>
        </w:trPr>
        <w:tc>
          <w:tcPr>
            <w:tcW w:w="2095" w:type="pct"/>
            <w:vMerge/>
            <w:tcBorders>
              <w:top w:val="single" w:sz="8" w:space="0" w:color="AEAEAE"/>
              <w:left w:val="nil"/>
              <w:bottom w:val="single" w:sz="8" w:space="0" w:color="152935"/>
              <w:right w:val="nil"/>
            </w:tcBorders>
            <w:shd w:val="clear" w:color="auto" w:fill="auto"/>
          </w:tcPr>
          <w:p w14:paraId="2A4E8E7C" w14:textId="77777777" w:rsidR="003859C9" w:rsidRPr="00EB11D3" w:rsidRDefault="003859C9" w:rsidP="003859C9">
            <w:pPr>
              <w:spacing w:after="160" w:line="259" w:lineRule="auto"/>
              <w:jc w:val="left"/>
              <w:rPr>
                <w:szCs w:val="24"/>
              </w:rPr>
            </w:pPr>
          </w:p>
        </w:tc>
        <w:tc>
          <w:tcPr>
            <w:tcW w:w="1976" w:type="pct"/>
            <w:tcBorders>
              <w:top w:val="single" w:sz="8" w:space="0" w:color="AEAEAE"/>
              <w:left w:val="nil"/>
              <w:bottom w:val="single" w:sz="8" w:space="0" w:color="152935"/>
              <w:right w:val="nil"/>
            </w:tcBorders>
            <w:shd w:val="clear" w:color="auto" w:fill="auto"/>
          </w:tcPr>
          <w:p w14:paraId="22BCFBAC" w14:textId="77777777" w:rsidR="003859C9" w:rsidRPr="00EB11D3" w:rsidRDefault="003859C9" w:rsidP="003859C9">
            <w:pPr>
              <w:spacing w:after="160" w:line="259" w:lineRule="auto"/>
              <w:jc w:val="left"/>
              <w:rPr>
                <w:szCs w:val="24"/>
              </w:rPr>
            </w:pPr>
            <w:r w:rsidRPr="00EB11D3">
              <w:rPr>
                <w:szCs w:val="24"/>
              </w:rPr>
              <w:t>Sig.</w:t>
            </w:r>
          </w:p>
        </w:tc>
        <w:tc>
          <w:tcPr>
            <w:tcW w:w="929" w:type="pct"/>
            <w:tcBorders>
              <w:top w:val="single" w:sz="8" w:space="0" w:color="AEAEAE"/>
              <w:left w:val="nil"/>
              <w:bottom w:val="single" w:sz="8" w:space="0" w:color="152935"/>
              <w:right w:val="nil"/>
            </w:tcBorders>
            <w:shd w:val="clear" w:color="auto" w:fill="auto"/>
          </w:tcPr>
          <w:p w14:paraId="470FBA0B"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.000</w:t>
            </w:r>
          </w:p>
        </w:tc>
      </w:tr>
    </w:tbl>
    <w:p w14:paraId="451E2318" w14:textId="77777777" w:rsidR="003859C9" w:rsidRPr="00EB11D3" w:rsidRDefault="003859C9" w:rsidP="003859C9">
      <w:pPr>
        <w:autoSpaceDE w:val="0"/>
        <w:autoSpaceDN w:val="0"/>
        <w:adjustRightInd w:val="0"/>
        <w:spacing w:after="0" w:line="400" w:lineRule="atLeast"/>
        <w:jc w:val="left"/>
        <w:rPr>
          <w:szCs w:val="24"/>
        </w:rPr>
      </w:pPr>
    </w:p>
    <w:p w14:paraId="303526A3" w14:textId="77777777" w:rsidR="003859C9" w:rsidRPr="00EB11D3" w:rsidRDefault="003859C9" w:rsidP="003859C9">
      <w:pPr>
        <w:shd w:val="clear" w:color="auto" w:fill="FFFFFF"/>
        <w:spacing w:after="160" w:line="360" w:lineRule="auto"/>
        <w:rPr>
          <w:rFonts w:eastAsia="Cambria"/>
          <w:b/>
          <w:bCs/>
          <w:szCs w:val="24"/>
        </w:rPr>
      </w:pPr>
      <w:r w:rsidRPr="00EB11D3">
        <w:rPr>
          <w:rFonts w:eastAsia="Cambria"/>
          <w:szCs w:val="24"/>
        </w:rPr>
        <w:t xml:space="preserve">The KMO and Bartlett’s Test results for service innovation indicate that the sampling adequacy value is .909 which is greater than 0.6 at sig. level=0.000 which shows that the statements measuring the constructs under service innovation are adequate, accurate and true representation of the objective to be measured by the study. </w:t>
      </w:r>
    </w:p>
    <w:p w14:paraId="021809AB" w14:textId="77777777" w:rsidR="003859C9" w:rsidRPr="00EB11D3" w:rsidRDefault="003859C9" w:rsidP="00712E4A">
      <w:pPr>
        <w:spacing w:after="160" w:line="259" w:lineRule="auto"/>
        <w:jc w:val="left"/>
        <w:rPr>
          <w:rFonts w:eastAsia="Times New Roman"/>
          <w:b/>
          <w:bCs/>
          <w:szCs w:val="24"/>
        </w:rPr>
      </w:pPr>
      <w:bookmarkStart w:id="673" w:name="_Toc100987964"/>
      <w:bookmarkStart w:id="674" w:name="_Toc126666748"/>
      <w:bookmarkStart w:id="675" w:name="_Toc177387944"/>
      <w:r w:rsidRPr="00EB11D3">
        <w:rPr>
          <w:rFonts w:eastAsia="Times New Roman"/>
          <w:b/>
          <w:bCs/>
          <w:szCs w:val="24"/>
        </w:rPr>
        <w:t xml:space="preserve">Table </w:t>
      </w:r>
      <w:r w:rsidRPr="00EB11D3">
        <w:rPr>
          <w:rFonts w:eastAsia="Times New Roman"/>
          <w:b/>
          <w:bCs/>
          <w:szCs w:val="24"/>
        </w:rPr>
        <w:fldChar w:fldCharType="begin"/>
      </w:r>
      <w:r w:rsidRPr="00EB11D3">
        <w:rPr>
          <w:rFonts w:eastAsia="Times New Roman"/>
          <w:b/>
          <w:bCs/>
          <w:szCs w:val="24"/>
        </w:rPr>
        <w:instrText xml:space="preserve"> SEQ Table \* ARABIC </w:instrText>
      </w:r>
      <w:r w:rsidRPr="00EB11D3">
        <w:rPr>
          <w:rFonts w:eastAsia="Times New Roman"/>
          <w:b/>
          <w:bCs/>
          <w:szCs w:val="24"/>
        </w:rPr>
        <w:fldChar w:fldCharType="separate"/>
      </w:r>
      <w:r w:rsidRPr="00EB11D3">
        <w:rPr>
          <w:rFonts w:eastAsia="Times New Roman"/>
          <w:b/>
          <w:bCs/>
          <w:noProof/>
          <w:szCs w:val="24"/>
        </w:rPr>
        <w:t>13</w:t>
      </w:r>
      <w:r w:rsidRPr="00EB11D3">
        <w:rPr>
          <w:rFonts w:eastAsia="Times New Roman"/>
          <w:b/>
          <w:bCs/>
          <w:szCs w:val="24"/>
        </w:rPr>
        <w:fldChar w:fldCharType="end"/>
      </w:r>
      <w:r w:rsidRPr="00EB11D3">
        <w:rPr>
          <w:rFonts w:eastAsia="Times New Roman"/>
          <w:b/>
          <w:bCs/>
          <w:szCs w:val="24"/>
        </w:rPr>
        <w:t xml:space="preserve">: KMO and Bartlett’s Test for </w:t>
      </w:r>
      <w:bookmarkEnd w:id="673"/>
      <w:bookmarkEnd w:id="674"/>
      <w:r w:rsidRPr="00EB11D3">
        <w:rPr>
          <w:rFonts w:eastAsia="Times New Roman"/>
          <w:b/>
          <w:bCs/>
          <w:szCs w:val="24"/>
        </w:rPr>
        <w:t>Government Regulations</w:t>
      </w:r>
      <w:bookmarkEnd w:id="675"/>
    </w:p>
    <w:p w14:paraId="6F379F6A" w14:textId="77777777" w:rsidR="003859C9" w:rsidRPr="00EB11D3" w:rsidRDefault="003859C9" w:rsidP="003859C9">
      <w:pPr>
        <w:autoSpaceDE w:val="0"/>
        <w:autoSpaceDN w:val="0"/>
        <w:adjustRightInd w:val="0"/>
        <w:spacing w:after="0" w:line="240" w:lineRule="auto"/>
        <w:jc w:val="left"/>
        <w:rPr>
          <w:szCs w:val="24"/>
        </w:rPr>
      </w:pPr>
    </w:p>
    <w:tbl>
      <w:tblPr>
        <w:tblW w:w="5000" w:type="pct"/>
        <w:tblCellMar>
          <w:left w:w="0" w:type="dxa"/>
          <w:right w:w="0" w:type="dxa"/>
        </w:tblCellMar>
        <w:tblLook w:val="0000" w:firstRow="0" w:lastRow="0" w:firstColumn="0" w:lastColumn="0" w:noHBand="0" w:noVBand="0"/>
      </w:tblPr>
      <w:tblGrid>
        <w:gridCol w:w="3922"/>
        <w:gridCol w:w="3699"/>
        <w:gridCol w:w="1739"/>
      </w:tblGrid>
      <w:tr w:rsidR="003859C9" w:rsidRPr="00EB11D3" w14:paraId="3E530D0E" w14:textId="77777777" w:rsidTr="00712E4A">
        <w:trPr>
          <w:cantSplit/>
        </w:trPr>
        <w:tc>
          <w:tcPr>
            <w:tcW w:w="5000" w:type="pct"/>
            <w:gridSpan w:val="3"/>
            <w:tcBorders>
              <w:top w:val="nil"/>
              <w:left w:val="nil"/>
              <w:bottom w:val="single" w:sz="4" w:space="0" w:color="auto"/>
              <w:right w:val="nil"/>
            </w:tcBorders>
            <w:shd w:val="clear" w:color="auto" w:fill="auto"/>
            <w:vAlign w:val="center"/>
          </w:tcPr>
          <w:p w14:paraId="43EB8B7D" w14:textId="77777777" w:rsidR="003859C9" w:rsidRPr="00EB11D3" w:rsidRDefault="003859C9" w:rsidP="003859C9">
            <w:pPr>
              <w:autoSpaceDE w:val="0"/>
              <w:autoSpaceDN w:val="0"/>
              <w:adjustRightInd w:val="0"/>
              <w:spacing w:after="0" w:line="320" w:lineRule="atLeast"/>
              <w:ind w:left="60" w:right="60"/>
              <w:jc w:val="center"/>
              <w:rPr>
                <w:szCs w:val="24"/>
              </w:rPr>
            </w:pPr>
            <w:r w:rsidRPr="00EB11D3">
              <w:rPr>
                <w:b/>
                <w:bCs/>
                <w:szCs w:val="24"/>
              </w:rPr>
              <w:t>KMO and Bartlett's Test</w:t>
            </w:r>
          </w:p>
        </w:tc>
      </w:tr>
      <w:tr w:rsidR="003859C9" w:rsidRPr="00EB11D3" w14:paraId="69C08D62" w14:textId="77777777" w:rsidTr="00712E4A">
        <w:trPr>
          <w:cantSplit/>
        </w:trPr>
        <w:tc>
          <w:tcPr>
            <w:tcW w:w="4071" w:type="pct"/>
            <w:gridSpan w:val="2"/>
            <w:tcBorders>
              <w:top w:val="single" w:sz="4" w:space="0" w:color="auto"/>
              <w:left w:val="nil"/>
              <w:bottom w:val="single" w:sz="8" w:space="0" w:color="AEAEAE"/>
              <w:right w:val="nil"/>
            </w:tcBorders>
            <w:shd w:val="clear" w:color="auto" w:fill="auto"/>
          </w:tcPr>
          <w:p w14:paraId="1328B957" w14:textId="77777777" w:rsidR="003859C9" w:rsidRPr="00EB11D3" w:rsidRDefault="003859C9" w:rsidP="003859C9">
            <w:pPr>
              <w:spacing w:after="160" w:line="259" w:lineRule="auto"/>
              <w:jc w:val="left"/>
              <w:rPr>
                <w:szCs w:val="24"/>
              </w:rPr>
            </w:pPr>
            <w:r w:rsidRPr="00EB11D3">
              <w:rPr>
                <w:szCs w:val="24"/>
              </w:rPr>
              <w:t>Kaiser-Meyer-Olkin Measure of Sampling Adequacy.</w:t>
            </w:r>
          </w:p>
        </w:tc>
        <w:tc>
          <w:tcPr>
            <w:tcW w:w="929" w:type="pct"/>
            <w:tcBorders>
              <w:top w:val="single" w:sz="4" w:space="0" w:color="auto"/>
              <w:left w:val="nil"/>
              <w:bottom w:val="single" w:sz="8" w:space="0" w:color="AEAEAE"/>
              <w:right w:val="nil"/>
            </w:tcBorders>
            <w:shd w:val="clear" w:color="auto" w:fill="auto"/>
          </w:tcPr>
          <w:p w14:paraId="1C5AFD9F"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.867</w:t>
            </w:r>
          </w:p>
        </w:tc>
      </w:tr>
      <w:tr w:rsidR="003859C9" w:rsidRPr="00EB11D3" w14:paraId="541FBE1D" w14:textId="77777777" w:rsidTr="00712E4A">
        <w:trPr>
          <w:cantSplit/>
        </w:trPr>
        <w:tc>
          <w:tcPr>
            <w:tcW w:w="2095" w:type="pct"/>
            <w:vMerge w:val="restart"/>
            <w:tcBorders>
              <w:top w:val="single" w:sz="8" w:space="0" w:color="AEAEAE"/>
              <w:left w:val="nil"/>
              <w:bottom w:val="single" w:sz="8" w:space="0" w:color="152935"/>
              <w:right w:val="nil"/>
            </w:tcBorders>
            <w:shd w:val="clear" w:color="auto" w:fill="auto"/>
          </w:tcPr>
          <w:p w14:paraId="1AFCD387" w14:textId="77777777" w:rsidR="003859C9" w:rsidRPr="00EB11D3" w:rsidRDefault="003859C9" w:rsidP="003859C9">
            <w:pPr>
              <w:spacing w:after="160" w:line="259" w:lineRule="auto"/>
              <w:jc w:val="left"/>
              <w:rPr>
                <w:szCs w:val="24"/>
              </w:rPr>
            </w:pPr>
            <w:r w:rsidRPr="00EB11D3">
              <w:rPr>
                <w:szCs w:val="24"/>
              </w:rPr>
              <w:t>Bartlett's Test of Sphericity</w:t>
            </w:r>
          </w:p>
        </w:tc>
        <w:tc>
          <w:tcPr>
            <w:tcW w:w="1976" w:type="pct"/>
            <w:tcBorders>
              <w:top w:val="single" w:sz="8" w:space="0" w:color="AEAEAE"/>
              <w:left w:val="nil"/>
              <w:bottom w:val="single" w:sz="8" w:space="0" w:color="AEAEAE"/>
              <w:right w:val="nil"/>
            </w:tcBorders>
            <w:shd w:val="clear" w:color="auto" w:fill="auto"/>
          </w:tcPr>
          <w:p w14:paraId="704B9D3C" w14:textId="77777777" w:rsidR="003859C9" w:rsidRPr="00EB11D3" w:rsidRDefault="003859C9" w:rsidP="003859C9">
            <w:pPr>
              <w:spacing w:after="160" w:line="259" w:lineRule="auto"/>
              <w:jc w:val="left"/>
              <w:rPr>
                <w:szCs w:val="24"/>
              </w:rPr>
            </w:pPr>
            <w:r w:rsidRPr="00EB11D3">
              <w:rPr>
                <w:szCs w:val="24"/>
              </w:rPr>
              <w:t>Approx. Chi-Square</w:t>
            </w:r>
          </w:p>
        </w:tc>
        <w:tc>
          <w:tcPr>
            <w:tcW w:w="929" w:type="pct"/>
            <w:tcBorders>
              <w:top w:val="single" w:sz="8" w:space="0" w:color="AEAEAE"/>
              <w:left w:val="nil"/>
              <w:bottom w:val="single" w:sz="8" w:space="0" w:color="AEAEAE"/>
              <w:right w:val="nil"/>
            </w:tcBorders>
            <w:shd w:val="clear" w:color="auto" w:fill="auto"/>
          </w:tcPr>
          <w:p w14:paraId="1FDBF3AC"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2223.759</w:t>
            </w:r>
          </w:p>
        </w:tc>
      </w:tr>
      <w:tr w:rsidR="003859C9" w:rsidRPr="00EB11D3" w14:paraId="42C3D983" w14:textId="77777777" w:rsidTr="00712E4A">
        <w:trPr>
          <w:cantSplit/>
        </w:trPr>
        <w:tc>
          <w:tcPr>
            <w:tcW w:w="2095" w:type="pct"/>
            <w:vMerge/>
            <w:tcBorders>
              <w:top w:val="single" w:sz="8" w:space="0" w:color="AEAEAE"/>
              <w:left w:val="nil"/>
              <w:bottom w:val="single" w:sz="8" w:space="0" w:color="152935"/>
              <w:right w:val="nil"/>
            </w:tcBorders>
            <w:shd w:val="clear" w:color="auto" w:fill="auto"/>
          </w:tcPr>
          <w:p w14:paraId="60CD33F4" w14:textId="77777777" w:rsidR="003859C9" w:rsidRPr="00EB11D3" w:rsidRDefault="003859C9" w:rsidP="003859C9">
            <w:pPr>
              <w:spacing w:after="160" w:line="259" w:lineRule="auto"/>
              <w:jc w:val="left"/>
              <w:rPr>
                <w:szCs w:val="24"/>
              </w:rPr>
            </w:pPr>
          </w:p>
        </w:tc>
        <w:tc>
          <w:tcPr>
            <w:tcW w:w="1976" w:type="pct"/>
            <w:tcBorders>
              <w:top w:val="single" w:sz="8" w:space="0" w:color="AEAEAE"/>
              <w:left w:val="nil"/>
              <w:bottom w:val="single" w:sz="8" w:space="0" w:color="AEAEAE"/>
              <w:right w:val="nil"/>
            </w:tcBorders>
            <w:shd w:val="clear" w:color="auto" w:fill="auto"/>
          </w:tcPr>
          <w:p w14:paraId="3B4EF42D" w14:textId="77777777" w:rsidR="003859C9" w:rsidRPr="00EB11D3" w:rsidRDefault="003859C9" w:rsidP="003859C9">
            <w:pPr>
              <w:spacing w:after="160" w:line="259" w:lineRule="auto"/>
              <w:jc w:val="left"/>
              <w:rPr>
                <w:szCs w:val="24"/>
              </w:rPr>
            </w:pPr>
            <w:r w:rsidRPr="00EB11D3">
              <w:rPr>
                <w:szCs w:val="24"/>
              </w:rPr>
              <w:t>Df</w:t>
            </w:r>
          </w:p>
        </w:tc>
        <w:tc>
          <w:tcPr>
            <w:tcW w:w="929" w:type="pct"/>
            <w:tcBorders>
              <w:top w:val="single" w:sz="8" w:space="0" w:color="AEAEAE"/>
              <w:left w:val="nil"/>
              <w:bottom w:val="single" w:sz="8" w:space="0" w:color="AEAEAE"/>
              <w:right w:val="nil"/>
            </w:tcBorders>
            <w:shd w:val="clear" w:color="auto" w:fill="auto"/>
          </w:tcPr>
          <w:p w14:paraId="5EFA48B3"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190</w:t>
            </w:r>
          </w:p>
        </w:tc>
      </w:tr>
      <w:tr w:rsidR="003859C9" w:rsidRPr="00EB11D3" w14:paraId="629172B0" w14:textId="77777777" w:rsidTr="00712E4A">
        <w:trPr>
          <w:cantSplit/>
        </w:trPr>
        <w:tc>
          <w:tcPr>
            <w:tcW w:w="2095" w:type="pct"/>
            <w:vMerge/>
            <w:tcBorders>
              <w:top w:val="single" w:sz="8" w:space="0" w:color="AEAEAE"/>
              <w:left w:val="nil"/>
              <w:bottom w:val="single" w:sz="8" w:space="0" w:color="152935"/>
              <w:right w:val="nil"/>
            </w:tcBorders>
            <w:shd w:val="clear" w:color="auto" w:fill="auto"/>
          </w:tcPr>
          <w:p w14:paraId="6E7C524D" w14:textId="77777777" w:rsidR="003859C9" w:rsidRPr="00EB11D3" w:rsidRDefault="003859C9" w:rsidP="003859C9">
            <w:pPr>
              <w:spacing w:after="160" w:line="259" w:lineRule="auto"/>
              <w:jc w:val="left"/>
              <w:rPr>
                <w:szCs w:val="24"/>
              </w:rPr>
            </w:pPr>
          </w:p>
        </w:tc>
        <w:tc>
          <w:tcPr>
            <w:tcW w:w="1976" w:type="pct"/>
            <w:tcBorders>
              <w:top w:val="single" w:sz="8" w:space="0" w:color="AEAEAE"/>
              <w:left w:val="nil"/>
              <w:bottom w:val="single" w:sz="8" w:space="0" w:color="152935"/>
              <w:right w:val="nil"/>
            </w:tcBorders>
            <w:shd w:val="clear" w:color="auto" w:fill="auto"/>
          </w:tcPr>
          <w:p w14:paraId="326E3A67" w14:textId="77777777" w:rsidR="003859C9" w:rsidRPr="00EB11D3" w:rsidRDefault="003859C9" w:rsidP="003859C9">
            <w:pPr>
              <w:spacing w:after="160" w:line="259" w:lineRule="auto"/>
              <w:jc w:val="left"/>
              <w:rPr>
                <w:szCs w:val="24"/>
              </w:rPr>
            </w:pPr>
            <w:r w:rsidRPr="00EB11D3">
              <w:rPr>
                <w:szCs w:val="24"/>
              </w:rPr>
              <w:t>Sig.</w:t>
            </w:r>
          </w:p>
        </w:tc>
        <w:tc>
          <w:tcPr>
            <w:tcW w:w="929" w:type="pct"/>
            <w:tcBorders>
              <w:top w:val="single" w:sz="8" w:space="0" w:color="AEAEAE"/>
              <w:left w:val="nil"/>
              <w:bottom w:val="single" w:sz="8" w:space="0" w:color="152935"/>
              <w:right w:val="nil"/>
            </w:tcBorders>
            <w:shd w:val="clear" w:color="auto" w:fill="auto"/>
          </w:tcPr>
          <w:p w14:paraId="49C34095"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.000</w:t>
            </w:r>
          </w:p>
        </w:tc>
      </w:tr>
    </w:tbl>
    <w:p w14:paraId="00E9AC9F" w14:textId="77777777" w:rsidR="003859C9" w:rsidRPr="00EB11D3" w:rsidRDefault="003859C9" w:rsidP="003859C9">
      <w:pPr>
        <w:shd w:val="clear" w:color="auto" w:fill="FFFFFF"/>
        <w:autoSpaceDE w:val="0"/>
        <w:autoSpaceDN w:val="0"/>
        <w:adjustRightInd w:val="0"/>
        <w:spacing w:after="0" w:line="400" w:lineRule="atLeast"/>
        <w:jc w:val="left"/>
        <w:rPr>
          <w:rFonts w:eastAsia="Calibri"/>
          <w:szCs w:val="24"/>
        </w:rPr>
      </w:pPr>
    </w:p>
    <w:p w14:paraId="1F900BB5"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The results of KMO and Bartlett’s Test for government regulations indicates that the constructs are adequate to measure the manifestation of government regulations (KMO=.867, Chi-square (χ</w:t>
      </w:r>
      <w:r w:rsidRPr="00EB11D3">
        <w:rPr>
          <w:rFonts w:eastAsia="Cambria"/>
          <w:szCs w:val="24"/>
          <w:vertAlign w:val="superscript"/>
        </w:rPr>
        <w:t>2</w:t>
      </w:r>
      <w:r w:rsidRPr="00EB11D3">
        <w:rPr>
          <w:rFonts w:eastAsia="Cambria"/>
          <w:szCs w:val="24"/>
        </w:rPr>
        <w:t xml:space="preserve">) = 2223.759, df=190 and sig. level=0.000) hence indicating the constructs under government regulations are accurate and adequate. </w:t>
      </w:r>
    </w:p>
    <w:p w14:paraId="741DDE37" w14:textId="77777777" w:rsidR="003859C9" w:rsidRPr="00EB11D3" w:rsidRDefault="00CA771A" w:rsidP="003859C9">
      <w:pPr>
        <w:shd w:val="clear" w:color="auto" w:fill="FFFFFF"/>
        <w:spacing w:after="0" w:line="240" w:lineRule="auto"/>
        <w:jc w:val="left"/>
        <w:rPr>
          <w:rFonts w:eastAsia="Times New Roman"/>
          <w:b/>
          <w:bCs/>
          <w:szCs w:val="24"/>
        </w:rPr>
      </w:pPr>
      <w:bookmarkStart w:id="676" w:name="_Toc100987965"/>
      <w:bookmarkStart w:id="677" w:name="_Toc126666749"/>
      <w:r w:rsidRPr="00EB11D3">
        <w:rPr>
          <w:rFonts w:eastAsia="Times New Roman"/>
          <w:b/>
          <w:bCs/>
          <w:szCs w:val="24"/>
        </w:rPr>
        <w:br w:type="page"/>
      </w:r>
      <w:bookmarkStart w:id="678" w:name="_Toc177387945"/>
      <w:r w:rsidR="003859C9" w:rsidRPr="00EB11D3">
        <w:rPr>
          <w:rFonts w:eastAsia="Times New Roman"/>
          <w:b/>
          <w:bCs/>
          <w:szCs w:val="24"/>
        </w:rPr>
        <w:t xml:space="preserve">Table </w:t>
      </w:r>
      <w:r w:rsidR="003859C9" w:rsidRPr="00EB11D3">
        <w:rPr>
          <w:rFonts w:eastAsia="Times New Roman"/>
          <w:b/>
          <w:bCs/>
          <w:szCs w:val="24"/>
        </w:rPr>
        <w:fldChar w:fldCharType="begin"/>
      </w:r>
      <w:r w:rsidR="003859C9" w:rsidRPr="00EB11D3">
        <w:rPr>
          <w:rFonts w:eastAsia="Times New Roman"/>
          <w:b/>
          <w:bCs/>
          <w:szCs w:val="24"/>
        </w:rPr>
        <w:instrText xml:space="preserve"> SEQ Table \* ARABIC </w:instrText>
      </w:r>
      <w:r w:rsidR="003859C9" w:rsidRPr="00EB11D3">
        <w:rPr>
          <w:rFonts w:eastAsia="Times New Roman"/>
          <w:b/>
          <w:bCs/>
          <w:szCs w:val="24"/>
        </w:rPr>
        <w:fldChar w:fldCharType="separate"/>
      </w:r>
      <w:r w:rsidR="003859C9" w:rsidRPr="00EB11D3">
        <w:rPr>
          <w:rFonts w:eastAsia="Times New Roman"/>
          <w:b/>
          <w:bCs/>
          <w:noProof/>
          <w:szCs w:val="24"/>
        </w:rPr>
        <w:t>14</w:t>
      </w:r>
      <w:r w:rsidR="003859C9" w:rsidRPr="00EB11D3">
        <w:rPr>
          <w:rFonts w:eastAsia="Times New Roman"/>
          <w:b/>
          <w:bCs/>
          <w:szCs w:val="24"/>
        </w:rPr>
        <w:fldChar w:fldCharType="end"/>
      </w:r>
      <w:r w:rsidR="003859C9" w:rsidRPr="00EB11D3">
        <w:rPr>
          <w:rFonts w:eastAsia="Times New Roman"/>
          <w:b/>
          <w:bCs/>
          <w:szCs w:val="24"/>
        </w:rPr>
        <w:t xml:space="preserve">: KMO and Bartlett’s Test for </w:t>
      </w:r>
      <w:bookmarkEnd w:id="676"/>
      <w:r w:rsidR="003859C9" w:rsidRPr="00EB11D3">
        <w:rPr>
          <w:rFonts w:eastAsia="Times New Roman"/>
          <w:b/>
          <w:bCs/>
          <w:szCs w:val="24"/>
        </w:rPr>
        <w:t>Organisational Performance</w:t>
      </w:r>
      <w:bookmarkEnd w:id="678"/>
      <w:r w:rsidR="003859C9" w:rsidRPr="00EB11D3">
        <w:rPr>
          <w:rFonts w:eastAsia="Times New Roman"/>
          <w:b/>
          <w:bCs/>
          <w:szCs w:val="24"/>
        </w:rPr>
        <w:t xml:space="preserve">  </w:t>
      </w:r>
      <w:bookmarkEnd w:id="677"/>
    </w:p>
    <w:p w14:paraId="38E2E9EA" w14:textId="77777777" w:rsidR="003859C9" w:rsidRPr="00EB11D3" w:rsidRDefault="003859C9" w:rsidP="003859C9">
      <w:pPr>
        <w:autoSpaceDE w:val="0"/>
        <w:autoSpaceDN w:val="0"/>
        <w:adjustRightInd w:val="0"/>
        <w:spacing w:after="0" w:line="240" w:lineRule="auto"/>
        <w:jc w:val="left"/>
        <w:rPr>
          <w:szCs w:val="24"/>
        </w:rPr>
      </w:pPr>
    </w:p>
    <w:tbl>
      <w:tblPr>
        <w:tblW w:w="5000" w:type="pct"/>
        <w:tblCellMar>
          <w:left w:w="0" w:type="dxa"/>
          <w:right w:w="0" w:type="dxa"/>
        </w:tblCellMar>
        <w:tblLook w:val="0000" w:firstRow="0" w:lastRow="0" w:firstColumn="0" w:lastColumn="0" w:noHBand="0" w:noVBand="0"/>
      </w:tblPr>
      <w:tblGrid>
        <w:gridCol w:w="3922"/>
        <w:gridCol w:w="3699"/>
        <w:gridCol w:w="1739"/>
      </w:tblGrid>
      <w:tr w:rsidR="003859C9" w:rsidRPr="00EB11D3" w14:paraId="208D7D59" w14:textId="77777777" w:rsidTr="00823CEA">
        <w:trPr>
          <w:cantSplit/>
        </w:trPr>
        <w:tc>
          <w:tcPr>
            <w:tcW w:w="5000" w:type="pct"/>
            <w:gridSpan w:val="3"/>
            <w:tcBorders>
              <w:top w:val="single" w:sz="4" w:space="0" w:color="auto"/>
              <w:left w:val="nil"/>
              <w:bottom w:val="single" w:sz="4" w:space="0" w:color="auto"/>
              <w:right w:val="nil"/>
            </w:tcBorders>
            <w:shd w:val="clear" w:color="auto" w:fill="auto"/>
            <w:vAlign w:val="center"/>
          </w:tcPr>
          <w:p w14:paraId="743496E3" w14:textId="77777777" w:rsidR="003859C9" w:rsidRPr="00EB11D3" w:rsidRDefault="003859C9" w:rsidP="003859C9">
            <w:pPr>
              <w:autoSpaceDE w:val="0"/>
              <w:autoSpaceDN w:val="0"/>
              <w:adjustRightInd w:val="0"/>
              <w:spacing w:after="0" w:line="320" w:lineRule="atLeast"/>
              <w:ind w:left="60" w:right="60"/>
              <w:jc w:val="center"/>
              <w:rPr>
                <w:szCs w:val="24"/>
              </w:rPr>
            </w:pPr>
            <w:r w:rsidRPr="00EB11D3">
              <w:rPr>
                <w:b/>
                <w:bCs/>
                <w:szCs w:val="24"/>
              </w:rPr>
              <w:t>KMO and Bartlett's Test</w:t>
            </w:r>
          </w:p>
        </w:tc>
      </w:tr>
      <w:tr w:rsidR="003859C9" w:rsidRPr="00EB11D3" w14:paraId="53CD228B" w14:textId="77777777" w:rsidTr="00823CEA">
        <w:trPr>
          <w:cantSplit/>
        </w:trPr>
        <w:tc>
          <w:tcPr>
            <w:tcW w:w="4071" w:type="pct"/>
            <w:gridSpan w:val="2"/>
            <w:tcBorders>
              <w:top w:val="single" w:sz="4" w:space="0" w:color="auto"/>
              <w:left w:val="nil"/>
              <w:bottom w:val="single" w:sz="8" w:space="0" w:color="AEAEAE"/>
              <w:right w:val="nil"/>
            </w:tcBorders>
            <w:shd w:val="clear" w:color="auto" w:fill="auto"/>
          </w:tcPr>
          <w:p w14:paraId="6F0E94F9" w14:textId="77777777" w:rsidR="003859C9" w:rsidRPr="00EB11D3" w:rsidRDefault="003859C9" w:rsidP="003859C9">
            <w:pPr>
              <w:spacing w:after="160" w:line="259" w:lineRule="auto"/>
              <w:jc w:val="left"/>
              <w:rPr>
                <w:szCs w:val="24"/>
              </w:rPr>
            </w:pPr>
            <w:r w:rsidRPr="00EB11D3">
              <w:rPr>
                <w:szCs w:val="24"/>
              </w:rPr>
              <w:t>Kaiser-Meyer-Olkin Measure of Sampling Adequacy.</w:t>
            </w:r>
          </w:p>
        </w:tc>
        <w:tc>
          <w:tcPr>
            <w:tcW w:w="929" w:type="pct"/>
            <w:tcBorders>
              <w:top w:val="single" w:sz="4" w:space="0" w:color="auto"/>
              <w:left w:val="nil"/>
              <w:bottom w:val="single" w:sz="8" w:space="0" w:color="AEAEAE"/>
              <w:right w:val="nil"/>
            </w:tcBorders>
            <w:shd w:val="clear" w:color="auto" w:fill="auto"/>
          </w:tcPr>
          <w:p w14:paraId="1D7605E7"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.908</w:t>
            </w:r>
          </w:p>
        </w:tc>
      </w:tr>
      <w:tr w:rsidR="003859C9" w:rsidRPr="00EB11D3" w14:paraId="180894C4" w14:textId="77777777" w:rsidTr="00823CEA">
        <w:trPr>
          <w:cantSplit/>
        </w:trPr>
        <w:tc>
          <w:tcPr>
            <w:tcW w:w="2095" w:type="pct"/>
            <w:vMerge w:val="restart"/>
            <w:tcBorders>
              <w:top w:val="single" w:sz="8" w:space="0" w:color="AEAEAE"/>
              <w:left w:val="nil"/>
              <w:bottom w:val="single" w:sz="8" w:space="0" w:color="152935"/>
              <w:right w:val="nil"/>
            </w:tcBorders>
            <w:shd w:val="clear" w:color="auto" w:fill="auto"/>
          </w:tcPr>
          <w:p w14:paraId="7FB30E1A" w14:textId="77777777" w:rsidR="003859C9" w:rsidRPr="00EB11D3" w:rsidRDefault="003859C9" w:rsidP="003859C9">
            <w:pPr>
              <w:spacing w:after="160" w:line="259" w:lineRule="auto"/>
              <w:jc w:val="left"/>
              <w:rPr>
                <w:szCs w:val="24"/>
              </w:rPr>
            </w:pPr>
            <w:r w:rsidRPr="00EB11D3">
              <w:rPr>
                <w:szCs w:val="24"/>
              </w:rPr>
              <w:t>Bartlett's Test of Sphericity</w:t>
            </w:r>
          </w:p>
        </w:tc>
        <w:tc>
          <w:tcPr>
            <w:tcW w:w="1976" w:type="pct"/>
            <w:tcBorders>
              <w:top w:val="single" w:sz="8" w:space="0" w:color="AEAEAE"/>
              <w:left w:val="nil"/>
              <w:bottom w:val="single" w:sz="8" w:space="0" w:color="AEAEAE"/>
              <w:right w:val="nil"/>
            </w:tcBorders>
            <w:shd w:val="clear" w:color="auto" w:fill="auto"/>
          </w:tcPr>
          <w:p w14:paraId="1330F2F6" w14:textId="77777777" w:rsidR="003859C9" w:rsidRPr="00EB11D3" w:rsidRDefault="003859C9" w:rsidP="003859C9">
            <w:pPr>
              <w:spacing w:after="160" w:line="259" w:lineRule="auto"/>
              <w:jc w:val="left"/>
              <w:rPr>
                <w:szCs w:val="24"/>
              </w:rPr>
            </w:pPr>
            <w:r w:rsidRPr="00EB11D3">
              <w:rPr>
                <w:szCs w:val="24"/>
              </w:rPr>
              <w:t>Approx. Chi-Square</w:t>
            </w:r>
          </w:p>
        </w:tc>
        <w:tc>
          <w:tcPr>
            <w:tcW w:w="929" w:type="pct"/>
            <w:tcBorders>
              <w:top w:val="single" w:sz="8" w:space="0" w:color="AEAEAE"/>
              <w:left w:val="nil"/>
              <w:bottom w:val="single" w:sz="8" w:space="0" w:color="AEAEAE"/>
              <w:right w:val="nil"/>
            </w:tcBorders>
            <w:shd w:val="clear" w:color="auto" w:fill="auto"/>
          </w:tcPr>
          <w:p w14:paraId="57E5700D" w14:textId="77777777" w:rsidR="003859C9" w:rsidRPr="00EB11D3" w:rsidRDefault="003859C9" w:rsidP="003859C9">
            <w:pPr>
              <w:autoSpaceDE w:val="0"/>
              <w:autoSpaceDN w:val="0"/>
              <w:adjustRightInd w:val="0"/>
              <w:spacing w:after="0" w:line="320" w:lineRule="atLeast"/>
              <w:ind w:left="60" w:right="60"/>
              <w:jc w:val="right"/>
              <w:rPr>
                <w:szCs w:val="24"/>
              </w:rPr>
            </w:pPr>
            <w:bookmarkStart w:id="679" w:name="_Hlk160715784"/>
            <w:r w:rsidRPr="00EB11D3">
              <w:rPr>
                <w:szCs w:val="24"/>
              </w:rPr>
              <w:t>3653.933</w:t>
            </w:r>
            <w:bookmarkEnd w:id="679"/>
          </w:p>
        </w:tc>
      </w:tr>
      <w:tr w:rsidR="003859C9" w:rsidRPr="00EB11D3" w14:paraId="604FAC72" w14:textId="77777777" w:rsidTr="00823CEA">
        <w:trPr>
          <w:cantSplit/>
        </w:trPr>
        <w:tc>
          <w:tcPr>
            <w:tcW w:w="2095" w:type="pct"/>
            <w:vMerge/>
            <w:tcBorders>
              <w:top w:val="single" w:sz="8" w:space="0" w:color="AEAEAE"/>
              <w:left w:val="nil"/>
              <w:bottom w:val="single" w:sz="8" w:space="0" w:color="152935"/>
              <w:right w:val="nil"/>
            </w:tcBorders>
            <w:shd w:val="clear" w:color="auto" w:fill="auto"/>
          </w:tcPr>
          <w:p w14:paraId="1C3FE837" w14:textId="77777777" w:rsidR="003859C9" w:rsidRPr="00EB11D3" w:rsidRDefault="003859C9" w:rsidP="003859C9">
            <w:pPr>
              <w:spacing w:after="160" w:line="259" w:lineRule="auto"/>
              <w:jc w:val="left"/>
              <w:rPr>
                <w:szCs w:val="24"/>
              </w:rPr>
            </w:pPr>
          </w:p>
        </w:tc>
        <w:tc>
          <w:tcPr>
            <w:tcW w:w="1976" w:type="pct"/>
            <w:tcBorders>
              <w:top w:val="single" w:sz="8" w:space="0" w:color="AEAEAE"/>
              <w:left w:val="nil"/>
              <w:bottom w:val="single" w:sz="8" w:space="0" w:color="AEAEAE"/>
              <w:right w:val="nil"/>
            </w:tcBorders>
            <w:shd w:val="clear" w:color="auto" w:fill="auto"/>
          </w:tcPr>
          <w:p w14:paraId="5ABC449F" w14:textId="77777777" w:rsidR="003859C9" w:rsidRPr="00EB11D3" w:rsidRDefault="003859C9" w:rsidP="003859C9">
            <w:pPr>
              <w:spacing w:after="160" w:line="259" w:lineRule="auto"/>
              <w:jc w:val="left"/>
              <w:rPr>
                <w:szCs w:val="24"/>
              </w:rPr>
            </w:pPr>
            <w:r w:rsidRPr="00EB11D3">
              <w:rPr>
                <w:szCs w:val="24"/>
              </w:rPr>
              <w:t>Df</w:t>
            </w:r>
          </w:p>
        </w:tc>
        <w:tc>
          <w:tcPr>
            <w:tcW w:w="929" w:type="pct"/>
            <w:tcBorders>
              <w:top w:val="single" w:sz="8" w:space="0" w:color="AEAEAE"/>
              <w:left w:val="nil"/>
              <w:bottom w:val="single" w:sz="8" w:space="0" w:color="AEAEAE"/>
              <w:right w:val="nil"/>
            </w:tcBorders>
            <w:shd w:val="clear" w:color="auto" w:fill="auto"/>
          </w:tcPr>
          <w:p w14:paraId="03A15BE9"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378</w:t>
            </w:r>
          </w:p>
        </w:tc>
      </w:tr>
      <w:tr w:rsidR="003859C9" w:rsidRPr="00EB11D3" w14:paraId="2FC08BB0" w14:textId="77777777" w:rsidTr="00823CEA">
        <w:trPr>
          <w:cantSplit/>
        </w:trPr>
        <w:tc>
          <w:tcPr>
            <w:tcW w:w="2095" w:type="pct"/>
            <w:vMerge/>
            <w:tcBorders>
              <w:top w:val="single" w:sz="8" w:space="0" w:color="AEAEAE"/>
              <w:left w:val="nil"/>
              <w:bottom w:val="single" w:sz="8" w:space="0" w:color="152935"/>
              <w:right w:val="nil"/>
            </w:tcBorders>
            <w:shd w:val="clear" w:color="auto" w:fill="auto"/>
          </w:tcPr>
          <w:p w14:paraId="6B977118" w14:textId="77777777" w:rsidR="003859C9" w:rsidRPr="00EB11D3" w:rsidRDefault="003859C9" w:rsidP="003859C9">
            <w:pPr>
              <w:spacing w:after="160" w:line="259" w:lineRule="auto"/>
              <w:jc w:val="left"/>
              <w:rPr>
                <w:szCs w:val="24"/>
              </w:rPr>
            </w:pPr>
          </w:p>
        </w:tc>
        <w:tc>
          <w:tcPr>
            <w:tcW w:w="1976" w:type="pct"/>
            <w:tcBorders>
              <w:top w:val="single" w:sz="8" w:space="0" w:color="AEAEAE"/>
              <w:left w:val="nil"/>
              <w:bottom w:val="single" w:sz="8" w:space="0" w:color="152935"/>
              <w:right w:val="nil"/>
            </w:tcBorders>
            <w:shd w:val="clear" w:color="auto" w:fill="auto"/>
          </w:tcPr>
          <w:p w14:paraId="2BDAA433" w14:textId="77777777" w:rsidR="003859C9" w:rsidRPr="00EB11D3" w:rsidRDefault="003859C9" w:rsidP="003859C9">
            <w:pPr>
              <w:spacing w:after="160" w:line="259" w:lineRule="auto"/>
              <w:jc w:val="left"/>
              <w:rPr>
                <w:szCs w:val="24"/>
              </w:rPr>
            </w:pPr>
            <w:r w:rsidRPr="00EB11D3">
              <w:rPr>
                <w:szCs w:val="24"/>
              </w:rPr>
              <w:t>Sig.</w:t>
            </w:r>
          </w:p>
        </w:tc>
        <w:tc>
          <w:tcPr>
            <w:tcW w:w="929" w:type="pct"/>
            <w:tcBorders>
              <w:top w:val="single" w:sz="8" w:space="0" w:color="AEAEAE"/>
              <w:left w:val="nil"/>
              <w:bottom w:val="single" w:sz="8" w:space="0" w:color="152935"/>
              <w:right w:val="nil"/>
            </w:tcBorders>
            <w:shd w:val="clear" w:color="auto" w:fill="auto"/>
          </w:tcPr>
          <w:p w14:paraId="7DDA0361"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.000</w:t>
            </w:r>
          </w:p>
        </w:tc>
      </w:tr>
    </w:tbl>
    <w:p w14:paraId="08BBA48D" w14:textId="77777777" w:rsidR="003859C9" w:rsidRPr="00EB11D3" w:rsidRDefault="003859C9" w:rsidP="003859C9">
      <w:pPr>
        <w:shd w:val="clear" w:color="auto" w:fill="FFFFFF"/>
        <w:autoSpaceDE w:val="0"/>
        <w:autoSpaceDN w:val="0"/>
        <w:adjustRightInd w:val="0"/>
        <w:spacing w:after="0" w:line="400" w:lineRule="atLeast"/>
        <w:jc w:val="left"/>
        <w:rPr>
          <w:rFonts w:eastAsia="Calibri"/>
          <w:szCs w:val="24"/>
        </w:rPr>
      </w:pPr>
    </w:p>
    <w:p w14:paraId="21A45EE3"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The KMO and Bartlett’s Test results shows organisational performance   constructs are adequate to measure the manifestation of organisational performance (KMO=.908, Chi-square (χ</w:t>
      </w:r>
      <w:r w:rsidRPr="00EB11D3">
        <w:rPr>
          <w:rFonts w:eastAsia="Cambria"/>
          <w:szCs w:val="24"/>
          <w:vertAlign w:val="superscript"/>
        </w:rPr>
        <w:t>2</w:t>
      </w:r>
      <w:r w:rsidRPr="00EB11D3">
        <w:rPr>
          <w:rFonts w:eastAsia="Cambria"/>
          <w:szCs w:val="24"/>
        </w:rPr>
        <w:t xml:space="preserve">) = </w:t>
      </w:r>
      <w:r w:rsidRPr="00EB11D3">
        <w:rPr>
          <w:szCs w:val="24"/>
        </w:rPr>
        <w:t>3653.933</w:t>
      </w:r>
      <w:r w:rsidRPr="00EB11D3">
        <w:rPr>
          <w:rFonts w:eastAsia="Cambria"/>
          <w:szCs w:val="24"/>
        </w:rPr>
        <w:t>, df=378 and sig. level=0.000). This depicts that accurate and true results was obtained from the instrument after main survey.</w:t>
      </w:r>
    </w:p>
    <w:p w14:paraId="39D8DDA4" w14:textId="77777777" w:rsidR="003859C9" w:rsidRPr="00EB11D3" w:rsidRDefault="003859C9" w:rsidP="00712E4A">
      <w:pPr>
        <w:pStyle w:val="Heading3"/>
      </w:pPr>
      <w:bookmarkStart w:id="680" w:name="_Toc117772204"/>
      <w:bookmarkStart w:id="681" w:name="_Toc117773064"/>
      <w:bookmarkStart w:id="682" w:name="_Toc100987659"/>
      <w:bookmarkStart w:id="683" w:name="_Toc103414512"/>
      <w:bookmarkStart w:id="684" w:name="_Toc124240243"/>
      <w:bookmarkStart w:id="685" w:name="_Toc126071134"/>
      <w:bookmarkStart w:id="686" w:name="_Toc164148996"/>
      <w:bookmarkStart w:id="687" w:name="_Toc164151257"/>
      <w:bookmarkStart w:id="688" w:name="_Toc168673449"/>
      <w:bookmarkStart w:id="689" w:name="_Toc168737891"/>
      <w:bookmarkStart w:id="690" w:name="_Toc171602644"/>
      <w:bookmarkStart w:id="691" w:name="_Toc171603471"/>
      <w:bookmarkStart w:id="692" w:name="_Toc177387876"/>
      <w:r w:rsidRPr="00EB11D3">
        <w:t>4.</w:t>
      </w:r>
      <w:r w:rsidR="004373D8">
        <w:t>3</w:t>
      </w:r>
      <w:r w:rsidRPr="00EB11D3">
        <w:t>.2 Reliability Test</w:t>
      </w:r>
      <w:bookmarkEnd w:id="680"/>
      <w:bookmarkEnd w:id="681"/>
      <w:bookmarkEnd w:id="682"/>
      <w:bookmarkEnd w:id="683"/>
      <w:bookmarkEnd w:id="684"/>
      <w:bookmarkEnd w:id="685"/>
      <w:bookmarkEnd w:id="686"/>
      <w:bookmarkEnd w:id="687"/>
      <w:bookmarkEnd w:id="688"/>
      <w:bookmarkEnd w:id="689"/>
      <w:bookmarkEnd w:id="690"/>
      <w:bookmarkEnd w:id="691"/>
      <w:bookmarkEnd w:id="692"/>
    </w:p>
    <w:p w14:paraId="4FBBB8BD"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Reliability refers to the ability of an instrument to deliver repeatable and steady measurements. Reliability also estimates how correctly a certain variable or construct in the study is represented by the data acquired (Mugenda &amp; Mugenda, 2003). Reliability seeks to minimize biases and inaccuracies in a study (Yin, 2014). To ensure the reliability of the study instrument, a pilot survey was carried out to test and improve the flow and clarity of the questionnaire before the actual data collection (Cooper &amp; Schindler, 2014).</w:t>
      </w:r>
    </w:p>
    <w:p w14:paraId="6FAB1488"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In this study, Cronbach’s Alpha (Cronbach, 1951) was used to test the reliability of the proposed constructs. Known for its stability and flexibility, Cronbach’s alpha is a function of internal consistency or interrelatedness of items, Tavakol and Dennick (2011) and thus was used in the study. The alpha can take any value from zero (no internal consistency) to one (complete internal consistency). Tavakol and Dennick (2011) agree that an alpha value of 0.7 should be the minimum figure of acceptability with 0.8 and above adding little to the scale of reliability. </w:t>
      </w:r>
    </w:p>
    <w:p w14:paraId="113F9880"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Consequently, for this research, in line with the arguments put forth by the foregoing authors, the minimum acceptable value of alpha was set at 0.7 for a measurement scale to be considered reliable, while a measurement scale with an alpha value greater than 0.9 was considered very good (Cooper &amp; Schindler, 2014). The results for reliability are as shown in Table 15.</w:t>
      </w:r>
    </w:p>
    <w:p w14:paraId="4FCA19FA" w14:textId="77777777" w:rsidR="003859C9" w:rsidRPr="00EB11D3" w:rsidRDefault="003859C9" w:rsidP="003859C9">
      <w:pPr>
        <w:shd w:val="clear" w:color="auto" w:fill="FFFFFF"/>
        <w:spacing w:after="160" w:line="360" w:lineRule="auto"/>
        <w:rPr>
          <w:rFonts w:eastAsia="Cambria"/>
          <w:szCs w:val="24"/>
        </w:rPr>
      </w:pPr>
      <w:bookmarkStart w:id="693" w:name="_Toc100987966"/>
      <w:bookmarkStart w:id="694" w:name="_Toc126666750"/>
      <w:bookmarkStart w:id="695" w:name="_Toc177387946"/>
      <w:r w:rsidRPr="00EB11D3">
        <w:rPr>
          <w:rFonts w:eastAsia="Cambria"/>
          <w:b/>
          <w:bCs/>
          <w:szCs w:val="24"/>
        </w:rPr>
        <w:t xml:space="preserve">Table </w:t>
      </w:r>
      <w:r w:rsidRPr="00EB11D3">
        <w:rPr>
          <w:rFonts w:eastAsia="Cambria"/>
          <w:b/>
          <w:bCs/>
          <w:szCs w:val="24"/>
        </w:rPr>
        <w:fldChar w:fldCharType="begin"/>
      </w:r>
      <w:r w:rsidRPr="00EB11D3">
        <w:rPr>
          <w:rFonts w:eastAsia="Cambria"/>
          <w:b/>
          <w:bCs/>
          <w:szCs w:val="24"/>
        </w:rPr>
        <w:instrText xml:space="preserve"> SEQ Table \* ARABIC </w:instrText>
      </w:r>
      <w:r w:rsidRPr="00EB11D3">
        <w:rPr>
          <w:rFonts w:eastAsia="Cambria"/>
          <w:b/>
          <w:bCs/>
          <w:szCs w:val="24"/>
        </w:rPr>
        <w:fldChar w:fldCharType="separate"/>
      </w:r>
      <w:r w:rsidRPr="00EB11D3">
        <w:rPr>
          <w:rFonts w:eastAsia="Cambria"/>
          <w:b/>
          <w:bCs/>
          <w:szCs w:val="24"/>
        </w:rPr>
        <w:t>15</w:t>
      </w:r>
      <w:r w:rsidRPr="00EB11D3">
        <w:rPr>
          <w:rFonts w:eastAsia="Cambria"/>
          <w:szCs w:val="24"/>
        </w:rPr>
        <w:fldChar w:fldCharType="end"/>
      </w:r>
      <w:r w:rsidRPr="00EB11D3">
        <w:rPr>
          <w:rFonts w:eastAsia="Cambria"/>
          <w:b/>
          <w:bCs/>
          <w:szCs w:val="24"/>
        </w:rPr>
        <w:t>: Reliability Test</w:t>
      </w:r>
      <w:bookmarkEnd w:id="693"/>
      <w:bookmarkEnd w:id="694"/>
      <w:bookmarkEnd w:id="695"/>
    </w:p>
    <w:tbl>
      <w:tblPr>
        <w:tblW w:w="5000" w:type="pct"/>
        <w:shd w:val="clear" w:color="auto" w:fill="FFFFFF"/>
        <w:tblLook w:val="04A0" w:firstRow="1" w:lastRow="0" w:firstColumn="1" w:lastColumn="0" w:noHBand="0" w:noVBand="1"/>
      </w:tblPr>
      <w:tblGrid>
        <w:gridCol w:w="3401"/>
        <w:gridCol w:w="1702"/>
        <w:gridCol w:w="2409"/>
        <w:gridCol w:w="1848"/>
      </w:tblGrid>
      <w:tr w:rsidR="003859C9" w:rsidRPr="00EB11D3" w14:paraId="48759973" w14:textId="77777777" w:rsidTr="003859C9">
        <w:tc>
          <w:tcPr>
            <w:tcW w:w="1817" w:type="pct"/>
            <w:tcBorders>
              <w:top w:val="single" w:sz="4" w:space="0" w:color="auto"/>
              <w:bottom w:val="single" w:sz="4" w:space="0" w:color="auto"/>
            </w:tcBorders>
            <w:shd w:val="clear" w:color="auto" w:fill="FFFFFF"/>
          </w:tcPr>
          <w:p w14:paraId="17535D7F" w14:textId="77777777" w:rsidR="003859C9" w:rsidRPr="00EB11D3" w:rsidRDefault="003859C9" w:rsidP="003859C9">
            <w:pPr>
              <w:shd w:val="clear" w:color="auto" w:fill="FFFFFF"/>
              <w:spacing w:after="160" w:line="360" w:lineRule="auto"/>
              <w:rPr>
                <w:rFonts w:eastAsia="Cambria"/>
                <w:szCs w:val="24"/>
              </w:rPr>
            </w:pPr>
            <w:r w:rsidRPr="00EB11D3">
              <w:rPr>
                <w:rFonts w:eastAsia="Cambria"/>
                <w:b/>
                <w:bCs/>
                <w:szCs w:val="24"/>
              </w:rPr>
              <w:t>Variables</w:t>
            </w:r>
          </w:p>
        </w:tc>
        <w:tc>
          <w:tcPr>
            <w:tcW w:w="909" w:type="pct"/>
            <w:tcBorders>
              <w:top w:val="single" w:sz="4" w:space="0" w:color="auto"/>
              <w:bottom w:val="single" w:sz="4" w:space="0" w:color="auto"/>
            </w:tcBorders>
            <w:shd w:val="clear" w:color="auto" w:fill="FFFFFF"/>
          </w:tcPr>
          <w:p w14:paraId="74368429" w14:textId="77777777" w:rsidR="003859C9" w:rsidRPr="00EB11D3" w:rsidRDefault="003859C9" w:rsidP="003859C9">
            <w:pPr>
              <w:shd w:val="clear" w:color="auto" w:fill="FFFFFF"/>
              <w:spacing w:after="160" w:line="360" w:lineRule="auto"/>
              <w:rPr>
                <w:rFonts w:eastAsia="Cambria"/>
                <w:szCs w:val="24"/>
              </w:rPr>
            </w:pPr>
            <w:r w:rsidRPr="00EB11D3">
              <w:rPr>
                <w:rFonts w:eastAsia="Cambria"/>
                <w:b/>
                <w:bCs/>
                <w:szCs w:val="24"/>
              </w:rPr>
              <w:t>Items</w:t>
            </w:r>
          </w:p>
        </w:tc>
        <w:tc>
          <w:tcPr>
            <w:tcW w:w="1287" w:type="pct"/>
            <w:tcBorders>
              <w:top w:val="single" w:sz="4" w:space="0" w:color="auto"/>
              <w:bottom w:val="single" w:sz="4" w:space="0" w:color="auto"/>
            </w:tcBorders>
            <w:shd w:val="clear" w:color="auto" w:fill="FFFFFF"/>
          </w:tcPr>
          <w:p w14:paraId="6A790D7B" w14:textId="77777777" w:rsidR="003859C9" w:rsidRPr="00EB11D3" w:rsidRDefault="003859C9" w:rsidP="003859C9">
            <w:pPr>
              <w:shd w:val="clear" w:color="auto" w:fill="FFFFFF"/>
              <w:spacing w:after="160" w:line="360" w:lineRule="auto"/>
              <w:rPr>
                <w:rFonts w:eastAsia="Cambria"/>
                <w:szCs w:val="24"/>
              </w:rPr>
            </w:pPr>
            <w:r w:rsidRPr="00EB11D3">
              <w:rPr>
                <w:rFonts w:eastAsia="Cambria"/>
                <w:b/>
                <w:bCs/>
                <w:szCs w:val="24"/>
              </w:rPr>
              <w:t>Cronbach Alpha</w:t>
            </w:r>
          </w:p>
        </w:tc>
        <w:tc>
          <w:tcPr>
            <w:tcW w:w="987" w:type="pct"/>
            <w:tcBorders>
              <w:top w:val="single" w:sz="4" w:space="0" w:color="auto"/>
              <w:bottom w:val="single" w:sz="4" w:space="0" w:color="auto"/>
            </w:tcBorders>
            <w:shd w:val="clear" w:color="auto" w:fill="FFFFFF"/>
          </w:tcPr>
          <w:p w14:paraId="410719CD" w14:textId="77777777" w:rsidR="003859C9" w:rsidRPr="00EB11D3" w:rsidRDefault="003859C9" w:rsidP="003859C9">
            <w:pPr>
              <w:shd w:val="clear" w:color="auto" w:fill="FFFFFF"/>
              <w:spacing w:after="160" w:line="360" w:lineRule="auto"/>
              <w:rPr>
                <w:rFonts w:eastAsia="Cambria"/>
                <w:szCs w:val="24"/>
              </w:rPr>
            </w:pPr>
            <w:r w:rsidRPr="00EB11D3">
              <w:rPr>
                <w:rFonts w:eastAsia="Cambria"/>
                <w:b/>
                <w:bCs/>
                <w:szCs w:val="24"/>
              </w:rPr>
              <w:t>Remark</w:t>
            </w:r>
          </w:p>
        </w:tc>
      </w:tr>
      <w:tr w:rsidR="003859C9" w:rsidRPr="00EB11D3" w14:paraId="0FA04061" w14:textId="77777777" w:rsidTr="003859C9">
        <w:tc>
          <w:tcPr>
            <w:tcW w:w="1817" w:type="pct"/>
            <w:tcBorders>
              <w:top w:val="single" w:sz="4" w:space="0" w:color="auto"/>
              <w:left w:val="nil"/>
              <w:right w:val="nil"/>
            </w:tcBorders>
            <w:shd w:val="clear" w:color="auto" w:fill="FFFFFF"/>
          </w:tcPr>
          <w:p w14:paraId="628CB1A8" w14:textId="77777777" w:rsidR="003859C9" w:rsidRPr="00EB11D3" w:rsidRDefault="003859C9" w:rsidP="003859C9">
            <w:pPr>
              <w:shd w:val="clear" w:color="auto" w:fill="FFFFFF"/>
              <w:spacing w:after="160" w:line="360" w:lineRule="auto"/>
              <w:rPr>
                <w:rFonts w:eastAsia="Cambria"/>
                <w:bCs/>
                <w:szCs w:val="24"/>
              </w:rPr>
            </w:pPr>
            <w:r w:rsidRPr="00EB11D3">
              <w:rPr>
                <w:rFonts w:eastAsia="Cambria"/>
                <w:bCs/>
                <w:szCs w:val="24"/>
              </w:rPr>
              <w:t>Corporate governance</w:t>
            </w:r>
          </w:p>
        </w:tc>
        <w:tc>
          <w:tcPr>
            <w:tcW w:w="909" w:type="pct"/>
            <w:tcBorders>
              <w:top w:val="single" w:sz="4" w:space="0" w:color="auto"/>
              <w:right w:val="nil"/>
            </w:tcBorders>
            <w:shd w:val="clear" w:color="auto" w:fill="FFFFFF"/>
          </w:tcPr>
          <w:p w14:paraId="4A8874EA"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28</w:t>
            </w:r>
          </w:p>
        </w:tc>
        <w:tc>
          <w:tcPr>
            <w:tcW w:w="1287" w:type="pct"/>
            <w:tcBorders>
              <w:top w:val="single" w:sz="4" w:space="0" w:color="auto"/>
              <w:right w:val="nil"/>
            </w:tcBorders>
            <w:shd w:val="clear" w:color="auto" w:fill="FFFFFF"/>
          </w:tcPr>
          <w:p w14:paraId="6FFA0AA6"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0.923</w:t>
            </w:r>
          </w:p>
        </w:tc>
        <w:tc>
          <w:tcPr>
            <w:tcW w:w="987" w:type="pct"/>
            <w:tcBorders>
              <w:top w:val="single" w:sz="4" w:space="0" w:color="auto"/>
              <w:right w:val="nil"/>
            </w:tcBorders>
            <w:shd w:val="clear" w:color="auto" w:fill="FFFFFF"/>
          </w:tcPr>
          <w:p w14:paraId="667773BE"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Reliable</w:t>
            </w:r>
          </w:p>
        </w:tc>
      </w:tr>
      <w:tr w:rsidR="003859C9" w:rsidRPr="00EB11D3" w14:paraId="761A8883" w14:textId="77777777" w:rsidTr="003859C9">
        <w:tc>
          <w:tcPr>
            <w:tcW w:w="1817" w:type="pct"/>
            <w:shd w:val="clear" w:color="auto" w:fill="FFFFFF"/>
          </w:tcPr>
          <w:p w14:paraId="11D2827D" w14:textId="77777777" w:rsidR="003859C9" w:rsidRPr="00EB11D3" w:rsidRDefault="003859C9" w:rsidP="003859C9">
            <w:pPr>
              <w:shd w:val="clear" w:color="auto" w:fill="FFFFFF"/>
              <w:spacing w:after="160" w:line="360" w:lineRule="auto"/>
              <w:rPr>
                <w:rFonts w:eastAsia="Cambria"/>
                <w:bCs/>
                <w:szCs w:val="24"/>
              </w:rPr>
            </w:pPr>
            <w:r w:rsidRPr="00EB11D3">
              <w:rPr>
                <w:rFonts w:eastAsia="Cambria"/>
                <w:szCs w:val="24"/>
              </w:rPr>
              <w:t>Service Innovation</w:t>
            </w:r>
          </w:p>
        </w:tc>
        <w:tc>
          <w:tcPr>
            <w:tcW w:w="909" w:type="pct"/>
            <w:shd w:val="clear" w:color="auto" w:fill="FFFFFF"/>
          </w:tcPr>
          <w:p w14:paraId="53E4A031"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28</w:t>
            </w:r>
          </w:p>
        </w:tc>
        <w:tc>
          <w:tcPr>
            <w:tcW w:w="1287" w:type="pct"/>
            <w:shd w:val="clear" w:color="auto" w:fill="FFFFFF"/>
          </w:tcPr>
          <w:p w14:paraId="04E26D24"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0.924</w:t>
            </w:r>
          </w:p>
        </w:tc>
        <w:tc>
          <w:tcPr>
            <w:tcW w:w="987" w:type="pct"/>
            <w:shd w:val="clear" w:color="auto" w:fill="FFFFFF"/>
          </w:tcPr>
          <w:p w14:paraId="7D81C2C9"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Reliable</w:t>
            </w:r>
          </w:p>
        </w:tc>
      </w:tr>
      <w:tr w:rsidR="003859C9" w:rsidRPr="00EB11D3" w14:paraId="3ABE1CBC" w14:textId="77777777" w:rsidTr="003859C9">
        <w:tc>
          <w:tcPr>
            <w:tcW w:w="1817" w:type="pct"/>
            <w:tcBorders>
              <w:left w:val="nil"/>
              <w:right w:val="nil"/>
            </w:tcBorders>
            <w:shd w:val="clear" w:color="auto" w:fill="FFFFFF"/>
          </w:tcPr>
          <w:p w14:paraId="72F3EE37" w14:textId="77777777" w:rsidR="003859C9" w:rsidRPr="00EB11D3" w:rsidRDefault="003859C9" w:rsidP="003859C9">
            <w:pPr>
              <w:shd w:val="clear" w:color="auto" w:fill="FFFFFF"/>
              <w:spacing w:after="160" w:line="360" w:lineRule="auto"/>
              <w:rPr>
                <w:rFonts w:eastAsia="Cambria"/>
                <w:bCs/>
                <w:szCs w:val="24"/>
              </w:rPr>
            </w:pPr>
            <w:r w:rsidRPr="00EB11D3">
              <w:rPr>
                <w:rFonts w:eastAsia="Cambria"/>
                <w:bCs/>
                <w:szCs w:val="24"/>
              </w:rPr>
              <w:t>Government Regulation</w:t>
            </w:r>
          </w:p>
        </w:tc>
        <w:tc>
          <w:tcPr>
            <w:tcW w:w="909" w:type="pct"/>
            <w:tcBorders>
              <w:right w:val="nil"/>
            </w:tcBorders>
            <w:shd w:val="clear" w:color="auto" w:fill="FFFFFF"/>
          </w:tcPr>
          <w:p w14:paraId="1306B216"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20</w:t>
            </w:r>
          </w:p>
        </w:tc>
        <w:tc>
          <w:tcPr>
            <w:tcW w:w="1287" w:type="pct"/>
            <w:tcBorders>
              <w:right w:val="nil"/>
            </w:tcBorders>
            <w:shd w:val="clear" w:color="auto" w:fill="FFFFFF"/>
          </w:tcPr>
          <w:p w14:paraId="02EAC472"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0.857</w:t>
            </w:r>
          </w:p>
        </w:tc>
        <w:tc>
          <w:tcPr>
            <w:tcW w:w="987" w:type="pct"/>
            <w:tcBorders>
              <w:right w:val="nil"/>
            </w:tcBorders>
            <w:shd w:val="clear" w:color="auto" w:fill="FFFFFF"/>
          </w:tcPr>
          <w:p w14:paraId="037F03B6"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Reliable</w:t>
            </w:r>
          </w:p>
        </w:tc>
      </w:tr>
      <w:tr w:rsidR="003859C9" w:rsidRPr="00EB11D3" w14:paraId="0D641239" w14:textId="77777777" w:rsidTr="003859C9">
        <w:tc>
          <w:tcPr>
            <w:tcW w:w="1817" w:type="pct"/>
            <w:tcBorders>
              <w:bottom w:val="single" w:sz="4" w:space="0" w:color="auto"/>
            </w:tcBorders>
            <w:shd w:val="clear" w:color="auto" w:fill="FFFFFF"/>
          </w:tcPr>
          <w:p w14:paraId="2A612AF1" w14:textId="77777777" w:rsidR="003859C9" w:rsidRPr="00EB11D3" w:rsidRDefault="003859C9" w:rsidP="003859C9">
            <w:pPr>
              <w:shd w:val="clear" w:color="auto" w:fill="FFFFFF"/>
              <w:spacing w:after="160" w:line="360" w:lineRule="auto"/>
              <w:rPr>
                <w:rFonts w:eastAsia="Cambria"/>
                <w:bCs/>
                <w:szCs w:val="24"/>
              </w:rPr>
            </w:pPr>
            <w:r w:rsidRPr="00EB11D3">
              <w:rPr>
                <w:rFonts w:eastAsia="Cambria"/>
                <w:szCs w:val="24"/>
              </w:rPr>
              <w:t xml:space="preserve">Organisational Performance  </w:t>
            </w:r>
          </w:p>
        </w:tc>
        <w:tc>
          <w:tcPr>
            <w:tcW w:w="909" w:type="pct"/>
            <w:tcBorders>
              <w:bottom w:val="single" w:sz="4" w:space="0" w:color="auto"/>
            </w:tcBorders>
            <w:shd w:val="clear" w:color="auto" w:fill="FFFFFF"/>
          </w:tcPr>
          <w:p w14:paraId="6CB918CB"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28</w:t>
            </w:r>
          </w:p>
        </w:tc>
        <w:tc>
          <w:tcPr>
            <w:tcW w:w="1287" w:type="pct"/>
            <w:tcBorders>
              <w:bottom w:val="single" w:sz="4" w:space="0" w:color="auto"/>
            </w:tcBorders>
            <w:shd w:val="clear" w:color="auto" w:fill="FFFFFF"/>
          </w:tcPr>
          <w:p w14:paraId="13F91B42"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0.936</w:t>
            </w:r>
          </w:p>
        </w:tc>
        <w:tc>
          <w:tcPr>
            <w:tcW w:w="987" w:type="pct"/>
            <w:tcBorders>
              <w:bottom w:val="single" w:sz="4" w:space="0" w:color="auto"/>
            </w:tcBorders>
            <w:shd w:val="clear" w:color="auto" w:fill="FFFFFF"/>
          </w:tcPr>
          <w:p w14:paraId="56978206"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Reliable</w:t>
            </w:r>
          </w:p>
        </w:tc>
      </w:tr>
    </w:tbl>
    <w:p w14:paraId="531BD9B7" w14:textId="77777777" w:rsidR="003859C9" w:rsidRPr="00EB11D3" w:rsidRDefault="003859C9" w:rsidP="003859C9">
      <w:pPr>
        <w:shd w:val="clear" w:color="auto" w:fill="FFFFFF"/>
        <w:spacing w:after="160" w:line="360" w:lineRule="auto"/>
        <w:rPr>
          <w:rFonts w:eastAsia="Cambria"/>
          <w:szCs w:val="24"/>
        </w:rPr>
      </w:pPr>
    </w:p>
    <w:p w14:paraId="6E7C267B"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The findings from the summarised results of the variables in Table 15 show that Cronbach’s alpha for all the items were all above 0.7 indicating that the instrument was adequately reliable for measurement and therefore were acceptable. All variables were dependable and acceptable since all of them had Cronbach's alpha values above 0.7.</w:t>
      </w:r>
    </w:p>
    <w:p w14:paraId="2BDD3731" w14:textId="77777777" w:rsidR="003859C9" w:rsidRPr="00EB11D3" w:rsidRDefault="003859C9" w:rsidP="00823CEA">
      <w:pPr>
        <w:pStyle w:val="Heading3"/>
      </w:pPr>
      <w:bookmarkStart w:id="696" w:name="_Toc117773065"/>
      <w:bookmarkStart w:id="697" w:name="_Toc103414513"/>
      <w:bookmarkStart w:id="698" w:name="_Toc117772205"/>
      <w:bookmarkStart w:id="699" w:name="_Toc100987660"/>
      <w:bookmarkStart w:id="700" w:name="_Toc124240244"/>
      <w:bookmarkStart w:id="701" w:name="_Toc126071135"/>
      <w:bookmarkStart w:id="702" w:name="_Toc164148997"/>
      <w:bookmarkStart w:id="703" w:name="_Toc164151258"/>
      <w:bookmarkStart w:id="704" w:name="_Toc168673450"/>
      <w:bookmarkStart w:id="705" w:name="_Toc168737892"/>
      <w:bookmarkStart w:id="706" w:name="_Toc171602645"/>
      <w:bookmarkStart w:id="707" w:name="_Toc171603472"/>
      <w:bookmarkStart w:id="708" w:name="_Toc177387877"/>
      <w:r w:rsidRPr="00EB11D3">
        <w:t>4.</w:t>
      </w:r>
      <w:r w:rsidR="004373D8">
        <w:t>3</w:t>
      </w:r>
      <w:r w:rsidRPr="00EB11D3">
        <w:t>.3 Diagnostics Tests</w:t>
      </w:r>
      <w:bookmarkEnd w:id="696"/>
      <w:bookmarkEnd w:id="697"/>
      <w:bookmarkEnd w:id="698"/>
      <w:bookmarkEnd w:id="699"/>
      <w:bookmarkEnd w:id="700"/>
      <w:bookmarkEnd w:id="701"/>
      <w:bookmarkEnd w:id="702"/>
      <w:bookmarkEnd w:id="703"/>
      <w:bookmarkEnd w:id="704"/>
      <w:bookmarkEnd w:id="705"/>
      <w:bookmarkEnd w:id="706"/>
      <w:bookmarkEnd w:id="707"/>
      <w:bookmarkEnd w:id="708"/>
    </w:p>
    <w:p w14:paraId="609B2C0A" w14:textId="77777777" w:rsidR="003859C9" w:rsidRPr="00EB11D3" w:rsidRDefault="00280058" w:rsidP="003859C9">
      <w:pPr>
        <w:shd w:val="clear" w:color="auto" w:fill="FFFFFF"/>
        <w:spacing w:after="160" w:line="360" w:lineRule="auto"/>
        <w:rPr>
          <w:rFonts w:eastAsia="Cambria"/>
          <w:szCs w:val="24"/>
        </w:rPr>
      </w:pPr>
      <w:r w:rsidRPr="00280058">
        <w:rPr>
          <w:rFonts w:eastAsia="Cambria"/>
          <w:szCs w:val="24"/>
        </w:rPr>
        <w:t>In order to ensure that the Classical Linear Regression Model's (CLRM) postulations are upheld and to choose which models should be investigated in the unlikely event that they are, the study carried out a variety of diagnostic tests. Thus, pre- and post-estimation tests have been carried out before executing a regression model. The normality, multicollinearity, heteroscedasticity, and linearity tests are the pre-estimation tests that were performed in this instance. These are all covered in the sections that follow.</w:t>
      </w:r>
    </w:p>
    <w:p w14:paraId="3BF56249" w14:textId="77777777" w:rsidR="003859C9" w:rsidRPr="00EB11D3" w:rsidRDefault="003859C9" w:rsidP="00823CEA">
      <w:pPr>
        <w:pStyle w:val="Heading4"/>
      </w:pPr>
      <w:r w:rsidRPr="00EB11D3">
        <w:t>4.</w:t>
      </w:r>
      <w:r w:rsidR="00712E4A" w:rsidRPr="00EB11D3">
        <w:t>4</w:t>
      </w:r>
      <w:r w:rsidRPr="00EB11D3">
        <w:t>.3.1 Normality Test</w:t>
      </w:r>
    </w:p>
    <w:p w14:paraId="4FC85E83" w14:textId="77777777" w:rsidR="00CF0282" w:rsidRDefault="003859C9" w:rsidP="00DC6684">
      <w:pPr>
        <w:shd w:val="clear" w:color="auto" w:fill="FFFFFF"/>
        <w:spacing w:after="160" w:line="360" w:lineRule="auto"/>
        <w:rPr>
          <w:rFonts w:eastAsia="Cambria"/>
          <w:szCs w:val="24"/>
        </w:rPr>
      </w:pPr>
      <w:r w:rsidRPr="00EB11D3">
        <w:rPr>
          <w:rFonts w:eastAsia="Cambria"/>
          <w:szCs w:val="24"/>
        </w:rPr>
        <w:t xml:space="preserve">A test for normality examines whether the data are accurately modeled and have a normal distribution (linear). Avioli (2012) showed that descriptive, normality, and verification tests could be assessed with the normal distribution. Singh and Masuku (2014) posit that if these tests show non-normality, then the data has either outliers, multiple modes, incorrect measuring tools, incorrect distributions, zero/infinite limits, or scanty collections (Ghasemi &amp; Zahediasl, 2012). </w:t>
      </w:r>
    </w:p>
    <w:p w14:paraId="54DEB92E" w14:textId="77777777" w:rsidR="003859C9" w:rsidRPr="00EB11D3" w:rsidRDefault="00DC6684" w:rsidP="00DC6684">
      <w:pPr>
        <w:shd w:val="clear" w:color="auto" w:fill="FFFFFF"/>
        <w:spacing w:after="160" w:line="360" w:lineRule="auto"/>
        <w:rPr>
          <w:rFonts w:eastAsia="Cambria"/>
          <w:szCs w:val="24"/>
        </w:rPr>
      </w:pPr>
      <w:r w:rsidRPr="00DC6684">
        <w:rPr>
          <w:rFonts w:eastAsia="Cambria"/>
          <w:szCs w:val="24"/>
        </w:rPr>
        <w:t>For a linear model to fit, the dependent variable has to have a normal distribution. There are several tests for normalcy, such as the Anderson-Darling, Kolmogorov-Smirnov, and Shapiro-Wilk tests.</w:t>
      </w:r>
      <w:r w:rsidR="00CF0282">
        <w:rPr>
          <w:rFonts w:eastAsia="Cambria"/>
          <w:szCs w:val="24"/>
        </w:rPr>
        <w:t xml:space="preserve"> </w:t>
      </w:r>
      <w:r w:rsidRPr="00DC6684">
        <w:rPr>
          <w:rFonts w:eastAsia="Cambria"/>
          <w:szCs w:val="24"/>
        </w:rPr>
        <w:t>The Shapiro-Wilk test, which has the highest power of all normality tests, was performed to determine if the variables were normal. A critical value of 0.05 was used to test the hypothesis. If the probability (P) value is larger than 0.05, the hypothesis should be rejected; otherwise, it should not be rejected.</w:t>
      </w:r>
      <w:r w:rsidR="003859C9" w:rsidRPr="00EB11D3">
        <w:rPr>
          <w:rFonts w:eastAsia="Cambria"/>
          <w:szCs w:val="24"/>
        </w:rPr>
        <w:t xml:space="preserve"> Given that the study's analysis used a multiple regression model, which demands that the dependent variable's normal distribution be met, the dependent variable was thus normally distributed. The hypothesis was that;</w:t>
      </w:r>
    </w:p>
    <w:p w14:paraId="7F7301A2"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H</w:t>
      </w:r>
      <w:r w:rsidRPr="00EB11D3">
        <w:rPr>
          <w:rFonts w:eastAsia="Cambria"/>
          <w:szCs w:val="24"/>
          <w:vertAlign w:val="subscript"/>
        </w:rPr>
        <w:t>0</w:t>
      </w:r>
      <w:r w:rsidRPr="00EB11D3">
        <w:rPr>
          <w:rFonts w:eastAsia="Cambria"/>
          <w:szCs w:val="24"/>
        </w:rPr>
        <w:t>: The data is not normal in distribution</w:t>
      </w:r>
    </w:p>
    <w:p w14:paraId="7A12A194"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H</w:t>
      </w:r>
      <w:r w:rsidRPr="00EB11D3">
        <w:rPr>
          <w:rFonts w:eastAsia="Cambria"/>
          <w:szCs w:val="24"/>
          <w:vertAlign w:val="subscript"/>
        </w:rPr>
        <w:t>1</w:t>
      </w:r>
      <w:r w:rsidRPr="00EB11D3">
        <w:rPr>
          <w:rFonts w:eastAsia="Cambria"/>
          <w:szCs w:val="24"/>
        </w:rPr>
        <w:t>: The data is normal in distribution</w:t>
      </w:r>
    </w:p>
    <w:p w14:paraId="37CDA307"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The results for normality are as shown in Table 16.</w:t>
      </w:r>
    </w:p>
    <w:p w14:paraId="66F40B8C" w14:textId="77777777" w:rsidR="003859C9" w:rsidRPr="00C06DEE" w:rsidRDefault="003859C9" w:rsidP="00C06DEE">
      <w:pPr>
        <w:spacing w:after="160" w:line="259" w:lineRule="auto"/>
        <w:jc w:val="left"/>
        <w:rPr>
          <w:rFonts w:eastAsia="Cambria"/>
          <w:b/>
          <w:bCs/>
          <w:szCs w:val="24"/>
        </w:rPr>
      </w:pPr>
      <w:bookmarkStart w:id="709" w:name="_Toc117774777"/>
      <w:bookmarkStart w:id="710" w:name="_Toc126666751"/>
      <w:bookmarkStart w:id="711" w:name="_Toc177387947"/>
      <w:r w:rsidRPr="00EB11D3">
        <w:rPr>
          <w:rFonts w:eastAsia="Cambria"/>
          <w:b/>
          <w:bCs/>
          <w:szCs w:val="24"/>
        </w:rPr>
        <w:t xml:space="preserve">Table </w:t>
      </w:r>
      <w:r w:rsidRPr="00EB11D3">
        <w:rPr>
          <w:rFonts w:eastAsia="Cambria"/>
          <w:b/>
          <w:bCs/>
          <w:szCs w:val="24"/>
        </w:rPr>
        <w:fldChar w:fldCharType="begin"/>
      </w:r>
      <w:r w:rsidRPr="00EB11D3">
        <w:rPr>
          <w:rFonts w:eastAsia="Cambria"/>
          <w:b/>
          <w:bCs/>
          <w:szCs w:val="24"/>
        </w:rPr>
        <w:instrText xml:space="preserve"> SEQ Table \* ARABIC </w:instrText>
      </w:r>
      <w:r w:rsidRPr="00EB11D3">
        <w:rPr>
          <w:rFonts w:eastAsia="Cambria"/>
          <w:b/>
          <w:bCs/>
          <w:szCs w:val="24"/>
        </w:rPr>
        <w:fldChar w:fldCharType="separate"/>
      </w:r>
      <w:r w:rsidRPr="00EB11D3">
        <w:rPr>
          <w:rFonts w:eastAsia="Cambria"/>
          <w:b/>
          <w:bCs/>
          <w:szCs w:val="24"/>
        </w:rPr>
        <w:t>16</w:t>
      </w:r>
      <w:r w:rsidRPr="00EB11D3">
        <w:rPr>
          <w:rFonts w:eastAsia="Cambria"/>
          <w:szCs w:val="24"/>
        </w:rPr>
        <w:fldChar w:fldCharType="end"/>
      </w:r>
      <w:r w:rsidRPr="00EB11D3">
        <w:rPr>
          <w:rFonts w:eastAsia="Cambria"/>
          <w:b/>
          <w:bCs/>
          <w:szCs w:val="24"/>
        </w:rPr>
        <w:t>: Test for Normality</w:t>
      </w:r>
      <w:bookmarkEnd w:id="709"/>
      <w:bookmarkEnd w:id="710"/>
      <w:bookmarkEnd w:id="711"/>
    </w:p>
    <w:tbl>
      <w:tblPr>
        <w:tblW w:w="5000" w:type="pct"/>
        <w:tblBorders>
          <w:top w:val="single" w:sz="8" w:space="0" w:color="000000"/>
          <w:bottom w:val="single" w:sz="8" w:space="0" w:color="000000"/>
        </w:tblBorders>
        <w:tblLook w:val="0000" w:firstRow="0" w:lastRow="0" w:firstColumn="0" w:lastColumn="0" w:noHBand="0" w:noVBand="0"/>
      </w:tblPr>
      <w:tblGrid>
        <w:gridCol w:w="2920"/>
        <w:gridCol w:w="3014"/>
        <w:gridCol w:w="1713"/>
        <w:gridCol w:w="1713"/>
      </w:tblGrid>
      <w:tr w:rsidR="003859C9" w:rsidRPr="00EB11D3" w14:paraId="4EB9CE41" w14:textId="77777777" w:rsidTr="00C06DEE">
        <w:tc>
          <w:tcPr>
            <w:tcW w:w="1560" w:type="pct"/>
            <w:vMerge w:val="restart"/>
            <w:tcBorders>
              <w:top w:val="single" w:sz="8" w:space="0" w:color="000000"/>
              <w:bottom w:val="nil"/>
            </w:tcBorders>
            <w:shd w:val="clear" w:color="auto" w:fill="auto"/>
          </w:tcPr>
          <w:p w14:paraId="3B6BE90E" w14:textId="77777777" w:rsidR="003859C9" w:rsidRPr="00EB11D3" w:rsidRDefault="003859C9" w:rsidP="00C06DEE">
            <w:pPr>
              <w:autoSpaceDE w:val="0"/>
              <w:autoSpaceDN w:val="0"/>
              <w:adjustRightInd w:val="0"/>
              <w:spacing w:after="0" w:line="259" w:lineRule="auto"/>
              <w:jc w:val="left"/>
              <w:rPr>
                <w:rFonts w:eastAsia="Calibri"/>
                <w:szCs w:val="24"/>
              </w:rPr>
            </w:pPr>
          </w:p>
        </w:tc>
        <w:tc>
          <w:tcPr>
            <w:tcW w:w="3440" w:type="pct"/>
            <w:gridSpan w:val="3"/>
            <w:tcBorders>
              <w:top w:val="single" w:sz="8" w:space="0" w:color="000000"/>
              <w:bottom w:val="nil"/>
            </w:tcBorders>
            <w:shd w:val="clear" w:color="auto" w:fill="auto"/>
          </w:tcPr>
          <w:p w14:paraId="35D886D8" w14:textId="77777777" w:rsidR="003859C9" w:rsidRPr="00EB11D3" w:rsidRDefault="003859C9" w:rsidP="00C06DEE">
            <w:pPr>
              <w:spacing w:after="0" w:line="259" w:lineRule="auto"/>
              <w:jc w:val="center"/>
              <w:rPr>
                <w:rFonts w:eastAsia="Calibri"/>
                <w:b/>
                <w:szCs w:val="24"/>
              </w:rPr>
            </w:pPr>
            <w:r w:rsidRPr="00EB11D3">
              <w:rPr>
                <w:rFonts w:eastAsia="Calibri"/>
                <w:b/>
                <w:szCs w:val="24"/>
              </w:rPr>
              <w:t>Shapiro-Wilk</w:t>
            </w:r>
          </w:p>
        </w:tc>
      </w:tr>
      <w:tr w:rsidR="003859C9" w:rsidRPr="00EB11D3" w14:paraId="15132B0D" w14:textId="77777777" w:rsidTr="00C06DEE">
        <w:tc>
          <w:tcPr>
            <w:tcW w:w="1560" w:type="pct"/>
            <w:vMerge/>
            <w:tcBorders>
              <w:top w:val="nil"/>
              <w:bottom w:val="single" w:sz="4" w:space="0" w:color="auto"/>
            </w:tcBorders>
            <w:shd w:val="clear" w:color="auto" w:fill="auto"/>
          </w:tcPr>
          <w:p w14:paraId="492A7FE2" w14:textId="77777777" w:rsidR="003859C9" w:rsidRPr="00EB11D3" w:rsidRDefault="003859C9" w:rsidP="00664558">
            <w:pPr>
              <w:autoSpaceDE w:val="0"/>
              <w:autoSpaceDN w:val="0"/>
              <w:adjustRightInd w:val="0"/>
              <w:spacing w:after="160" w:line="259" w:lineRule="auto"/>
              <w:jc w:val="left"/>
              <w:rPr>
                <w:rFonts w:eastAsia="Calibri"/>
                <w:szCs w:val="24"/>
              </w:rPr>
            </w:pPr>
          </w:p>
        </w:tc>
        <w:tc>
          <w:tcPr>
            <w:tcW w:w="1610" w:type="pct"/>
            <w:tcBorders>
              <w:top w:val="nil"/>
              <w:bottom w:val="single" w:sz="4" w:space="0" w:color="auto"/>
            </w:tcBorders>
            <w:shd w:val="clear" w:color="auto" w:fill="auto"/>
          </w:tcPr>
          <w:p w14:paraId="7E78ECFF" w14:textId="77777777" w:rsidR="003859C9" w:rsidRPr="00EB11D3" w:rsidRDefault="003859C9" w:rsidP="00664558">
            <w:pPr>
              <w:spacing w:after="160" w:line="259" w:lineRule="auto"/>
              <w:jc w:val="left"/>
              <w:rPr>
                <w:rFonts w:eastAsia="Calibri"/>
                <w:b/>
                <w:szCs w:val="24"/>
              </w:rPr>
            </w:pPr>
            <w:r w:rsidRPr="00EB11D3">
              <w:rPr>
                <w:rFonts w:eastAsia="Calibri"/>
                <w:b/>
                <w:szCs w:val="24"/>
              </w:rPr>
              <w:t>Statistic</w:t>
            </w:r>
          </w:p>
        </w:tc>
        <w:tc>
          <w:tcPr>
            <w:tcW w:w="915" w:type="pct"/>
            <w:tcBorders>
              <w:top w:val="nil"/>
              <w:bottom w:val="single" w:sz="4" w:space="0" w:color="auto"/>
            </w:tcBorders>
            <w:shd w:val="clear" w:color="auto" w:fill="auto"/>
          </w:tcPr>
          <w:p w14:paraId="0028E20F" w14:textId="77777777" w:rsidR="003859C9" w:rsidRPr="00EB11D3" w:rsidRDefault="001624B2" w:rsidP="00664558">
            <w:pPr>
              <w:spacing w:after="160" w:line="259" w:lineRule="auto"/>
              <w:jc w:val="left"/>
              <w:rPr>
                <w:rFonts w:eastAsia="Calibri"/>
                <w:b/>
                <w:szCs w:val="24"/>
              </w:rPr>
            </w:pPr>
            <w:r w:rsidRPr="00EB11D3">
              <w:rPr>
                <w:rFonts w:eastAsia="Calibri"/>
                <w:b/>
                <w:szCs w:val="24"/>
              </w:rPr>
              <w:t>D</w:t>
            </w:r>
            <w:r w:rsidR="003859C9" w:rsidRPr="00EB11D3">
              <w:rPr>
                <w:rFonts w:eastAsia="Calibri"/>
                <w:b/>
                <w:szCs w:val="24"/>
              </w:rPr>
              <w:t>f</w:t>
            </w:r>
          </w:p>
        </w:tc>
        <w:tc>
          <w:tcPr>
            <w:tcW w:w="915" w:type="pct"/>
            <w:tcBorders>
              <w:top w:val="nil"/>
              <w:bottom w:val="single" w:sz="4" w:space="0" w:color="auto"/>
            </w:tcBorders>
            <w:shd w:val="clear" w:color="auto" w:fill="auto"/>
          </w:tcPr>
          <w:p w14:paraId="3B7510D2" w14:textId="77777777" w:rsidR="003859C9" w:rsidRPr="00EB11D3" w:rsidRDefault="003859C9" w:rsidP="00664558">
            <w:pPr>
              <w:spacing w:after="160" w:line="259" w:lineRule="auto"/>
              <w:jc w:val="left"/>
              <w:rPr>
                <w:rFonts w:eastAsia="Calibri"/>
                <w:b/>
                <w:szCs w:val="24"/>
              </w:rPr>
            </w:pPr>
            <w:r w:rsidRPr="00EB11D3">
              <w:rPr>
                <w:rFonts w:eastAsia="Calibri"/>
                <w:b/>
                <w:szCs w:val="24"/>
              </w:rPr>
              <w:t>Sig.</w:t>
            </w:r>
          </w:p>
        </w:tc>
      </w:tr>
      <w:tr w:rsidR="003859C9" w:rsidRPr="00EB11D3" w14:paraId="20BB6A45" w14:textId="77777777" w:rsidTr="00C06DEE">
        <w:tc>
          <w:tcPr>
            <w:tcW w:w="1560" w:type="pct"/>
            <w:tcBorders>
              <w:top w:val="single" w:sz="4" w:space="0" w:color="auto"/>
            </w:tcBorders>
            <w:shd w:val="clear" w:color="auto" w:fill="auto"/>
          </w:tcPr>
          <w:p w14:paraId="1B673CA9" w14:textId="77777777" w:rsidR="003859C9" w:rsidRPr="00EB11D3" w:rsidRDefault="003859C9" w:rsidP="00664558">
            <w:pPr>
              <w:spacing w:after="160" w:line="259" w:lineRule="auto"/>
              <w:jc w:val="left"/>
              <w:rPr>
                <w:rFonts w:eastAsia="Calibri"/>
                <w:szCs w:val="24"/>
              </w:rPr>
            </w:pPr>
            <w:r w:rsidRPr="00EB11D3">
              <w:rPr>
                <w:rFonts w:eastAsia="Calibri"/>
                <w:szCs w:val="24"/>
              </w:rPr>
              <w:t>Corporate governance</w:t>
            </w:r>
          </w:p>
        </w:tc>
        <w:tc>
          <w:tcPr>
            <w:tcW w:w="1610" w:type="pct"/>
            <w:tcBorders>
              <w:top w:val="single" w:sz="4" w:space="0" w:color="auto"/>
            </w:tcBorders>
            <w:shd w:val="clear" w:color="auto" w:fill="auto"/>
          </w:tcPr>
          <w:p w14:paraId="628ED5F1" w14:textId="77777777" w:rsidR="003859C9" w:rsidRPr="00EB11D3" w:rsidRDefault="003859C9" w:rsidP="00664558">
            <w:pPr>
              <w:autoSpaceDE w:val="0"/>
              <w:autoSpaceDN w:val="0"/>
              <w:adjustRightInd w:val="0"/>
              <w:spacing w:after="160" w:line="320" w:lineRule="atLeast"/>
              <w:ind w:left="60" w:right="60"/>
              <w:jc w:val="right"/>
              <w:rPr>
                <w:rFonts w:eastAsia="Calibri"/>
                <w:szCs w:val="24"/>
              </w:rPr>
            </w:pPr>
            <w:r w:rsidRPr="00EB11D3">
              <w:rPr>
                <w:rFonts w:eastAsia="Calibri"/>
                <w:szCs w:val="24"/>
              </w:rPr>
              <w:t>.880</w:t>
            </w:r>
          </w:p>
        </w:tc>
        <w:tc>
          <w:tcPr>
            <w:tcW w:w="915" w:type="pct"/>
            <w:tcBorders>
              <w:top w:val="single" w:sz="4" w:space="0" w:color="auto"/>
            </w:tcBorders>
            <w:shd w:val="clear" w:color="auto" w:fill="auto"/>
          </w:tcPr>
          <w:p w14:paraId="1CB26162" w14:textId="77777777" w:rsidR="003859C9" w:rsidRPr="00EB11D3" w:rsidRDefault="003859C9" w:rsidP="00664558">
            <w:pPr>
              <w:autoSpaceDE w:val="0"/>
              <w:autoSpaceDN w:val="0"/>
              <w:adjustRightInd w:val="0"/>
              <w:spacing w:after="160" w:line="320" w:lineRule="atLeast"/>
              <w:ind w:left="60" w:right="60"/>
              <w:jc w:val="right"/>
              <w:rPr>
                <w:rFonts w:eastAsia="Calibri"/>
                <w:szCs w:val="24"/>
              </w:rPr>
            </w:pPr>
            <w:r w:rsidRPr="00EB11D3">
              <w:rPr>
                <w:rFonts w:eastAsia="Calibri"/>
                <w:szCs w:val="24"/>
              </w:rPr>
              <w:t>250</w:t>
            </w:r>
          </w:p>
        </w:tc>
        <w:tc>
          <w:tcPr>
            <w:tcW w:w="915" w:type="pct"/>
            <w:tcBorders>
              <w:top w:val="single" w:sz="4" w:space="0" w:color="auto"/>
            </w:tcBorders>
            <w:shd w:val="clear" w:color="auto" w:fill="auto"/>
          </w:tcPr>
          <w:p w14:paraId="024EB67C" w14:textId="77777777" w:rsidR="003859C9" w:rsidRPr="00EB11D3" w:rsidRDefault="003859C9" w:rsidP="00664558">
            <w:pPr>
              <w:autoSpaceDE w:val="0"/>
              <w:autoSpaceDN w:val="0"/>
              <w:adjustRightInd w:val="0"/>
              <w:spacing w:after="160" w:line="320" w:lineRule="atLeast"/>
              <w:ind w:left="60" w:right="60"/>
              <w:jc w:val="right"/>
              <w:rPr>
                <w:rFonts w:eastAsia="Calibri"/>
                <w:szCs w:val="24"/>
              </w:rPr>
            </w:pPr>
            <w:r w:rsidRPr="00EB11D3">
              <w:rPr>
                <w:rFonts w:eastAsia="Calibri"/>
                <w:szCs w:val="24"/>
              </w:rPr>
              <w:t>.000</w:t>
            </w:r>
          </w:p>
        </w:tc>
      </w:tr>
      <w:tr w:rsidR="00640AC0" w:rsidRPr="00EB11D3" w14:paraId="17B586A2" w14:textId="77777777" w:rsidTr="00C06DEE">
        <w:tc>
          <w:tcPr>
            <w:tcW w:w="1560" w:type="pct"/>
            <w:shd w:val="clear" w:color="auto" w:fill="auto"/>
          </w:tcPr>
          <w:p w14:paraId="50E8ADE3" w14:textId="77777777" w:rsidR="00640AC0" w:rsidRPr="00EB11D3" w:rsidRDefault="00640AC0" w:rsidP="00664558">
            <w:pPr>
              <w:spacing w:after="160" w:line="259" w:lineRule="auto"/>
              <w:jc w:val="left"/>
              <w:rPr>
                <w:rFonts w:eastAsia="Calibri"/>
                <w:szCs w:val="24"/>
              </w:rPr>
            </w:pPr>
            <w:r w:rsidRPr="00EB11D3">
              <w:rPr>
                <w:rFonts w:eastAsia="Calibri"/>
                <w:szCs w:val="24"/>
              </w:rPr>
              <w:t>Service Innovation</w:t>
            </w:r>
          </w:p>
        </w:tc>
        <w:tc>
          <w:tcPr>
            <w:tcW w:w="1610" w:type="pct"/>
            <w:shd w:val="clear" w:color="auto" w:fill="auto"/>
          </w:tcPr>
          <w:p w14:paraId="0963BFA0" w14:textId="77777777" w:rsidR="00640AC0" w:rsidRPr="00EB11D3" w:rsidRDefault="00640AC0" w:rsidP="00664558">
            <w:pPr>
              <w:autoSpaceDE w:val="0"/>
              <w:autoSpaceDN w:val="0"/>
              <w:adjustRightInd w:val="0"/>
              <w:spacing w:after="160" w:line="320" w:lineRule="atLeast"/>
              <w:ind w:left="60" w:right="60"/>
              <w:jc w:val="right"/>
              <w:rPr>
                <w:rFonts w:eastAsia="Calibri"/>
                <w:szCs w:val="24"/>
              </w:rPr>
            </w:pPr>
            <w:r w:rsidRPr="00EB11D3">
              <w:rPr>
                <w:rFonts w:eastAsia="Calibri"/>
                <w:szCs w:val="24"/>
              </w:rPr>
              <w:t>.932</w:t>
            </w:r>
          </w:p>
        </w:tc>
        <w:tc>
          <w:tcPr>
            <w:tcW w:w="915" w:type="pct"/>
            <w:shd w:val="clear" w:color="auto" w:fill="auto"/>
          </w:tcPr>
          <w:p w14:paraId="52BB0EA7" w14:textId="77777777" w:rsidR="00640AC0" w:rsidRPr="00EB11D3" w:rsidRDefault="00640AC0" w:rsidP="00664558">
            <w:pPr>
              <w:autoSpaceDE w:val="0"/>
              <w:autoSpaceDN w:val="0"/>
              <w:adjustRightInd w:val="0"/>
              <w:spacing w:after="160" w:line="320" w:lineRule="atLeast"/>
              <w:ind w:left="60" w:right="60"/>
              <w:jc w:val="right"/>
              <w:rPr>
                <w:rFonts w:eastAsia="Calibri"/>
                <w:szCs w:val="24"/>
              </w:rPr>
            </w:pPr>
            <w:r w:rsidRPr="00EB11D3">
              <w:rPr>
                <w:rFonts w:eastAsia="Calibri"/>
                <w:szCs w:val="24"/>
              </w:rPr>
              <w:t>250</w:t>
            </w:r>
          </w:p>
        </w:tc>
        <w:tc>
          <w:tcPr>
            <w:tcW w:w="915" w:type="pct"/>
            <w:shd w:val="clear" w:color="auto" w:fill="auto"/>
          </w:tcPr>
          <w:p w14:paraId="6D2DF8FA" w14:textId="77777777" w:rsidR="00640AC0" w:rsidRPr="00EB11D3" w:rsidRDefault="00640AC0" w:rsidP="00664558">
            <w:pPr>
              <w:autoSpaceDE w:val="0"/>
              <w:autoSpaceDN w:val="0"/>
              <w:adjustRightInd w:val="0"/>
              <w:spacing w:after="160" w:line="320" w:lineRule="atLeast"/>
              <w:ind w:left="60" w:right="60"/>
              <w:jc w:val="right"/>
              <w:rPr>
                <w:rFonts w:eastAsia="Calibri"/>
                <w:szCs w:val="24"/>
              </w:rPr>
            </w:pPr>
            <w:r w:rsidRPr="00EB11D3">
              <w:rPr>
                <w:rFonts w:eastAsia="Calibri"/>
                <w:szCs w:val="24"/>
              </w:rPr>
              <w:t>.000</w:t>
            </w:r>
          </w:p>
        </w:tc>
      </w:tr>
      <w:tr w:rsidR="00640AC0" w:rsidRPr="00EB11D3" w14:paraId="3B715768" w14:textId="77777777" w:rsidTr="00C06DEE">
        <w:tc>
          <w:tcPr>
            <w:tcW w:w="1560" w:type="pct"/>
            <w:shd w:val="clear" w:color="auto" w:fill="auto"/>
          </w:tcPr>
          <w:p w14:paraId="29FAB96A" w14:textId="77777777" w:rsidR="00640AC0" w:rsidRPr="00EB11D3" w:rsidRDefault="00640AC0" w:rsidP="00664558">
            <w:pPr>
              <w:spacing w:after="160" w:line="259" w:lineRule="auto"/>
              <w:jc w:val="left"/>
              <w:rPr>
                <w:rFonts w:eastAsia="Calibri"/>
                <w:szCs w:val="24"/>
              </w:rPr>
            </w:pPr>
            <w:r w:rsidRPr="00EB11D3">
              <w:rPr>
                <w:rFonts w:eastAsia="Calibri"/>
                <w:szCs w:val="24"/>
              </w:rPr>
              <w:t>Government Regulations</w:t>
            </w:r>
          </w:p>
        </w:tc>
        <w:tc>
          <w:tcPr>
            <w:tcW w:w="1610" w:type="pct"/>
            <w:shd w:val="clear" w:color="auto" w:fill="auto"/>
          </w:tcPr>
          <w:p w14:paraId="12A7D2B4" w14:textId="77777777" w:rsidR="00640AC0" w:rsidRPr="00EB11D3" w:rsidRDefault="00640AC0" w:rsidP="00664558">
            <w:pPr>
              <w:autoSpaceDE w:val="0"/>
              <w:autoSpaceDN w:val="0"/>
              <w:adjustRightInd w:val="0"/>
              <w:spacing w:after="160" w:line="320" w:lineRule="atLeast"/>
              <w:ind w:left="60" w:right="60"/>
              <w:jc w:val="right"/>
              <w:rPr>
                <w:rFonts w:eastAsia="Calibri"/>
                <w:szCs w:val="24"/>
              </w:rPr>
            </w:pPr>
            <w:r w:rsidRPr="00EB11D3">
              <w:rPr>
                <w:rFonts w:eastAsia="Calibri"/>
                <w:szCs w:val="24"/>
              </w:rPr>
              <w:t>.949</w:t>
            </w:r>
          </w:p>
        </w:tc>
        <w:tc>
          <w:tcPr>
            <w:tcW w:w="915" w:type="pct"/>
            <w:shd w:val="clear" w:color="auto" w:fill="auto"/>
          </w:tcPr>
          <w:p w14:paraId="4B4B09E6" w14:textId="77777777" w:rsidR="00640AC0" w:rsidRPr="00EB11D3" w:rsidRDefault="00640AC0" w:rsidP="00664558">
            <w:pPr>
              <w:autoSpaceDE w:val="0"/>
              <w:autoSpaceDN w:val="0"/>
              <w:adjustRightInd w:val="0"/>
              <w:spacing w:after="160" w:line="320" w:lineRule="atLeast"/>
              <w:ind w:left="60" w:right="60"/>
              <w:jc w:val="right"/>
              <w:rPr>
                <w:rFonts w:eastAsia="Calibri"/>
                <w:szCs w:val="24"/>
              </w:rPr>
            </w:pPr>
            <w:r w:rsidRPr="00EB11D3">
              <w:rPr>
                <w:rFonts w:eastAsia="Calibri"/>
                <w:szCs w:val="24"/>
              </w:rPr>
              <w:t>250</w:t>
            </w:r>
          </w:p>
        </w:tc>
        <w:tc>
          <w:tcPr>
            <w:tcW w:w="915" w:type="pct"/>
            <w:shd w:val="clear" w:color="auto" w:fill="auto"/>
          </w:tcPr>
          <w:p w14:paraId="18C79379" w14:textId="77777777" w:rsidR="00640AC0" w:rsidRPr="00EB11D3" w:rsidRDefault="00640AC0" w:rsidP="00664558">
            <w:pPr>
              <w:autoSpaceDE w:val="0"/>
              <w:autoSpaceDN w:val="0"/>
              <w:adjustRightInd w:val="0"/>
              <w:spacing w:after="160" w:line="320" w:lineRule="atLeast"/>
              <w:ind w:left="60" w:right="60"/>
              <w:jc w:val="right"/>
              <w:rPr>
                <w:rFonts w:eastAsia="Calibri"/>
                <w:szCs w:val="24"/>
              </w:rPr>
            </w:pPr>
            <w:r w:rsidRPr="00EB11D3">
              <w:rPr>
                <w:rFonts w:eastAsia="Calibri"/>
                <w:szCs w:val="24"/>
              </w:rPr>
              <w:t>.000</w:t>
            </w:r>
          </w:p>
        </w:tc>
      </w:tr>
      <w:tr w:rsidR="00640AC0" w:rsidRPr="00EB11D3" w14:paraId="1FD28216" w14:textId="77777777" w:rsidTr="00C06DEE">
        <w:tc>
          <w:tcPr>
            <w:tcW w:w="1560" w:type="pct"/>
            <w:shd w:val="clear" w:color="auto" w:fill="auto"/>
          </w:tcPr>
          <w:p w14:paraId="06331171" w14:textId="77777777" w:rsidR="00640AC0" w:rsidRPr="00EB11D3" w:rsidRDefault="00640AC0" w:rsidP="00664558">
            <w:pPr>
              <w:spacing w:after="160" w:line="259" w:lineRule="auto"/>
              <w:jc w:val="left"/>
              <w:rPr>
                <w:rFonts w:eastAsia="Calibri"/>
                <w:szCs w:val="24"/>
              </w:rPr>
            </w:pPr>
            <w:r w:rsidRPr="00EB11D3">
              <w:rPr>
                <w:rFonts w:eastAsia="Calibri"/>
                <w:szCs w:val="24"/>
              </w:rPr>
              <w:t>Organisational Performance</w:t>
            </w:r>
          </w:p>
        </w:tc>
        <w:tc>
          <w:tcPr>
            <w:tcW w:w="1610" w:type="pct"/>
            <w:shd w:val="clear" w:color="auto" w:fill="auto"/>
          </w:tcPr>
          <w:p w14:paraId="7030DBAA" w14:textId="77777777" w:rsidR="00640AC0" w:rsidRPr="00EB11D3" w:rsidRDefault="00640AC0" w:rsidP="00664558">
            <w:pPr>
              <w:autoSpaceDE w:val="0"/>
              <w:autoSpaceDN w:val="0"/>
              <w:adjustRightInd w:val="0"/>
              <w:spacing w:after="160" w:line="320" w:lineRule="atLeast"/>
              <w:ind w:left="60" w:right="60"/>
              <w:jc w:val="right"/>
              <w:rPr>
                <w:rFonts w:eastAsia="Calibri"/>
                <w:szCs w:val="24"/>
              </w:rPr>
            </w:pPr>
            <w:r w:rsidRPr="00EB11D3">
              <w:rPr>
                <w:rFonts w:eastAsia="Calibri"/>
                <w:szCs w:val="24"/>
              </w:rPr>
              <w:t>.950</w:t>
            </w:r>
          </w:p>
        </w:tc>
        <w:tc>
          <w:tcPr>
            <w:tcW w:w="915" w:type="pct"/>
            <w:shd w:val="clear" w:color="auto" w:fill="auto"/>
          </w:tcPr>
          <w:p w14:paraId="1D67EAC4" w14:textId="77777777" w:rsidR="00640AC0" w:rsidRPr="00EB11D3" w:rsidRDefault="00640AC0" w:rsidP="00664558">
            <w:pPr>
              <w:autoSpaceDE w:val="0"/>
              <w:autoSpaceDN w:val="0"/>
              <w:adjustRightInd w:val="0"/>
              <w:spacing w:after="160" w:line="320" w:lineRule="atLeast"/>
              <w:ind w:left="60" w:right="60"/>
              <w:jc w:val="right"/>
              <w:rPr>
                <w:rFonts w:eastAsia="Calibri"/>
                <w:szCs w:val="24"/>
              </w:rPr>
            </w:pPr>
            <w:r w:rsidRPr="00EB11D3">
              <w:rPr>
                <w:rFonts w:eastAsia="Calibri"/>
                <w:szCs w:val="24"/>
              </w:rPr>
              <w:t>250</w:t>
            </w:r>
          </w:p>
        </w:tc>
        <w:tc>
          <w:tcPr>
            <w:tcW w:w="915" w:type="pct"/>
            <w:shd w:val="clear" w:color="auto" w:fill="auto"/>
          </w:tcPr>
          <w:p w14:paraId="36A62B29" w14:textId="77777777" w:rsidR="00640AC0" w:rsidRPr="00EB11D3" w:rsidRDefault="00640AC0" w:rsidP="00664558">
            <w:pPr>
              <w:autoSpaceDE w:val="0"/>
              <w:autoSpaceDN w:val="0"/>
              <w:adjustRightInd w:val="0"/>
              <w:spacing w:after="160" w:line="320" w:lineRule="atLeast"/>
              <w:ind w:left="60" w:right="60"/>
              <w:jc w:val="right"/>
              <w:rPr>
                <w:rFonts w:eastAsia="Calibri"/>
                <w:szCs w:val="24"/>
              </w:rPr>
            </w:pPr>
            <w:r w:rsidRPr="00EB11D3">
              <w:rPr>
                <w:rFonts w:eastAsia="Calibri"/>
                <w:szCs w:val="24"/>
              </w:rPr>
              <w:t>.000</w:t>
            </w:r>
          </w:p>
        </w:tc>
      </w:tr>
    </w:tbl>
    <w:p w14:paraId="69D556B0" w14:textId="77777777" w:rsidR="003859C9" w:rsidRPr="00EB11D3" w:rsidRDefault="003859C9" w:rsidP="003859C9">
      <w:pPr>
        <w:shd w:val="clear" w:color="auto" w:fill="FFFFFF"/>
        <w:spacing w:after="160" w:line="360" w:lineRule="auto"/>
        <w:rPr>
          <w:rFonts w:eastAsia="Cambria"/>
          <w:szCs w:val="24"/>
        </w:rPr>
      </w:pPr>
    </w:p>
    <w:p w14:paraId="386B8FD4"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Table 16 indicated that </w:t>
      </w:r>
      <w:r w:rsidR="00640AC0" w:rsidRPr="00EB11D3">
        <w:rPr>
          <w:rFonts w:eastAsia="Cambria"/>
          <w:szCs w:val="24"/>
        </w:rPr>
        <w:t>corporate</w:t>
      </w:r>
      <w:r w:rsidRPr="00EB11D3">
        <w:rPr>
          <w:rFonts w:eastAsia="Cambria"/>
          <w:szCs w:val="24"/>
        </w:rPr>
        <w:t xml:space="preserve"> governance had p&gt;0.05, service innovation had p&gt;0.05, government regulations had p&gt;0.05 and organisational performance had p&gt;0.05. since p&gt;0.05, the results confirmed that the data on each variable was normally distributed, thus, the assumption of normality was met. It therefore follows the null hypothesis that the data is not normal in distribution </w:t>
      </w:r>
      <w:r w:rsidR="00B9215B">
        <w:rPr>
          <w:rFonts w:eastAsia="Cambria"/>
          <w:szCs w:val="24"/>
        </w:rPr>
        <w:t xml:space="preserve">and hence </w:t>
      </w:r>
      <w:r w:rsidRPr="00EB11D3">
        <w:rPr>
          <w:rFonts w:eastAsia="Cambria"/>
          <w:szCs w:val="24"/>
        </w:rPr>
        <w:t>was rejected.</w:t>
      </w:r>
    </w:p>
    <w:p w14:paraId="11799574" w14:textId="77777777" w:rsidR="003859C9" w:rsidRPr="00EB11D3" w:rsidRDefault="00640AC0" w:rsidP="00823CEA">
      <w:pPr>
        <w:pStyle w:val="Heading4"/>
      </w:pPr>
      <w:r w:rsidRPr="00EB11D3">
        <w:br w:type="page"/>
      </w:r>
      <w:r w:rsidR="003859C9" w:rsidRPr="00EB11D3">
        <w:t>4.</w:t>
      </w:r>
      <w:r w:rsidR="00712E4A" w:rsidRPr="00EB11D3">
        <w:t>4</w:t>
      </w:r>
      <w:r w:rsidR="003859C9" w:rsidRPr="00EB11D3">
        <w:t>.3.2 Test for Multicollinearity</w:t>
      </w:r>
    </w:p>
    <w:p w14:paraId="00674A07"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Multicollinearity is typically characterized by a strong correlation between the independent and dependent variables. The study used the independent average for each of the variables. Multicollinearity was tested using variance inflation factor VIF in all the analysis and it ranged from 1 to 4 which would not be a cause of concern, according to Yu, et al. (2015) who indicate that where VIF ≥ 10 indicate presence of Multicollinearity.</w:t>
      </w:r>
    </w:p>
    <w:p w14:paraId="158F9B94" w14:textId="77777777" w:rsidR="003859C9" w:rsidRPr="00EB11D3" w:rsidRDefault="002827AA" w:rsidP="003859C9">
      <w:pPr>
        <w:shd w:val="clear" w:color="auto" w:fill="FFFFFF"/>
        <w:spacing w:after="160" w:line="360" w:lineRule="auto"/>
        <w:rPr>
          <w:rFonts w:eastAsia="Cambria"/>
          <w:szCs w:val="24"/>
        </w:rPr>
      </w:pPr>
      <w:r w:rsidRPr="002827AA">
        <w:rPr>
          <w:rFonts w:eastAsia="Cambria"/>
          <w:szCs w:val="24"/>
        </w:rPr>
        <w:t>A multicollinearity test was conducted using the VIF value and the variable's tolerance.  Multicollinearity is absent when the Tolerance and VIF values are more than 0.2 and less than 10, respectively. Table 17 displays the multicollinearity results.</w:t>
      </w:r>
    </w:p>
    <w:p w14:paraId="4150369D" w14:textId="77777777" w:rsidR="003859C9" w:rsidRPr="00C06DEE" w:rsidRDefault="003859C9" w:rsidP="00C06DEE">
      <w:pPr>
        <w:shd w:val="clear" w:color="auto" w:fill="FFFFFF"/>
        <w:spacing w:after="160" w:line="360" w:lineRule="auto"/>
        <w:rPr>
          <w:rFonts w:eastAsia="Cambria"/>
          <w:b/>
          <w:bCs/>
          <w:szCs w:val="24"/>
        </w:rPr>
      </w:pPr>
      <w:bookmarkStart w:id="712" w:name="_Toc100987968"/>
      <w:bookmarkStart w:id="713" w:name="_Toc126666752"/>
      <w:bookmarkStart w:id="714" w:name="_Toc177387948"/>
      <w:r w:rsidRPr="00EB11D3">
        <w:rPr>
          <w:rFonts w:eastAsia="Cambria"/>
          <w:b/>
          <w:bCs/>
          <w:szCs w:val="24"/>
        </w:rPr>
        <w:t xml:space="preserve">Table </w:t>
      </w:r>
      <w:r w:rsidRPr="00EB11D3">
        <w:rPr>
          <w:rFonts w:eastAsia="Cambria"/>
          <w:b/>
          <w:bCs/>
          <w:szCs w:val="24"/>
        </w:rPr>
        <w:fldChar w:fldCharType="begin"/>
      </w:r>
      <w:r w:rsidRPr="00EB11D3">
        <w:rPr>
          <w:rFonts w:eastAsia="Cambria"/>
          <w:b/>
          <w:bCs/>
          <w:szCs w:val="24"/>
        </w:rPr>
        <w:instrText xml:space="preserve"> SEQ Table \* ARABIC </w:instrText>
      </w:r>
      <w:r w:rsidRPr="00EB11D3">
        <w:rPr>
          <w:rFonts w:eastAsia="Cambria"/>
          <w:b/>
          <w:bCs/>
          <w:szCs w:val="24"/>
        </w:rPr>
        <w:fldChar w:fldCharType="separate"/>
      </w:r>
      <w:r w:rsidRPr="00EB11D3">
        <w:rPr>
          <w:rFonts w:eastAsia="Cambria"/>
          <w:b/>
          <w:bCs/>
          <w:szCs w:val="24"/>
        </w:rPr>
        <w:t>17</w:t>
      </w:r>
      <w:r w:rsidRPr="00EB11D3">
        <w:rPr>
          <w:rFonts w:eastAsia="Cambria"/>
          <w:szCs w:val="24"/>
        </w:rPr>
        <w:fldChar w:fldCharType="end"/>
      </w:r>
      <w:r w:rsidRPr="00EB11D3">
        <w:rPr>
          <w:rFonts w:eastAsia="Cambria"/>
          <w:b/>
          <w:bCs/>
          <w:szCs w:val="24"/>
        </w:rPr>
        <w:t>: Multicollinearity Test Using Tolerance and VIF</w:t>
      </w:r>
      <w:bookmarkEnd w:id="712"/>
      <w:bookmarkEnd w:id="713"/>
      <w:bookmarkEnd w:id="714"/>
    </w:p>
    <w:tbl>
      <w:tblPr>
        <w:tblW w:w="0" w:type="auto"/>
        <w:tblBorders>
          <w:top w:val="single" w:sz="8" w:space="0" w:color="000000"/>
          <w:bottom w:val="single" w:sz="8" w:space="0" w:color="000000"/>
        </w:tblBorders>
        <w:tblLook w:val="04A0" w:firstRow="1" w:lastRow="0" w:firstColumn="1" w:lastColumn="0" w:noHBand="0" w:noVBand="1"/>
      </w:tblPr>
      <w:tblGrid>
        <w:gridCol w:w="3127"/>
        <w:gridCol w:w="3129"/>
        <w:gridCol w:w="3104"/>
      </w:tblGrid>
      <w:tr w:rsidR="00640AC0" w:rsidRPr="00EB11D3" w14:paraId="5456D308" w14:textId="77777777" w:rsidTr="00664558">
        <w:tc>
          <w:tcPr>
            <w:tcW w:w="3192" w:type="dxa"/>
            <w:tcBorders>
              <w:top w:val="single" w:sz="8" w:space="0" w:color="000000"/>
              <w:left w:val="nil"/>
              <w:bottom w:val="single" w:sz="8" w:space="0" w:color="000000"/>
              <w:right w:val="nil"/>
            </w:tcBorders>
            <w:shd w:val="clear" w:color="auto" w:fill="auto"/>
          </w:tcPr>
          <w:p w14:paraId="3D4BEF92" w14:textId="77777777" w:rsidR="00640AC0" w:rsidRPr="00EB11D3" w:rsidRDefault="00640AC0" w:rsidP="00C06DEE">
            <w:pPr>
              <w:spacing w:after="0" w:line="360" w:lineRule="auto"/>
              <w:rPr>
                <w:rFonts w:eastAsia="Cambria"/>
                <w:b/>
                <w:szCs w:val="24"/>
              </w:rPr>
            </w:pPr>
          </w:p>
        </w:tc>
        <w:tc>
          <w:tcPr>
            <w:tcW w:w="3192" w:type="dxa"/>
            <w:tcBorders>
              <w:top w:val="single" w:sz="8" w:space="0" w:color="000000"/>
              <w:left w:val="nil"/>
              <w:bottom w:val="single" w:sz="8" w:space="0" w:color="000000"/>
              <w:right w:val="nil"/>
            </w:tcBorders>
            <w:shd w:val="clear" w:color="auto" w:fill="auto"/>
          </w:tcPr>
          <w:p w14:paraId="25328B7B" w14:textId="77777777" w:rsidR="00640AC0" w:rsidRPr="00EB11D3" w:rsidRDefault="00AF3563" w:rsidP="00C06DEE">
            <w:pPr>
              <w:spacing w:after="0" w:line="360" w:lineRule="auto"/>
              <w:jc w:val="center"/>
              <w:rPr>
                <w:rFonts w:eastAsia="Cambria"/>
                <w:b/>
                <w:szCs w:val="24"/>
              </w:rPr>
            </w:pPr>
            <w:r w:rsidRPr="00EB11D3">
              <w:rPr>
                <w:rFonts w:eastAsia="Calibri"/>
                <w:b/>
                <w:szCs w:val="24"/>
              </w:rPr>
              <w:t>Collinearity Statistics</w:t>
            </w:r>
          </w:p>
        </w:tc>
        <w:tc>
          <w:tcPr>
            <w:tcW w:w="3192" w:type="dxa"/>
            <w:tcBorders>
              <w:top w:val="single" w:sz="8" w:space="0" w:color="000000"/>
              <w:left w:val="nil"/>
              <w:bottom w:val="single" w:sz="8" w:space="0" w:color="000000"/>
              <w:right w:val="nil"/>
            </w:tcBorders>
            <w:shd w:val="clear" w:color="auto" w:fill="auto"/>
          </w:tcPr>
          <w:p w14:paraId="1F1DC68D" w14:textId="77777777" w:rsidR="00640AC0" w:rsidRPr="00EB11D3" w:rsidRDefault="00640AC0" w:rsidP="00C06DEE">
            <w:pPr>
              <w:spacing w:after="0" w:line="360" w:lineRule="auto"/>
              <w:rPr>
                <w:rFonts w:eastAsia="Cambria"/>
                <w:b/>
                <w:szCs w:val="24"/>
              </w:rPr>
            </w:pPr>
          </w:p>
        </w:tc>
      </w:tr>
      <w:tr w:rsidR="00640AC0" w:rsidRPr="00EB11D3" w14:paraId="0056AE48" w14:textId="77777777" w:rsidTr="00664558">
        <w:tc>
          <w:tcPr>
            <w:tcW w:w="3192" w:type="dxa"/>
            <w:tcBorders>
              <w:top w:val="single" w:sz="8" w:space="0" w:color="000000"/>
              <w:bottom w:val="single" w:sz="4" w:space="0" w:color="auto"/>
            </w:tcBorders>
            <w:shd w:val="clear" w:color="auto" w:fill="auto"/>
          </w:tcPr>
          <w:p w14:paraId="21EAC282" w14:textId="77777777" w:rsidR="00640AC0" w:rsidRPr="00EB11D3" w:rsidRDefault="00640AC0" w:rsidP="00C06DEE">
            <w:pPr>
              <w:spacing w:after="0" w:line="360" w:lineRule="auto"/>
              <w:rPr>
                <w:rFonts w:eastAsia="Cambria"/>
                <w:b/>
                <w:szCs w:val="24"/>
              </w:rPr>
            </w:pPr>
          </w:p>
        </w:tc>
        <w:tc>
          <w:tcPr>
            <w:tcW w:w="3192" w:type="dxa"/>
            <w:tcBorders>
              <w:top w:val="single" w:sz="8" w:space="0" w:color="000000"/>
              <w:bottom w:val="single" w:sz="4" w:space="0" w:color="auto"/>
            </w:tcBorders>
            <w:shd w:val="clear" w:color="auto" w:fill="auto"/>
          </w:tcPr>
          <w:p w14:paraId="4634BE95" w14:textId="77777777" w:rsidR="00640AC0" w:rsidRPr="00EB11D3" w:rsidRDefault="00AF3563" w:rsidP="00C06DEE">
            <w:pPr>
              <w:spacing w:after="0" w:line="360" w:lineRule="auto"/>
              <w:rPr>
                <w:rFonts w:eastAsia="Cambria"/>
                <w:b/>
                <w:szCs w:val="24"/>
              </w:rPr>
            </w:pPr>
            <w:r w:rsidRPr="00EB11D3">
              <w:rPr>
                <w:rFonts w:eastAsia="Calibri"/>
                <w:b/>
                <w:szCs w:val="24"/>
              </w:rPr>
              <w:t>Tolerance</w:t>
            </w:r>
          </w:p>
        </w:tc>
        <w:tc>
          <w:tcPr>
            <w:tcW w:w="3192" w:type="dxa"/>
            <w:tcBorders>
              <w:top w:val="single" w:sz="8" w:space="0" w:color="000000"/>
              <w:bottom w:val="single" w:sz="4" w:space="0" w:color="auto"/>
            </w:tcBorders>
            <w:shd w:val="clear" w:color="auto" w:fill="auto"/>
          </w:tcPr>
          <w:p w14:paraId="70802D4C" w14:textId="77777777" w:rsidR="00640AC0" w:rsidRPr="00EB11D3" w:rsidRDefault="00AF3563" w:rsidP="00C06DEE">
            <w:pPr>
              <w:spacing w:after="0" w:line="360" w:lineRule="auto"/>
              <w:rPr>
                <w:rFonts w:eastAsia="Cambria"/>
                <w:b/>
                <w:szCs w:val="24"/>
              </w:rPr>
            </w:pPr>
            <w:r w:rsidRPr="00EB11D3">
              <w:rPr>
                <w:rFonts w:eastAsia="Calibri"/>
                <w:b/>
                <w:szCs w:val="24"/>
              </w:rPr>
              <w:t>VIF</w:t>
            </w:r>
          </w:p>
        </w:tc>
      </w:tr>
      <w:tr w:rsidR="00640AC0" w:rsidRPr="00EB11D3" w14:paraId="4EAC6E55" w14:textId="77777777" w:rsidTr="00664558">
        <w:tc>
          <w:tcPr>
            <w:tcW w:w="3192" w:type="dxa"/>
            <w:tcBorders>
              <w:top w:val="single" w:sz="4" w:space="0" w:color="auto"/>
            </w:tcBorders>
            <w:shd w:val="clear" w:color="auto" w:fill="auto"/>
          </w:tcPr>
          <w:p w14:paraId="1868A267" w14:textId="77777777" w:rsidR="00640AC0" w:rsidRPr="00C06DEE" w:rsidRDefault="00AF3563" w:rsidP="00C06DEE">
            <w:pPr>
              <w:spacing w:after="0" w:line="360" w:lineRule="auto"/>
              <w:jc w:val="center"/>
              <w:rPr>
                <w:rFonts w:eastAsia="Cambria"/>
                <w:bCs/>
                <w:szCs w:val="24"/>
              </w:rPr>
            </w:pPr>
            <w:r w:rsidRPr="00C06DEE">
              <w:rPr>
                <w:rFonts w:eastAsia="Calibri"/>
                <w:bCs/>
                <w:szCs w:val="24"/>
              </w:rPr>
              <w:t>Variables</w:t>
            </w:r>
          </w:p>
        </w:tc>
        <w:tc>
          <w:tcPr>
            <w:tcW w:w="3192" w:type="dxa"/>
            <w:tcBorders>
              <w:top w:val="single" w:sz="4" w:space="0" w:color="auto"/>
            </w:tcBorders>
            <w:shd w:val="clear" w:color="auto" w:fill="auto"/>
          </w:tcPr>
          <w:p w14:paraId="012AFD46" w14:textId="77777777" w:rsidR="00640AC0" w:rsidRPr="00EB11D3" w:rsidRDefault="00640AC0" w:rsidP="00C06DEE">
            <w:pPr>
              <w:spacing w:after="0" w:line="360" w:lineRule="auto"/>
              <w:rPr>
                <w:rFonts w:eastAsia="Cambria"/>
                <w:szCs w:val="24"/>
              </w:rPr>
            </w:pPr>
          </w:p>
        </w:tc>
        <w:tc>
          <w:tcPr>
            <w:tcW w:w="3192" w:type="dxa"/>
            <w:tcBorders>
              <w:top w:val="single" w:sz="4" w:space="0" w:color="auto"/>
            </w:tcBorders>
            <w:shd w:val="clear" w:color="auto" w:fill="auto"/>
          </w:tcPr>
          <w:p w14:paraId="69431C95" w14:textId="77777777" w:rsidR="00640AC0" w:rsidRPr="00EB11D3" w:rsidRDefault="00640AC0" w:rsidP="00C06DEE">
            <w:pPr>
              <w:spacing w:after="0" w:line="360" w:lineRule="auto"/>
              <w:rPr>
                <w:rFonts w:eastAsia="Cambria"/>
                <w:szCs w:val="24"/>
              </w:rPr>
            </w:pPr>
          </w:p>
        </w:tc>
      </w:tr>
      <w:tr w:rsidR="00640AC0" w:rsidRPr="00C06DEE" w14:paraId="10E82BC5" w14:textId="77777777" w:rsidTr="00664558">
        <w:tc>
          <w:tcPr>
            <w:tcW w:w="3192" w:type="dxa"/>
            <w:shd w:val="clear" w:color="auto" w:fill="auto"/>
          </w:tcPr>
          <w:p w14:paraId="4811811B" w14:textId="77777777" w:rsidR="00640AC0" w:rsidRPr="00C06DEE" w:rsidRDefault="00AF3563" w:rsidP="00C06DEE">
            <w:pPr>
              <w:spacing w:after="0" w:line="360" w:lineRule="auto"/>
              <w:rPr>
                <w:rFonts w:eastAsia="Cambria"/>
                <w:bCs/>
                <w:szCs w:val="24"/>
              </w:rPr>
            </w:pPr>
            <w:r w:rsidRPr="00C06DEE">
              <w:rPr>
                <w:rFonts w:eastAsia="Calibri"/>
                <w:bCs/>
                <w:szCs w:val="24"/>
              </w:rPr>
              <w:t>Corporate governance</w:t>
            </w:r>
          </w:p>
        </w:tc>
        <w:tc>
          <w:tcPr>
            <w:tcW w:w="3192" w:type="dxa"/>
            <w:shd w:val="clear" w:color="auto" w:fill="auto"/>
          </w:tcPr>
          <w:p w14:paraId="6292B48F" w14:textId="77777777" w:rsidR="00640AC0" w:rsidRPr="00C06DEE" w:rsidRDefault="00640AC0" w:rsidP="00C06DEE">
            <w:pPr>
              <w:spacing w:after="0" w:line="360" w:lineRule="auto"/>
              <w:rPr>
                <w:rFonts w:eastAsia="Cambria"/>
                <w:bCs/>
                <w:szCs w:val="24"/>
              </w:rPr>
            </w:pPr>
            <w:r w:rsidRPr="00C06DEE">
              <w:rPr>
                <w:rFonts w:eastAsia="Calibri"/>
                <w:bCs/>
                <w:szCs w:val="24"/>
              </w:rPr>
              <w:t>.510</w:t>
            </w:r>
          </w:p>
        </w:tc>
        <w:tc>
          <w:tcPr>
            <w:tcW w:w="3192" w:type="dxa"/>
            <w:shd w:val="clear" w:color="auto" w:fill="auto"/>
          </w:tcPr>
          <w:p w14:paraId="3125C44B" w14:textId="77777777" w:rsidR="00640AC0" w:rsidRPr="00C06DEE" w:rsidRDefault="00640AC0" w:rsidP="00C06DEE">
            <w:pPr>
              <w:spacing w:after="0" w:line="360" w:lineRule="auto"/>
              <w:rPr>
                <w:rFonts w:eastAsia="Cambria"/>
                <w:bCs/>
                <w:szCs w:val="24"/>
              </w:rPr>
            </w:pPr>
            <w:r w:rsidRPr="00C06DEE">
              <w:rPr>
                <w:rFonts w:eastAsia="Calibri"/>
                <w:bCs/>
                <w:szCs w:val="24"/>
              </w:rPr>
              <w:t>1.960</w:t>
            </w:r>
          </w:p>
        </w:tc>
      </w:tr>
      <w:tr w:rsidR="00640AC0" w:rsidRPr="00C06DEE" w14:paraId="0F4FCD6C" w14:textId="77777777" w:rsidTr="00664558">
        <w:tc>
          <w:tcPr>
            <w:tcW w:w="3192" w:type="dxa"/>
            <w:shd w:val="clear" w:color="auto" w:fill="auto"/>
          </w:tcPr>
          <w:p w14:paraId="35E3D2B9" w14:textId="77777777" w:rsidR="00640AC0" w:rsidRPr="00C06DEE" w:rsidRDefault="00AF3563" w:rsidP="00C06DEE">
            <w:pPr>
              <w:spacing w:after="0" w:line="360" w:lineRule="auto"/>
              <w:rPr>
                <w:rFonts w:eastAsia="Cambria"/>
                <w:bCs/>
                <w:szCs w:val="24"/>
              </w:rPr>
            </w:pPr>
            <w:r w:rsidRPr="00C06DEE">
              <w:rPr>
                <w:rFonts w:eastAsia="Calibri"/>
                <w:bCs/>
                <w:szCs w:val="24"/>
              </w:rPr>
              <w:t>Service Innovation</w:t>
            </w:r>
          </w:p>
        </w:tc>
        <w:tc>
          <w:tcPr>
            <w:tcW w:w="3192" w:type="dxa"/>
            <w:shd w:val="clear" w:color="auto" w:fill="auto"/>
          </w:tcPr>
          <w:p w14:paraId="0017D8DB" w14:textId="77777777" w:rsidR="00640AC0" w:rsidRPr="00C06DEE" w:rsidRDefault="00640AC0" w:rsidP="00C06DEE">
            <w:pPr>
              <w:spacing w:after="0" w:line="360" w:lineRule="auto"/>
              <w:rPr>
                <w:rFonts w:eastAsia="Cambria"/>
                <w:bCs/>
                <w:szCs w:val="24"/>
              </w:rPr>
            </w:pPr>
            <w:r w:rsidRPr="00C06DEE">
              <w:rPr>
                <w:rFonts w:eastAsia="Calibri"/>
                <w:bCs/>
                <w:szCs w:val="24"/>
              </w:rPr>
              <w:t>.417</w:t>
            </w:r>
          </w:p>
        </w:tc>
        <w:tc>
          <w:tcPr>
            <w:tcW w:w="3192" w:type="dxa"/>
            <w:shd w:val="clear" w:color="auto" w:fill="auto"/>
          </w:tcPr>
          <w:p w14:paraId="2DE6EE46" w14:textId="77777777" w:rsidR="00640AC0" w:rsidRPr="00C06DEE" w:rsidRDefault="00640AC0" w:rsidP="00C06DEE">
            <w:pPr>
              <w:spacing w:after="0" w:line="360" w:lineRule="auto"/>
              <w:rPr>
                <w:rFonts w:eastAsia="Cambria"/>
                <w:bCs/>
                <w:szCs w:val="24"/>
              </w:rPr>
            </w:pPr>
            <w:r w:rsidRPr="00C06DEE">
              <w:rPr>
                <w:rFonts w:eastAsia="Calibri"/>
                <w:bCs/>
                <w:szCs w:val="24"/>
              </w:rPr>
              <w:t>2.400</w:t>
            </w:r>
          </w:p>
        </w:tc>
      </w:tr>
      <w:tr w:rsidR="00640AC0" w:rsidRPr="00C06DEE" w14:paraId="64B45AAB" w14:textId="77777777" w:rsidTr="00664558">
        <w:tc>
          <w:tcPr>
            <w:tcW w:w="3192" w:type="dxa"/>
            <w:shd w:val="clear" w:color="auto" w:fill="auto"/>
          </w:tcPr>
          <w:p w14:paraId="03886F1F" w14:textId="77777777" w:rsidR="00640AC0" w:rsidRPr="00C06DEE" w:rsidRDefault="00640AC0" w:rsidP="00C06DEE">
            <w:pPr>
              <w:spacing w:after="0" w:line="360" w:lineRule="auto"/>
              <w:rPr>
                <w:rFonts w:eastAsia="Cambria"/>
                <w:bCs/>
                <w:szCs w:val="24"/>
              </w:rPr>
            </w:pPr>
            <w:r w:rsidRPr="00C06DEE">
              <w:rPr>
                <w:rFonts w:eastAsia="Calibri"/>
                <w:bCs/>
                <w:szCs w:val="24"/>
              </w:rPr>
              <w:t>Government Regulations</w:t>
            </w:r>
          </w:p>
        </w:tc>
        <w:tc>
          <w:tcPr>
            <w:tcW w:w="3192" w:type="dxa"/>
            <w:shd w:val="clear" w:color="auto" w:fill="auto"/>
          </w:tcPr>
          <w:p w14:paraId="241BA54C" w14:textId="77777777" w:rsidR="00640AC0" w:rsidRPr="00C06DEE" w:rsidRDefault="00640AC0" w:rsidP="00C06DEE">
            <w:pPr>
              <w:spacing w:after="0" w:line="360" w:lineRule="auto"/>
              <w:rPr>
                <w:rFonts w:eastAsia="Cambria"/>
                <w:bCs/>
                <w:szCs w:val="24"/>
              </w:rPr>
            </w:pPr>
            <w:r w:rsidRPr="00C06DEE">
              <w:rPr>
                <w:rFonts w:eastAsia="Calibri"/>
                <w:bCs/>
                <w:szCs w:val="24"/>
              </w:rPr>
              <w:t>.639</w:t>
            </w:r>
          </w:p>
        </w:tc>
        <w:tc>
          <w:tcPr>
            <w:tcW w:w="3192" w:type="dxa"/>
            <w:shd w:val="clear" w:color="auto" w:fill="auto"/>
          </w:tcPr>
          <w:p w14:paraId="53A10E74" w14:textId="77777777" w:rsidR="00640AC0" w:rsidRPr="00C06DEE" w:rsidRDefault="00640AC0" w:rsidP="00C06DEE">
            <w:pPr>
              <w:spacing w:after="0" w:line="360" w:lineRule="auto"/>
              <w:rPr>
                <w:rFonts w:eastAsia="Cambria"/>
                <w:bCs/>
                <w:szCs w:val="24"/>
              </w:rPr>
            </w:pPr>
            <w:r w:rsidRPr="00C06DEE">
              <w:rPr>
                <w:rFonts w:eastAsia="Calibri"/>
                <w:bCs/>
                <w:szCs w:val="24"/>
              </w:rPr>
              <w:t>1.565</w:t>
            </w:r>
          </w:p>
        </w:tc>
      </w:tr>
    </w:tbl>
    <w:p w14:paraId="76074CDA" w14:textId="77777777" w:rsidR="00640AC0" w:rsidRPr="00EB11D3" w:rsidRDefault="00640AC0" w:rsidP="00C06DEE">
      <w:pPr>
        <w:shd w:val="clear" w:color="auto" w:fill="FFFFFF"/>
        <w:spacing w:after="0" w:line="360" w:lineRule="auto"/>
        <w:rPr>
          <w:rFonts w:eastAsia="Cambria"/>
          <w:szCs w:val="24"/>
        </w:rPr>
      </w:pPr>
    </w:p>
    <w:p w14:paraId="111C3545"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From the findings in Table 17 above all the variables had tolerance values &gt;0.2 and VIF values &lt;10 as shown in Table 17 and thus according to Yu, et al. (2015) who indicate that where VIF ≥ 10 indicate presence of Multicollinearity, there was no multicollinearity among the independent variables.</w:t>
      </w:r>
    </w:p>
    <w:p w14:paraId="0234451A" w14:textId="77777777" w:rsidR="003859C9" w:rsidRPr="00EB11D3" w:rsidRDefault="003859C9" w:rsidP="00823CEA">
      <w:pPr>
        <w:pStyle w:val="Heading4"/>
      </w:pPr>
      <w:r w:rsidRPr="00EB11D3">
        <w:t>4.5.3.3 Test for Heteroscedasticity</w:t>
      </w:r>
    </w:p>
    <w:p w14:paraId="2A4BB04B" w14:textId="77777777" w:rsidR="00C06DEE" w:rsidRDefault="002665FB" w:rsidP="003859C9">
      <w:pPr>
        <w:shd w:val="clear" w:color="auto" w:fill="FFFFFF"/>
        <w:spacing w:after="160" w:line="360" w:lineRule="auto"/>
        <w:rPr>
          <w:rFonts w:eastAsia="Cambria"/>
          <w:szCs w:val="24"/>
        </w:rPr>
      </w:pPr>
      <w:r w:rsidRPr="002665FB">
        <w:rPr>
          <w:rFonts w:eastAsia="Cambria"/>
          <w:szCs w:val="24"/>
        </w:rPr>
        <w:t>When a variable's variability is uneven throughout the range of values of a second variable that predicts it, this is known as heteroscedasticity. Parameter estimates from a regression model that does not take heteroscedasticity into account would be skewed. Utilising the Breusch-Pagan/Godfrey test, heteroscedasticity was examined. To determine if the error terms in the cross-sectional data are correlated across observations, the heteroscedasticity test (Breusch-Pagan / Cook-Weisberg test) was performed (Long &amp; Ervin, 2000).</w:t>
      </w:r>
      <w:r w:rsidR="003859C9" w:rsidRPr="00EB11D3">
        <w:rPr>
          <w:rFonts w:eastAsia="Cambria"/>
          <w:szCs w:val="24"/>
        </w:rPr>
        <w:t xml:space="preserve"> </w:t>
      </w:r>
    </w:p>
    <w:p w14:paraId="34B6E96B"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The hypothesis was that;</w:t>
      </w:r>
    </w:p>
    <w:p w14:paraId="682572E1"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H</w:t>
      </w:r>
      <w:r w:rsidRPr="00C06DEE">
        <w:rPr>
          <w:rFonts w:eastAsia="Cambria"/>
          <w:szCs w:val="24"/>
          <w:vertAlign w:val="subscript"/>
        </w:rPr>
        <w:t>0</w:t>
      </w:r>
      <w:r w:rsidRPr="00EB11D3">
        <w:rPr>
          <w:rFonts w:eastAsia="Cambria"/>
          <w:szCs w:val="24"/>
        </w:rPr>
        <w:t xml:space="preserve">: Data is not Homoscedastic. </w:t>
      </w:r>
    </w:p>
    <w:p w14:paraId="7FB506BD"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H</w:t>
      </w:r>
      <w:r w:rsidRPr="00C06DEE">
        <w:rPr>
          <w:rFonts w:eastAsia="Cambria"/>
          <w:szCs w:val="24"/>
          <w:vertAlign w:val="subscript"/>
        </w:rPr>
        <w:t>1</w:t>
      </w:r>
      <w:r w:rsidRPr="00EB11D3">
        <w:rPr>
          <w:rFonts w:eastAsia="Cambria"/>
          <w:szCs w:val="24"/>
        </w:rPr>
        <w:t xml:space="preserve">: Data is Homoscedastic. </w:t>
      </w:r>
    </w:p>
    <w:p w14:paraId="5ED07B2B"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If the p-value is less than 0.05, the null hypothesis is rejected. Results are presented in Table 18.</w:t>
      </w:r>
    </w:p>
    <w:p w14:paraId="7F11F9DB" w14:textId="77777777" w:rsidR="003859C9" w:rsidRPr="00EB11D3" w:rsidRDefault="003859C9" w:rsidP="00823CEA">
      <w:pPr>
        <w:spacing w:after="160" w:line="259" w:lineRule="auto"/>
        <w:jc w:val="left"/>
        <w:rPr>
          <w:rFonts w:eastAsia="Cambria"/>
          <w:b/>
          <w:szCs w:val="24"/>
        </w:rPr>
      </w:pPr>
      <w:bookmarkStart w:id="715" w:name="_Toc512000279"/>
      <w:bookmarkStart w:id="716" w:name="_Toc7534691"/>
      <w:bookmarkStart w:id="717" w:name="_Toc84504808"/>
      <w:bookmarkStart w:id="718" w:name="_Toc534903912"/>
      <w:bookmarkStart w:id="719" w:name="_Toc13905798"/>
      <w:bookmarkStart w:id="720" w:name="_Toc51755882"/>
      <w:bookmarkStart w:id="721" w:name="_Toc514179838"/>
      <w:bookmarkStart w:id="722" w:name="_Toc94528973"/>
      <w:r w:rsidRPr="00EB11D3">
        <w:rPr>
          <w:rFonts w:eastAsia="Cambria"/>
          <w:b/>
          <w:szCs w:val="24"/>
        </w:rPr>
        <w:t>Table 18: Heteroscedasticity Results</w:t>
      </w:r>
      <w:bookmarkEnd w:id="715"/>
      <w:bookmarkEnd w:id="716"/>
      <w:bookmarkEnd w:id="717"/>
      <w:bookmarkEnd w:id="718"/>
      <w:bookmarkEnd w:id="719"/>
      <w:bookmarkEnd w:id="720"/>
      <w:bookmarkEnd w:id="721"/>
      <w:bookmarkEnd w:id="722"/>
    </w:p>
    <w:tbl>
      <w:tblPr>
        <w:tblW w:w="5000" w:type="pct"/>
        <w:tblLook w:val="04A0" w:firstRow="1" w:lastRow="0" w:firstColumn="1" w:lastColumn="0" w:noHBand="0" w:noVBand="1"/>
      </w:tblPr>
      <w:tblGrid>
        <w:gridCol w:w="5320"/>
        <w:gridCol w:w="723"/>
        <w:gridCol w:w="3317"/>
      </w:tblGrid>
      <w:tr w:rsidR="003859C9" w:rsidRPr="00EB11D3" w14:paraId="1AB20266" w14:textId="77777777" w:rsidTr="00007E09">
        <w:trPr>
          <w:trHeight w:val="300"/>
        </w:trPr>
        <w:tc>
          <w:tcPr>
            <w:tcW w:w="5000" w:type="pct"/>
            <w:gridSpan w:val="3"/>
            <w:tcBorders>
              <w:top w:val="single" w:sz="4" w:space="0" w:color="auto"/>
            </w:tcBorders>
            <w:shd w:val="clear" w:color="auto" w:fill="auto"/>
            <w:noWrap/>
            <w:vAlign w:val="bottom"/>
          </w:tcPr>
          <w:p w14:paraId="6FAB5392" w14:textId="77777777" w:rsidR="003859C9" w:rsidRPr="00EB11D3" w:rsidRDefault="003859C9" w:rsidP="00C06DEE">
            <w:pPr>
              <w:shd w:val="clear" w:color="auto" w:fill="FFFFFF"/>
              <w:spacing w:after="0" w:line="360" w:lineRule="auto"/>
              <w:rPr>
                <w:rFonts w:eastAsia="Cambria"/>
                <w:szCs w:val="24"/>
              </w:rPr>
            </w:pPr>
            <w:r w:rsidRPr="00EB11D3">
              <w:rPr>
                <w:rFonts w:eastAsia="Cambria"/>
                <w:szCs w:val="24"/>
              </w:rPr>
              <w:t xml:space="preserve">Breusch-Pagan / Cook-Weisberg test for heteroscedasticity </w:t>
            </w:r>
          </w:p>
        </w:tc>
      </w:tr>
      <w:tr w:rsidR="003859C9" w:rsidRPr="00EB11D3" w14:paraId="1237CEE4" w14:textId="77777777" w:rsidTr="00007E09">
        <w:trPr>
          <w:trHeight w:val="300"/>
        </w:trPr>
        <w:tc>
          <w:tcPr>
            <w:tcW w:w="5000" w:type="pct"/>
            <w:gridSpan w:val="3"/>
            <w:shd w:val="clear" w:color="auto" w:fill="auto"/>
            <w:noWrap/>
            <w:vAlign w:val="bottom"/>
          </w:tcPr>
          <w:p w14:paraId="3A12CE5C" w14:textId="77777777" w:rsidR="003859C9" w:rsidRPr="00EB11D3" w:rsidRDefault="003859C9" w:rsidP="00C06DEE">
            <w:pPr>
              <w:shd w:val="clear" w:color="auto" w:fill="FFFFFF"/>
              <w:spacing w:after="0" w:line="360" w:lineRule="auto"/>
              <w:rPr>
                <w:rFonts w:eastAsia="Cambria"/>
                <w:szCs w:val="24"/>
              </w:rPr>
            </w:pPr>
            <w:r w:rsidRPr="00EB11D3">
              <w:rPr>
                <w:rFonts w:eastAsia="Cambria"/>
                <w:szCs w:val="24"/>
              </w:rPr>
              <w:t>Ho: Constant variance</w:t>
            </w:r>
          </w:p>
          <w:p w14:paraId="7E8367F3" w14:textId="77777777" w:rsidR="003859C9" w:rsidRPr="00EB11D3" w:rsidRDefault="003859C9" w:rsidP="00C06DEE">
            <w:pPr>
              <w:shd w:val="clear" w:color="auto" w:fill="FFFFFF"/>
              <w:spacing w:after="0" w:line="360" w:lineRule="auto"/>
              <w:rPr>
                <w:rFonts w:eastAsia="Cambria"/>
                <w:szCs w:val="24"/>
              </w:rPr>
            </w:pPr>
            <w:r w:rsidRPr="00EB11D3">
              <w:rPr>
                <w:rFonts w:eastAsia="Cambria"/>
                <w:szCs w:val="24"/>
              </w:rPr>
              <w:t xml:space="preserve">Variable: fitted values of Organisational Performance  </w:t>
            </w:r>
          </w:p>
        </w:tc>
      </w:tr>
      <w:tr w:rsidR="003859C9" w:rsidRPr="00EB11D3" w14:paraId="27B073DA" w14:textId="77777777" w:rsidTr="00007E09">
        <w:trPr>
          <w:trHeight w:val="300"/>
        </w:trPr>
        <w:tc>
          <w:tcPr>
            <w:tcW w:w="2842" w:type="pct"/>
            <w:tcBorders>
              <w:top w:val="single" w:sz="4" w:space="0" w:color="auto"/>
            </w:tcBorders>
            <w:shd w:val="clear" w:color="auto" w:fill="auto"/>
            <w:noWrap/>
            <w:vAlign w:val="bottom"/>
          </w:tcPr>
          <w:p w14:paraId="0208ACD1" w14:textId="77777777" w:rsidR="003859C9" w:rsidRPr="00EB11D3" w:rsidRDefault="003859C9" w:rsidP="00C06DEE">
            <w:pPr>
              <w:shd w:val="clear" w:color="auto" w:fill="FFFFFF"/>
              <w:spacing w:after="0" w:line="360" w:lineRule="auto"/>
              <w:rPr>
                <w:rFonts w:eastAsia="Cambria"/>
                <w:szCs w:val="24"/>
              </w:rPr>
            </w:pPr>
            <w:r w:rsidRPr="00EB11D3">
              <w:rPr>
                <w:rFonts w:eastAsia="Cambria"/>
                <w:szCs w:val="24"/>
              </w:rPr>
              <w:t>chi2(1)</w:t>
            </w:r>
          </w:p>
        </w:tc>
        <w:tc>
          <w:tcPr>
            <w:tcW w:w="386" w:type="pct"/>
            <w:tcBorders>
              <w:top w:val="single" w:sz="4" w:space="0" w:color="auto"/>
            </w:tcBorders>
            <w:shd w:val="clear" w:color="auto" w:fill="auto"/>
            <w:noWrap/>
            <w:vAlign w:val="bottom"/>
          </w:tcPr>
          <w:p w14:paraId="21DA72F1" w14:textId="77777777" w:rsidR="003859C9" w:rsidRPr="00EB11D3" w:rsidRDefault="003859C9" w:rsidP="00C06DEE">
            <w:pPr>
              <w:shd w:val="clear" w:color="auto" w:fill="FFFFFF"/>
              <w:spacing w:after="0" w:line="360" w:lineRule="auto"/>
              <w:rPr>
                <w:rFonts w:eastAsia="Cambria"/>
                <w:szCs w:val="24"/>
              </w:rPr>
            </w:pPr>
            <w:r w:rsidRPr="00EB11D3">
              <w:rPr>
                <w:rFonts w:eastAsia="Cambria"/>
                <w:szCs w:val="24"/>
              </w:rPr>
              <w:t>=</w:t>
            </w:r>
          </w:p>
        </w:tc>
        <w:tc>
          <w:tcPr>
            <w:tcW w:w="1772" w:type="pct"/>
            <w:tcBorders>
              <w:top w:val="single" w:sz="4" w:space="0" w:color="auto"/>
            </w:tcBorders>
            <w:shd w:val="clear" w:color="auto" w:fill="auto"/>
            <w:noWrap/>
            <w:vAlign w:val="bottom"/>
          </w:tcPr>
          <w:p w14:paraId="5478570D" w14:textId="77777777" w:rsidR="003859C9" w:rsidRPr="00EB11D3" w:rsidRDefault="003859C9" w:rsidP="00C06DEE">
            <w:pPr>
              <w:shd w:val="clear" w:color="auto" w:fill="FFFFFF"/>
              <w:spacing w:after="0" w:line="360" w:lineRule="auto"/>
              <w:rPr>
                <w:rFonts w:eastAsia="Cambria"/>
                <w:szCs w:val="24"/>
              </w:rPr>
            </w:pPr>
            <w:r w:rsidRPr="00EB11D3">
              <w:rPr>
                <w:rFonts w:eastAsia="Cambria"/>
                <w:szCs w:val="24"/>
              </w:rPr>
              <w:t>7.01</w:t>
            </w:r>
          </w:p>
        </w:tc>
      </w:tr>
      <w:tr w:rsidR="003859C9" w:rsidRPr="00EB11D3" w14:paraId="7A0DC3C6" w14:textId="77777777" w:rsidTr="00007E09">
        <w:trPr>
          <w:trHeight w:val="300"/>
        </w:trPr>
        <w:tc>
          <w:tcPr>
            <w:tcW w:w="2842" w:type="pct"/>
            <w:tcBorders>
              <w:bottom w:val="single" w:sz="4" w:space="0" w:color="auto"/>
            </w:tcBorders>
            <w:shd w:val="clear" w:color="auto" w:fill="auto"/>
            <w:noWrap/>
            <w:vAlign w:val="bottom"/>
          </w:tcPr>
          <w:p w14:paraId="37593BC7" w14:textId="77777777" w:rsidR="003859C9" w:rsidRPr="00EB11D3" w:rsidRDefault="003859C9" w:rsidP="00C06DEE">
            <w:pPr>
              <w:shd w:val="clear" w:color="auto" w:fill="FFFFFF"/>
              <w:spacing w:after="0" w:line="360" w:lineRule="auto"/>
              <w:rPr>
                <w:rFonts w:eastAsia="Cambria"/>
                <w:szCs w:val="24"/>
              </w:rPr>
            </w:pPr>
            <w:r w:rsidRPr="00EB11D3">
              <w:rPr>
                <w:rFonts w:eastAsia="Cambria"/>
                <w:szCs w:val="24"/>
              </w:rPr>
              <w:t>Prob &gt; chi2</w:t>
            </w:r>
          </w:p>
        </w:tc>
        <w:tc>
          <w:tcPr>
            <w:tcW w:w="386" w:type="pct"/>
            <w:tcBorders>
              <w:bottom w:val="single" w:sz="4" w:space="0" w:color="auto"/>
            </w:tcBorders>
            <w:shd w:val="clear" w:color="auto" w:fill="auto"/>
            <w:noWrap/>
            <w:vAlign w:val="bottom"/>
          </w:tcPr>
          <w:p w14:paraId="75570301" w14:textId="77777777" w:rsidR="003859C9" w:rsidRPr="00EB11D3" w:rsidRDefault="003859C9" w:rsidP="00C06DEE">
            <w:pPr>
              <w:shd w:val="clear" w:color="auto" w:fill="FFFFFF"/>
              <w:spacing w:after="0" w:line="360" w:lineRule="auto"/>
              <w:rPr>
                <w:rFonts w:eastAsia="Cambria"/>
                <w:szCs w:val="24"/>
              </w:rPr>
            </w:pPr>
            <w:r w:rsidRPr="00EB11D3">
              <w:rPr>
                <w:rFonts w:eastAsia="Cambria"/>
                <w:szCs w:val="24"/>
              </w:rPr>
              <w:t>=</w:t>
            </w:r>
          </w:p>
        </w:tc>
        <w:tc>
          <w:tcPr>
            <w:tcW w:w="1772" w:type="pct"/>
            <w:tcBorders>
              <w:bottom w:val="single" w:sz="4" w:space="0" w:color="auto"/>
            </w:tcBorders>
            <w:shd w:val="clear" w:color="auto" w:fill="auto"/>
            <w:noWrap/>
            <w:vAlign w:val="bottom"/>
          </w:tcPr>
          <w:p w14:paraId="261B22AB" w14:textId="77777777" w:rsidR="003859C9" w:rsidRPr="00EB11D3" w:rsidRDefault="003859C9" w:rsidP="00C06DEE">
            <w:pPr>
              <w:shd w:val="clear" w:color="auto" w:fill="FFFFFF"/>
              <w:spacing w:after="0" w:line="360" w:lineRule="auto"/>
              <w:rPr>
                <w:rFonts w:eastAsia="Cambria"/>
                <w:szCs w:val="24"/>
              </w:rPr>
            </w:pPr>
            <w:r w:rsidRPr="00EB11D3">
              <w:rPr>
                <w:rFonts w:eastAsia="Cambria"/>
                <w:szCs w:val="24"/>
              </w:rPr>
              <w:t>0.065</w:t>
            </w:r>
          </w:p>
        </w:tc>
      </w:tr>
    </w:tbl>
    <w:p w14:paraId="7D1C71F8" w14:textId="77777777" w:rsidR="003859C9" w:rsidRPr="00EB11D3" w:rsidRDefault="003859C9" w:rsidP="003859C9">
      <w:pPr>
        <w:shd w:val="clear" w:color="auto" w:fill="FFFFFF"/>
        <w:spacing w:after="160" w:line="360" w:lineRule="auto"/>
        <w:rPr>
          <w:rFonts w:eastAsia="Cambria"/>
          <w:b/>
          <w:bCs/>
          <w:szCs w:val="24"/>
        </w:rPr>
      </w:pPr>
    </w:p>
    <w:p w14:paraId="474D3EA4"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Results in Table 18 </w:t>
      </w:r>
      <w:r w:rsidR="00032DEB" w:rsidRPr="00032DEB">
        <w:rPr>
          <w:rFonts w:eastAsia="Cambria"/>
          <w:szCs w:val="24"/>
        </w:rPr>
        <w:t>demonstrate</w:t>
      </w:r>
      <w:r w:rsidR="00032DEB">
        <w:rPr>
          <w:rFonts w:eastAsia="Cambria"/>
          <w:szCs w:val="24"/>
        </w:rPr>
        <w:t>d</w:t>
      </w:r>
      <w:r w:rsidR="00032DEB" w:rsidRPr="00032DEB">
        <w:rPr>
          <w:rFonts w:eastAsia="Cambria"/>
          <w:szCs w:val="24"/>
        </w:rPr>
        <w:t xml:space="preserve"> that the p-value </w:t>
      </w:r>
      <w:r w:rsidR="000F1549">
        <w:rPr>
          <w:rFonts w:eastAsia="Cambria"/>
          <w:szCs w:val="24"/>
        </w:rPr>
        <w:t>was</w:t>
      </w:r>
      <w:r w:rsidR="00032DEB" w:rsidRPr="00032DEB">
        <w:rPr>
          <w:rFonts w:eastAsia="Cambria"/>
          <w:szCs w:val="24"/>
        </w:rPr>
        <w:t xml:space="preserve"> higher than 5%. As a result, the data did not exhibit heteroscedasticity, and the null hypothesis was not rejected at a threshold p value of 0.05 because the reported value was 0.065&gt;0.05</w:t>
      </w:r>
      <w:r w:rsidRPr="00EB11D3">
        <w:rPr>
          <w:rFonts w:eastAsia="Cambria"/>
          <w:szCs w:val="24"/>
        </w:rPr>
        <w:t>.</w:t>
      </w:r>
    </w:p>
    <w:p w14:paraId="7968E3AE" w14:textId="77777777" w:rsidR="003859C9" w:rsidRPr="00EB11D3" w:rsidRDefault="003859C9" w:rsidP="00823CEA">
      <w:pPr>
        <w:pStyle w:val="Heading4"/>
        <w:spacing w:after="240"/>
      </w:pPr>
      <w:r w:rsidRPr="00EB11D3">
        <w:t xml:space="preserve">4.5.3.4 Test for Linearity </w:t>
      </w:r>
    </w:p>
    <w:p w14:paraId="47F37CB4"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The criterion variable and the predictor variables are assumed to have a linear relationship. </w:t>
      </w:r>
      <w:r w:rsidR="00764F84" w:rsidRPr="00764F84">
        <w:rPr>
          <w:rFonts w:eastAsia="Cambria"/>
          <w:szCs w:val="24"/>
        </w:rPr>
        <w:t>A scatter plot with all the independent factors plotted against the dependent variable was used to assess if a straight-line connection existed. As seen in Figure 2, every independent variable showed a straight-line association with the dependent variable.</w:t>
      </w:r>
      <w:r w:rsidRPr="00EB11D3">
        <w:rPr>
          <w:rFonts w:eastAsia="Cambria"/>
          <w:szCs w:val="24"/>
        </w:rPr>
        <w:t xml:space="preserve"> </w:t>
      </w:r>
    </w:p>
    <w:p w14:paraId="6303CDD8" w14:textId="77777777" w:rsidR="003859C9" w:rsidRPr="00EB11D3" w:rsidRDefault="00FD30BB" w:rsidP="003859C9">
      <w:pPr>
        <w:autoSpaceDE w:val="0"/>
        <w:autoSpaceDN w:val="0"/>
        <w:adjustRightInd w:val="0"/>
        <w:spacing w:after="0" w:line="240" w:lineRule="auto"/>
        <w:jc w:val="left"/>
        <w:rPr>
          <w:szCs w:val="24"/>
        </w:rPr>
      </w:pPr>
      <w:r w:rsidRPr="00C962F7">
        <w:rPr>
          <w:noProof/>
          <w:szCs w:val="24"/>
        </w:rPr>
        <w:drawing>
          <wp:inline distT="0" distB="0" distL="0" distR="0" wp14:anchorId="221FC7BE" wp14:editId="383E7CBF">
            <wp:extent cx="5943600" cy="3495040"/>
            <wp:effectExtent l="0" t="0" r="0" b="0"/>
            <wp:docPr id="24"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3495040"/>
                    </a:xfrm>
                    <a:prstGeom prst="rect">
                      <a:avLst/>
                    </a:prstGeom>
                    <a:noFill/>
                    <a:ln>
                      <a:noFill/>
                    </a:ln>
                  </pic:spPr>
                </pic:pic>
              </a:graphicData>
            </a:graphic>
          </wp:inline>
        </w:drawing>
      </w:r>
    </w:p>
    <w:p w14:paraId="23FCCA1C" w14:textId="77777777" w:rsidR="003859C9" w:rsidRPr="00EB11D3" w:rsidRDefault="003859C9" w:rsidP="003859C9">
      <w:pPr>
        <w:autoSpaceDE w:val="0"/>
        <w:autoSpaceDN w:val="0"/>
        <w:adjustRightInd w:val="0"/>
        <w:spacing w:after="0" w:line="240" w:lineRule="auto"/>
        <w:jc w:val="left"/>
        <w:rPr>
          <w:szCs w:val="24"/>
        </w:rPr>
      </w:pPr>
    </w:p>
    <w:p w14:paraId="33E26A91" w14:textId="77777777" w:rsidR="003859C9" w:rsidRPr="00EB11D3" w:rsidRDefault="003859C9" w:rsidP="003859C9">
      <w:pPr>
        <w:autoSpaceDE w:val="0"/>
        <w:autoSpaceDN w:val="0"/>
        <w:adjustRightInd w:val="0"/>
        <w:spacing w:after="0" w:line="400" w:lineRule="atLeast"/>
        <w:jc w:val="left"/>
        <w:rPr>
          <w:szCs w:val="24"/>
        </w:rPr>
      </w:pPr>
    </w:p>
    <w:p w14:paraId="101F00B7" w14:textId="77777777" w:rsidR="003859C9" w:rsidRPr="00EB11D3" w:rsidRDefault="00FD30BB" w:rsidP="003859C9">
      <w:pPr>
        <w:autoSpaceDE w:val="0"/>
        <w:autoSpaceDN w:val="0"/>
        <w:adjustRightInd w:val="0"/>
        <w:spacing w:after="0" w:line="240" w:lineRule="auto"/>
        <w:jc w:val="left"/>
        <w:rPr>
          <w:szCs w:val="24"/>
        </w:rPr>
      </w:pPr>
      <w:r w:rsidRPr="00C962F7">
        <w:rPr>
          <w:noProof/>
          <w:szCs w:val="24"/>
        </w:rPr>
        <w:drawing>
          <wp:inline distT="0" distB="0" distL="0" distR="0" wp14:anchorId="5044721E" wp14:editId="6CDAD4B8">
            <wp:extent cx="5943600" cy="3495040"/>
            <wp:effectExtent l="0" t="0" r="0" b="0"/>
            <wp:docPr id="25"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3495040"/>
                    </a:xfrm>
                    <a:prstGeom prst="rect">
                      <a:avLst/>
                    </a:prstGeom>
                    <a:noFill/>
                    <a:ln>
                      <a:noFill/>
                    </a:ln>
                  </pic:spPr>
                </pic:pic>
              </a:graphicData>
            </a:graphic>
          </wp:inline>
        </w:drawing>
      </w:r>
    </w:p>
    <w:p w14:paraId="106B1D43" w14:textId="77777777" w:rsidR="003859C9" w:rsidRPr="00EB11D3" w:rsidRDefault="003859C9" w:rsidP="003859C9">
      <w:pPr>
        <w:autoSpaceDE w:val="0"/>
        <w:autoSpaceDN w:val="0"/>
        <w:adjustRightInd w:val="0"/>
        <w:spacing w:after="0" w:line="240" w:lineRule="auto"/>
        <w:jc w:val="left"/>
        <w:rPr>
          <w:szCs w:val="24"/>
        </w:rPr>
      </w:pPr>
    </w:p>
    <w:p w14:paraId="784E5054" w14:textId="77777777" w:rsidR="003859C9" w:rsidRPr="00EB11D3" w:rsidRDefault="003859C9" w:rsidP="003859C9">
      <w:pPr>
        <w:autoSpaceDE w:val="0"/>
        <w:autoSpaceDN w:val="0"/>
        <w:adjustRightInd w:val="0"/>
        <w:spacing w:after="0" w:line="400" w:lineRule="atLeast"/>
        <w:jc w:val="left"/>
        <w:rPr>
          <w:szCs w:val="24"/>
        </w:rPr>
      </w:pPr>
    </w:p>
    <w:p w14:paraId="6F6CA12C" w14:textId="77777777" w:rsidR="003859C9" w:rsidRPr="00EB11D3" w:rsidRDefault="003859C9" w:rsidP="003859C9">
      <w:pPr>
        <w:autoSpaceDE w:val="0"/>
        <w:autoSpaceDN w:val="0"/>
        <w:adjustRightInd w:val="0"/>
        <w:spacing w:after="0" w:line="400" w:lineRule="atLeast"/>
        <w:jc w:val="left"/>
        <w:rPr>
          <w:szCs w:val="24"/>
        </w:rPr>
      </w:pPr>
    </w:p>
    <w:p w14:paraId="356FFC29" w14:textId="77777777" w:rsidR="003859C9" w:rsidRPr="00EB11D3" w:rsidRDefault="003859C9" w:rsidP="003859C9">
      <w:pPr>
        <w:autoSpaceDE w:val="0"/>
        <w:autoSpaceDN w:val="0"/>
        <w:adjustRightInd w:val="0"/>
        <w:spacing w:after="0" w:line="400" w:lineRule="atLeast"/>
        <w:jc w:val="left"/>
        <w:rPr>
          <w:szCs w:val="24"/>
        </w:rPr>
      </w:pPr>
    </w:p>
    <w:p w14:paraId="24298F62" w14:textId="77777777" w:rsidR="003859C9" w:rsidRPr="00EB11D3" w:rsidRDefault="00FD30BB" w:rsidP="003859C9">
      <w:pPr>
        <w:autoSpaceDE w:val="0"/>
        <w:autoSpaceDN w:val="0"/>
        <w:adjustRightInd w:val="0"/>
        <w:spacing w:after="0" w:line="240" w:lineRule="auto"/>
        <w:jc w:val="left"/>
        <w:rPr>
          <w:szCs w:val="24"/>
        </w:rPr>
      </w:pPr>
      <w:r w:rsidRPr="00C962F7">
        <w:rPr>
          <w:noProof/>
          <w:szCs w:val="24"/>
        </w:rPr>
        <w:drawing>
          <wp:inline distT="0" distB="0" distL="0" distR="0" wp14:anchorId="221F7F4C" wp14:editId="2D634207">
            <wp:extent cx="5943600" cy="3495040"/>
            <wp:effectExtent l="0" t="0" r="0" b="0"/>
            <wp:docPr id="26"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3600" cy="3495040"/>
                    </a:xfrm>
                    <a:prstGeom prst="rect">
                      <a:avLst/>
                    </a:prstGeom>
                    <a:noFill/>
                    <a:ln>
                      <a:noFill/>
                    </a:ln>
                  </pic:spPr>
                </pic:pic>
              </a:graphicData>
            </a:graphic>
          </wp:inline>
        </w:drawing>
      </w:r>
    </w:p>
    <w:p w14:paraId="696E57F3" w14:textId="77777777" w:rsidR="003859C9" w:rsidRPr="00EB11D3" w:rsidRDefault="003859C9" w:rsidP="003859C9">
      <w:pPr>
        <w:autoSpaceDE w:val="0"/>
        <w:autoSpaceDN w:val="0"/>
        <w:adjustRightInd w:val="0"/>
        <w:spacing w:after="0" w:line="240" w:lineRule="auto"/>
        <w:jc w:val="left"/>
        <w:rPr>
          <w:szCs w:val="24"/>
        </w:rPr>
      </w:pPr>
    </w:p>
    <w:p w14:paraId="4930EBB4" w14:textId="77777777" w:rsidR="003859C9" w:rsidRPr="00EB11D3" w:rsidRDefault="003859C9" w:rsidP="003859C9">
      <w:pPr>
        <w:shd w:val="clear" w:color="auto" w:fill="FFFFFF"/>
        <w:spacing w:after="160" w:line="360" w:lineRule="auto"/>
        <w:rPr>
          <w:rFonts w:eastAsia="Cambria"/>
          <w:b/>
          <w:bCs/>
          <w:szCs w:val="24"/>
        </w:rPr>
      </w:pPr>
      <w:bookmarkStart w:id="723" w:name="_Toc177387974"/>
      <w:r w:rsidRPr="00EB11D3">
        <w:rPr>
          <w:rFonts w:eastAsia="Cambria"/>
          <w:b/>
          <w:bCs/>
          <w:szCs w:val="24"/>
        </w:rPr>
        <w:t xml:space="preserve">Figure </w:t>
      </w:r>
      <w:r w:rsidRPr="00EB11D3">
        <w:rPr>
          <w:rFonts w:eastAsia="Cambria"/>
          <w:b/>
          <w:bCs/>
          <w:szCs w:val="24"/>
        </w:rPr>
        <w:fldChar w:fldCharType="begin"/>
      </w:r>
      <w:r w:rsidRPr="00EB11D3">
        <w:rPr>
          <w:rFonts w:eastAsia="Cambria"/>
          <w:b/>
          <w:bCs/>
          <w:szCs w:val="24"/>
        </w:rPr>
        <w:instrText xml:space="preserve"> SEQ Figure \* ARABIC </w:instrText>
      </w:r>
      <w:r w:rsidRPr="00EB11D3">
        <w:rPr>
          <w:rFonts w:eastAsia="Cambria"/>
          <w:b/>
          <w:bCs/>
          <w:szCs w:val="24"/>
        </w:rPr>
        <w:fldChar w:fldCharType="separate"/>
      </w:r>
      <w:r w:rsidRPr="00EB11D3">
        <w:rPr>
          <w:rFonts w:eastAsia="Cambria"/>
          <w:b/>
          <w:bCs/>
          <w:szCs w:val="24"/>
        </w:rPr>
        <w:t>2</w:t>
      </w:r>
      <w:r w:rsidRPr="00EB11D3">
        <w:rPr>
          <w:rFonts w:eastAsia="Cambria"/>
          <w:szCs w:val="24"/>
        </w:rPr>
        <w:fldChar w:fldCharType="end"/>
      </w:r>
      <w:r w:rsidRPr="00EB11D3">
        <w:rPr>
          <w:rFonts w:eastAsia="Cambria"/>
          <w:b/>
          <w:bCs/>
          <w:szCs w:val="24"/>
        </w:rPr>
        <w:t>: Linearity Tests</w:t>
      </w:r>
      <w:bookmarkEnd w:id="723"/>
    </w:p>
    <w:p w14:paraId="74CF3DD7"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Figure 2 shows that the independent variables</w:t>
      </w:r>
      <w:bookmarkStart w:id="724" w:name="_Hlk160713603"/>
      <w:r w:rsidRPr="00EB11D3">
        <w:rPr>
          <w:szCs w:val="24"/>
        </w:rPr>
        <w:t xml:space="preserve"> </w:t>
      </w:r>
      <w:r w:rsidRPr="00EB11D3">
        <w:rPr>
          <w:rFonts w:eastAsia="Cambria"/>
          <w:szCs w:val="24"/>
        </w:rPr>
        <w:t>corporate governance</w:t>
      </w:r>
      <w:bookmarkEnd w:id="724"/>
      <w:r w:rsidRPr="00EB11D3">
        <w:rPr>
          <w:rFonts w:eastAsia="Cambria"/>
          <w:szCs w:val="24"/>
        </w:rPr>
        <w:t xml:space="preserve">, service innovation and government regulations depicted a straight-line relationship with the dependent variable Performance of faith-based hospitals. In addition, the R-squared showed the proportion of the variance in the dependent variable that is predictable from the independent variable(s) in a regression model. In other words, it quantifies the goodness of fit of a regression model. </w:t>
      </w:r>
    </w:p>
    <w:p w14:paraId="4D845F0F" w14:textId="77777777" w:rsidR="003859C9" w:rsidRPr="00EB11D3" w:rsidRDefault="003859C9" w:rsidP="00823CEA">
      <w:pPr>
        <w:pStyle w:val="Heading3"/>
      </w:pPr>
      <w:bookmarkStart w:id="725" w:name="_Toc103414514"/>
      <w:bookmarkStart w:id="726" w:name="_Toc117772206"/>
      <w:bookmarkStart w:id="727" w:name="_Toc117773066"/>
      <w:bookmarkStart w:id="728" w:name="_Toc100987661"/>
      <w:bookmarkStart w:id="729" w:name="_Toc124240245"/>
      <w:bookmarkStart w:id="730" w:name="_Toc126071136"/>
      <w:bookmarkStart w:id="731" w:name="_Toc164148998"/>
      <w:bookmarkStart w:id="732" w:name="_Toc164151259"/>
      <w:bookmarkStart w:id="733" w:name="_Toc168673451"/>
      <w:bookmarkStart w:id="734" w:name="_Toc168737893"/>
      <w:bookmarkStart w:id="735" w:name="_Toc171602646"/>
      <w:bookmarkStart w:id="736" w:name="_Toc171603473"/>
      <w:bookmarkStart w:id="737" w:name="_Toc177387878"/>
      <w:r w:rsidRPr="00EB11D3">
        <w:t>4.</w:t>
      </w:r>
      <w:r w:rsidR="004373D8">
        <w:t>3</w:t>
      </w:r>
      <w:r w:rsidRPr="00EB11D3">
        <w:t>.4 Factor Analysis</w:t>
      </w:r>
      <w:bookmarkEnd w:id="725"/>
      <w:bookmarkEnd w:id="726"/>
      <w:bookmarkEnd w:id="727"/>
      <w:bookmarkEnd w:id="728"/>
      <w:bookmarkEnd w:id="729"/>
      <w:bookmarkEnd w:id="730"/>
      <w:bookmarkEnd w:id="731"/>
      <w:bookmarkEnd w:id="732"/>
      <w:bookmarkEnd w:id="733"/>
      <w:bookmarkEnd w:id="734"/>
      <w:bookmarkEnd w:id="735"/>
      <w:bookmarkEnd w:id="736"/>
      <w:bookmarkEnd w:id="737"/>
    </w:p>
    <w:p w14:paraId="6A3FA953" w14:textId="77777777" w:rsidR="003859C9" w:rsidRPr="00EB11D3" w:rsidRDefault="003859C9" w:rsidP="003859C9">
      <w:pPr>
        <w:shd w:val="clear" w:color="auto" w:fill="FFFFFF"/>
        <w:spacing w:after="160" w:line="360" w:lineRule="auto"/>
        <w:rPr>
          <w:rFonts w:eastAsia="Cambria"/>
          <w:szCs w:val="24"/>
        </w:rPr>
      </w:pPr>
      <w:bookmarkStart w:id="738" w:name="_Hlk129520597"/>
      <w:r w:rsidRPr="00EB11D3">
        <w:rPr>
          <w:rFonts w:eastAsia="Cambria"/>
          <w:szCs w:val="24"/>
        </w:rPr>
        <w:t xml:space="preserve">Factor analysis is an approach that involves condensing information contained in a number of variables into a smaller set of dimensions (factors) with a minimum loss of information (Baets, 2002). </w:t>
      </w:r>
      <w:bookmarkEnd w:id="738"/>
      <w:r w:rsidR="006F74FA" w:rsidRPr="006F74FA">
        <w:rPr>
          <w:rFonts w:eastAsia="Cambria"/>
          <w:szCs w:val="24"/>
        </w:rPr>
        <w:t xml:space="preserve">Factor analysis was used to summarise vast quantities of data and quantify variables that cannot be quantified directly using dimension reduction in SPSS. According to Mabert, Soni, and Venkataramanan (2003), coefficients below 0.49 should be removed from the matrix since they are unimportant, and factor loading with Eigen values (total variance) more than 0.5 should be extracted. The purpose of it is to </w:t>
      </w:r>
      <w:r w:rsidR="00D105E7">
        <w:rPr>
          <w:rFonts w:eastAsia="Cambria"/>
          <w:szCs w:val="24"/>
        </w:rPr>
        <w:t>distill</w:t>
      </w:r>
      <w:r w:rsidR="006F74FA" w:rsidRPr="006F74FA">
        <w:rPr>
          <w:rFonts w:eastAsia="Cambria"/>
          <w:szCs w:val="24"/>
        </w:rPr>
        <w:t xml:space="preserve"> the data down to a manageable and significant subset of variables (Sekaran &amp; Bougie, 2016). Eigen values are crucial because they let us break down a linear process into smaller, more manageable issues. Determining the elements also aids in the analysis of the interrelationships' structure, or correlations.</w:t>
      </w:r>
      <w:r w:rsidRPr="00EB11D3">
        <w:rPr>
          <w:rFonts w:eastAsia="Cambria"/>
          <w:szCs w:val="24"/>
        </w:rPr>
        <w:t xml:space="preserve"> The factor analysis assumptions are that there are no outliers in data, no perfect multicollinearity, linearity and the data is in interval (Mabert et.al 2003) which were all met under diagnostic tests.</w:t>
      </w:r>
    </w:p>
    <w:p w14:paraId="274FBE0E" w14:textId="77777777" w:rsidR="003859C9" w:rsidRPr="00EB11D3" w:rsidRDefault="003859C9" w:rsidP="00823CEA">
      <w:pPr>
        <w:pStyle w:val="Heading4"/>
      </w:pPr>
      <w:r w:rsidRPr="00EB11D3">
        <w:t>4.</w:t>
      </w:r>
      <w:r w:rsidR="00D71EA0" w:rsidRPr="00EB11D3">
        <w:t>4</w:t>
      </w:r>
      <w:r w:rsidRPr="00EB11D3">
        <w:t xml:space="preserve">.4.1 Factor Analysis for Corporate </w:t>
      </w:r>
      <w:r w:rsidR="00DF15E3">
        <w:t>G</w:t>
      </w:r>
      <w:r w:rsidRPr="00EB11D3">
        <w:t>overnance</w:t>
      </w:r>
    </w:p>
    <w:p w14:paraId="393ADDF4" w14:textId="77777777" w:rsidR="003859C9" w:rsidRPr="00EB11D3" w:rsidRDefault="003859C9" w:rsidP="003859C9">
      <w:pPr>
        <w:shd w:val="clear" w:color="auto" w:fill="FFFFFF"/>
        <w:spacing w:after="160" w:line="360" w:lineRule="auto"/>
        <w:rPr>
          <w:rFonts w:eastAsia="Cambria"/>
          <w:b/>
          <w:bCs/>
          <w:szCs w:val="24"/>
        </w:rPr>
      </w:pPr>
      <w:r w:rsidRPr="00EB11D3">
        <w:rPr>
          <w:rFonts w:eastAsia="Cambria"/>
          <w:szCs w:val="24"/>
        </w:rPr>
        <w:t xml:space="preserve">Factor analysis was carried out on the statements of corporate governance. </w:t>
      </w:r>
      <w:bookmarkStart w:id="739" w:name="_Hlk129521041"/>
      <w:r w:rsidRPr="00EB11D3">
        <w:rPr>
          <w:rFonts w:eastAsia="Cambria"/>
          <w:szCs w:val="24"/>
        </w:rPr>
        <w:t xml:space="preserve">This was done by subjecting the statement to dimension reduction in SPSS with a cutoff mark of 0.5 </w:t>
      </w:r>
      <w:bookmarkEnd w:id="739"/>
      <w:r w:rsidRPr="00EB11D3">
        <w:rPr>
          <w:rFonts w:eastAsia="Cambria"/>
          <w:szCs w:val="24"/>
        </w:rPr>
        <w:t xml:space="preserve">and above. The results are as shown in Table 18. </w:t>
      </w:r>
    </w:p>
    <w:p w14:paraId="22619C54" w14:textId="77777777" w:rsidR="003859C9" w:rsidRPr="00EB11D3" w:rsidRDefault="003859C9" w:rsidP="003859C9">
      <w:pPr>
        <w:shd w:val="clear" w:color="auto" w:fill="FFFFFF"/>
        <w:spacing w:after="160" w:line="360" w:lineRule="auto"/>
        <w:rPr>
          <w:rFonts w:eastAsia="Cambria"/>
          <w:b/>
          <w:bCs/>
          <w:szCs w:val="24"/>
        </w:rPr>
      </w:pPr>
      <w:bookmarkStart w:id="740" w:name="_Toc100987970"/>
      <w:bookmarkStart w:id="741" w:name="_Toc126666753"/>
      <w:bookmarkStart w:id="742" w:name="_Toc177387949"/>
      <w:r w:rsidRPr="00EB11D3">
        <w:rPr>
          <w:rFonts w:eastAsia="Cambria"/>
          <w:b/>
          <w:bCs/>
          <w:szCs w:val="24"/>
        </w:rPr>
        <w:t xml:space="preserve">Table </w:t>
      </w:r>
      <w:r w:rsidRPr="00EB11D3">
        <w:rPr>
          <w:rFonts w:eastAsia="Cambria"/>
          <w:b/>
          <w:bCs/>
          <w:szCs w:val="24"/>
        </w:rPr>
        <w:fldChar w:fldCharType="begin"/>
      </w:r>
      <w:r w:rsidRPr="00EB11D3">
        <w:rPr>
          <w:rFonts w:eastAsia="Cambria"/>
          <w:b/>
          <w:bCs/>
          <w:szCs w:val="24"/>
        </w:rPr>
        <w:instrText xml:space="preserve"> SEQ Table \* ARABIC </w:instrText>
      </w:r>
      <w:r w:rsidRPr="00EB11D3">
        <w:rPr>
          <w:rFonts w:eastAsia="Cambria"/>
          <w:b/>
          <w:bCs/>
          <w:szCs w:val="24"/>
        </w:rPr>
        <w:fldChar w:fldCharType="separate"/>
      </w:r>
      <w:r w:rsidRPr="00EB11D3">
        <w:rPr>
          <w:rFonts w:eastAsia="Cambria"/>
          <w:b/>
          <w:bCs/>
          <w:szCs w:val="24"/>
        </w:rPr>
        <w:t>18</w:t>
      </w:r>
      <w:r w:rsidRPr="00EB11D3">
        <w:rPr>
          <w:rFonts w:eastAsia="Cambria"/>
          <w:szCs w:val="24"/>
        </w:rPr>
        <w:fldChar w:fldCharType="end"/>
      </w:r>
      <w:r w:rsidRPr="00EB11D3">
        <w:rPr>
          <w:rFonts w:eastAsia="Cambria"/>
          <w:b/>
          <w:bCs/>
          <w:szCs w:val="24"/>
        </w:rPr>
        <w:t xml:space="preserve">: Factor Loading for </w:t>
      </w:r>
      <w:bookmarkEnd w:id="740"/>
      <w:bookmarkEnd w:id="741"/>
      <w:r w:rsidRPr="00EB11D3">
        <w:rPr>
          <w:rFonts w:eastAsia="Cambria"/>
          <w:b/>
          <w:bCs/>
          <w:szCs w:val="24"/>
        </w:rPr>
        <w:t xml:space="preserve">Corporate </w:t>
      </w:r>
      <w:r w:rsidR="00D105E7">
        <w:rPr>
          <w:rFonts w:eastAsia="Cambria"/>
          <w:b/>
          <w:bCs/>
          <w:szCs w:val="24"/>
        </w:rPr>
        <w:t>G</w:t>
      </w:r>
      <w:r w:rsidRPr="00EB11D3">
        <w:rPr>
          <w:rFonts w:eastAsia="Cambria"/>
          <w:b/>
          <w:bCs/>
          <w:szCs w:val="24"/>
        </w:rPr>
        <w:t>overnance</w:t>
      </w:r>
      <w:bookmarkEnd w:id="742"/>
    </w:p>
    <w:tbl>
      <w:tblPr>
        <w:tblW w:w="5000" w:type="pct"/>
        <w:tblCellMar>
          <w:left w:w="0" w:type="dxa"/>
          <w:right w:w="0" w:type="dxa"/>
        </w:tblCellMar>
        <w:tblLook w:val="0000" w:firstRow="0" w:lastRow="0" w:firstColumn="0" w:lastColumn="0" w:noHBand="0" w:noVBand="0"/>
      </w:tblPr>
      <w:tblGrid>
        <w:gridCol w:w="6458"/>
        <w:gridCol w:w="2902"/>
      </w:tblGrid>
      <w:tr w:rsidR="003859C9" w:rsidRPr="007B6CE5" w14:paraId="0D92065A" w14:textId="77777777" w:rsidTr="00007E09">
        <w:trPr>
          <w:cantSplit/>
        </w:trPr>
        <w:tc>
          <w:tcPr>
            <w:tcW w:w="3450" w:type="pct"/>
            <w:tcBorders>
              <w:top w:val="nil"/>
              <w:left w:val="nil"/>
              <w:bottom w:val="single" w:sz="8" w:space="0" w:color="152935"/>
              <w:right w:val="nil"/>
            </w:tcBorders>
            <w:shd w:val="clear" w:color="auto" w:fill="auto"/>
            <w:vAlign w:val="bottom"/>
          </w:tcPr>
          <w:p w14:paraId="15B70F52" w14:textId="77777777" w:rsidR="003859C9" w:rsidRPr="007B6CE5" w:rsidRDefault="00356768" w:rsidP="00356768">
            <w:pPr>
              <w:autoSpaceDE w:val="0"/>
              <w:autoSpaceDN w:val="0"/>
              <w:adjustRightInd w:val="0"/>
              <w:spacing w:after="0" w:line="240" w:lineRule="auto"/>
              <w:jc w:val="center"/>
              <w:rPr>
                <w:b/>
                <w:bCs/>
                <w:szCs w:val="24"/>
              </w:rPr>
            </w:pPr>
            <w:r w:rsidRPr="007B6CE5">
              <w:rPr>
                <w:b/>
                <w:bCs/>
                <w:szCs w:val="24"/>
              </w:rPr>
              <w:t>Statement</w:t>
            </w:r>
          </w:p>
        </w:tc>
        <w:tc>
          <w:tcPr>
            <w:tcW w:w="1550" w:type="pct"/>
            <w:tcBorders>
              <w:top w:val="nil"/>
              <w:left w:val="single" w:sz="8" w:space="0" w:color="E0E0E0"/>
              <w:bottom w:val="single" w:sz="8" w:space="0" w:color="152935"/>
              <w:right w:val="nil"/>
            </w:tcBorders>
            <w:shd w:val="clear" w:color="auto" w:fill="auto"/>
            <w:vAlign w:val="bottom"/>
          </w:tcPr>
          <w:p w14:paraId="2AD3773C" w14:textId="77777777" w:rsidR="003859C9" w:rsidRPr="007B6CE5" w:rsidRDefault="003859C9" w:rsidP="00356768">
            <w:pPr>
              <w:spacing w:after="160" w:line="240" w:lineRule="auto"/>
              <w:jc w:val="right"/>
              <w:rPr>
                <w:b/>
                <w:bCs/>
                <w:szCs w:val="24"/>
              </w:rPr>
            </w:pPr>
            <w:r w:rsidRPr="007B6CE5">
              <w:rPr>
                <w:b/>
                <w:bCs/>
                <w:szCs w:val="24"/>
              </w:rPr>
              <w:t>Extraction</w:t>
            </w:r>
          </w:p>
        </w:tc>
      </w:tr>
      <w:tr w:rsidR="003859C9" w:rsidRPr="00EB11D3" w14:paraId="1C0C8F88" w14:textId="77777777" w:rsidTr="00007E09">
        <w:trPr>
          <w:cantSplit/>
        </w:trPr>
        <w:tc>
          <w:tcPr>
            <w:tcW w:w="3450" w:type="pct"/>
            <w:tcBorders>
              <w:top w:val="single" w:sz="8" w:space="0" w:color="152935"/>
              <w:left w:val="nil"/>
              <w:bottom w:val="single" w:sz="8" w:space="0" w:color="AEAEAE"/>
              <w:right w:val="nil"/>
            </w:tcBorders>
            <w:shd w:val="clear" w:color="auto" w:fill="auto"/>
          </w:tcPr>
          <w:p w14:paraId="360A5E19" w14:textId="77777777" w:rsidR="003859C9" w:rsidRPr="00EB11D3" w:rsidRDefault="003859C9" w:rsidP="00356768">
            <w:pPr>
              <w:spacing w:after="160" w:line="240" w:lineRule="auto"/>
              <w:jc w:val="left"/>
              <w:rPr>
                <w:b/>
                <w:szCs w:val="24"/>
              </w:rPr>
            </w:pPr>
            <w:r w:rsidRPr="00EB11D3">
              <w:rPr>
                <w:b/>
                <w:szCs w:val="24"/>
              </w:rPr>
              <w:t xml:space="preserve">Transparency </w:t>
            </w:r>
          </w:p>
        </w:tc>
        <w:tc>
          <w:tcPr>
            <w:tcW w:w="1550" w:type="pct"/>
            <w:tcBorders>
              <w:top w:val="single" w:sz="8" w:space="0" w:color="152935"/>
              <w:left w:val="single" w:sz="8" w:space="0" w:color="E0E0E0"/>
              <w:bottom w:val="single" w:sz="8" w:space="0" w:color="AEAEAE"/>
              <w:right w:val="nil"/>
            </w:tcBorders>
            <w:shd w:val="clear" w:color="auto" w:fill="auto"/>
          </w:tcPr>
          <w:p w14:paraId="46C8AFC9" w14:textId="77777777" w:rsidR="003859C9" w:rsidRPr="00EB11D3" w:rsidRDefault="003859C9" w:rsidP="00356768">
            <w:pPr>
              <w:autoSpaceDE w:val="0"/>
              <w:autoSpaceDN w:val="0"/>
              <w:adjustRightInd w:val="0"/>
              <w:spacing w:after="0" w:line="240" w:lineRule="auto"/>
              <w:ind w:left="60" w:right="60"/>
              <w:jc w:val="right"/>
              <w:rPr>
                <w:szCs w:val="24"/>
              </w:rPr>
            </w:pPr>
          </w:p>
        </w:tc>
      </w:tr>
      <w:tr w:rsidR="003859C9" w:rsidRPr="00EB11D3" w14:paraId="679F30D5" w14:textId="77777777" w:rsidTr="00007E09">
        <w:trPr>
          <w:cantSplit/>
        </w:trPr>
        <w:tc>
          <w:tcPr>
            <w:tcW w:w="3450" w:type="pct"/>
            <w:tcBorders>
              <w:top w:val="single" w:sz="8" w:space="0" w:color="152935"/>
              <w:left w:val="nil"/>
              <w:bottom w:val="single" w:sz="8" w:space="0" w:color="AEAEAE"/>
              <w:right w:val="nil"/>
            </w:tcBorders>
            <w:shd w:val="clear" w:color="auto" w:fill="auto"/>
          </w:tcPr>
          <w:p w14:paraId="28EB2242" w14:textId="77777777" w:rsidR="003859C9" w:rsidRPr="00EB11D3" w:rsidRDefault="003859C9" w:rsidP="00356768">
            <w:pPr>
              <w:spacing w:after="160" w:line="240" w:lineRule="auto"/>
              <w:jc w:val="left"/>
              <w:rPr>
                <w:szCs w:val="24"/>
              </w:rPr>
            </w:pPr>
            <w:r w:rsidRPr="00EB11D3">
              <w:rPr>
                <w:szCs w:val="24"/>
              </w:rPr>
              <w:t>Board operations are conducted in a transparent manner</w:t>
            </w:r>
          </w:p>
        </w:tc>
        <w:tc>
          <w:tcPr>
            <w:tcW w:w="1550" w:type="pct"/>
            <w:tcBorders>
              <w:top w:val="single" w:sz="8" w:space="0" w:color="152935"/>
              <w:left w:val="single" w:sz="8" w:space="0" w:color="E0E0E0"/>
              <w:bottom w:val="single" w:sz="8" w:space="0" w:color="AEAEAE"/>
              <w:right w:val="nil"/>
            </w:tcBorders>
            <w:shd w:val="clear" w:color="auto" w:fill="auto"/>
          </w:tcPr>
          <w:p w14:paraId="5F8E0D40"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0.730</w:t>
            </w:r>
          </w:p>
        </w:tc>
      </w:tr>
      <w:tr w:rsidR="003859C9" w:rsidRPr="00EB11D3" w14:paraId="22F4384D"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61213A63" w14:textId="77777777" w:rsidR="003859C9" w:rsidRPr="00EB11D3" w:rsidRDefault="003859C9" w:rsidP="00356768">
            <w:pPr>
              <w:spacing w:after="160" w:line="240" w:lineRule="auto"/>
              <w:jc w:val="left"/>
              <w:rPr>
                <w:szCs w:val="24"/>
              </w:rPr>
            </w:pPr>
            <w:r w:rsidRPr="00EB11D3">
              <w:rPr>
                <w:szCs w:val="24"/>
              </w:rPr>
              <w:t>Board guidelines on corporate governance are published in the hospital proxy statement</w:t>
            </w:r>
          </w:p>
        </w:tc>
        <w:tc>
          <w:tcPr>
            <w:tcW w:w="1550" w:type="pct"/>
            <w:tcBorders>
              <w:top w:val="single" w:sz="8" w:space="0" w:color="AEAEAE"/>
              <w:left w:val="single" w:sz="8" w:space="0" w:color="E0E0E0"/>
              <w:bottom w:val="single" w:sz="8" w:space="0" w:color="AEAEAE"/>
              <w:right w:val="nil"/>
            </w:tcBorders>
            <w:shd w:val="clear" w:color="auto" w:fill="auto"/>
          </w:tcPr>
          <w:p w14:paraId="52C9CE17"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0.703</w:t>
            </w:r>
          </w:p>
        </w:tc>
      </w:tr>
      <w:tr w:rsidR="003859C9" w:rsidRPr="00EB11D3" w14:paraId="13CF6265"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0E20A3B0" w14:textId="77777777" w:rsidR="003859C9" w:rsidRPr="00EB11D3" w:rsidRDefault="003859C9" w:rsidP="00356768">
            <w:pPr>
              <w:spacing w:after="160" w:line="240" w:lineRule="auto"/>
              <w:jc w:val="left"/>
              <w:rPr>
                <w:szCs w:val="24"/>
              </w:rPr>
            </w:pPr>
            <w:r w:rsidRPr="00EB11D3">
              <w:rPr>
                <w:szCs w:val="24"/>
              </w:rPr>
              <w:t>Board guidelines on the code of ethics published in the hospital’s proxy statement</w:t>
            </w:r>
          </w:p>
        </w:tc>
        <w:tc>
          <w:tcPr>
            <w:tcW w:w="1550" w:type="pct"/>
            <w:tcBorders>
              <w:top w:val="single" w:sz="8" w:space="0" w:color="AEAEAE"/>
              <w:left w:val="single" w:sz="8" w:space="0" w:color="E0E0E0"/>
              <w:bottom w:val="single" w:sz="8" w:space="0" w:color="AEAEAE"/>
              <w:right w:val="nil"/>
            </w:tcBorders>
            <w:shd w:val="clear" w:color="auto" w:fill="auto"/>
          </w:tcPr>
          <w:p w14:paraId="153455E1"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0.586</w:t>
            </w:r>
          </w:p>
        </w:tc>
      </w:tr>
      <w:tr w:rsidR="003859C9" w:rsidRPr="00EB11D3" w14:paraId="62566CB1"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15FE8560" w14:textId="77777777" w:rsidR="003859C9" w:rsidRPr="00EB11D3" w:rsidRDefault="003859C9" w:rsidP="00356768">
            <w:pPr>
              <w:spacing w:after="160" w:line="240" w:lineRule="auto"/>
              <w:jc w:val="left"/>
              <w:rPr>
                <w:szCs w:val="24"/>
              </w:rPr>
            </w:pPr>
            <w:r w:rsidRPr="00EB11D3">
              <w:rPr>
                <w:szCs w:val="24"/>
              </w:rPr>
              <w:t>The hospital has operational policies in place</w:t>
            </w:r>
          </w:p>
        </w:tc>
        <w:tc>
          <w:tcPr>
            <w:tcW w:w="1550" w:type="pct"/>
            <w:tcBorders>
              <w:top w:val="single" w:sz="8" w:space="0" w:color="AEAEAE"/>
              <w:left w:val="single" w:sz="8" w:space="0" w:color="E0E0E0"/>
              <w:bottom w:val="single" w:sz="8" w:space="0" w:color="AEAEAE"/>
              <w:right w:val="nil"/>
            </w:tcBorders>
            <w:shd w:val="clear" w:color="auto" w:fill="auto"/>
          </w:tcPr>
          <w:p w14:paraId="604F6EB1"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0.675</w:t>
            </w:r>
          </w:p>
        </w:tc>
      </w:tr>
      <w:tr w:rsidR="003859C9" w:rsidRPr="00EB11D3" w14:paraId="458F5756"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2894ADD3" w14:textId="77777777" w:rsidR="003859C9" w:rsidRPr="00EB11D3" w:rsidRDefault="003859C9" w:rsidP="00356768">
            <w:pPr>
              <w:spacing w:after="160" w:line="240" w:lineRule="auto"/>
              <w:jc w:val="left"/>
              <w:rPr>
                <w:szCs w:val="24"/>
              </w:rPr>
            </w:pPr>
            <w:r w:rsidRPr="00EB11D3">
              <w:rPr>
                <w:szCs w:val="24"/>
              </w:rPr>
              <w:t>Hospital decisions are guided by the policies in place</w:t>
            </w:r>
          </w:p>
        </w:tc>
        <w:tc>
          <w:tcPr>
            <w:tcW w:w="1550" w:type="pct"/>
            <w:tcBorders>
              <w:top w:val="single" w:sz="8" w:space="0" w:color="AEAEAE"/>
              <w:left w:val="single" w:sz="8" w:space="0" w:color="E0E0E0"/>
              <w:bottom w:val="single" w:sz="8" w:space="0" w:color="AEAEAE"/>
              <w:right w:val="nil"/>
            </w:tcBorders>
            <w:shd w:val="clear" w:color="auto" w:fill="auto"/>
          </w:tcPr>
          <w:p w14:paraId="6ADD443A"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0.588</w:t>
            </w:r>
          </w:p>
        </w:tc>
      </w:tr>
      <w:tr w:rsidR="003859C9" w:rsidRPr="00EB11D3" w14:paraId="029F0A26" w14:textId="77777777" w:rsidTr="00356768">
        <w:trPr>
          <w:cantSplit/>
          <w:trHeight w:val="655"/>
        </w:trPr>
        <w:tc>
          <w:tcPr>
            <w:tcW w:w="3450" w:type="pct"/>
            <w:tcBorders>
              <w:top w:val="single" w:sz="8" w:space="0" w:color="AEAEAE"/>
              <w:left w:val="nil"/>
              <w:bottom w:val="single" w:sz="8" w:space="0" w:color="AEAEAE"/>
              <w:right w:val="nil"/>
            </w:tcBorders>
            <w:shd w:val="clear" w:color="auto" w:fill="auto"/>
          </w:tcPr>
          <w:p w14:paraId="2716583C" w14:textId="77777777" w:rsidR="003859C9" w:rsidRPr="00EB11D3" w:rsidRDefault="003859C9" w:rsidP="00356768">
            <w:pPr>
              <w:spacing w:after="160" w:line="240" w:lineRule="auto"/>
              <w:jc w:val="left"/>
              <w:rPr>
                <w:szCs w:val="24"/>
              </w:rPr>
            </w:pPr>
            <w:r w:rsidRPr="00EB11D3">
              <w:rPr>
                <w:szCs w:val="24"/>
              </w:rPr>
              <w:t>The hospital encourages stakeholders to share information voluntarily.</w:t>
            </w:r>
          </w:p>
        </w:tc>
        <w:tc>
          <w:tcPr>
            <w:tcW w:w="1550" w:type="pct"/>
            <w:tcBorders>
              <w:top w:val="single" w:sz="8" w:space="0" w:color="AEAEAE"/>
              <w:left w:val="single" w:sz="8" w:space="0" w:color="E0E0E0"/>
              <w:bottom w:val="single" w:sz="8" w:space="0" w:color="AEAEAE"/>
              <w:right w:val="nil"/>
            </w:tcBorders>
            <w:shd w:val="clear" w:color="auto" w:fill="auto"/>
          </w:tcPr>
          <w:p w14:paraId="1F43AF0B"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0.644</w:t>
            </w:r>
          </w:p>
        </w:tc>
      </w:tr>
      <w:tr w:rsidR="003859C9" w:rsidRPr="00EB11D3" w14:paraId="39CD8943"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2A54FC6B" w14:textId="77777777" w:rsidR="003859C9" w:rsidRPr="00EB11D3" w:rsidRDefault="003859C9" w:rsidP="00356768">
            <w:pPr>
              <w:spacing w:after="160" w:line="240" w:lineRule="auto"/>
              <w:jc w:val="left"/>
              <w:rPr>
                <w:szCs w:val="24"/>
              </w:rPr>
            </w:pPr>
            <w:r w:rsidRPr="00EB11D3">
              <w:rPr>
                <w:szCs w:val="24"/>
              </w:rPr>
              <w:t>The hospital publishes the qualifications of the Board members in the hospital proxy statement</w:t>
            </w:r>
          </w:p>
        </w:tc>
        <w:tc>
          <w:tcPr>
            <w:tcW w:w="1550" w:type="pct"/>
            <w:tcBorders>
              <w:top w:val="single" w:sz="8" w:space="0" w:color="AEAEAE"/>
              <w:left w:val="single" w:sz="8" w:space="0" w:color="E0E0E0"/>
              <w:bottom w:val="single" w:sz="8" w:space="0" w:color="AEAEAE"/>
              <w:right w:val="nil"/>
            </w:tcBorders>
            <w:shd w:val="clear" w:color="auto" w:fill="auto"/>
          </w:tcPr>
          <w:p w14:paraId="19645996"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0.635</w:t>
            </w:r>
          </w:p>
        </w:tc>
      </w:tr>
      <w:tr w:rsidR="003859C9" w:rsidRPr="00EB11D3" w14:paraId="2CF4DB7A"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1D17AAE8" w14:textId="77777777" w:rsidR="003859C9" w:rsidRPr="00EB11D3" w:rsidRDefault="003859C9" w:rsidP="00356768">
            <w:pPr>
              <w:spacing w:after="160" w:line="240" w:lineRule="auto"/>
              <w:jc w:val="left"/>
              <w:rPr>
                <w:b/>
                <w:szCs w:val="24"/>
              </w:rPr>
            </w:pPr>
            <w:r w:rsidRPr="00EB11D3">
              <w:rPr>
                <w:b/>
                <w:szCs w:val="24"/>
              </w:rPr>
              <w:t xml:space="preserve">Accountability </w:t>
            </w:r>
          </w:p>
        </w:tc>
        <w:tc>
          <w:tcPr>
            <w:tcW w:w="1550" w:type="pct"/>
            <w:tcBorders>
              <w:top w:val="single" w:sz="8" w:space="0" w:color="AEAEAE"/>
              <w:left w:val="single" w:sz="8" w:space="0" w:color="E0E0E0"/>
              <w:bottom w:val="single" w:sz="8" w:space="0" w:color="AEAEAE"/>
              <w:right w:val="nil"/>
            </w:tcBorders>
            <w:shd w:val="clear" w:color="auto" w:fill="auto"/>
          </w:tcPr>
          <w:p w14:paraId="30043869" w14:textId="77777777" w:rsidR="003859C9" w:rsidRPr="00EB11D3" w:rsidRDefault="003859C9" w:rsidP="00356768">
            <w:pPr>
              <w:autoSpaceDE w:val="0"/>
              <w:autoSpaceDN w:val="0"/>
              <w:adjustRightInd w:val="0"/>
              <w:spacing w:after="0" w:line="240" w:lineRule="auto"/>
              <w:ind w:left="60" w:right="60"/>
              <w:jc w:val="right"/>
              <w:rPr>
                <w:szCs w:val="24"/>
              </w:rPr>
            </w:pPr>
          </w:p>
        </w:tc>
      </w:tr>
      <w:tr w:rsidR="003859C9" w:rsidRPr="00EB11D3" w14:paraId="58F55F70"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4894AE29" w14:textId="77777777" w:rsidR="003859C9" w:rsidRPr="00EB11D3" w:rsidRDefault="003859C9" w:rsidP="00356768">
            <w:pPr>
              <w:spacing w:after="160" w:line="240" w:lineRule="auto"/>
              <w:jc w:val="left"/>
              <w:rPr>
                <w:szCs w:val="24"/>
              </w:rPr>
            </w:pPr>
            <w:r w:rsidRPr="00EB11D3">
              <w:rPr>
                <w:szCs w:val="24"/>
              </w:rPr>
              <w:t>The hospital always take responsibility for their actions</w:t>
            </w:r>
          </w:p>
        </w:tc>
        <w:tc>
          <w:tcPr>
            <w:tcW w:w="1550" w:type="pct"/>
            <w:tcBorders>
              <w:top w:val="single" w:sz="8" w:space="0" w:color="AEAEAE"/>
              <w:left w:val="single" w:sz="8" w:space="0" w:color="E0E0E0"/>
              <w:bottom w:val="single" w:sz="8" w:space="0" w:color="AEAEAE"/>
              <w:right w:val="nil"/>
            </w:tcBorders>
            <w:shd w:val="clear" w:color="auto" w:fill="auto"/>
          </w:tcPr>
          <w:p w14:paraId="0AEA48BE"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0.733</w:t>
            </w:r>
          </w:p>
        </w:tc>
      </w:tr>
      <w:tr w:rsidR="003859C9" w:rsidRPr="00EB11D3" w14:paraId="44019FB4"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585B314A" w14:textId="77777777" w:rsidR="003859C9" w:rsidRPr="00EB11D3" w:rsidRDefault="003859C9" w:rsidP="00356768">
            <w:pPr>
              <w:spacing w:after="160" w:line="240" w:lineRule="auto"/>
              <w:jc w:val="left"/>
              <w:rPr>
                <w:szCs w:val="24"/>
              </w:rPr>
            </w:pPr>
            <w:r w:rsidRPr="00EB11D3">
              <w:rPr>
                <w:szCs w:val="24"/>
              </w:rPr>
              <w:t>Decision making is done through streamlined optimal organisational structure</w:t>
            </w:r>
          </w:p>
        </w:tc>
        <w:tc>
          <w:tcPr>
            <w:tcW w:w="1550" w:type="pct"/>
            <w:tcBorders>
              <w:top w:val="single" w:sz="8" w:space="0" w:color="AEAEAE"/>
              <w:left w:val="single" w:sz="8" w:space="0" w:color="E0E0E0"/>
              <w:bottom w:val="single" w:sz="8" w:space="0" w:color="AEAEAE"/>
              <w:right w:val="nil"/>
            </w:tcBorders>
            <w:shd w:val="clear" w:color="auto" w:fill="auto"/>
          </w:tcPr>
          <w:p w14:paraId="3D7EC969"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0.601</w:t>
            </w:r>
          </w:p>
        </w:tc>
      </w:tr>
      <w:tr w:rsidR="003859C9" w:rsidRPr="00EB11D3" w14:paraId="48C5DF4C"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0D589F13" w14:textId="77777777" w:rsidR="003859C9" w:rsidRPr="00EB11D3" w:rsidRDefault="003859C9" w:rsidP="00356768">
            <w:pPr>
              <w:spacing w:after="160" w:line="240" w:lineRule="auto"/>
              <w:jc w:val="left"/>
              <w:rPr>
                <w:szCs w:val="24"/>
              </w:rPr>
            </w:pPr>
            <w:r w:rsidRPr="00EB11D3">
              <w:rPr>
                <w:szCs w:val="24"/>
              </w:rPr>
              <w:t>Acceptable accounting principles are applied in preparation of financial statements</w:t>
            </w:r>
          </w:p>
        </w:tc>
        <w:tc>
          <w:tcPr>
            <w:tcW w:w="1550" w:type="pct"/>
            <w:tcBorders>
              <w:top w:val="single" w:sz="8" w:space="0" w:color="AEAEAE"/>
              <w:left w:val="single" w:sz="8" w:space="0" w:color="E0E0E0"/>
              <w:bottom w:val="single" w:sz="8" w:space="0" w:color="AEAEAE"/>
              <w:right w:val="nil"/>
            </w:tcBorders>
            <w:shd w:val="clear" w:color="auto" w:fill="auto"/>
          </w:tcPr>
          <w:p w14:paraId="1BDB57D9"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0.729</w:t>
            </w:r>
          </w:p>
        </w:tc>
      </w:tr>
      <w:tr w:rsidR="003859C9" w:rsidRPr="00EB11D3" w14:paraId="3CEF3496"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6A143AAD" w14:textId="77777777" w:rsidR="003859C9" w:rsidRPr="00EB11D3" w:rsidRDefault="003859C9" w:rsidP="00356768">
            <w:pPr>
              <w:spacing w:after="160" w:line="240" w:lineRule="auto"/>
              <w:jc w:val="left"/>
              <w:rPr>
                <w:szCs w:val="24"/>
              </w:rPr>
            </w:pPr>
            <w:r w:rsidRPr="00EB11D3">
              <w:rPr>
                <w:szCs w:val="24"/>
              </w:rPr>
              <w:t>The hospital Board has operational committee to address specific issues.</w:t>
            </w:r>
          </w:p>
        </w:tc>
        <w:tc>
          <w:tcPr>
            <w:tcW w:w="1550" w:type="pct"/>
            <w:tcBorders>
              <w:top w:val="single" w:sz="8" w:space="0" w:color="AEAEAE"/>
              <w:left w:val="single" w:sz="8" w:space="0" w:color="E0E0E0"/>
              <w:bottom w:val="single" w:sz="8" w:space="0" w:color="AEAEAE"/>
              <w:right w:val="nil"/>
            </w:tcBorders>
            <w:shd w:val="clear" w:color="auto" w:fill="auto"/>
          </w:tcPr>
          <w:p w14:paraId="251BF769"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0.705</w:t>
            </w:r>
          </w:p>
        </w:tc>
      </w:tr>
      <w:tr w:rsidR="003859C9" w:rsidRPr="00EB11D3" w14:paraId="2BD7F3AD"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3FC1363C" w14:textId="77777777" w:rsidR="003859C9" w:rsidRPr="00EB11D3" w:rsidRDefault="003859C9" w:rsidP="00356768">
            <w:pPr>
              <w:spacing w:after="160" w:line="240" w:lineRule="auto"/>
              <w:jc w:val="left"/>
              <w:rPr>
                <w:szCs w:val="24"/>
              </w:rPr>
            </w:pPr>
            <w:r w:rsidRPr="00EB11D3">
              <w:rPr>
                <w:szCs w:val="24"/>
              </w:rPr>
              <w:t>The hospital has procedures to assesses the performance of board committees</w:t>
            </w:r>
          </w:p>
        </w:tc>
        <w:tc>
          <w:tcPr>
            <w:tcW w:w="1550" w:type="pct"/>
            <w:tcBorders>
              <w:top w:val="single" w:sz="8" w:space="0" w:color="AEAEAE"/>
              <w:left w:val="single" w:sz="8" w:space="0" w:color="E0E0E0"/>
              <w:bottom w:val="single" w:sz="8" w:space="0" w:color="AEAEAE"/>
              <w:right w:val="nil"/>
            </w:tcBorders>
            <w:shd w:val="clear" w:color="auto" w:fill="auto"/>
          </w:tcPr>
          <w:p w14:paraId="724A6A2B"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0.666</w:t>
            </w:r>
          </w:p>
        </w:tc>
      </w:tr>
      <w:tr w:rsidR="003859C9" w:rsidRPr="00EB11D3" w14:paraId="2A78A035"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16ABF7A9" w14:textId="77777777" w:rsidR="003859C9" w:rsidRPr="00EB11D3" w:rsidRDefault="003859C9" w:rsidP="00356768">
            <w:pPr>
              <w:spacing w:after="160" w:line="240" w:lineRule="auto"/>
              <w:jc w:val="left"/>
              <w:rPr>
                <w:szCs w:val="24"/>
              </w:rPr>
            </w:pPr>
            <w:r w:rsidRPr="00EB11D3">
              <w:rPr>
                <w:szCs w:val="24"/>
              </w:rPr>
              <w:t>The hospital prepares annual audited financial statement</w:t>
            </w:r>
          </w:p>
        </w:tc>
        <w:tc>
          <w:tcPr>
            <w:tcW w:w="1550" w:type="pct"/>
            <w:tcBorders>
              <w:top w:val="single" w:sz="8" w:space="0" w:color="AEAEAE"/>
              <w:left w:val="single" w:sz="8" w:space="0" w:color="E0E0E0"/>
              <w:bottom w:val="single" w:sz="8" w:space="0" w:color="AEAEAE"/>
              <w:right w:val="nil"/>
            </w:tcBorders>
            <w:shd w:val="clear" w:color="auto" w:fill="auto"/>
          </w:tcPr>
          <w:p w14:paraId="5E48D0A1"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0.626</w:t>
            </w:r>
          </w:p>
        </w:tc>
      </w:tr>
      <w:tr w:rsidR="003859C9" w:rsidRPr="00EB11D3" w14:paraId="0CE10A87"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70A6E46C" w14:textId="77777777" w:rsidR="003859C9" w:rsidRPr="00EB11D3" w:rsidRDefault="003859C9" w:rsidP="00356768">
            <w:pPr>
              <w:spacing w:after="160" w:line="240" w:lineRule="auto"/>
              <w:jc w:val="left"/>
              <w:rPr>
                <w:szCs w:val="24"/>
              </w:rPr>
            </w:pPr>
            <w:r w:rsidRPr="00EB11D3">
              <w:rPr>
                <w:szCs w:val="24"/>
              </w:rPr>
              <w:t>The hospital operations are aligned to its Mission</w:t>
            </w:r>
          </w:p>
        </w:tc>
        <w:tc>
          <w:tcPr>
            <w:tcW w:w="1550" w:type="pct"/>
            <w:tcBorders>
              <w:top w:val="single" w:sz="8" w:space="0" w:color="AEAEAE"/>
              <w:left w:val="single" w:sz="8" w:space="0" w:color="E0E0E0"/>
              <w:bottom w:val="single" w:sz="8" w:space="0" w:color="AEAEAE"/>
              <w:right w:val="nil"/>
            </w:tcBorders>
            <w:shd w:val="clear" w:color="auto" w:fill="auto"/>
          </w:tcPr>
          <w:p w14:paraId="4D95F4E6"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0.507</w:t>
            </w:r>
          </w:p>
        </w:tc>
      </w:tr>
      <w:tr w:rsidR="003859C9" w:rsidRPr="00EB11D3" w14:paraId="769847C0"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305D90E5" w14:textId="77777777" w:rsidR="003859C9" w:rsidRPr="00EB11D3" w:rsidRDefault="003859C9" w:rsidP="00356768">
            <w:pPr>
              <w:spacing w:after="160" w:line="240" w:lineRule="auto"/>
              <w:jc w:val="left"/>
              <w:rPr>
                <w:b/>
                <w:szCs w:val="24"/>
              </w:rPr>
            </w:pPr>
            <w:r w:rsidRPr="00EB11D3">
              <w:rPr>
                <w:b/>
                <w:szCs w:val="24"/>
              </w:rPr>
              <w:t xml:space="preserve">Responsibility </w:t>
            </w:r>
          </w:p>
        </w:tc>
        <w:tc>
          <w:tcPr>
            <w:tcW w:w="1550" w:type="pct"/>
            <w:tcBorders>
              <w:top w:val="single" w:sz="8" w:space="0" w:color="AEAEAE"/>
              <w:left w:val="single" w:sz="8" w:space="0" w:color="E0E0E0"/>
              <w:bottom w:val="single" w:sz="8" w:space="0" w:color="AEAEAE"/>
              <w:right w:val="nil"/>
            </w:tcBorders>
            <w:shd w:val="clear" w:color="auto" w:fill="auto"/>
          </w:tcPr>
          <w:p w14:paraId="108C6F58" w14:textId="77777777" w:rsidR="003859C9" w:rsidRPr="00EB11D3" w:rsidRDefault="003859C9" w:rsidP="00356768">
            <w:pPr>
              <w:autoSpaceDE w:val="0"/>
              <w:autoSpaceDN w:val="0"/>
              <w:adjustRightInd w:val="0"/>
              <w:spacing w:after="0" w:line="240" w:lineRule="auto"/>
              <w:ind w:left="60" w:right="60"/>
              <w:jc w:val="right"/>
              <w:rPr>
                <w:szCs w:val="24"/>
              </w:rPr>
            </w:pPr>
          </w:p>
        </w:tc>
      </w:tr>
      <w:tr w:rsidR="003859C9" w:rsidRPr="00EB11D3" w14:paraId="43849A89"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4B058736" w14:textId="77777777" w:rsidR="003859C9" w:rsidRPr="00EB11D3" w:rsidRDefault="003859C9" w:rsidP="00356768">
            <w:pPr>
              <w:spacing w:after="160" w:line="240" w:lineRule="auto"/>
              <w:jc w:val="left"/>
              <w:rPr>
                <w:szCs w:val="24"/>
              </w:rPr>
            </w:pPr>
            <w:r w:rsidRPr="00EB11D3">
              <w:rPr>
                <w:szCs w:val="24"/>
              </w:rPr>
              <w:t>Evaluates the effect of its activities on stakeholders.</w:t>
            </w:r>
          </w:p>
        </w:tc>
        <w:tc>
          <w:tcPr>
            <w:tcW w:w="1550" w:type="pct"/>
            <w:tcBorders>
              <w:top w:val="single" w:sz="8" w:space="0" w:color="AEAEAE"/>
              <w:left w:val="single" w:sz="8" w:space="0" w:color="E0E0E0"/>
              <w:bottom w:val="single" w:sz="8" w:space="0" w:color="AEAEAE"/>
              <w:right w:val="nil"/>
            </w:tcBorders>
            <w:shd w:val="clear" w:color="auto" w:fill="auto"/>
          </w:tcPr>
          <w:p w14:paraId="2E210333"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0.595</w:t>
            </w:r>
          </w:p>
        </w:tc>
      </w:tr>
      <w:tr w:rsidR="003859C9" w:rsidRPr="00EB11D3" w14:paraId="2481346E"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51295FE5" w14:textId="77777777" w:rsidR="003859C9" w:rsidRPr="00EB11D3" w:rsidRDefault="003859C9" w:rsidP="00356768">
            <w:pPr>
              <w:spacing w:after="160" w:line="240" w:lineRule="auto"/>
              <w:jc w:val="left"/>
              <w:rPr>
                <w:szCs w:val="24"/>
              </w:rPr>
            </w:pPr>
            <w:r w:rsidRPr="00EB11D3">
              <w:rPr>
                <w:szCs w:val="24"/>
              </w:rPr>
              <w:t>Has initiated several projects for the benefit of neighboring community</w:t>
            </w:r>
          </w:p>
        </w:tc>
        <w:tc>
          <w:tcPr>
            <w:tcW w:w="1550" w:type="pct"/>
            <w:tcBorders>
              <w:top w:val="single" w:sz="8" w:space="0" w:color="AEAEAE"/>
              <w:left w:val="single" w:sz="8" w:space="0" w:color="E0E0E0"/>
              <w:bottom w:val="single" w:sz="8" w:space="0" w:color="AEAEAE"/>
              <w:right w:val="nil"/>
            </w:tcBorders>
            <w:shd w:val="clear" w:color="auto" w:fill="auto"/>
          </w:tcPr>
          <w:p w14:paraId="3B50C423"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0.625</w:t>
            </w:r>
          </w:p>
        </w:tc>
      </w:tr>
      <w:tr w:rsidR="003859C9" w:rsidRPr="00EB11D3" w14:paraId="2B8FC916"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0BC51EE7" w14:textId="77777777" w:rsidR="003859C9" w:rsidRPr="00EB11D3" w:rsidRDefault="003859C9" w:rsidP="00356768">
            <w:pPr>
              <w:spacing w:after="160" w:line="240" w:lineRule="auto"/>
              <w:jc w:val="left"/>
              <w:rPr>
                <w:szCs w:val="24"/>
              </w:rPr>
            </w:pPr>
            <w:r w:rsidRPr="00EB11D3">
              <w:rPr>
                <w:szCs w:val="24"/>
              </w:rPr>
              <w:t>Offers high quality services access</w:t>
            </w:r>
          </w:p>
        </w:tc>
        <w:tc>
          <w:tcPr>
            <w:tcW w:w="1550" w:type="pct"/>
            <w:tcBorders>
              <w:top w:val="single" w:sz="8" w:space="0" w:color="AEAEAE"/>
              <w:left w:val="single" w:sz="8" w:space="0" w:color="E0E0E0"/>
              <w:bottom w:val="single" w:sz="8" w:space="0" w:color="AEAEAE"/>
              <w:right w:val="nil"/>
            </w:tcBorders>
            <w:shd w:val="clear" w:color="auto" w:fill="auto"/>
          </w:tcPr>
          <w:p w14:paraId="243F4D93"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0.554</w:t>
            </w:r>
          </w:p>
        </w:tc>
      </w:tr>
      <w:tr w:rsidR="003859C9" w:rsidRPr="00EB11D3" w14:paraId="68533060"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46220BD0" w14:textId="77777777" w:rsidR="003859C9" w:rsidRPr="00EB11D3" w:rsidRDefault="003859C9" w:rsidP="00356768">
            <w:pPr>
              <w:spacing w:after="160" w:line="240" w:lineRule="auto"/>
              <w:jc w:val="left"/>
              <w:rPr>
                <w:szCs w:val="24"/>
              </w:rPr>
            </w:pPr>
            <w:r w:rsidRPr="00EB11D3">
              <w:rPr>
                <w:szCs w:val="24"/>
              </w:rPr>
              <w:t>Pays its suppliers on a timely manner</w:t>
            </w:r>
          </w:p>
        </w:tc>
        <w:tc>
          <w:tcPr>
            <w:tcW w:w="1550" w:type="pct"/>
            <w:tcBorders>
              <w:top w:val="single" w:sz="8" w:space="0" w:color="AEAEAE"/>
              <w:left w:val="single" w:sz="8" w:space="0" w:color="E0E0E0"/>
              <w:bottom w:val="single" w:sz="8" w:space="0" w:color="AEAEAE"/>
              <w:right w:val="nil"/>
            </w:tcBorders>
            <w:shd w:val="clear" w:color="auto" w:fill="auto"/>
          </w:tcPr>
          <w:p w14:paraId="232BF498"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0.712</w:t>
            </w:r>
          </w:p>
        </w:tc>
      </w:tr>
      <w:tr w:rsidR="003859C9" w:rsidRPr="00EB11D3" w14:paraId="7ED7D4ED"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5A73C5D0" w14:textId="77777777" w:rsidR="003859C9" w:rsidRPr="00EB11D3" w:rsidRDefault="003859C9" w:rsidP="00356768">
            <w:pPr>
              <w:spacing w:after="160" w:line="240" w:lineRule="auto"/>
              <w:jc w:val="left"/>
              <w:rPr>
                <w:szCs w:val="24"/>
              </w:rPr>
            </w:pPr>
            <w:r w:rsidRPr="00EB11D3">
              <w:rPr>
                <w:szCs w:val="24"/>
              </w:rPr>
              <w:t>Always ensures adherence to governing regulations</w:t>
            </w:r>
          </w:p>
        </w:tc>
        <w:tc>
          <w:tcPr>
            <w:tcW w:w="1550" w:type="pct"/>
            <w:tcBorders>
              <w:top w:val="single" w:sz="8" w:space="0" w:color="AEAEAE"/>
              <w:left w:val="single" w:sz="8" w:space="0" w:color="E0E0E0"/>
              <w:bottom w:val="single" w:sz="8" w:space="0" w:color="AEAEAE"/>
              <w:right w:val="nil"/>
            </w:tcBorders>
            <w:shd w:val="clear" w:color="auto" w:fill="auto"/>
          </w:tcPr>
          <w:p w14:paraId="2678AED4"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0.602</w:t>
            </w:r>
          </w:p>
        </w:tc>
      </w:tr>
      <w:tr w:rsidR="003859C9" w:rsidRPr="00EB11D3" w14:paraId="267FABF4"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3910871A" w14:textId="77777777" w:rsidR="003859C9" w:rsidRPr="00EB11D3" w:rsidRDefault="003859C9" w:rsidP="00356768">
            <w:pPr>
              <w:spacing w:after="160" w:line="240" w:lineRule="auto"/>
              <w:jc w:val="left"/>
              <w:rPr>
                <w:szCs w:val="24"/>
              </w:rPr>
            </w:pPr>
            <w:r w:rsidRPr="00EB11D3">
              <w:rPr>
                <w:szCs w:val="24"/>
              </w:rPr>
              <w:t>Board ensures adherence to ethical practices</w:t>
            </w:r>
          </w:p>
        </w:tc>
        <w:tc>
          <w:tcPr>
            <w:tcW w:w="1550" w:type="pct"/>
            <w:tcBorders>
              <w:top w:val="single" w:sz="8" w:space="0" w:color="AEAEAE"/>
              <w:left w:val="single" w:sz="8" w:space="0" w:color="E0E0E0"/>
              <w:bottom w:val="single" w:sz="8" w:space="0" w:color="AEAEAE"/>
              <w:right w:val="nil"/>
            </w:tcBorders>
            <w:shd w:val="clear" w:color="auto" w:fill="auto"/>
          </w:tcPr>
          <w:p w14:paraId="4A1BC5CA"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0.548</w:t>
            </w:r>
          </w:p>
        </w:tc>
      </w:tr>
      <w:tr w:rsidR="003859C9" w:rsidRPr="00EB11D3" w14:paraId="07555929"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0AF473C1" w14:textId="77777777" w:rsidR="003859C9" w:rsidRPr="00EB11D3" w:rsidRDefault="003859C9" w:rsidP="00356768">
            <w:pPr>
              <w:spacing w:after="160" w:line="240" w:lineRule="auto"/>
              <w:jc w:val="left"/>
              <w:rPr>
                <w:szCs w:val="24"/>
              </w:rPr>
            </w:pPr>
            <w:r w:rsidRPr="00EB11D3">
              <w:rPr>
                <w:szCs w:val="24"/>
              </w:rPr>
              <w:t>Board conducts annual performance evaluation to its senior staff.</w:t>
            </w:r>
          </w:p>
        </w:tc>
        <w:tc>
          <w:tcPr>
            <w:tcW w:w="1550" w:type="pct"/>
            <w:tcBorders>
              <w:top w:val="single" w:sz="8" w:space="0" w:color="AEAEAE"/>
              <w:left w:val="single" w:sz="8" w:space="0" w:color="E0E0E0"/>
              <w:bottom w:val="single" w:sz="8" w:space="0" w:color="AEAEAE"/>
              <w:right w:val="nil"/>
            </w:tcBorders>
            <w:shd w:val="clear" w:color="auto" w:fill="auto"/>
          </w:tcPr>
          <w:p w14:paraId="5F096ADC"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0.620</w:t>
            </w:r>
          </w:p>
        </w:tc>
      </w:tr>
      <w:tr w:rsidR="003859C9" w:rsidRPr="00EB11D3" w14:paraId="3F77C515"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704A2833" w14:textId="77777777" w:rsidR="003859C9" w:rsidRPr="00EB11D3" w:rsidRDefault="003859C9" w:rsidP="00356768">
            <w:pPr>
              <w:spacing w:after="160" w:line="240" w:lineRule="auto"/>
              <w:jc w:val="left"/>
              <w:rPr>
                <w:b/>
                <w:szCs w:val="24"/>
              </w:rPr>
            </w:pPr>
            <w:r w:rsidRPr="00EB11D3">
              <w:rPr>
                <w:b/>
                <w:szCs w:val="24"/>
              </w:rPr>
              <w:t xml:space="preserve">Board composition </w:t>
            </w:r>
          </w:p>
        </w:tc>
        <w:tc>
          <w:tcPr>
            <w:tcW w:w="1550" w:type="pct"/>
            <w:tcBorders>
              <w:top w:val="single" w:sz="8" w:space="0" w:color="AEAEAE"/>
              <w:left w:val="single" w:sz="8" w:space="0" w:color="E0E0E0"/>
              <w:bottom w:val="single" w:sz="8" w:space="0" w:color="AEAEAE"/>
              <w:right w:val="nil"/>
            </w:tcBorders>
            <w:shd w:val="clear" w:color="auto" w:fill="auto"/>
          </w:tcPr>
          <w:p w14:paraId="67F5101B" w14:textId="77777777" w:rsidR="003859C9" w:rsidRPr="00EB11D3" w:rsidRDefault="003859C9" w:rsidP="00356768">
            <w:pPr>
              <w:autoSpaceDE w:val="0"/>
              <w:autoSpaceDN w:val="0"/>
              <w:adjustRightInd w:val="0"/>
              <w:spacing w:after="0" w:line="240" w:lineRule="auto"/>
              <w:ind w:left="60" w:right="60"/>
              <w:jc w:val="right"/>
              <w:rPr>
                <w:szCs w:val="24"/>
              </w:rPr>
            </w:pPr>
          </w:p>
        </w:tc>
      </w:tr>
      <w:tr w:rsidR="003859C9" w:rsidRPr="00EB11D3" w14:paraId="40A801B0"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70D09855" w14:textId="77777777" w:rsidR="003859C9" w:rsidRPr="00EB11D3" w:rsidRDefault="003859C9" w:rsidP="00356768">
            <w:pPr>
              <w:spacing w:after="160" w:line="240" w:lineRule="auto"/>
              <w:jc w:val="left"/>
              <w:rPr>
                <w:szCs w:val="24"/>
              </w:rPr>
            </w:pPr>
            <w:r w:rsidRPr="00EB11D3">
              <w:rPr>
                <w:szCs w:val="24"/>
              </w:rPr>
              <w:t>Board membership have diverse academic skill set</w:t>
            </w:r>
          </w:p>
        </w:tc>
        <w:tc>
          <w:tcPr>
            <w:tcW w:w="1550" w:type="pct"/>
            <w:tcBorders>
              <w:top w:val="single" w:sz="8" w:space="0" w:color="AEAEAE"/>
              <w:left w:val="single" w:sz="8" w:space="0" w:color="E0E0E0"/>
              <w:bottom w:val="single" w:sz="8" w:space="0" w:color="AEAEAE"/>
              <w:right w:val="nil"/>
            </w:tcBorders>
            <w:shd w:val="clear" w:color="auto" w:fill="auto"/>
          </w:tcPr>
          <w:p w14:paraId="0D70EFB1"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0.641</w:t>
            </w:r>
          </w:p>
        </w:tc>
      </w:tr>
      <w:tr w:rsidR="003859C9" w:rsidRPr="00EB11D3" w14:paraId="5757957A"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0855931C" w14:textId="77777777" w:rsidR="003859C9" w:rsidRPr="00EB11D3" w:rsidRDefault="003859C9" w:rsidP="00356768">
            <w:pPr>
              <w:spacing w:after="160" w:line="240" w:lineRule="auto"/>
              <w:jc w:val="left"/>
              <w:rPr>
                <w:szCs w:val="24"/>
              </w:rPr>
            </w:pPr>
            <w:r w:rsidRPr="00EB11D3">
              <w:rPr>
                <w:szCs w:val="24"/>
              </w:rPr>
              <w:t>The hospital board has functional board sub-committees</w:t>
            </w:r>
          </w:p>
        </w:tc>
        <w:tc>
          <w:tcPr>
            <w:tcW w:w="1550" w:type="pct"/>
            <w:tcBorders>
              <w:top w:val="single" w:sz="8" w:space="0" w:color="AEAEAE"/>
              <w:left w:val="single" w:sz="8" w:space="0" w:color="E0E0E0"/>
              <w:bottom w:val="single" w:sz="8" w:space="0" w:color="AEAEAE"/>
              <w:right w:val="nil"/>
            </w:tcBorders>
            <w:shd w:val="clear" w:color="auto" w:fill="auto"/>
          </w:tcPr>
          <w:p w14:paraId="55F9484D"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0.543</w:t>
            </w:r>
          </w:p>
        </w:tc>
      </w:tr>
      <w:tr w:rsidR="003859C9" w:rsidRPr="00EB11D3" w14:paraId="1601E0D3"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560E4B8D" w14:textId="77777777" w:rsidR="003859C9" w:rsidRPr="00EB11D3" w:rsidRDefault="003859C9" w:rsidP="00356768">
            <w:pPr>
              <w:spacing w:after="160" w:line="240" w:lineRule="auto"/>
              <w:jc w:val="left"/>
              <w:rPr>
                <w:szCs w:val="24"/>
              </w:rPr>
            </w:pPr>
            <w:r w:rsidRPr="00EB11D3">
              <w:rPr>
                <w:szCs w:val="24"/>
              </w:rPr>
              <w:t>Board members maintain independence in decision making.</w:t>
            </w:r>
          </w:p>
        </w:tc>
        <w:tc>
          <w:tcPr>
            <w:tcW w:w="1550" w:type="pct"/>
            <w:tcBorders>
              <w:top w:val="single" w:sz="8" w:space="0" w:color="AEAEAE"/>
              <w:left w:val="single" w:sz="8" w:space="0" w:color="E0E0E0"/>
              <w:bottom w:val="single" w:sz="8" w:space="0" w:color="AEAEAE"/>
              <w:right w:val="nil"/>
            </w:tcBorders>
            <w:shd w:val="clear" w:color="auto" w:fill="auto"/>
          </w:tcPr>
          <w:p w14:paraId="7D753F14"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0.644</w:t>
            </w:r>
          </w:p>
        </w:tc>
      </w:tr>
      <w:tr w:rsidR="003859C9" w:rsidRPr="00EB11D3" w14:paraId="2BC3ED60"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611AAA2F" w14:textId="77777777" w:rsidR="003859C9" w:rsidRPr="00EB11D3" w:rsidRDefault="003859C9" w:rsidP="00356768">
            <w:pPr>
              <w:spacing w:after="160" w:line="240" w:lineRule="auto"/>
              <w:jc w:val="left"/>
              <w:rPr>
                <w:szCs w:val="24"/>
              </w:rPr>
            </w:pPr>
            <w:r w:rsidRPr="00EB11D3">
              <w:rPr>
                <w:szCs w:val="24"/>
              </w:rPr>
              <w:t>Board membership has diversity</w:t>
            </w:r>
          </w:p>
        </w:tc>
        <w:tc>
          <w:tcPr>
            <w:tcW w:w="1550" w:type="pct"/>
            <w:tcBorders>
              <w:top w:val="single" w:sz="8" w:space="0" w:color="AEAEAE"/>
              <w:left w:val="single" w:sz="8" w:space="0" w:color="E0E0E0"/>
              <w:bottom w:val="single" w:sz="8" w:space="0" w:color="AEAEAE"/>
              <w:right w:val="nil"/>
            </w:tcBorders>
            <w:shd w:val="clear" w:color="auto" w:fill="auto"/>
          </w:tcPr>
          <w:p w14:paraId="56FFBB5E"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0.625</w:t>
            </w:r>
          </w:p>
        </w:tc>
      </w:tr>
      <w:tr w:rsidR="003859C9" w:rsidRPr="00EB11D3" w14:paraId="56F96579"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167648C1" w14:textId="77777777" w:rsidR="003859C9" w:rsidRPr="00EB11D3" w:rsidRDefault="003859C9" w:rsidP="00356768">
            <w:pPr>
              <w:spacing w:after="160" w:line="240" w:lineRule="auto"/>
              <w:jc w:val="left"/>
              <w:rPr>
                <w:szCs w:val="24"/>
              </w:rPr>
            </w:pPr>
            <w:r w:rsidRPr="00EB11D3">
              <w:rPr>
                <w:szCs w:val="24"/>
              </w:rPr>
              <w:t>Board members have relevant expertise to add value to the hospital operations</w:t>
            </w:r>
          </w:p>
        </w:tc>
        <w:tc>
          <w:tcPr>
            <w:tcW w:w="1550" w:type="pct"/>
            <w:tcBorders>
              <w:top w:val="single" w:sz="8" w:space="0" w:color="AEAEAE"/>
              <w:left w:val="single" w:sz="8" w:space="0" w:color="E0E0E0"/>
              <w:bottom w:val="single" w:sz="8" w:space="0" w:color="AEAEAE"/>
              <w:right w:val="nil"/>
            </w:tcBorders>
            <w:shd w:val="clear" w:color="auto" w:fill="auto"/>
          </w:tcPr>
          <w:p w14:paraId="52D1D586"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0.676</w:t>
            </w:r>
          </w:p>
        </w:tc>
      </w:tr>
      <w:tr w:rsidR="003859C9" w:rsidRPr="00EB11D3" w14:paraId="5C227C9B"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38B6AD19" w14:textId="77777777" w:rsidR="003859C9" w:rsidRPr="00EB11D3" w:rsidRDefault="003859C9" w:rsidP="00356768">
            <w:pPr>
              <w:spacing w:after="160" w:line="240" w:lineRule="auto"/>
              <w:jc w:val="left"/>
              <w:rPr>
                <w:szCs w:val="24"/>
              </w:rPr>
            </w:pPr>
            <w:r w:rsidRPr="00EB11D3">
              <w:rPr>
                <w:szCs w:val="24"/>
              </w:rPr>
              <w:t>The hospital conducts training for board members on their duties</w:t>
            </w:r>
          </w:p>
        </w:tc>
        <w:tc>
          <w:tcPr>
            <w:tcW w:w="1550" w:type="pct"/>
            <w:tcBorders>
              <w:top w:val="single" w:sz="8" w:space="0" w:color="AEAEAE"/>
              <w:left w:val="single" w:sz="8" w:space="0" w:color="E0E0E0"/>
              <w:bottom w:val="single" w:sz="8" w:space="0" w:color="AEAEAE"/>
              <w:right w:val="nil"/>
            </w:tcBorders>
            <w:shd w:val="clear" w:color="auto" w:fill="auto"/>
          </w:tcPr>
          <w:p w14:paraId="531B5F43"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0.544</w:t>
            </w:r>
          </w:p>
        </w:tc>
      </w:tr>
      <w:tr w:rsidR="003859C9" w:rsidRPr="00EB11D3" w14:paraId="65A0C97D" w14:textId="77777777" w:rsidTr="00007E09">
        <w:trPr>
          <w:cantSplit/>
        </w:trPr>
        <w:tc>
          <w:tcPr>
            <w:tcW w:w="3450" w:type="pct"/>
            <w:tcBorders>
              <w:top w:val="single" w:sz="8" w:space="0" w:color="AEAEAE"/>
              <w:left w:val="nil"/>
              <w:bottom w:val="single" w:sz="8" w:space="0" w:color="152935"/>
              <w:right w:val="nil"/>
            </w:tcBorders>
            <w:shd w:val="clear" w:color="auto" w:fill="auto"/>
          </w:tcPr>
          <w:p w14:paraId="32133C66" w14:textId="77777777" w:rsidR="003859C9" w:rsidRPr="00EB11D3" w:rsidRDefault="003859C9" w:rsidP="00356768">
            <w:pPr>
              <w:spacing w:after="160" w:line="240" w:lineRule="auto"/>
              <w:jc w:val="left"/>
              <w:rPr>
                <w:szCs w:val="24"/>
              </w:rPr>
            </w:pPr>
            <w:r w:rsidRPr="00EB11D3">
              <w:rPr>
                <w:szCs w:val="24"/>
              </w:rPr>
              <w:t>The hospital has board self-assessment tools</w:t>
            </w:r>
          </w:p>
        </w:tc>
        <w:tc>
          <w:tcPr>
            <w:tcW w:w="1550" w:type="pct"/>
            <w:tcBorders>
              <w:top w:val="single" w:sz="8" w:space="0" w:color="AEAEAE"/>
              <w:left w:val="single" w:sz="8" w:space="0" w:color="E0E0E0"/>
              <w:bottom w:val="single" w:sz="8" w:space="0" w:color="152935"/>
              <w:right w:val="nil"/>
            </w:tcBorders>
            <w:shd w:val="clear" w:color="auto" w:fill="auto"/>
          </w:tcPr>
          <w:p w14:paraId="2700D2B9" w14:textId="77777777" w:rsidR="003859C9" w:rsidRPr="00EB11D3" w:rsidRDefault="003859C9" w:rsidP="00356768">
            <w:pPr>
              <w:autoSpaceDE w:val="0"/>
              <w:autoSpaceDN w:val="0"/>
              <w:adjustRightInd w:val="0"/>
              <w:spacing w:after="0" w:line="240" w:lineRule="auto"/>
              <w:ind w:left="60" w:right="60"/>
              <w:jc w:val="right"/>
              <w:rPr>
                <w:szCs w:val="24"/>
              </w:rPr>
            </w:pPr>
            <w:r w:rsidRPr="00EB11D3">
              <w:rPr>
                <w:szCs w:val="24"/>
              </w:rPr>
              <w:t>0.589</w:t>
            </w:r>
          </w:p>
        </w:tc>
      </w:tr>
    </w:tbl>
    <w:p w14:paraId="645EA8C9" w14:textId="77777777" w:rsidR="003859C9" w:rsidRPr="00EB11D3" w:rsidRDefault="003859C9" w:rsidP="003859C9">
      <w:pPr>
        <w:autoSpaceDE w:val="0"/>
        <w:autoSpaceDN w:val="0"/>
        <w:adjustRightInd w:val="0"/>
        <w:spacing w:after="0" w:line="400" w:lineRule="atLeast"/>
        <w:jc w:val="left"/>
        <w:rPr>
          <w:szCs w:val="24"/>
        </w:rPr>
      </w:pPr>
    </w:p>
    <w:p w14:paraId="1E7E01D6" w14:textId="77777777" w:rsidR="003859C9" w:rsidRPr="00EB11D3" w:rsidRDefault="00DE4144" w:rsidP="003859C9">
      <w:pPr>
        <w:shd w:val="clear" w:color="auto" w:fill="FFFFFF"/>
        <w:spacing w:after="160" w:line="360" w:lineRule="auto"/>
        <w:rPr>
          <w:rFonts w:eastAsia="Cambria"/>
          <w:szCs w:val="24"/>
        </w:rPr>
      </w:pPr>
      <w:r w:rsidRPr="00DE4144">
        <w:rPr>
          <w:rFonts w:eastAsia="Cambria"/>
          <w:szCs w:val="24"/>
        </w:rPr>
        <w:t>Factor loading with Eigen values more than 0.5 need to be extracted, while values smaller than 0.5 ought to be disregarded (Mabert et al., 2003). All of the sub</w:t>
      </w:r>
      <w:r>
        <w:rPr>
          <w:rFonts w:eastAsia="Cambria"/>
          <w:szCs w:val="24"/>
        </w:rPr>
        <w:t xml:space="preserve"> </w:t>
      </w:r>
      <w:r w:rsidRPr="00DE4144">
        <w:rPr>
          <w:rFonts w:eastAsia="Cambria"/>
          <w:szCs w:val="24"/>
        </w:rPr>
        <w:t>variables under corporate governance were accepted as their values were higher than 0.5.</w:t>
      </w:r>
    </w:p>
    <w:p w14:paraId="631927E9" w14:textId="77777777" w:rsidR="003859C9" w:rsidRPr="00EB11D3" w:rsidRDefault="003859C9" w:rsidP="00823CEA">
      <w:pPr>
        <w:pStyle w:val="Heading4"/>
      </w:pPr>
      <w:r w:rsidRPr="00EB11D3">
        <w:t>4.</w:t>
      </w:r>
      <w:r w:rsidR="00D71EA0" w:rsidRPr="00EB11D3">
        <w:t>4</w:t>
      </w:r>
      <w:r w:rsidRPr="00EB11D3">
        <w:t xml:space="preserve">.4.2 Factor Analysis for Service Innovation </w:t>
      </w:r>
    </w:p>
    <w:p w14:paraId="571D0630"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Factor analysis was carried out on the statements of service innovation. According to Tabachinick and Fidell (2007), factor loading of 0.45 as fair measure of real-life data. Table 19 shows the factor loading for service innovation.</w:t>
      </w:r>
    </w:p>
    <w:p w14:paraId="0F833289" w14:textId="77777777" w:rsidR="003859C9" w:rsidRPr="00EB11D3" w:rsidRDefault="003859C9" w:rsidP="003859C9">
      <w:pPr>
        <w:keepNext/>
        <w:shd w:val="clear" w:color="auto" w:fill="FFFFFF"/>
        <w:spacing w:after="0" w:line="240" w:lineRule="auto"/>
        <w:jc w:val="left"/>
        <w:rPr>
          <w:rFonts w:eastAsia="Times New Roman"/>
          <w:b/>
          <w:bCs/>
          <w:szCs w:val="24"/>
        </w:rPr>
      </w:pPr>
      <w:bookmarkStart w:id="743" w:name="_Toc100987971"/>
      <w:bookmarkStart w:id="744" w:name="_Toc126666754"/>
      <w:bookmarkStart w:id="745" w:name="_Toc177387950"/>
      <w:r w:rsidRPr="00EB11D3">
        <w:rPr>
          <w:rFonts w:eastAsia="Times New Roman"/>
          <w:b/>
          <w:bCs/>
          <w:szCs w:val="24"/>
        </w:rPr>
        <w:t xml:space="preserve">Table </w:t>
      </w:r>
      <w:r w:rsidRPr="00EB11D3">
        <w:rPr>
          <w:rFonts w:eastAsia="Times New Roman"/>
          <w:b/>
          <w:bCs/>
          <w:szCs w:val="24"/>
        </w:rPr>
        <w:fldChar w:fldCharType="begin"/>
      </w:r>
      <w:r w:rsidRPr="00EB11D3">
        <w:rPr>
          <w:rFonts w:eastAsia="Times New Roman"/>
          <w:b/>
          <w:bCs/>
          <w:szCs w:val="24"/>
        </w:rPr>
        <w:instrText xml:space="preserve"> SEQ Table \* ARABIC </w:instrText>
      </w:r>
      <w:r w:rsidRPr="00EB11D3">
        <w:rPr>
          <w:rFonts w:eastAsia="Times New Roman"/>
          <w:b/>
          <w:bCs/>
          <w:szCs w:val="24"/>
        </w:rPr>
        <w:fldChar w:fldCharType="separate"/>
      </w:r>
      <w:r w:rsidRPr="00EB11D3">
        <w:rPr>
          <w:rFonts w:eastAsia="Times New Roman"/>
          <w:b/>
          <w:bCs/>
          <w:noProof/>
          <w:szCs w:val="24"/>
        </w:rPr>
        <w:t>19</w:t>
      </w:r>
      <w:r w:rsidRPr="00EB11D3">
        <w:rPr>
          <w:rFonts w:eastAsia="Times New Roman"/>
          <w:b/>
          <w:bCs/>
          <w:szCs w:val="24"/>
        </w:rPr>
        <w:fldChar w:fldCharType="end"/>
      </w:r>
      <w:r w:rsidRPr="00EB11D3">
        <w:rPr>
          <w:rFonts w:eastAsia="Times New Roman"/>
          <w:b/>
          <w:bCs/>
          <w:szCs w:val="24"/>
        </w:rPr>
        <w:t xml:space="preserve">: Factor Loading for </w:t>
      </w:r>
      <w:bookmarkEnd w:id="743"/>
      <w:bookmarkEnd w:id="744"/>
      <w:r w:rsidRPr="00EB11D3">
        <w:rPr>
          <w:rFonts w:eastAsia="Times New Roman"/>
          <w:b/>
          <w:bCs/>
          <w:szCs w:val="24"/>
        </w:rPr>
        <w:t>Service Innovation</w:t>
      </w:r>
      <w:bookmarkEnd w:id="745"/>
    </w:p>
    <w:p w14:paraId="3736761B" w14:textId="77777777" w:rsidR="003859C9" w:rsidRPr="00EB11D3" w:rsidRDefault="003859C9" w:rsidP="003859C9">
      <w:pPr>
        <w:autoSpaceDE w:val="0"/>
        <w:autoSpaceDN w:val="0"/>
        <w:adjustRightInd w:val="0"/>
        <w:spacing w:after="0" w:line="240" w:lineRule="auto"/>
        <w:jc w:val="left"/>
        <w:rPr>
          <w:szCs w:val="24"/>
        </w:rPr>
      </w:pPr>
    </w:p>
    <w:tbl>
      <w:tblPr>
        <w:tblW w:w="5000" w:type="pct"/>
        <w:tblCellMar>
          <w:left w:w="0" w:type="dxa"/>
          <w:right w:w="0" w:type="dxa"/>
        </w:tblCellMar>
        <w:tblLook w:val="0000" w:firstRow="0" w:lastRow="0" w:firstColumn="0" w:lastColumn="0" w:noHBand="0" w:noVBand="0"/>
      </w:tblPr>
      <w:tblGrid>
        <w:gridCol w:w="6458"/>
        <w:gridCol w:w="2902"/>
      </w:tblGrid>
      <w:tr w:rsidR="003859C9" w:rsidRPr="00EB11D3" w14:paraId="3655EB74" w14:textId="77777777" w:rsidTr="00007E09">
        <w:trPr>
          <w:cantSplit/>
        </w:trPr>
        <w:tc>
          <w:tcPr>
            <w:tcW w:w="3450" w:type="pct"/>
            <w:tcBorders>
              <w:top w:val="nil"/>
              <w:left w:val="nil"/>
              <w:bottom w:val="single" w:sz="8" w:space="0" w:color="152935"/>
              <w:right w:val="nil"/>
            </w:tcBorders>
            <w:shd w:val="clear" w:color="auto" w:fill="FFFFFF"/>
            <w:vAlign w:val="bottom"/>
          </w:tcPr>
          <w:p w14:paraId="3F5DB676" w14:textId="77777777" w:rsidR="003859C9" w:rsidRPr="007B6CE5" w:rsidRDefault="00356768" w:rsidP="00FB4FD5">
            <w:pPr>
              <w:autoSpaceDE w:val="0"/>
              <w:autoSpaceDN w:val="0"/>
              <w:adjustRightInd w:val="0"/>
              <w:spacing w:after="0" w:line="360" w:lineRule="auto"/>
              <w:jc w:val="center"/>
              <w:rPr>
                <w:b/>
                <w:bCs/>
                <w:szCs w:val="24"/>
              </w:rPr>
            </w:pPr>
            <w:r w:rsidRPr="007B6CE5">
              <w:rPr>
                <w:b/>
                <w:bCs/>
                <w:szCs w:val="24"/>
              </w:rPr>
              <w:t>Statement</w:t>
            </w:r>
          </w:p>
        </w:tc>
        <w:tc>
          <w:tcPr>
            <w:tcW w:w="1550" w:type="pct"/>
            <w:tcBorders>
              <w:top w:val="nil"/>
              <w:left w:val="single" w:sz="8" w:space="0" w:color="E0E0E0"/>
              <w:bottom w:val="single" w:sz="8" w:space="0" w:color="152935"/>
              <w:right w:val="nil"/>
            </w:tcBorders>
            <w:shd w:val="clear" w:color="auto" w:fill="FFFFFF"/>
            <w:vAlign w:val="bottom"/>
          </w:tcPr>
          <w:p w14:paraId="092D9FBE" w14:textId="77777777" w:rsidR="003859C9" w:rsidRPr="007B6CE5" w:rsidRDefault="003859C9" w:rsidP="00FB4FD5">
            <w:pPr>
              <w:spacing w:after="0" w:line="360" w:lineRule="auto"/>
              <w:jc w:val="right"/>
              <w:rPr>
                <w:b/>
                <w:bCs/>
                <w:szCs w:val="24"/>
              </w:rPr>
            </w:pPr>
            <w:r w:rsidRPr="007B6CE5">
              <w:rPr>
                <w:b/>
                <w:bCs/>
                <w:szCs w:val="24"/>
              </w:rPr>
              <w:t>Extraction</w:t>
            </w:r>
          </w:p>
        </w:tc>
      </w:tr>
      <w:tr w:rsidR="003859C9" w:rsidRPr="00EB11D3" w14:paraId="3D5DFE27" w14:textId="77777777" w:rsidTr="00007E09">
        <w:trPr>
          <w:cantSplit/>
        </w:trPr>
        <w:tc>
          <w:tcPr>
            <w:tcW w:w="3450" w:type="pct"/>
            <w:tcBorders>
              <w:top w:val="single" w:sz="8" w:space="0" w:color="152935"/>
              <w:left w:val="nil"/>
              <w:bottom w:val="single" w:sz="8" w:space="0" w:color="AEAEAE"/>
              <w:right w:val="nil"/>
            </w:tcBorders>
            <w:shd w:val="clear" w:color="auto" w:fill="auto"/>
          </w:tcPr>
          <w:p w14:paraId="19369A28" w14:textId="77777777" w:rsidR="003859C9" w:rsidRPr="00EB11D3" w:rsidRDefault="003859C9" w:rsidP="003859C9">
            <w:pPr>
              <w:spacing w:after="160" w:line="259" w:lineRule="auto"/>
              <w:jc w:val="left"/>
              <w:rPr>
                <w:b/>
                <w:szCs w:val="24"/>
              </w:rPr>
            </w:pPr>
            <w:r w:rsidRPr="00EB11D3">
              <w:rPr>
                <w:b/>
                <w:szCs w:val="24"/>
              </w:rPr>
              <w:t>Diversification of Services</w:t>
            </w:r>
          </w:p>
        </w:tc>
        <w:tc>
          <w:tcPr>
            <w:tcW w:w="1550" w:type="pct"/>
            <w:tcBorders>
              <w:top w:val="single" w:sz="8" w:space="0" w:color="152935"/>
              <w:left w:val="single" w:sz="8" w:space="0" w:color="E0E0E0"/>
              <w:bottom w:val="single" w:sz="8" w:space="0" w:color="AEAEAE"/>
              <w:right w:val="nil"/>
            </w:tcBorders>
            <w:shd w:val="clear" w:color="auto" w:fill="auto"/>
          </w:tcPr>
          <w:p w14:paraId="5EC4C247" w14:textId="77777777" w:rsidR="003859C9" w:rsidRPr="00EB11D3" w:rsidRDefault="003859C9" w:rsidP="003859C9">
            <w:pPr>
              <w:autoSpaceDE w:val="0"/>
              <w:autoSpaceDN w:val="0"/>
              <w:adjustRightInd w:val="0"/>
              <w:spacing w:after="0" w:line="320" w:lineRule="atLeast"/>
              <w:ind w:left="60" w:right="60"/>
              <w:jc w:val="right"/>
              <w:rPr>
                <w:szCs w:val="24"/>
              </w:rPr>
            </w:pPr>
          </w:p>
        </w:tc>
      </w:tr>
      <w:tr w:rsidR="003859C9" w:rsidRPr="00EB11D3" w14:paraId="43EEE368" w14:textId="77777777" w:rsidTr="00007E09">
        <w:trPr>
          <w:cantSplit/>
        </w:trPr>
        <w:tc>
          <w:tcPr>
            <w:tcW w:w="3450" w:type="pct"/>
            <w:tcBorders>
              <w:top w:val="single" w:sz="8" w:space="0" w:color="152935"/>
              <w:left w:val="nil"/>
              <w:bottom w:val="single" w:sz="8" w:space="0" w:color="AEAEAE"/>
              <w:right w:val="nil"/>
            </w:tcBorders>
            <w:shd w:val="clear" w:color="auto" w:fill="auto"/>
          </w:tcPr>
          <w:p w14:paraId="59EBE845" w14:textId="77777777" w:rsidR="003859C9" w:rsidRPr="00EB11D3" w:rsidRDefault="003859C9" w:rsidP="003859C9">
            <w:pPr>
              <w:spacing w:after="160" w:line="259" w:lineRule="auto"/>
              <w:jc w:val="left"/>
              <w:rPr>
                <w:szCs w:val="24"/>
              </w:rPr>
            </w:pPr>
            <w:r w:rsidRPr="00EB11D3">
              <w:rPr>
                <w:szCs w:val="24"/>
              </w:rPr>
              <w:t>The hospital continuously improves the access to a variety of primary care services</w:t>
            </w:r>
          </w:p>
        </w:tc>
        <w:tc>
          <w:tcPr>
            <w:tcW w:w="1550" w:type="pct"/>
            <w:tcBorders>
              <w:top w:val="single" w:sz="8" w:space="0" w:color="152935"/>
              <w:left w:val="single" w:sz="8" w:space="0" w:color="E0E0E0"/>
              <w:bottom w:val="single" w:sz="8" w:space="0" w:color="AEAEAE"/>
              <w:right w:val="nil"/>
            </w:tcBorders>
            <w:shd w:val="clear" w:color="auto" w:fill="auto"/>
          </w:tcPr>
          <w:p w14:paraId="4A3A918E"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0.553</w:t>
            </w:r>
          </w:p>
        </w:tc>
      </w:tr>
      <w:tr w:rsidR="003859C9" w:rsidRPr="00EB11D3" w14:paraId="166B2482"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3E96D90F" w14:textId="77777777" w:rsidR="003859C9" w:rsidRPr="00EB11D3" w:rsidRDefault="003859C9" w:rsidP="003859C9">
            <w:pPr>
              <w:spacing w:after="160" w:line="259" w:lineRule="auto"/>
              <w:jc w:val="left"/>
              <w:rPr>
                <w:szCs w:val="24"/>
              </w:rPr>
            </w:pPr>
            <w:r w:rsidRPr="00EB11D3">
              <w:rPr>
                <w:szCs w:val="24"/>
              </w:rPr>
              <w:t>The hospital has specialized healthcare clinics for addressing specific health need of our clients.</w:t>
            </w:r>
          </w:p>
        </w:tc>
        <w:tc>
          <w:tcPr>
            <w:tcW w:w="1550" w:type="pct"/>
            <w:tcBorders>
              <w:top w:val="single" w:sz="8" w:space="0" w:color="AEAEAE"/>
              <w:left w:val="single" w:sz="8" w:space="0" w:color="E0E0E0"/>
              <w:bottom w:val="single" w:sz="8" w:space="0" w:color="AEAEAE"/>
              <w:right w:val="nil"/>
            </w:tcBorders>
            <w:shd w:val="clear" w:color="auto" w:fill="auto"/>
          </w:tcPr>
          <w:p w14:paraId="3C11EAD8"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0.703</w:t>
            </w:r>
          </w:p>
        </w:tc>
      </w:tr>
      <w:tr w:rsidR="003859C9" w:rsidRPr="00EB11D3" w14:paraId="0F30EC24"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27644002" w14:textId="77777777" w:rsidR="003859C9" w:rsidRPr="00EB11D3" w:rsidRDefault="003859C9" w:rsidP="003859C9">
            <w:pPr>
              <w:spacing w:after="160" w:line="259" w:lineRule="auto"/>
              <w:jc w:val="left"/>
              <w:rPr>
                <w:szCs w:val="24"/>
              </w:rPr>
            </w:pPr>
            <w:r w:rsidRPr="00EB11D3">
              <w:rPr>
                <w:szCs w:val="24"/>
              </w:rPr>
              <w:t>The hospital promotes participation in wellness programs offered by healthcare providers</w:t>
            </w:r>
          </w:p>
        </w:tc>
        <w:tc>
          <w:tcPr>
            <w:tcW w:w="1550" w:type="pct"/>
            <w:tcBorders>
              <w:top w:val="single" w:sz="8" w:space="0" w:color="AEAEAE"/>
              <w:left w:val="single" w:sz="8" w:space="0" w:color="E0E0E0"/>
              <w:bottom w:val="single" w:sz="8" w:space="0" w:color="AEAEAE"/>
              <w:right w:val="nil"/>
            </w:tcBorders>
            <w:shd w:val="clear" w:color="auto" w:fill="auto"/>
          </w:tcPr>
          <w:p w14:paraId="4BF849B8"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0.736</w:t>
            </w:r>
          </w:p>
        </w:tc>
      </w:tr>
      <w:tr w:rsidR="003859C9" w:rsidRPr="00EB11D3" w14:paraId="52207D03"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62DFE1D0" w14:textId="77777777" w:rsidR="003859C9" w:rsidRPr="00EB11D3" w:rsidRDefault="003859C9" w:rsidP="003859C9">
            <w:pPr>
              <w:spacing w:after="160" w:line="259" w:lineRule="auto"/>
              <w:jc w:val="left"/>
              <w:rPr>
                <w:szCs w:val="24"/>
              </w:rPr>
            </w:pPr>
            <w:r w:rsidRPr="00EB11D3">
              <w:rPr>
                <w:szCs w:val="24"/>
              </w:rPr>
              <w:t>The hospital practices home healthcare services for patient well-being.</w:t>
            </w:r>
          </w:p>
        </w:tc>
        <w:tc>
          <w:tcPr>
            <w:tcW w:w="1550" w:type="pct"/>
            <w:tcBorders>
              <w:top w:val="single" w:sz="8" w:space="0" w:color="AEAEAE"/>
              <w:left w:val="single" w:sz="8" w:space="0" w:color="E0E0E0"/>
              <w:bottom w:val="single" w:sz="8" w:space="0" w:color="AEAEAE"/>
              <w:right w:val="nil"/>
            </w:tcBorders>
            <w:shd w:val="clear" w:color="auto" w:fill="auto"/>
          </w:tcPr>
          <w:p w14:paraId="41E6E65E"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0.671</w:t>
            </w:r>
          </w:p>
        </w:tc>
      </w:tr>
      <w:tr w:rsidR="003859C9" w:rsidRPr="00EB11D3" w14:paraId="5BE446E7"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4368C643" w14:textId="77777777" w:rsidR="003859C9" w:rsidRPr="00EB11D3" w:rsidRDefault="003859C9" w:rsidP="003859C9">
            <w:pPr>
              <w:spacing w:after="160" w:line="259" w:lineRule="auto"/>
              <w:jc w:val="left"/>
              <w:rPr>
                <w:szCs w:val="24"/>
              </w:rPr>
            </w:pPr>
            <w:r w:rsidRPr="00EB11D3">
              <w:rPr>
                <w:szCs w:val="24"/>
              </w:rPr>
              <w:t>The hospital management promotes use telemedicine services.</w:t>
            </w:r>
          </w:p>
        </w:tc>
        <w:tc>
          <w:tcPr>
            <w:tcW w:w="1550" w:type="pct"/>
            <w:tcBorders>
              <w:top w:val="single" w:sz="8" w:space="0" w:color="AEAEAE"/>
              <w:left w:val="single" w:sz="8" w:space="0" w:color="E0E0E0"/>
              <w:bottom w:val="single" w:sz="8" w:space="0" w:color="AEAEAE"/>
              <w:right w:val="nil"/>
            </w:tcBorders>
            <w:shd w:val="clear" w:color="auto" w:fill="auto"/>
          </w:tcPr>
          <w:p w14:paraId="258AE0F1"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0.749</w:t>
            </w:r>
          </w:p>
        </w:tc>
      </w:tr>
      <w:tr w:rsidR="003859C9" w:rsidRPr="00EB11D3" w14:paraId="67C023F1"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5F810573" w14:textId="77777777" w:rsidR="003859C9" w:rsidRPr="00EB11D3" w:rsidRDefault="003859C9" w:rsidP="003859C9">
            <w:pPr>
              <w:spacing w:after="160" w:line="259" w:lineRule="auto"/>
              <w:jc w:val="left"/>
              <w:rPr>
                <w:szCs w:val="24"/>
              </w:rPr>
            </w:pPr>
            <w:r w:rsidRPr="00EB11D3">
              <w:rPr>
                <w:szCs w:val="24"/>
              </w:rPr>
              <w:t>The hospital management introduces new specialty services can cater to specific healthcare needs within the community.</w:t>
            </w:r>
          </w:p>
        </w:tc>
        <w:tc>
          <w:tcPr>
            <w:tcW w:w="1550" w:type="pct"/>
            <w:tcBorders>
              <w:top w:val="single" w:sz="8" w:space="0" w:color="AEAEAE"/>
              <w:left w:val="single" w:sz="8" w:space="0" w:color="E0E0E0"/>
              <w:bottom w:val="single" w:sz="8" w:space="0" w:color="AEAEAE"/>
              <w:right w:val="nil"/>
            </w:tcBorders>
            <w:shd w:val="clear" w:color="auto" w:fill="auto"/>
          </w:tcPr>
          <w:p w14:paraId="73BAFE71"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0.611</w:t>
            </w:r>
          </w:p>
        </w:tc>
      </w:tr>
      <w:tr w:rsidR="003859C9" w:rsidRPr="00EB11D3" w14:paraId="0F2A9988"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512FCE29" w14:textId="77777777" w:rsidR="003859C9" w:rsidRPr="00EB11D3" w:rsidRDefault="003859C9" w:rsidP="003859C9">
            <w:pPr>
              <w:spacing w:after="160" w:line="259" w:lineRule="auto"/>
              <w:jc w:val="left"/>
              <w:rPr>
                <w:szCs w:val="24"/>
              </w:rPr>
            </w:pPr>
            <w:r w:rsidRPr="00EB11D3">
              <w:rPr>
                <w:szCs w:val="24"/>
              </w:rPr>
              <w:t>The hospital actively engages with the community through health education outreaches raising awareness about various health issues</w:t>
            </w:r>
          </w:p>
        </w:tc>
        <w:tc>
          <w:tcPr>
            <w:tcW w:w="1550" w:type="pct"/>
            <w:tcBorders>
              <w:top w:val="single" w:sz="8" w:space="0" w:color="AEAEAE"/>
              <w:left w:val="single" w:sz="8" w:space="0" w:color="E0E0E0"/>
              <w:bottom w:val="single" w:sz="8" w:space="0" w:color="AEAEAE"/>
              <w:right w:val="nil"/>
            </w:tcBorders>
            <w:shd w:val="clear" w:color="auto" w:fill="auto"/>
          </w:tcPr>
          <w:p w14:paraId="3204CD2B"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0.562</w:t>
            </w:r>
          </w:p>
          <w:p w14:paraId="7D3FAF07" w14:textId="77777777" w:rsidR="003859C9" w:rsidRPr="00EB11D3" w:rsidRDefault="003859C9" w:rsidP="003859C9">
            <w:pPr>
              <w:autoSpaceDE w:val="0"/>
              <w:autoSpaceDN w:val="0"/>
              <w:adjustRightInd w:val="0"/>
              <w:spacing w:after="0" w:line="320" w:lineRule="atLeast"/>
              <w:ind w:left="60" w:right="60"/>
              <w:jc w:val="right"/>
              <w:rPr>
                <w:szCs w:val="24"/>
              </w:rPr>
            </w:pPr>
          </w:p>
        </w:tc>
      </w:tr>
      <w:tr w:rsidR="003859C9" w:rsidRPr="00EB11D3" w14:paraId="7B7E917F"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70509ECA" w14:textId="77777777" w:rsidR="003859C9" w:rsidRPr="00EB11D3" w:rsidRDefault="003859C9" w:rsidP="003859C9">
            <w:pPr>
              <w:spacing w:after="160" w:line="259" w:lineRule="auto"/>
              <w:jc w:val="left"/>
              <w:rPr>
                <w:szCs w:val="24"/>
              </w:rPr>
            </w:pPr>
            <w:r w:rsidRPr="00EB11D3">
              <w:rPr>
                <w:b/>
                <w:bCs/>
                <w:szCs w:val="24"/>
              </w:rPr>
              <w:t>Technological Integration</w:t>
            </w:r>
          </w:p>
        </w:tc>
        <w:tc>
          <w:tcPr>
            <w:tcW w:w="1550" w:type="pct"/>
            <w:tcBorders>
              <w:top w:val="single" w:sz="8" w:space="0" w:color="AEAEAE"/>
              <w:left w:val="single" w:sz="8" w:space="0" w:color="E0E0E0"/>
              <w:bottom w:val="single" w:sz="8" w:space="0" w:color="AEAEAE"/>
              <w:right w:val="nil"/>
            </w:tcBorders>
            <w:shd w:val="clear" w:color="auto" w:fill="auto"/>
          </w:tcPr>
          <w:p w14:paraId="5FE8A7E9" w14:textId="77777777" w:rsidR="003859C9" w:rsidRPr="00EB11D3" w:rsidRDefault="003859C9" w:rsidP="003859C9">
            <w:pPr>
              <w:autoSpaceDE w:val="0"/>
              <w:autoSpaceDN w:val="0"/>
              <w:adjustRightInd w:val="0"/>
              <w:spacing w:after="0" w:line="320" w:lineRule="atLeast"/>
              <w:ind w:left="60" w:right="60"/>
              <w:jc w:val="right"/>
              <w:rPr>
                <w:szCs w:val="24"/>
              </w:rPr>
            </w:pPr>
          </w:p>
        </w:tc>
      </w:tr>
      <w:tr w:rsidR="003859C9" w:rsidRPr="00EB11D3" w14:paraId="13488515"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41A0BF01" w14:textId="77777777" w:rsidR="003859C9" w:rsidRPr="00EB11D3" w:rsidRDefault="003859C9" w:rsidP="003859C9">
            <w:pPr>
              <w:spacing w:after="160" w:line="259" w:lineRule="auto"/>
              <w:jc w:val="left"/>
              <w:rPr>
                <w:szCs w:val="24"/>
              </w:rPr>
            </w:pPr>
            <w:r w:rsidRPr="00EB11D3">
              <w:rPr>
                <w:szCs w:val="24"/>
              </w:rPr>
              <w:t>The Hospital functional has Health Management Information System (HMIS) in place</w:t>
            </w:r>
          </w:p>
        </w:tc>
        <w:tc>
          <w:tcPr>
            <w:tcW w:w="1550" w:type="pct"/>
            <w:tcBorders>
              <w:top w:val="single" w:sz="8" w:space="0" w:color="AEAEAE"/>
              <w:left w:val="single" w:sz="8" w:space="0" w:color="E0E0E0"/>
              <w:bottom w:val="single" w:sz="8" w:space="0" w:color="AEAEAE"/>
              <w:right w:val="nil"/>
            </w:tcBorders>
            <w:shd w:val="clear" w:color="auto" w:fill="auto"/>
          </w:tcPr>
          <w:p w14:paraId="4ECC6B98"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0.709</w:t>
            </w:r>
          </w:p>
        </w:tc>
      </w:tr>
      <w:tr w:rsidR="003859C9" w:rsidRPr="00EB11D3" w14:paraId="77F9717A"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60262874" w14:textId="77777777" w:rsidR="003859C9" w:rsidRPr="00EB11D3" w:rsidRDefault="003859C9" w:rsidP="003859C9">
            <w:pPr>
              <w:spacing w:after="160" w:line="259" w:lineRule="auto"/>
              <w:jc w:val="left"/>
              <w:rPr>
                <w:szCs w:val="24"/>
              </w:rPr>
            </w:pPr>
            <w:r w:rsidRPr="00EB11D3">
              <w:rPr>
                <w:szCs w:val="24"/>
              </w:rPr>
              <w:t>HMIS effectively facilitates quick access of patient data.</w:t>
            </w:r>
          </w:p>
        </w:tc>
        <w:tc>
          <w:tcPr>
            <w:tcW w:w="1550" w:type="pct"/>
            <w:tcBorders>
              <w:top w:val="single" w:sz="8" w:space="0" w:color="AEAEAE"/>
              <w:left w:val="single" w:sz="8" w:space="0" w:color="E0E0E0"/>
              <w:bottom w:val="single" w:sz="8" w:space="0" w:color="AEAEAE"/>
              <w:right w:val="nil"/>
            </w:tcBorders>
            <w:shd w:val="clear" w:color="auto" w:fill="auto"/>
          </w:tcPr>
          <w:p w14:paraId="32EAE254"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0.683</w:t>
            </w:r>
          </w:p>
        </w:tc>
      </w:tr>
      <w:tr w:rsidR="003859C9" w:rsidRPr="00EB11D3" w14:paraId="282D0410"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378341AB" w14:textId="77777777" w:rsidR="003859C9" w:rsidRPr="00EB11D3" w:rsidRDefault="003859C9" w:rsidP="003859C9">
            <w:pPr>
              <w:spacing w:after="160" w:line="259" w:lineRule="auto"/>
              <w:jc w:val="left"/>
              <w:rPr>
                <w:szCs w:val="24"/>
              </w:rPr>
            </w:pPr>
            <w:r w:rsidRPr="00EB11D3">
              <w:rPr>
                <w:szCs w:val="24"/>
              </w:rPr>
              <w:t>Electronic Health Information Exchange effectively facilitates the transfer of patient data to the referral institutions.</w:t>
            </w:r>
          </w:p>
        </w:tc>
        <w:tc>
          <w:tcPr>
            <w:tcW w:w="1550" w:type="pct"/>
            <w:tcBorders>
              <w:top w:val="single" w:sz="8" w:space="0" w:color="AEAEAE"/>
              <w:left w:val="single" w:sz="8" w:space="0" w:color="E0E0E0"/>
              <w:bottom w:val="single" w:sz="8" w:space="0" w:color="AEAEAE"/>
              <w:right w:val="nil"/>
            </w:tcBorders>
            <w:shd w:val="clear" w:color="auto" w:fill="auto"/>
          </w:tcPr>
          <w:p w14:paraId="417B09A0"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0.758</w:t>
            </w:r>
          </w:p>
        </w:tc>
      </w:tr>
      <w:tr w:rsidR="003859C9" w:rsidRPr="00EB11D3" w14:paraId="69F947DA"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6201917C" w14:textId="77777777" w:rsidR="003859C9" w:rsidRPr="00EB11D3" w:rsidRDefault="003859C9" w:rsidP="003859C9">
            <w:pPr>
              <w:spacing w:after="160" w:line="259" w:lineRule="auto"/>
              <w:jc w:val="left"/>
              <w:rPr>
                <w:szCs w:val="24"/>
              </w:rPr>
            </w:pPr>
            <w:r w:rsidRPr="00EB11D3">
              <w:rPr>
                <w:szCs w:val="24"/>
              </w:rPr>
              <w:t>There is a single database containing data from multiple data sources from different department in the hospital.</w:t>
            </w:r>
          </w:p>
        </w:tc>
        <w:tc>
          <w:tcPr>
            <w:tcW w:w="1550" w:type="pct"/>
            <w:tcBorders>
              <w:top w:val="single" w:sz="8" w:space="0" w:color="AEAEAE"/>
              <w:left w:val="single" w:sz="8" w:space="0" w:color="E0E0E0"/>
              <w:bottom w:val="single" w:sz="8" w:space="0" w:color="AEAEAE"/>
              <w:right w:val="nil"/>
            </w:tcBorders>
            <w:shd w:val="clear" w:color="auto" w:fill="auto"/>
          </w:tcPr>
          <w:p w14:paraId="71371A4F"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0.686</w:t>
            </w:r>
          </w:p>
        </w:tc>
      </w:tr>
      <w:tr w:rsidR="003859C9" w:rsidRPr="00EB11D3" w14:paraId="537F272A"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1B46597A" w14:textId="77777777" w:rsidR="003859C9" w:rsidRPr="00EB11D3" w:rsidRDefault="003859C9" w:rsidP="003859C9">
            <w:pPr>
              <w:spacing w:after="160" w:line="259" w:lineRule="auto"/>
              <w:jc w:val="left"/>
              <w:rPr>
                <w:szCs w:val="24"/>
              </w:rPr>
            </w:pPr>
            <w:r w:rsidRPr="00EB11D3">
              <w:rPr>
                <w:szCs w:val="24"/>
              </w:rPr>
              <w:t>The hospital has systems in place to practices telemedicine consultation</w:t>
            </w:r>
          </w:p>
        </w:tc>
        <w:tc>
          <w:tcPr>
            <w:tcW w:w="1550" w:type="pct"/>
            <w:tcBorders>
              <w:top w:val="single" w:sz="8" w:space="0" w:color="AEAEAE"/>
              <w:left w:val="single" w:sz="8" w:space="0" w:color="E0E0E0"/>
              <w:bottom w:val="single" w:sz="8" w:space="0" w:color="AEAEAE"/>
              <w:right w:val="nil"/>
            </w:tcBorders>
            <w:shd w:val="clear" w:color="auto" w:fill="auto"/>
          </w:tcPr>
          <w:p w14:paraId="74E36AA5"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0.690</w:t>
            </w:r>
          </w:p>
        </w:tc>
      </w:tr>
      <w:tr w:rsidR="003859C9" w:rsidRPr="00EB11D3" w14:paraId="7FF4016F"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500E4D66" w14:textId="77777777" w:rsidR="003859C9" w:rsidRPr="00EB11D3" w:rsidRDefault="003859C9" w:rsidP="003859C9">
            <w:pPr>
              <w:spacing w:after="160" w:line="259" w:lineRule="auto"/>
              <w:jc w:val="left"/>
              <w:rPr>
                <w:szCs w:val="24"/>
              </w:rPr>
            </w:pPr>
            <w:r w:rsidRPr="00EB11D3">
              <w:rPr>
                <w:szCs w:val="24"/>
              </w:rPr>
              <w:t>The hospital makes sure that the various health programmes' subsystems are integrated.</w:t>
            </w:r>
          </w:p>
        </w:tc>
        <w:tc>
          <w:tcPr>
            <w:tcW w:w="1550" w:type="pct"/>
            <w:tcBorders>
              <w:top w:val="single" w:sz="8" w:space="0" w:color="AEAEAE"/>
              <w:left w:val="single" w:sz="8" w:space="0" w:color="E0E0E0"/>
              <w:bottom w:val="single" w:sz="8" w:space="0" w:color="AEAEAE"/>
              <w:right w:val="nil"/>
            </w:tcBorders>
            <w:shd w:val="clear" w:color="auto" w:fill="auto"/>
          </w:tcPr>
          <w:p w14:paraId="4FBC2569"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0.656</w:t>
            </w:r>
          </w:p>
        </w:tc>
      </w:tr>
      <w:tr w:rsidR="003859C9" w:rsidRPr="00EB11D3" w14:paraId="190B0F85"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4EE80CCA" w14:textId="77777777" w:rsidR="003859C9" w:rsidRPr="00EB11D3" w:rsidRDefault="003859C9" w:rsidP="003859C9">
            <w:pPr>
              <w:spacing w:after="160" w:line="259" w:lineRule="auto"/>
              <w:jc w:val="left"/>
              <w:rPr>
                <w:szCs w:val="24"/>
              </w:rPr>
            </w:pPr>
            <w:r w:rsidRPr="00EB11D3">
              <w:rPr>
                <w:szCs w:val="24"/>
              </w:rPr>
              <w:t>Technical support is given by management to guarantee timely reports.</w:t>
            </w:r>
          </w:p>
        </w:tc>
        <w:tc>
          <w:tcPr>
            <w:tcW w:w="1550" w:type="pct"/>
            <w:tcBorders>
              <w:top w:val="single" w:sz="8" w:space="0" w:color="AEAEAE"/>
              <w:left w:val="single" w:sz="8" w:space="0" w:color="E0E0E0"/>
              <w:bottom w:val="single" w:sz="8" w:space="0" w:color="AEAEAE"/>
              <w:right w:val="nil"/>
            </w:tcBorders>
            <w:shd w:val="clear" w:color="auto" w:fill="auto"/>
          </w:tcPr>
          <w:p w14:paraId="373F78D3"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0.617</w:t>
            </w:r>
          </w:p>
        </w:tc>
      </w:tr>
      <w:tr w:rsidR="003859C9" w:rsidRPr="00EB11D3" w14:paraId="4D40EB6D"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585F2520" w14:textId="77777777" w:rsidR="003859C9" w:rsidRPr="00EB11D3" w:rsidRDefault="003859C9" w:rsidP="003859C9">
            <w:pPr>
              <w:spacing w:after="160" w:line="259" w:lineRule="auto"/>
              <w:jc w:val="left"/>
              <w:rPr>
                <w:szCs w:val="24"/>
              </w:rPr>
            </w:pPr>
            <w:r w:rsidRPr="00EB11D3">
              <w:rPr>
                <w:b/>
                <w:bCs/>
                <w:szCs w:val="24"/>
              </w:rPr>
              <w:t>Process Improvement</w:t>
            </w:r>
          </w:p>
        </w:tc>
        <w:tc>
          <w:tcPr>
            <w:tcW w:w="1550" w:type="pct"/>
            <w:tcBorders>
              <w:top w:val="single" w:sz="8" w:space="0" w:color="AEAEAE"/>
              <w:left w:val="single" w:sz="8" w:space="0" w:color="E0E0E0"/>
              <w:bottom w:val="single" w:sz="8" w:space="0" w:color="AEAEAE"/>
              <w:right w:val="nil"/>
            </w:tcBorders>
            <w:shd w:val="clear" w:color="auto" w:fill="auto"/>
          </w:tcPr>
          <w:p w14:paraId="55202539" w14:textId="77777777" w:rsidR="003859C9" w:rsidRPr="00EB11D3" w:rsidRDefault="003859C9" w:rsidP="003859C9">
            <w:pPr>
              <w:autoSpaceDE w:val="0"/>
              <w:autoSpaceDN w:val="0"/>
              <w:adjustRightInd w:val="0"/>
              <w:spacing w:after="0" w:line="320" w:lineRule="atLeast"/>
              <w:ind w:left="60" w:right="60"/>
              <w:jc w:val="right"/>
              <w:rPr>
                <w:szCs w:val="24"/>
              </w:rPr>
            </w:pPr>
          </w:p>
        </w:tc>
      </w:tr>
      <w:tr w:rsidR="003859C9" w:rsidRPr="00EB11D3" w14:paraId="54B6428B"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4E9487C4" w14:textId="77777777" w:rsidR="003859C9" w:rsidRPr="00EB11D3" w:rsidRDefault="003859C9" w:rsidP="003859C9">
            <w:pPr>
              <w:spacing w:after="160" w:line="259" w:lineRule="auto"/>
              <w:jc w:val="left"/>
              <w:rPr>
                <w:szCs w:val="24"/>
              </w:rPr>
            </w:pPr>
            <w:r w:rsidRPr="00EB11D3">
              <w:rPr>
                <w:szCs w:val="24"/>
              </w:rPr>
              <w:t>The hospital undertakes improvements in service operations aimed at operational efficiency</w:t>
            </w:r>
          </w:p>
        </w:tc>
        <w:tc>
          <w:tcPr>
            <w:tcW w:w="1550" w:type="pct"/>
            <w:tcBorders>
              <w:top w:val="single" w:sz="8" w:space="0" w:color="AEAEAE"/>
              <w:left w:val="single" w:sz="8" w:space="0" w:color="E0E0E0"/>
              <w:bottom w:val="single" w:sz="8" w:space="0" w:color="AEAEAE"/>
              <w:right w:val="nil"/>
            </w:tcBorders>
            <w:shd w:val="clear" w:color="auto" w:fill="auto"/>
          </w:tcPr>
          <w:p w14:paraId="33295BDF"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0.630</w:t>
            </w:r>
          </w:p>
        </w:tc>
      </w:tr>
      <w:tr w:rsidR="003859C9" w:rsidRPr="00EB11D3" w14:paraId="4A10D005"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6F23A1BD" w14:textId="77777777" w:rsidR="003859C9" w:rsidRPr="00EB11D3" w:rsidRDefault="003859C9" w:rsidP="003859C9">
            <w:pPr>
              <w:spacing w:after="160" w:line="259" w:lineRule="auto"/>
              <w:jc w:val="left"/>
              <w:rPr>
                <w:szCs w:val="24"/>
              </w:rPr>
            </w:pPr>
            <w:r w:rsidRPr="00EB11D3">
              <w:rPr>
                <w:szCs w:val="24"/>
              </w:rPr>
              <w:t>The hospital continually aims at improving the accuracy of diagnoses</w:t>
            </w:r>
          </w:p>
        </w:tc>
        <w:tc>
          <w:tcPr>
            <w:tcW w:w="1550" w:type="pct"/>
            <w:tcBorders>
              <w:top w:val="single" w:sz="8" w:space="0" w:color="AEAEAE"/>
              <w:left w:val="single" w:sz="8" w:space="0" w:color="E0E0E0"/>
              <w:bottom w:val="single" w:sz="8" w:space="0" w:color="AEAEAE"/>
              <w:right w:val="nil"/>
            </w:tcBorders>
            <w:shd w:val="clear" w:color="auto" w:fill="auto"/>
          </w:tcPr>
          <w:p w14:paraId="4500C84B"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0.613</w:t>
            </w:r>
          </w:p>
        </w:tc>
      </w:tr>
      <w:tr w:rsidR="003859C9" w:rsidRPr="00EB11D3" w14:paraId="4E4AF4DB"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02092371" w14:textId="77777777" w:rsidR="003859C9" w:rsidRPr="00EB11D3" w:rsidRDefault="003859C9" w:rsidP="003859C9">
            <w:pPr>
              <w:spacing w:after="160" w:line="259" w:lineRule="auto"/>
              <w:jc w:val="left"/>
              <w:rPr>
                <w:szCs w:val="24"/>
              </w:rPr>
            </w:pPr>
            <w:r w:rsidRPr="00EB11D3">
              <w:rPr>
                <w:szCs w:val="24"/>
              </w:rPr>
              <w:t>The hospital promotes Standardization of procedures and protocols to reduce variability in patient care</w:t>
            </w:r>
          </w:p>
        </w:tc>
        <w:tc>
          <w:tcPr>
            <w:tcW w:w="1550" w:type="pct"/>
            <w:tcBorders>
              <w:top w:val="single" w:sz="8" w:space="0" w:color="AEAEAE"/>
              <w:left w:val="single" w:sz="8" w:space="0" w:color="E0E0E0"/>
              <w:bottom w:val="single" w:sz="8" w:space="0" w:color="AEAEAE"/>
              <w:right w:val="nil"/>
            </w:tcBorders>
            <w:shd w:val="clear" w:color="auto" w:fill="auto"/>
          </w:tcPr>
          <w:p w14:paraId="33A14E70"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0.554</w:t>
            </w:r>
          </w:p>
        </w:tc>
      </w:tr>
      <w:tr w:rsidR="003859C9" w:rsidRPr="00EB11D3" w14:paraId="37E830BC"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2CA0620E" w14:textId="77777777" w:rsidR="003859C9" w:rsidRPr="00EB11D3" w:rsidRDefault="003859C9" w:rsidP="003859C9">
            <w:pPr>
              <w:spacing w:after="160" w:line="259" w:lineRule="auto"/>
              <w:jc w:val="left"/>
              <w:rPr>
                <w:szCs w:val="24"/>
              </w:rPr>
            </w:pPr>
            <w:r w:rsidRPr="00EB11D3">
              <w:rPr>
                <w:szCs w:val="24"/>
              </w:rPr>
              <w:t>Regularly harnesses innovation capabilities to fit the present innovations.</w:t>
            </w:r>
          </w:p>
        </w:tc>
        <w:tc>
          <w:tcPr>
            <w:tcW w:w="1550" w:type="pct"/>
            <w:tcBorders>
              <w:top w:val="single" w:sz="8" w:space="0" w:color="AEAEAE"/>
              <w:left w:val="single" w:sz="8" w:space="0" w:color="E0E0E0"/>
              <w:bottom w:val="single" w:sz="8" w:space="0" w:color="AEAEAE"/>
              <w:right w:val="nil"/>
            </w:tcBorders>
            <w:shd w:val="clear" w:color="auto" w:fill="auto"/>
          </w:tcPr>
          <w:p w14:paraId="1FDE8D87"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0.726</w:t>
            </w:r>
          </w:p>
        </w:tc>
      </w:tr>
      <w:tr w:rsidR="003859C9" w:rsidRPr="00EB11D3" w14:paraId="30DF7224"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61A27B14" w14:textId="77777777" w:rsidR="003859C9" w:rsidRPr="00EB11D3" w:rsidRDefault="003859C9" w:rsidP="003859C9">
            <w:pPr>
              <w:spacing w:after="160" w:line="259" w:lineRule="auto"/>
              <w:jc w:val="left"/>
              <w:rPr>
                <w:szCs w:val="24"/>
              </w:rPr>
            </w:pPr>
            <w:r w:rsidRPr="00EB11D3">
              <w:rPr>
                <w:szCs w:val="24"/>
              </w:rPr>
              <w:t>Undertakes continuous Research and Development on healthcare services</w:t>
            </w:r>
          </w:p>
        </w:tc>
        <w:tc>
          <w:tcPr>
            <w:tcW w:w="1550" w:type="pct"/>
            <w:tcBorders>
              <w:top w:val="single" w:sz="8" w:space="0" w:color="AEAEAE"/>
              <w:left w:val="single" w:sz="8" w:space="0" w:color="E0E0E0"/>
              <w:bottom w:val="single" w:sz="8" w:space="0" w:color="AEAEAE"/>
              <w:right w:val="nil"/>
            </w:tcBorders>
            <w:shd w:val="clear" w:color="auto" w:fill="auto"/>
          </w:tcPr>
          <w:p w14:paraId="3158A5DA"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0.710</w:t>
            </w:r>
          </w:p>
        </w:tc>
      </w:tr>
      <w:tr w:rsidR="003859C9" w:rsidRPr="00EB11D3" w14:paraId="68AC473B"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072A8FAC" w14:textId="77777777" w:rsidR="003859C9" w:rsidRPr="00EB11D3" w:rsidRDefault="003859C9" w:rsidP="003859C9">
            <w:pPr>
              <w:spacing w:after="160" w:line="259" w:lineRule="auto"/>
              <w:jc w:val="left"/>
              <w:rPr>
                <w:szCs w:val="24"/>
              </w:rPr>
            </w:pPr>
            <w:r w:rsidRPr="00EB11D3">
              <w:rPr>
                <w:szCs w:val="24"/>
              </w:rPr>
              <w:t>Engages innovative support service systems that leverage on the trending technology</w:t>
            </w:r>
          </w:p>
        </w:tc>
        <w:tc>
          <w:tcPr>
            <w:tcW w:w="1550" w:type="pct"/>
            <w:tcBorders>
              <w:top w:val="single" w:sz="8" w:space="0" w:color="AEAEAE"/>
              <w:left w:val="single" w:sz="8" w:space="0" w:color="E0E0E0"/>
              <w:bottom w:val="single" w:sz="8" w:space="0" w:color="AEAEAE"/>
              <w:right w:val="nil"/>
            </w:tcBorders>
            <w:shd w:val="clear" w:color="auto" w:fill="auto"/>
          </w:tcPr>
          <w:p w14:paraId="06D65CA1"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0.661</w:t>
            </w:r>
          </w:p>
        </w:tc>
      </w:tr>
      <w:tr w:rsidR="003859C9" w:rsidRPr="00EB11D3" w14:paraId="0002D719"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34358BDC" w14:textId="77777777" w:rsidR="003859C9" w:rsidRPr="00EB11D3" w:rsidRDefault="003859C9" w:rsidP="003859C9">
            <w:pPr>
              <w:spacing w:after="160" w:line="259" w:lineRule="auto"/>
              <w:jc w:val="left"/>
              <w:rPr>
                <w:szCs w:val="24"/>
              </w:rPr>
            </w:pPr>
            <w:r w:rsidRPr="00EB11D3">
              <w:rPr>
                <w:szCs w:val="24"/>
              </w:rPr>
              <w:t>Adopts new technologies in the healthcare service delivery</w:t>
            </w:r>
          </w:p>
        </w:tc>
        <w:tc>
          <w:tcPr>
            <w:tcW w:w="1550" w:type="pct"/>
            <w:tcBorders>
              <w:top w:val="single" w:sz="8" w:space="0" w:color="AEAEAE"/>
              <w:left w:val="single" w:sz="8" w:space="0" w:color="E0E0E0"/>
              <w:bottom w:val="single" w:sz="8" w:space="0" w:color="AEAEAE"/>
              <w:right w:val="nil"/>
            </w:tcBorders>
            <w:shd w:val="clear" w:color="auto" w:fill="auto"/>
          </w:tcPr>
          <w:p w14:paraId="05434035"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0.748</w:t>
            </w:r>
          </w:p>
        </w:tc>
      </w:tr>
      <w:tr w:rsidR="003859C9" w:rsidRPr="00EB11D3" w14:paraId="0ACDD430"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08028325" w14:textId="77777777" w:rsidR="003859C9" w:rsidRPr="00EB11D3" w:rsidRDefault="003859C9" w:rsidP="003859C9">
            <w:pPr>
              <w:spacing w:after="160" w:line="259" w:lineRule="auto"/>
              <w:jc w:val="left"/>
              <w:rPr>
                <w:b/>
                <w:szCs w:val="24"/>
              </w:rPr>
            </w:pPr>
            <w:r w:rsidRPr="00EB11D3">
              <w:rPr>
                <w:b/>
                <w:szCs w:val="24"/>
              </w:rPr>
              <w:t>Customer-centric Services</w:t>
            </w:r>
          </w:p>
        </w:tc>
        <w:tc>
          <w:tcPr>
            <w:tcW w:w="1550" w:type="pct"/>
            <w:tcBorders>
              <w:top w:val="single" w:sz="8" w:space="0" w:color="AEAEAE"/>
              <w:left w:val="single" w:sz="8" w:space="0" w:color="E0E0E0"/>
              <w:bottom w:val="single" w:sz="8" w:space="0" w:color="AEAEAE"/>
              <w:right w:val="nil"/>
            </w:tcBorders>
            <w:shd w:val="clear" w:color="auto" w:fill="auto"/>
          </w:tcPr>
          <w:p w14:paraId="636DEA99" w14:textId="77777777" w:rsidR="003859C9" w:rsidRPr="00EB11D3" w:rsidRDefault="003859C9" w:rsidP="003859C9">
            <w:pPr>
              <w:autoSpaceDE w:val="0"/>
              <w:autoSpaceDN w:val="0"/>
              <w:adjustRightInd w:val="0"/>
              <w:spacing w:after="0" w:line="320" w:lineRule="atLeast"/>
              <w:ind w:left="60" w:right="60"/>
              <w:jc w:val="right"/>
              <w:rPr>
                <w:szCs w:val="24"/>
              </w:rPr>
            </w:pPr>
          </w:p>
        </w:tc>
      </w:tr>
      <w:tr w:rsidR="003859C9" w:rsidRPr="00EB11D3" w14:paraId="417A3C99"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1551DF53" w14:textId="77777777" w:rsidR="003859C9" w:rsidRPr="00EB11D3" w:rsidRDefault="003859C9" w:rsidP="003859C9">
            <w:pPr>
              <w:spacing w:after="160" w:line="259" w:lineRule="auto"/>
              <w:jc w:val="left"/>
              <w:rPr>
                <w:szCs w:val="24"/>
              </w:rPr>
            </w:pPr>
            <w:r w:rsidRPr="00EB11D3">
              <w:rPr>
                <w:szCs w:val="24"/>
              </w:rPr>
              <w:t>The hospital conducts continuous survey to understand customers' experience</w:t>
            </w:r>
          </w:p>
        </w:tc>
        <w:tc>
          <w:tcPr>
            <w:tcW w:w="1550" w:type="pct"/>
            <w:tcBorders>
              <w:top w:val="single" w:sz="8" w:space="0" w:color="AEAEAE"/>
              <w:left w:val="single" w:sz="8" w:space="0" w:color="E0E0E0"/>
              <w:bottom w:val="single" w:sz="8" w:space="0" w:color="AEAEAE"/>
              <w:right w:val="nil"/>
            </w:tcBorders>
            <w:shd w:val="clear" w:color="auto" w:fill="auto"/>
          </w:tcPr>
          <w:p w14:paraId="00F13B3D"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0.730</w:t>
            </w:r>
          </w:p>
        </w:tc>
      </w:tr>
      <w:tr w:rsidR="003859C9" w:rsidRPr="00EB11D3" w14:paraId="48DEC5D3"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09737E39" w14:textId="77777777" w:rsidR="003859C9" w:rsidRPr="00EB11D3" w:rsidRDefault="003859C9" w:rsidP="003859C9">
            <w:pPr>
              <w:spacing w:after="160" w:line="259" w:lineRule="auto"/>
              <w:jc w:val="left"/>
              <w:rPr>
                <w:szCs w:val="24"/>
              </w:rPr>
            </w:pPr>
            <w:r w:rsidRPr="00EB11D3">
              <w:rPr>
                <w:szCs w:val="24"/>
              </w:rPr>
              <w:t>The hospital leverage customer data responsibly to provide personalized patient services.</w:t>
            </w:r>
          </w:p>
        </w:tc>
        <w:tc>
          <w:tcPr>
            <w:tcW w:w="1550" w:type="pct"/>
            <w:tcBorders>
              <w:top w:val="single" w:sz="8" w:space="0" w:color="AEAEAE"/>
              <w:left w:val="single" w:sz="8" w:space="0" w:color="E0E0E0"/>
              <w:bottom w:val="single" w:sz="8" w:space="0" w:color="AEAEAE"/>
              <w:right w:val="nil"/>
            </w:tcBorders>
            <w:shd w:val="clear" w:color="auto" w:fill="auto"/>
          </w:tcPr>
          <w:p w14:paraId="2EBDF7F9"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0.522</w:t>
            </w:r>
          </w:p>
        </w:tc>
      </w:tr>
      <w:tr w:rsidR="003859C9" w:rsidRPr="00EB11D3" w14:paraId="0A1B80ED"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25581C9A" w14:textId="77777777" w:rsidR="003859C9" w:rsidRPr="00EB11D3" w:rsidRDefault="003859C9" w:rsidP="003859C9">
            <w:pPr>
              <w:spacing w:after="160" w:line="259" w:lineRule="auto"/>
              <w:jc w:val="left"/>
              <w:rPr>
                <w:szCs w:val="24"/>
              </w:rPr>
            </w:pPr>
            <w:r w:rsidRPr="00EB11D3">
              <w:rPr>
                <w:szCs w:val="24"/>
              </w:rPr>
              <w:t>The hospital maintains open communication channels for customer feedback and inquiries.</w:t>
            </w:r>
          </w:p>
        </w:tc>
        <w:tc>
          <w:tcPr>
            <w:tcW w:w="1550" w:type="pct"/>
            <w:tcBorders>
              <w:top w:val="single" w:sz="8" w:space="0" w:color="AEAEAE"/>
              <w:left w:val="single" w:sz="8" w:space="0" w:color="E0E0E0"/>
              <w:bottom w:val="single" w:sz="8" w:space="0" w:color="AEAEAE"/>
              <w:right w:val="nil"/>
            </w:tcBorders>
            <w:shd w:val="clear" w:color="auto" w:fill="auto"/>
          </w:tcPr>
          <w:p w14:paraId="404DF778"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0.684</w:t>
            </w:r>
          </w:p>
        </w:tc>
      </w:tr>
      <w:tr w:rsidR="003859C9" w:rsidRPr="00EB11D3" w14:paraId="2655EBCC"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5C2DBEC4" w14:textId="77777777" w:rsidR="003859C9" w:rsidRPr="00EB11D3" w:rsidRDefault="003859C9" w:rsidP="003859C9">
            <w:pPr>
              <w:spacing w:after="160" w:line="259" w:lineRule="auto"/>
              <w:jc w:val="left"/>
              <w:rPr>
                <w:szCs w:val="24"/>
              </w:rPr>
            </w:pPr>
            <w:r w:rsidRPr="00EB11D3">
              <w:rPr>
                <w:szCs w:val="24"/>
              </w:rPr>
              <w:t>The hospital streamlines its processes to make it easy for patients/customers to interact with.</w:t>
            </w:r>
          </w:p>
        </w:tc>
        <w:tc>
          <w:tcPr>
            <w:tcW w:w="1550" w:type="pct"/>
            <w:tcBorders>
              <w:top w:val="single" w:sz="8" w:space="0" w:color="AEAEAE"/>
              <w:left w:val="single" w:sz="8" w:space="0" w:color="E0E0E0"/>
              <w:bottom w:val="single" w:sz="8" w:space="0" w:color="AEAEAE"/>
              <w:right w:val="nil"/>
            </w:tcBorders>
            <w:shd w:val="clear" w:color="auto" w:fill="auto"/>
          </w:tcPr>
          <w:p w14:paraId="61FC47A8"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0.553</w:t>
            </w:r>
          </w:p>
        </w:tc>
      </w:tr>
      <w:tr w:rsidR="003859C9" w:rsidRPr="00EB11D3" w14:paraId="05C1F31E"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4943BCF0" w14:textId="77777777" w:rsidR="003859C9" w:rsidRPr="00EB11D3" w:rsidRDefault="003859C9" w:rsidP="003859C9">
            <w:pPr>
              <w:spacing w:after="160" w:line="259" w:lineRule="auto"/>
              <w:jc w:val="left"/>
              <w:rPr>
                <w:szCs w:val="24"/>
              </w:rPr>
            </w:pPr>
            <w:r w:rsidRPr="00EB11D3">
              <w:rPr>
                <w:szCs w:val="24"/>
              </w:rPr>
              <w:t>Regularly update and improve services based on customer insights</w:t>
            </w:r>
          </w:p>
        </w:tc>
        <w:tc>
          <w:tcPr>
            <w:tcW w:w="1550" w:type="pct"/>
            <w:tcBorders>
              <w:top w:val="single" w:sz="8" w:space="0" w:color="AEAEAE"/>
              <w:left w:val="single" w:sz="8" w:space="0" w:color="E0E0E0"/>
              <w:bottom w:val="single" w:sz="8" w:space="0" w:color="AEAEAE"/>
              <w:right w:val="nil"/>
            </w:tcBorders>
            <w:shd w:val="clear" w:color="auto" w:fill="auto"/>
          </w:tcPr>
          <w:p w14:paraId="46B41622"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0.547</w:t>
            </w:r>
          </w:p>
        </w:tc>
      </w:tr>
      <w:tr w:rsidR="003859C9" w:rsidRPr="00EB11D3" w14:paraId="3BA06C77" w14:textId="77777777" w:rsidTr="00007E09">
        <w:trPr>
          <w:cantSplit/>
        </w:trPr>
        <w:tc>
          <w:tcPr>
            <w:tcW w:w="3450" w:type="pct"/>
            <w:tcBorders>
              <w:top w:val="single" w:sz="8" w:space="0" w:color="AEAEAE"/>
              <w:left w:val="nil"/>
              <w:bottom w:val="single" w:sz="8" w:space="0" w:color="AEAEAE"/>
              <w:right w:val="nil"/>
            </w:tcBorders>
            <w:shd w:val="clear" w:color="auto" w:fill="auto"/>
          </w:tcPr>
          <w:p w14:paraId="7C98746D" w14:textId="77777777" w:rsidR="003859C9" w:rsidRPr="00EB11D3" w:rsidRDefault="003859C9" w:rsidP="003859C9">
            <w:pPr>
              <w:spacing w:after="160" w:line="259" w:lineRule="auto"/>
              <w:jc w:val="left"/>
              <w:rPr>
                <w:szCs w:val="24"/>
              </w:rPr>
            </w:pPr>
            <w:r w:rsidRPr="00EB11D3">
              <w:rPr>
                <w:szCs w:val="24"/>
              </w:rPr>
              <w:t>The hospital management provide ongoing training to employees on customer service best practices.</w:t>
            </w:r>
          </w:p>
        </w:tc>
        <w:tc>
          <w:tcPr>
            <w:tcW w:w="1550" w:type="pct"/>
            <w:tcBorders>
              <w:top w:val="single" w:sz="8" w:space="0" w:color="AEAEAE"/>
              <w:left w:val="single" w:sz="8" w:space="0" w:color="E0E0E0"/>
              <w:bottom w:val="single" w:sz="8" w:space="0" w:color="AEAEAE"/>
              <w:right w:val="nil"/>
            </w:tcBorders>
            <w:shd w:val="clear" w:color="auto" w:fill="auto"/>
          </w:tcPr>
          <w:p w14:paraId="7FB77214"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0.568</w:t>
            </w:r>
          </w:p>
        </w:tc>
      </w:tr>
      <w:tr w:rsidR="003859C9" w:rsidRPr="00EB11D3" w14:paraId="52CFFCF2" w14:textId="77777777" w:rsidTr="00007E09">
        <w:trPr>
          <w:cantSplit/>
        </w:trPr>
        <w:tc>
          <w:tcPr>
            <w:tcW w:w="3450" w:type="pct"/>
            <w:tcBorders>
              <w:top w:val="single" w:sz="8" w:space="0" w:color="AEAEAE"/>
              <w:left w:val="nil"/>
              <w:bottom w:val="single" w:sz="8" w:space="0" w:color="152935"/>
              <w:right w:val="nil"/>
            </w:tcBorders>
            <w:shd w:val="clear" w:color="auto" w:fill="auto"/>
          </w:tcPr>
          <w:p w14:paraId="146DED2C" w14:textId="77777777" w:rsidR="003859C9" w:rsidRPr="00EB11D3" w:rsidRDefault="003859C9" w:rsidP="003859C9">
            <w:pPr>
              <w:spacing w:after="160" w:line="259" w:lineRule="auto"/>
              <w:jc w:val="left"/>
              <w:rPr>
                <w:szCs w:val="24"/>
              </w:rPr>
            </w:pPr>
            <w:r w:rsidRPr="00EB11D3">
              <w:rPr>
                <w:szCs w:val="24"/>
              </w:rPr>
              <w:t>The hospital clearly communicates the unique value of your services offer to customers.</w:t>
            </w:r>
          </w:p>
        </w:tc>
        <w:tc>
          <w:tcPr>
            <w:tcW w:w="1550" w:type="pct"/>
            <w:tcBorders>
              <w:top w:val="single" w:sz="8" w:space="0" w:color="AEAEAE"/>
              <w:left w:val="single" w:sz="8" w:space="0" w:color="E0E0E0"/>
              <w:bottom w:val="single" w:sz="8" w:space="0" w:color="152935"/>
              <w:right w:val="nil"/>
            </w:tcBorders>
            <w:shd w:val="clear" w:color="auto" w:fill="auto"/>
          </w:tcPr>
          <w:p w14:paraId="58305F97"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0.557</w:t>
            </w:r>
          </w:p>
        </w:tc>
      </w:tr>
    </w:tbl>
    <w:p w14:paraId="1027A8A2" w14:textId="77777777" w:rsidR="003859C9" w:rsidRPr="00EB11D3" w:rsidRDefault="003859C9" w:rsidP="003859C9">
      <w:pPr>
        <w:autoSpaceDE w:val="0"/>
        <w:autoSpaceDN w:val="0"/>
        <w:adjustRightInd w:val="0"/>
        <w:spacing w:after="0" w:line="400" w:lineRule="atLeast"/>
        <w:jc w:val="left"/>
        <w:rPr>
          <w:szCs w:val="24"/>
        </w:rPr>
      </w:pPr>
    </w:p>
    <w:p w14:paraId="5C7D04B9"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The outputs in Table 19 show that all the statements on service innovation had factor loading values greater than 0.5 and therefore they were accepted and thus no sub variable was dropped.</w:t>
      </w:r>
    </w:p>
    <w:p w14:paraId="432B1E0D" w14:textId="77777777" w:rsidR="003859C9" w:rsidRPr="00EB11D3" w:rsidRDefault="003859C9" w:rsidP="00823CEA">
      <w:pPr>
        <w:pStyle w:val="Heading4"/>
      </w:pPr>
      <w:r w:rsidRPr="00EB11D3">
        <w:t>4.</w:t>
      </w:r>
      <w:r w:rsidR="00D71EA0" w:rsidRPr="00EB11D3">
        <w:t>4</w:t>
      </w:r>
      <w:r w:rsidRPr="00EB11D3">
        <w:t xml:space="preserve">.4.3 Factor Analysis for </w:t>
      </w:r>
      <w:bookmarkStart w:id="746" w:name="_Hlk113498093"/>
      <w:r w:rsidRPr="00EB11D3">
        <w:t xml:space="preserve">Government Regulations </w:t>
      </w:r>
      <w:bookmarkEnd w:id="746"/>
    </w:p>
    <w:p w14:paraId="682CA153"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Factor analysis was carried out on the statements of government regulations. According to Tabachinick and Fidell (2007), factor loading of 0.45 as fair measure of real-life data. Table 20 shows the factor loading for government regulations.</w:t>
      </w:r>
    </w:p>
    <w:p w14:paraId="1335EDBB" w14:textId="77777777" w:rsidR="003859C9" w:rsidRPr="00EB11D3" w:rsidRDefault="003859C9" w:rsidP="003859C9">
      <w:pPr>
        <w:spacing w:after="0" w:line="240" w:lineRule="auto"/>
        <w:jc w:val="left"/>
        <w:rPr>
          <w:rFonts w:eastAsia="Times New Roman"/>
          <w:b/>
          <w:bCs/>
          <w:szCs w:val="24"/>
        </w:rPr>
      </w:pPr>
      <w:bookmarkStart w:id="747" w:name="_Toc100987972"/>
      <w:bookmarkStart w:id="748" w:name="_Toc126666755"/>
    </w:p>
    <w:p w14:paraId="16EDED16" w14:textId="77777777" w:rsidR="003859C9" w:rsidRPr="00EB11D3" w:rsidRDefault="003859C9" w:rsidP="003859C9">
      <w:pPr>
        <w:spacing w:after="0" w:line="240" w:lineRule="auto"/>
        <w:jc w:val="left"/>
        <w:rPr>
          <w:rFonts w:eastAsia="Times New Roman"/>
          <w:b/>
          <w:bCs/>
          <w:szCs w:val="24"/>
        </w:rPr>
      </w:pPr>
      <w:bookmarkStart w:id="749" w:name="_Toc177387951"/>
      <w:r w:rsidRPr="00EB11D3">
        <w:rPr>
          <w:rFonts w:eastAsia="Times New Roman"/>
          <w:b/>
          <w:bCs/>
          <w:szCs w:val="24"/>
        </w:rPr>
        <w:t xml:space="preserve">Table </w:t>
      </w:r>
      <w:r w:rsidRPr="00EB11D3">
        <w:rPr>
          <w:rFonts w:eastAsia="Times New Roman"/>
          <w:b/>
          <w:bCs/>
          <w:szCs w:val="24"/>
        </w:rPr>
        <w:fldChar w:fldCharType="begin"/>
      </w:r>
      <w:r w:rsidRPr="00EB11D3">
        <w:rPr>
          <w:rFonts w:eastAsia="Times New Roman"/>
          <w:b/>
          <w:bCs/>
          <w:szCs w:val="24"/>
        </w:rPr>
        <w:instrText xml:space="preserve"> SEQ Table \* ARABIC </w:instrText>
      </w:r>
      <w:r w:rsidRPr="00EB11D3">
        <w:rPr>
          <w:rFonts w:eastAsia="Times New Roman"/>
          <w:b/>
          <w:bCs/>
          <w:szCs w:val="24"/>
        </w:rPr>
        <w:fldChar w:fldCharType="separate"/>
      </w:r>
      <w:r w:rsidRPr="00EB11D3">
        <w:rPr>
          <w:rFonts w:eastAsia="Times New Roman"/>
          <w:b/>
          <w:bCs/>
          <w:noProof/>
          <w:szCs w:val="24"/>
        </w:rPr>
        <w:t>20</w:t>
      </w:r>
      <w:r w:rsidRPr="00EB11D3">
        <w:rPr>
          <w:rFonts w:eastAsia="Times New Roman"/>
          <w:b/>
          <w:bCs/>
          <w:szCs w:val="24"/>
        </w:rPr>
        <w:fldChar w:fldCharType="end"/>
      </w:r>
      <w:r w:rsidRPr="00EB11D3">
        <w:rPr>
          <w:rFonts w:eastAsia="Times New Roman"/>
          <w:b/>
          <w:bCs/>
          <w:szCs w:val="24"/>
        </w:rPr>
        <w:t xml:space="preserve">: Factor Loading for </w:t>
      </w:r>
      <w:bookmarkEnd w:id="747"/>
      <w:bookmarkEnd w:id="748"/>
      <w:r w:rsidRPr="00EB11D3">
        <w:rPr>
          <w:rFonts w:eastAsia="Times New Roman"/>
          <w:b/>
          <w:bCs/>
          <w:szCs w:val="24"/>
        </w:rPr>
        <w:t>Government Regulations</w:t>
      </w:r>
      <w:bookmarkEnd w:id="749"/>
    </w:p>
    <w:p w14:paraId="40AD29C7" w14:textId="77777777" w:rsidR="003859C9" w:rsidRPr="00EB11D3" w:rsidRDefault="003859C9" w:rsidP="003859C9">
      <w:pPr>
        <w:spacing w:after="0" w:line="240" w:lineRule="auto"/>
        <w:jc w:val="left"/>
        <w:rPr>
          <w:rFonts w:eastAsia="Times New Roman"/>
          <w:b/>
          <w:bCs/>
          <w:szCs w:val="24"/>
        </w:rPr>
      </w:pPr>
    </w:p>
    <w:tbl>
      <w:tblPr>
        <w:tblW w:w="5000" w:type="pct"/>
        <w:tblCellMar>
          <w:left w:w="0" w:type="dxa"/>
          <w:right w:w="0" w:type="dxa"/>
        </w:tblCellMar>
        <w:tblLook w:val="0000" w:firstRow="0" w:lastRow="0" w:firstColumn="0" w:lastColumn="0" w:noHBand="0" w:noVBand="0"/>
      </w:tblPr>
      <w:tblGrid>
        <w:gridCol w:w="6457"/>
        <w:gridCol w:w="2903"/>
      </w:tblGrid>
      <w:tr w:rsidR="003859C9" w:rsidRPr="006724DD" w14:paraId="1970D4C9" w14:textId="77777777" w:rsidTr="00007E09">
        <w:trPr>
          <w:cantSplit/>
        </w:trPr>
        <w:tc>
          <w:tcPr>
            <w:tcW w:w="3449" w:type="pct"/>
            <w:tcBorders>
              <w:top w:val="nil"/>
              <w:left w:val="nil"/>
              <w:bottom w:val="single" w:sz="8" w:space="0" w:color="152935"/>
              <w:right w:val="nil"/>
            </w:tcBorders>
            <w:shd w:val="clear" w:color="auto" w:fill="auto"/>
            <w:vAlign w:val="bottom"/>
          </w:tcPr>
          <w:p w14:paraId="4E288764" w14:textId="77777777" w:rsidR="003859C9" w:rsidRPr="006724DD" w:rsidRDefault="006724DD" w:rsidP="006724DD">
            <w:pPr>
              <w:autoSpaceDE w:val="0"/>
              <w:autoSpaceDN w:val="0"/>
              <w:adjustRightInd w:val="0"/>
              <w:spacing w:after="0" w:line="240" w:lineRule="auto"/>
              <w:jc w:val="center"/>
              <w:rPr>
                <w:b/>
                <w:bCs/>
                <w:szCs w:val="24"/>
              </w:rPr>
            </w:pPr>
            <w:r w:rsidRPr="006724DD">
              <w:rPr>
                <w:b/>
                <w:bCs/>
                <w:szCs w:val="24"/>
              </w:rPr>
              <w:t>Statement</w:t>
            </w:r>
          </w:p>
        </w:tc>
        <w:tc>
          <w:tcPr>
            <w:tcW w:w="1551" w:type="pct"/>
            <w:tcBorders>
              <w:top w:val="nil"/>
              <w:left w:val="single" w:sz="8" w:space="0" w:color="E0E0E0"/>
              <w:bottom w:val="single" w:sz="8" w:space="0" w:color="152935"/>
              <w:right w:val="nil"/>
            </w:tcBorders>
            <w:shd w:val="clear" w:color="auto" w:fill="auto"/>
            <w:vAlign w:val="bottom"/>
          </w:tcPr>
          <w:p w14:paraId="03DEE7D7" w14:textId="77777777" w:rsidR="003859C9" w:rsidRPr="006724DD" w:rsidRDefault="003859C9" w:rsidP="006724DD">
            <w:pPr>
              <w:spacing w:after="0" w:line="259" w:lineRule="auto"/>
              <w:jc w:val="right"/>
              <w:rPr>
                <w:b/>
                <w:bCs/>
                <w:szCs w:val="24"/>
              </w:rPr>
            </w:pPr>
            <w:r w:rsidRPr="006724DD">
              <w:rPr>
                <w:b/>
                <w:bCs/>
                <w:szCs w:val="24"/>
              </w:rPr>
              <w:t>Extraction</w:t>
            </w:r>
          </w:p>
        </w:tc>
      </w:tr>
      <w:tr w:rsidR="003859C9" w:rsidRPr="00EB11D3" w14:paraId="06AD4FA6" w14:textId="77777777" w:rsidTr="00007E09">
        <w:trPr>
          <w:cantSplit/>
        </w:trPr>
        <w:tc>
          <w:tcPr>
            <w:tcW w:w="3449" w:type="pct"/>
            <w:tcBorders>
              <w:top w:val="single" w:sz="8" w:space="0" w:color="152935"/>
              <w:left w:val="nil"/>
              <w:bottom w:val="single" w:sz="8" w:space="0" w:color="AEAEAE"/>
              <w:right w:val="nil"/>
            </w:tcBorders>
            <w:shd w:val="clear" w:color="auto" w:fill="auto"/>
          </w:tcPr>
          <w:p w14:paraId="189FE6E8" w14:textId="77777777" w:rsidR="003859C9" w:rsidRPr="00EB11D3" w:rsidRDefault="003859C9" w:rsidP="003859C9">
            <w:pPr>
              <w:spacing w:after="160" w:line="259" w:lineRule="auto"/>
              <w:jc w:val="left"/>
              <w:rPr>
                <w:b/>
                <w:szCs w:val="24"/>
              </w:rPr>
            </w:pPr>
            <w:r w:rsidRPr="00EB11D3">
              <w:rPr>
                <w:b/>
                <w:szCs w:val="24"/>
              </w:rPr>
              <w:t>Law &amp; Regulations</w:t>
            </w:r>
          </w:p>
        </w:tc>
        <w:tc>
          <w:tcPr>
            <w:tcW w:w="1551" w:type="pct"/>
            <w:tcBorders>
              <w:top w:val="single" w:sz="8" w:space="0" w:color="152935"/>
              <w:left w:val="single" w:sz="8" w:space="0" w:color="E0E0E0"/>
              <w:bottom w:val="single" w:sz="8" w:space="0" w:color="AEAEAE"/>
              <w:right w:val="nil"/>
            </w:tcBorders>
            <w:shd w:val="clear" w:color="auto" w:fill="auto"/>
          </w:tcPr>
          <w:p w14:paraId="496A1B7C" w14:textId="77777777" w:rsidR="003859C9" w:rsidRPr="00EB11D3" w:rsidRDefault="003859C9" w:rsidP="003859C9">
            <w:pPr>
              <w:autoSpaceDE w:val="0"/>
              <w:autoSpaceDN w:val="0"/>
              <w:adjustRightInd w:val="0"/>
              <w:spacing w:after="0" w:line="320" w:lineRule="atLeast"/>
              <w:ind w:left="60" w:right="60"/>
              <w:jc w:val="right"/>
              <w:rPr>
                <w:szCs w:val="24"/>
              </w:rPr>
            </w:pPr>
          </w:p>
        </w:tc>
      </w:tr>
      <w:tr w:rsidR="003859C9" w:rsidRPr="00EB11D3" w14:paraId="03A80918" w14:textId="77777777" w:rsidTr="00007E09">
        <w:trPr>
          <w:cantSplit/>
        </w:trPr>
        <w:tc>
          <w:tcPr>
            <w:tcW w:w="3449" w:type="pct"/>
            <w:tcBorders>
              <w:top w:val="single" w:sz="8" w:space="0" w:color="152935"/>
              <w:left w:val="nil"/>
              <w:bottom w:val="single" w:sz="8" w:space="0" w:color="AEAEAE"/>
              <w:right w:val="nil"/>
            </w:tcBorders>
            <w:shd w:val="clear" w:color="auto" w:fill="auto"/>
          </w:tcPr>
          <w:p w14:paraId="41D5407D" w14:textId="77777777" w:rsidR="003859C9" w:rsidRPr="00EB11D3" w:rsidRDefault="003859C9" w:rsidP="003859C9">
            <w:pPr>
              <w:spacing w:after="160" w:line="259" w:lineRule="auto"/>
              <w:jc w:val="left"/>
              <w:rPr>
                <w:szCs w:val="24"/>
              </w:rPr>
            </w:pPr>
            <w:r w:rsidRPr="00EB11D3">
              <w:rPr>
                <w:szCs w:val="24"/>
              </w:rPr>
              <w:t>The hospital operates within the Law</w:t>
            </w:r>
          </w:p>
        </w:tc>
        <w:tc>
          <w:tcPr>
            <w:tcW w:w="1551" w:type="pct"/>
            <w:tcBorders>
              <w:top w:val="single" w:sz="8" w:space="0" w:color="152935"/>
              <w:left w:val="single" w:sz="8" w:space="0" w:color="E0E0E0"/>
              <w:bottom w:val="single" w:sz="8" w:space="0" w:color="AEAEAE"/>
              <w:right w:val="nil"/>
            </w:tcBorders>
            <w:shd w:val="clear" w:color="auto" w:fill="auto"/>
          </w:tcPr>
          <w:p w14:paraId="2D17C331"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0.506</w:t>
            </w:r>
          </w:p>
        </w:tc>
      </w:tr>
      <w:tr w:rsidR="003859C9" w:rsidRPr="00EB11D3" w14:paraId="122B6806" w14:textId="77777777" w:rsidTr="00007E09">
        <w:trPr>
          <w:cantSplit/>
        </w:trPr>
        <w:tc>
          <w:tcPr>
            <w:tcW w:w="3449" w:type="pct"/>
            <w:tcBorders>
              <w:top w:val="single" w:sz="8" w:space="0" w:color="AEAEAE"/>
              <w:left w:val="nil"/>
              <w:bottom w:val="single" w:sz="8" w:space="0" w:color="AEAEAE"/>
              <w:right w:val="nil"/>
            </w:tcBorders>
            <w:shd w:val="clear" w:color="auto" w:fill="auto"/>
          </w:tcPr>
          <w:p w14:paraId="60718C79" w14:textId="77777777" w:rsidR="003859C9" w:rsidRPr="00EB11D3" w:rsidRDefault="003859C9" w:rsidP="003859C9">
            <w:pPr>
              <w:spacing w:after="160" w:line="259" w:lineRule="auto"/>
              <w:jc w:val="left"/>
              <w:rPr>
                <w:szCs w:val="24"/>
              </w:rPr>
            </w:pPr>
            <w:r w:rsidRPr="00EB11D3">
              <w:rPr>
                <w:szCs w:val="24"/>
              </w:rPr>
              <w:t>The hospital adheres to all the regulation as set out by the government</w:t>
            </w:r>
          </w:p>
        </w:tc>
        <w:tc>
          <w:tcPr>
            <w:tcW w:w="1551" w:type="pct"/>
            <w:tcBorders>
              <w:top w:val="single" w:sz="8" w:space="0" w:color="AEAEAE"/>
              <w:left w:val="single" w:sz="8" w:space="0" w:color="E0E0E0"/>
              <w:bottom w:val="single" w:sz="8" w:space="0" w:color="AEAEAE"/>
              <w:right w:val="nil"/>
            </w:tcBorders>
            <w:shd w:val="clear" w:color="auto" w:fill="auto"/>
          </w:tcPr>
          <w:p w14:paraId="7F26E4FB"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0.563</w:t>
            </w:r>
          </w:p>
        </w:tc>
      </w:tr>
      <w:tr w:rsidR="003859C9" w:rsidRPr="00EB11D3" w14:paraId="1DF1A131" w14:textId="77777777" w:rsidTr="00007E09">
        <w:trPr>
          <w:cantSplit/>
        </w:trPr>
        <w:tc>
          <w:tcPr>
            <w:tcW w:w="3449" w:type="pct"/>
            <w:tcBorders>
              <w:top w:val="single" w:sz="8" w:space="0" w:color="AEAEAE"/>
              <w:left w:val="nil"/>
              <w:bottom w:val="single" w:sz="8" w:space="0" w:color="AEAEAE"/>
              <w:right w:val="nil"/>
            </w:tcBorders>
            <w:shd w:val="clear" w:color="auto" w:fill="auto"/>
          </w:tcPr>
          <w:p w14:paraId="264264CE" w14:textId="77777777" w:rsidR="003859C9" w:rsidRPr="00EB11D3" w:rsidRDefault="003859C9" w:rsidP="003859C9">
            <w:pPr>
              <w:spacing w:after="160" w:line="259" w:lineRule="auto"/>
              <w:jc w:val="left"/>
              <w:rPr>
                <w:szCs w:val="24"/>
              </w:rPr>
            </w:pPr>
            <w:r w:rsidRPr="00EB11D3">
              <w:rPr>
                <w:szCs w:val="24"/>
              </w:rPr>
              <w:t>The hospital adheres to the set-out guideline as stipulated by government agencies.</w:t>
            </w:r>
          </w:p>
        </w:tc>
        <w:tc>
          <w:tcPr>
            <w:tcW w:w="1551" w:type="pct"/>
            <w:tcBorders>
              <w:top w:val="single" w:sz="8" w:space="0" w:color="AEAEAE"/>
              <w:left w:val="single" w:sz="8" w:space="0" w:color="E0E0E0"/>
              <w:bottom w:val="single" w:sz="8" w:space="0" w:color="AEAEAE"/>
              <w:right w:val="nil"/>
            </w:tcBorders>
            <w:shd w:val="clear" w:color="auto" w:fill="auto"/>
          </w:tcPr>
          <w:p w14:paraId="5C21F645"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0.586</w:t>
            </w:r>
          </w:p>
        </w:tc>
      </w:tr>
      <w:tr w:rsidR="003859C9" w:rsidRPr="00EB11D3" w14:paraId="717EB79B" w14:textId="77777777" w:rsidTr="00007E09">
        <w:trPr>
          <w:cantSplit/>
        </w:trPr>
        <w:tc>
          <w:tcPr>
            <w:tcW w:w="3449" w:type="pct"/>
            <w:tcBorders>
              <w:top w:val="single" w:sz="8" w:space="0" w:color="AEAEAE"/>
              <w:left w:val="nil"/>
              <w:bottom w:val="single" w:sz="8" w:space="0" w:color="AEAEAE"/>
              <w:right w:val="nil"/>
            </w:tcBorders>
            <w:shd w:val="clear" w:color="auto" w:fill="auto"/>
          </w:tcPr>
          <w:p w14:paraId="59C18C65" w14:textId="77777777" w:rsidR="003859C9" w:rsidRPr="00EB11D3" w:rsidRDefault="003859C9" w:rsidP="003859C9">
            <w:pPr>
              <w:spacing w:after="160" w:line="259" w:lineRule="auto"/>
              <w:jc w:val="left"/>
              <w:rPr>
                <w:szCs w:val="24"/>
              </w:rPr>
            </w:pPr>
            <w:r w:rsidRPr="00EB11D3">
              <w:rPr>
                <w:szCs w:val="24"/>
              </w:rPr>
              <w:t>Regulations inform health care decision makers in their decision-making process</w:t>
            </w:r>
          </w:p>
        </w:tc>
        <w:tc>
          <w:tcPr>
            <w:tcW w:w="1551" w:type="pct"/>
            <w:tcBorders>
              <w:top w:val="single" w:sz="8" w:space="0" w:color="AEAEAE"/>
              <w:left w:val="single" w:sz="8" w:space="0" w:color="E0E0E0"/>
              <w:bottom w:val="single" w:sz="8" w:space="0" w:color="AEAEAE"/>
              <w:right w:val="nil"/>
            </w:tcBorders>
            <w:shd w:val="clear" w:color="auto" w:fill="auto"/>
          </w:tcPr>
          <w:p w14:paraId="7133F659"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0.596</w:t>
            </w:r>
          </w:p>
        </w:tc>
      </w:tr>
      <w:tr w:rsidR="003859C9" w:rsidRPr="00EB11D3" w14:paraId="4AD88276" w14:textId="77777777" w:rsidTr="00007E09">
        <w:trPr>
          <w:cantSplit/>
        </w:trPr>
        <w:tc>
          <w:tcPr>
            <w:tcW w:w="3449" w:type="pct"/>
            <w:tcBorders>
              <w:top w:val="single" w:sz="8" w:space="0" w:color="AEAEAE"/>
              <w:left w:val="nil"/>
              <w:bottom w:val="single" w:sz="8" w:space="0" w:color="AEAEAE"/>
              <w:right w:val="nil"/>
            </w:tcBorders>
            <w:shd w:val="clear" w:color="auto" w:fill="auto"/>
          </w:tcPr>
          <w:p w14:paraId="25569824" w14:textId="77777777" w:rsidR="003859C9" w:rsidRPr="00EB11D3" w:rsidRDefault="003859C9" w:rsidP="003859C9">
            <w:pPr>
              <w:spacing w:after="160" w:line="259" w:lineRule="auto"/>
              <w:jc w:val="left"/>
              <w:rPr>
                <w:szCs w:val="24"/>
              </w:rPr>
            </w:pPr>
            <w:r w:rsidRPr="00EB11D3">
              <w:rPr>
                <w:szCs w:val="24"/>
              </w:rPr>
              <w:t>Health regulation promote access to quality health care services</w:t>
            </w:r>
          </w:p>
        </w:tc>
        <w:tc>
          <w:tcPr>
            <w:tcW w:w="1551" w:type="pct"/>
            <w:tcBorders>
              <w:top w:val="single" w:sz="8" w:space="0" w:color="AEAEAE"/>
              <w:left w:val="single" w:sz="8" w:space="0" w:color="E0E0E0"/>
              <w:bottom w:val="single" w:sz="8" w:space="0" w:color="AEAEAE"/>
              <w:right w:val="nil"/>
            </w:tcBorders>
            <w:shd w:val="clear" w:color="auto" w:fill="auto"/>
          </w:tcPr>
          <w:p w14:paraId="06176709"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0.541</w:t>
            </w:r>
          </w:p>
        </w:tc>
      </w:tr>
      <w:tr w:rsidR="003859C9" w:rsidRPr="00EB11D3" w14:paraId="68029753" w14:textId="77777777" w:rsidTr="00007E09">
        <w:trPr>
          <w:cantSplit/>
        </w:trPr>
        <w:tc>
          <w:tcPr>
            <w:tcW w:w="3449" w:type="pct"/>
            <w:tcBorders>
              <w:top w:val="single" w:sz="8" w:space="0" w:color="AEAEAE"/>
              <w:left w:val="nil"/>
              <w:bottom w:val="single" w:sz="8" w:space="0" w:color="AEAEAE"/>
              <w:right w:val="nil"/>
            </w:tcBorders>
            <w:shd w:val="clear" w:color="auto" w:fill="auto"/>
          </w:tcPr>
          <w:p w14:paraId="6F11B990" w14:textId="77777777" w:rsidR="003859C9" w:rsidRPr="00EB11D3" w:rsidRDefault="003859C9" w:rsidP="003859C9">
            <w:pPr>
              <w:spacing w:after="160" w:line="259" w:lineRule="auto"/>
              <w:jc w:val="left"/>
              <w:rPr>
                <w:szCs w:val="24"/>
              </w:rPr>
            </w:pPr>
            <w:r w:rsidRPr="00EB11D3">
              <w:rPr>
                <w:szCs w:val="24"/>
              </w:rPr>
              <w:t>The hospital involves stakeholders in its policy formulation process</w:t>
            </w:r>
          </w:p>
        </w:tc>
        <w:tc>
          <w:tcPr>
            <w:tcW w:w="1551" w:type="pct"/>
            <w:tcBorders>
              <w:top w:val="single" w:sz="8" w:space="0" w:color="AEAEAE"/>
              <w:left w:val="single" w:sz="8" w:space="0" w:color="E0E0E0"/>
              <w:bottom w:val="single" w:sz="8" w:space="0" w:color="AEAEAE"/>
              <w:right w:val="nil"/>
            </w:tcBorders>
            <w:shd w:val="clear" w:color="auto" w:fill="auto"/>
          </w:tcPr>
          <w:p w14:paraId="1608BB35"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0.572</w:t>
            </w:r>
          </w:p>
        </w:tc>
      </w:tr>
      <w:tr w:rsidR="003859C9" w:rsidRPr="00EB11D3" w14:paraId="07143FFD" w14:textId="77777777" w:rsidTr="00007E09">
        <w:trPr>
          <w:cantSplit/>
        </w:trPr>
        <w:tc>
          <w:tcPr>
            <w:tcW w:w="3449" w:type="pct"/>
            <w:tcBorders>
              <w:top w:val="single" w:sz="8" w:space="0" w:color="AEAEAE"/>
              <w:left w:val="nil"/>
              <w:bottom w:val="single" w:sz="8" w:space="0" w:color="AEAEAE"/>
              <w:right w:val="nil"/>
            </w:tcBorders>
            <w:shd w:val="clear" w:color="auto" w:fill="auto"/>
          </w:tcPr>
          <w:p w14:paraId="46743866" w14:textId="77777777" w:rsidR="003859C9" w:rsidRPr="00EB11D3" w:rsidRDefault="003859C9" w:rsidP="003859C9">
            <w:pPr>
              <w:spacing w:after="160" w:line="259" w:lineRule="auto"/>
              <w:jc w:val="left"/>
              <w:rPr>
                <w:szCs w:val="24"/>
              </w:rPr>
            </w:pPr>
            <w:r w:rsidRPr="00EB11D3">
              <w:rPr>
                <w:szCs w:val="24"/>
              </w:rPr>
              <w:t>The hospital has adequate institutional capacity to ensure compliance with law and regulations</w:t>
            </w:r>
          </w:p>
        </w:tc>
        <w:tc>
          <w:tcPr>
            <w:tcW w:w="1551" w:type="pct"/>
            <w:tcBorders>
              <w:top w:val="single" w:sz="8" w:space="0" w:color="AEAEAE"/>
              <w:left w:val="single" w:sz="8" w:space="0" w:color="E0E0E0"/>
              <w:bottom w:val="single" w:sz="8" w:space="0" w:color="AEAEAE"/>
              <w:right w:val="nil"/>
            </w:tcBorders>
            <w:shd w:val="clear" w:color="auto" w:fill="auto"/>
          </w:tcPr>
          <w:p w14:paraId="73A47472"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0.559</w:t>
            </w:r>
          </w:p>
        </w:tc>
      </w:tr>
      <w:tr w:rsidR="003859C9" w:rsidRPr="00EB11D3" w14:paraId="44266CEC" w14:textId="77777777" w:rsidTr="00007E09">
        <w:trPr>
          <w:cantSplit/>
        </w:trPr>
        <w:tc>
          <w:tcPr>
            <w:tcW w:w="3449" w:type="pct"/>
            <w:tcBorders>
              <w:top w:val="single" w:sz="8" w:space="0" w:color="AEAEAE"/>
              <w:left w:val="nil"/>
              <w:bottom w:val="single" w:sz="8" w:space="0" w:color="AEAEAE"/>
              <w:right w:val="nil"/>
            </w:tcBorders>
            <w:shd w:val="clear" w:color="auto" w:fill="auto"/>
          </w:tcPr>
          <w:p w14:paraId="2EE78914" w14:textId="77777777" w:rsidR="003859C9" w:rsidRPr="00EB11D3" w:rsidRDefault="003859C9" w:rsidP="003859C9">
            <w:pPr>
              <w:spacing w:after="160" w:line="259" w:lineRule="auto"/>
              <w:jc w:val="left"/>
              <w:rPr>
                <w:b/>
                <w:szCs w:val="24"/>
              </w:rPr>
            </w:pPr>
            <w:r w:rsidRPr="00EB11D3">
              <w:rPr>
                <w:b/>
                <w:szCs w:val="24"/>
              </w:rPr>
              <w:t>Professional Ethics</w:t>
            </w:r>
          </w:p>
        </w:tc>
        <w:tc>
          <w:tcPr>
            <w:tcW w:w="1551" w:type="pct"/>
            <w:tcBorders>
              <w:top w:val="single" w:sz="8" w:space="0" w:color="AEAEAE"/>
              <w:left w:val="single" w:sz="8" w:space="0" w:color="E0E0E0"/>
              <w:bottom w:val="single" w:sz="8" w:space="0" w:color="AEAEAE"/>
              <w:right w:val="nil"/>
            </w:tcBorders>
            <w:shd w:val="clear" w:color="auto" w:fill="auto"/>
          </w:tcPr>
          <w:p w14:paraId="038298A4" w14:textId="77777777" w:rsidR="003859C9" w:rsidRPr="00EB11D3" w:rsidRDefault="003859C9" w:rsidP="003859C9">
            <w:pPr>
              <w:autoSpaceDE w:val="0"/>
              <w:autoSpaceDN w:val="0"/>
              <w:adjustRightInd w:val="0"/>
              <w:spacing w:after="0" w:line="320" w:lineRule="atLeast"/>
              <w:ind w:left="60" w:right="60"/>
              <w:jc w:val="right"/>
              <w:rPr>
                <w:szCs w:val="24"/>
              </w:rPr>
            </w:pPr>
          </w:p>
        </w:tc>
      </w:tr>
      <w:tr w:rsidR="003859C9" w:rsidRPr="00EB11D3" w14:paraId="0096D5CF" w14:textId="77777777" w:rsidTr="00007E09">
        <w:trPr>
          <w:cantSplit/>
        </w:trPr>
        <w:tc>
          <w:tcPr>
            <w:tcW w:w="3449" w:type="pct"/>
            <w:tcBorders>
              <w:top w:val="single" w:sz="8" w:space="0" w:color="AEAEAE"/>
              <w:left w:val="nil"/>
              <w:bottom w:val="single" w:sz="8" w:space="0" w:color="AEAEAE"/>
              <w:right w:val="nil"/>
            </w:tcBorders>
            <w:shd w:val="clear" w:color="auto" w:fill="auto"/>
          </w:tcPr>
          <w:p w14:paraId="112D6D0F" w14:textId="77777777" w:rsidR="003859C9" w:rsidRPr="00EB11D3" w:rsidRDefault="003859C9" w:rsidP="003859C9">
            <w:pPr>
              <w:spacing w:after="160" w:line="259" w:lineRule="auto"/>
              <w:jc w:val="left"/>
              <w:rPr>
                <w:szCs w:val="24"/>
              </w:rPr>
            </w:pPr>
            <w:r w:rsidRPr="00EB11D3">
              <w:rPr>
                <w:szCs w:val="24"/>
              </w:rPr>
              <w:t>The hospital adheres to the relevant professional set of rules in place</w:t>
            </w:r>
          </w:p>
        </w:tc>
        <w:tc>
          <w:tcPr>
            <w:tcW w:w="1551" w:type="pct"/>
            <w:tcBorders>
              <w:top w:val="single" w:sz="8" w:space="0" w:color="AEAEAE"/>
              <w:left w:val="single" w:sz="8" w:space="0" w:color="E0E0E0"/>
              <w:bottom w:val="single" w:sz="8" w:space="0" w:color="AEAEAE"/>
              <w:right w:val="nil"/>
            </w:tcBorders>
            <w:shd w:val="clear" w:color="auto" w:fill="auto"/>
          </w:tcPr>
          <w:p w14:paraId="16BD8B54"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0.514</w:t>
            </w:r>
          </w:p>
        </w:tc>
      </w:tr>
      <w:tr w:rsidR="003859C9" w:rsidRPr="00EB11D3" w14:paraId="6B7936B2" w14:textId="77777777" w:rsidTr="00007E09">
        <w:trPr>
          <w:cantSplit/>
        </w:trPr>
        <w:tc>
          <w:tcPr>
            <w:tcW w:w="3449" w:type="pct"/>
            <w:tcBorders>
              <w:top w:val="single" w:sz="8" w:space="0" w:color="AEAEAE"/>
              <w:left w:val="nil"/>
              <w:bottom w:val="single" w:sz="8" w:space="0" w:color="AEAEAE"/>
              <w:right w:val="nil"/>
            </w:tcBorders>
            <w:shd w:val="clear" w:color="auto" w:fill="auto"/>
          </w:tcPr>
          <w:p w14:paraId="359513D5" w14:textId="77777777" w:rsidR="003859C9" w:rsidRPr="00EB11D3" w:rsidRDefault="003859C9" w:rsidP="003859C9">
            <w:pPr>
              <w:spacing w:after="160" w:line="259" w:lineRule="auto"/>
              <w:jc w:val="left"/>
              <w:rPr>
                <w:szCs w:val="24"/>
              </w:rPr>
            </w:pPr>
            <w:r w:rsidRPr="00EB11D3">
              <w:rPr>
                <w:szCs w:val="24"/>
              </w:rPr>
              <w:t>The hospital prioritizes the interest of client first</w:t>
            </w:r>
          </w:p>
        </w:tc>
        <w:tc>
          <w:tcPr>
            <w:tcW w:w="1551" w:type="pct"/>
            <w:tcBorders>
              <w:top w:val="single" w:sz="8" w:space="0" w:color="AEAEAE"/>
              <w:left w:val="single" w:sz="8" w:space="0" w:color="E0E0E0"/>
              <w:bottom w:val="single" w:sz="8" w:space="0" w:color="AEAEAE"/>
              <w:right w:val="nil"/>
            </w:tcBorders>
            <w:shd w:val="clear" w:color="auto" w:fill="auto"/>
          </w:tcPr>
          <w:p w14:paraId="33269D9C"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0.532</w:t>
            </w:r>
          </w:p>
        </w:tc>
      </w:tr>
      <w:tr w:rsidR="003859C9" w:rsidRPr="00EB11D3" w14:paraId="414C325B" w14:textId="77777777" w:rsidTr="00007E09">
        <w:trPr>
          <w:cantSplit/>
        </w:trPr>
        <w:tc>
          <w:tcPr>
            <w:tcW w:w="3449" w:type="pct"/>
            <w:tcBorders>
              <w:top w:val="single" w:sz="8" w:space="0" w:color="AEAEAE"/>
              <w:left w:val="nil"/>
              <w:bottom w:val="single" w:sz="8" w:space="0" w:color="AEAEAE"/>
              <w:right w:val="nil"/>
            </w:tcBorders>
            <w:shd w:val="clear" w:color="auto" w:fill="auto"/>
          </w:tcPr>
          <w:p w14:paraId="24344061" w14:textId="77777777" w:rsidR="003859C9" w:rsidRPr="00EB11D3" w:rsidRDefault="003859C9" w:rsidP="003859C9">
            <w:pPr>
              <w:spacing w:after="160" w:line="259" w:lineRule="auto"/>
              <w:jc w:val="left"/>
              <w:rPr>
                <w:szCs w:val="24"/>
              </w:rPr>
            </w:pPr>
            <w:r w:rsidRPr="00EB11D3">
              <w:rPr>
                <w:szCs w:val="24"/>
              </w:rPr>
              <w:t>The hospital operations contribute to professional growth of employees</w:t>
            </w:r>
          </w:p>
        </w:tc>
        <w:tc>
          <w:tcPr>
            <w:tcW w:w="1551" w:type="pct"/>
            <w:tcBorders>
              <w:top w:val="single" w:sz="8" w:space="0" w:color="AEAEAE"/>
              <w:left w:val="single" w:sz="8" w:space="0" w:color="E0E0E0"/>
              <w:bottom w:val="single" w:sz="8" w:space="0" w:color="AEAEAE"/>
              <w:right w:val="nil"/>
            </w:tcBorders>
            <w:shd w:val="clear" w:color="auto" w:fill="auto"/>
          </w:tcPr>
          <w:p w14:paraId="03968A81"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0.758</w:t>
            </w:r>
          </w:p>
        </w:tc>
      </w:tr>
      <w:tr w:rsidR="003859C9" w:rsidRPr="00EB11D3" w14:paraId="78588CFE" w14:textId="77777777" w:rsidTr="00007E09">
        <w:trPr>
          <w:cantSplit/>
        </w:trPr>
        <w:tc>
          <w:tcPr>
            <w:tcW w:w="3449" w:type="pct"/>
            <w:tcBorders>
              <w:top w:val="single" w:sz="8" w:space="0" w:color="AEAEAE"/>
              <w:left w:val="nil"/>
              <w:bottom w:val="single" w:sz="8" w:space="0" w:color="AEAEAE"/>
              <w:right w:val="nil"/>
            </w:tcBorders>
            <w:shd w:val="clear" w:color="auto" w:fill="auto"/>
          </w:tcPr>
          <w:p w14:paraId="2334AF71" w14:textId="77777777" w:rsidR="003859C9" w:rsidRPr="00EB11D3" w:rsidRDefault="003859C9" w:rsidP="003859C9">
            <w:pPr>
              <w:spacing w:after="160" w:line="259" w:lineRule="auto"/>
              <w:jc w:val="left"/>
              <w:rPr>
                <w:szCs w:val="24"/>
              </w:rPr>
            </w:pPr>
            <w:r w:rsidRPr="00EB11D3">
              <w:rPr>
                <w:szCs w:val="24"/>
              </w:rPr>
              <w:t>The hospital has operational conflict of interest policy</w:t>
            </w:r>
          </w:p>
        </w:tc>
        <w:tc>
          <w:tcPr>
            <w:tcW w:w="1551" w:type="pct"/>
            <w:tcBorders>
              <w:top w:val="single" w:sz="8" w:space="0" w:color="AEAEAE"/>
              <w:left w:val="single" w:sz="8" w:space="0" w:color="E0E0E0"/>
              <w:bottom w:val="single" w:sz="8" w:space="0" w:color="AEAEAE"/>
              <w:right w:val="nil"/>
            </w:tcBorders>
            <w:shd w:val="clear" w:color="auto" w:fill="auto"/>
          </w:tcPr>
          <w:p w14:paraId="373B487C"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0.814</w:t>
            </w:r>
          </w:p>
        </w:tc>
      </w:tr>
      <w:tr w:rsidR="003859C9" w:rsidRPr="00EB11D3" w14:paraId="33892B58" w14:textId="77777777" w:rsidTr="00007E09">
        <w:trPr>
          <w:cantSplit/>
        </w:trPr>
        <w:tc>
          <w:tcPr>
            <w:tcW w:w="3449" w:type="pct"/>
            <w:tcBorders>
              <w:top w:val="single" w:sz="8" w:space="0" w:color="AEAEAE"/>
              <w:left w:val="nil"/>
              <w:bottom w:val="single" w:sz="8" w:space="0" w:color="AEAEAE"/>
              <w:right w:val="nil"/>
            </w:tcBorders>
            <w:shd w:val="clear" w:color="auto" w:fill="auto"/>
          </w:tcPr>
          <w:p w14:paraId="7825E534" w14:textId="77777777" w:rsidR="003859C9" w:rsidRPr="00EB11D3" w:rsidRDefault="003859C9" w:rsidP="003859C9">
            <w:pPr>
              <w:spacing w:after="160" w:line="259" w:lineRule="auto"/>
              <w:jc w:val="left"/>
              <w:rPr>
                <w:szCs w:val="24"/>
              </w:rPr>
            </w:pPr>
            <w:r w:rsidRPr="00EB11D3">
              <w:rPr>
                <w:szCs w:val="24"/>
              </w:rPr>
              <w:t>The hospital provides professional benefit by monitoring profession actions.</w:t>
            </w:r>
          </w:p>
        </w:tc>
        <w:tc>
          <w:tcPr>
            <w:tcW w:w="1551" w:type="pct"/>
            <w:tcBorders>
              <w:top w:val="single" w:sz="8" w:space="0" w:color="AEAEAE"/>
              <w:left w:val="single" w:sz="8" w:space="0" w:color="E0E0E0"/>
              <w:bottom w:val="single" w:sz="8" w:space="0" w:color="AEAEAE"/>
              <w:right w:val="nil"/>
            </w:tcBorders>
            <w:shd w:val="clear" w:color="auto" w:fill="auto"/>
          </w:tcPr>
          <w:p w14:paraId="60D70289"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0.571</w:t>
            </w:r>
          </w:p>
        </w:tc>
      </w:tr>
      <w:tr w:rsidR="003859C9" w:rsidRPr="00EB11D3" w14:paraId="3B9A703B" w14:textId="77777777" w:rsidTr="00007E09">
        <w:trPr>
          <w:cantSplit/>
        </w:trPr>
        <w:tc>
          <w:tcPr>
            <w:tcW w:w="3449" w:type="pct"/>
            <w:tcBorders>
              <w:top w:val="single" w:sz="8" w:space="0" w:color="AEAEAE"/>
              <w:left w:val="nil"/>
              <w:bottom w:val="single" w:sz="8" w:space="0" w:color="AEAEAE"/>
              <w:right w:val="nil"/>
            </w:tcBorders>
            <w:shd w:val="clear" w:color="auto" w:fill="auto"/>
          </w:tcPr>
          <w:p w14:paraId="3050A630" w14:textId="77777777" w:rsidR="003859C9" w:rsidRPr="00EB11D3" w:rsidRDefault="003859C9" w:rsidP="003859C9">
            <w:pPr>
              <w:spacing w:after="160" w:line="259" w:lineRule="auto"/>
              <w:jc w:val="left"/>
              <w:rPr>
                <w:szCs w:val="24"/>
              </w:rPr>
            </w:pPr>
            <w:r w:rsidRPr="00EB11D3">
              <w:rPr>
                <w:szCs w:val="24"/>
              </w:rPr>
              <w:t>The hospital has clear framework of disciplinary ethical standards in place</w:t>
            </w:r>
          </w:p>
        </w:tc>
        <w:tc>
          <w:tcPr>
            <w:tcW w:w="1551" w:type="pct"/>
            <w:tcBorders>
              <w:top w:val="single" w:sz="8" w:space="0" w:color="AEAEAE"/>
              <w:left w:val="single" w:sz="8" w:space="0" w:color="E0E0E0"/>
              <w:bottom w:val="single" w:sz="8" w:space="0" w:color="AEAEAE"/>
              <w:right w:val="nil"/>
            </w:tcBorders>
            <w:shd w:val="clear" w:color="auto" w:fill="auto"/>
          </w:tcPr>
          <w:p w14:paraId="21044366"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0.501</w:t>
            </w:r>
          </w:p>
        </w:tc>
      </w:tr>
      <w:tr w:rsidR="003859C9" w:rsidRPr="00EB11D3" w14:paraId="39B71AEB" w14:textId="77777777" w:rsidTr="00007E09">
        <w:trPr>
          <w:cantSplit/>
        </w:trPr>
        <w:tc>
          <w:tcPr>
            <w:tcW w:w="3449" w:type="pct"/>
            <w:tcBorders>
              <w:top w:val="single" w:sz="8" w:space="0" w:color="AEAEAE"/>
              <w:left w:val="nil"/>
              <w:bottom w:val="single" w:sz="8" w:space="0" w:color="AEAEAE"/>
              <w:right w:val="nil"/>
            </w:tcBorders>
            <w:shd w:val="clear" w:color="auto" w:fill="auto"/>
          </w:tcPr>
          <w:p w14:paraId="2ED0488C" w14:textId="77777777" w:rsidR="003859C9" w:rsidRPr="00EB11D3" w:rsidRDefault="003859C9" w:rsidP="003859C9">
            <w:pPr>
              <w:spacing w:after="160" w:line="259" w:lineRule="auto"/>
              <w:jc w:val="left"/>
              <w:rPr>
                <w:b/>
                <w:szCs w:val="24"/>
              </w:rPr>
            </w:pPr>
            <w:r w:rsidRPr="00EB11D3">
              <w:rPr>
                <w:b/>
                <w:szCs w:val="24"/>
              </w:rPr>
              <w:t>Professional Standards</w:t>
            </w:r>
          </w:p>
        </w:tc>
        <w:tc>
          <w:tcPr>
            <w:tcW w:w="1551" w:type="pct"/>
            <w:tcBorders>
              <w:top w:val="single" w:sz="8" w:space="0" w:color="AEAEAE"/>
              <w:left w:val="single" w:sz="8" w:space="0" w:color="E0E0E0"/>
              <w:bottom w:val="single" w:sz="8" w:space="0" w:color="AEAEAE"/>
              <w:right w:val="nil"/>
            </w:tcBorders>
            <w:shd w:val="clear" w:color="auto" w:fill="auto"/>
          </w:tcPr>
          <w:p w14:paraId="077BF6C8" w14:textId="77777777" w:rsidR="003859C9" w:rsidRPr="00EB11D3" w:rsidRDefault="003859C9" w:rsidP="003859C9">
            <w:pPr>
              <w:autoSpaceDE w:val="0"/>
              <w:autoSpaceDN w:val="0"/>
              <w:adjustRightInd w:val="0"/>
              <w:spacing w:after="0" w:line="320" w:lineRule="atLeast"/>
              <w:ind w:left="60" w:right="60"/>
              <w:jc w:val="right"/>
              <w:rPr>
                <w:szCs w:val="24"/>
              </w:rPr>
            </w:pPr>
          </w:p>
        </w:tc>
      </w:tr>
      <w:tr w:rsidR="003859C9" w:rsidRPr="00EB11D3" w14:paraId="4B772BAF" w14:textId="77777777" w:rsidTr="00007E09">
        <w:trPr>
          <w:cantSplit/>
        </w:trPr>
        <w:tc>
          <w:tcPr>
            <w:tcW w:w="3449" w:type="pct"/>
            <w:tcBorders>
              <w:top w:val="single" w:sz="8" w:space="0" w:color="AEAEAE"/>
              <w:left w:val="nil"/>
              <w:bottom w:val="single" w:sz="8" w:space="0" w:color="AEAEAE"/>
              <w:right w:val="nil"/>
            </w:tcBorders>
            <w:shd w:val="clear" w:color="auto" w:fill="auto"/>
          </w:tcPr>
          <w:p w14:paraId="40906F0E" w14:textId="77777777" w:rsidR="003859C9" w:rsidRPr="00EB11D3" w:rsidRDefault="003859C9" w:rsidP="003859C9">
            <w:pPr>
              <w:spacing w:after="160" w:line="259" w:lineRule="auto"/>
              <w:jc w:val="left"/>
              <w:rPr>
                <w:szCs w:val="24"/>
              </w:rPr>
            </w:pPr>
            <w:r w:rsidRPr="00EB11D3">
              <w:rPr>
                <w:szCs w:val="24"/>
              </w:rPr>
              <w:t>Regularly reviews service delivery protocol</w:t>
            </w:r>
          </w:p>
        </w:tc>
        <w:tc>
          <w:tcPr>
            <w:tcW w:w="1551" w:type="pct"/>
            <w:tcBorders>
              <w:top w:val="single" w:sz="8" w:space="0" w:color="AEAEAE"/>
              <w:left w:val="single" w:sz="8" w:space="0" w:color="E0E0E0"/>
              <w:bottom w:val="single" w:sz="8" w:space="0" w:color="AEAEAE"/>
              <w:right w:val="nil"/>
            </w:tcBorders>
            <w:shd w:val="clear" w:color="auto" w:fill="auto"/>
          </w:tcPr>
          <w:p w14:paraId="00014315"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0.580</w:t>
            </w:r>
          </w:p>
        </w:tc>
      </w:tr>
      <w:tr w:rsidR="003859C9" w:rsidRPr="00EB11D3" w14:paraId="16D4903E" w14:textId="77777777" w:rsidTr="00007E09">
        <w:trPr>
          <w:cantSplit/>
        </w:trPr>
        <w:tc>
          <w:tcPr>
            <w:tcW w:w="3449" w:type="pct"/>
            <w:tcBorders>
              <w:top w:val="single" w:sz="8" w:space="0" w:color="AEAEAE"/>
              <w:left w:val="nil"/>
              <w:bottom w:val="single" w:sz="8" w:space="0" w:color="AEAEAE"/>
              <w:right w:val="nil"/>
            </w:tcBorders>
            <w:shd w:val="clear" w:color="auto" w:fill="auto"/>
          </w:tcPr>
          <w:p w14:paraId="35D3B51D" w14:textId="77777777" w:rsidR="003859C9" w:rsidRPr="00EB11D3" w:rsidRDefault="003859C9" w:rsidP="003859C9">
            <w:pPr>
              <w:spacing w:after="160" w:line="259" w:lineRule="auto"/>
              <w:jc w:val="left"/>
              <w:rPr>
                <w:szCs w:val="24"/>
              </w:rPr>
            </w:pPr>
            <w:r w:rsidRPr="00EB11D3">
              <w:rPr>
                <w:szCs w:val="24"/>
              </w:rPr>
              <w:t>Enforces penalties on non-compliant professionals</w:t>
            </w:r>
          </w:p>
        </w:tc>
        <w:tc>
          <w:tcPr>
            <w:tcW w:w="1551" w:type="pct"/>
            <w:tcBorders>
              <w:top w:val="single" w:sz="8" w:space="0" w:color="AEAEAE"/>
              <w:left w:val="single" w:sz="8" w:space="0" w:color="E0E0E0"/>
              <w:bottom w:val="single" w:sz="8" w:space="0" w:color="AEAEAE"/>
              <w:right w:val="nil"/>
            </w:tcBorders>
            <w:shd w:val="clear" w:color="auto" w:fill="auto"/>
          </w:tcPr>
          <w:p w14:paraId="15D7E763"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0.600</w:t>
            </w:r>
          </w:p>
        </w:tc>
      </w:tr>
      <w:tr w:rsidR="003859C9" w:rsidRPr="00EB11D3" w14:paraId="50070508" w14:textId="77777777" w:rsidTr="00007E09">
        <w:trPr>
          <w:cantSplit/>
        </w:trPr>
        <w:tc>
          <w:tcPr>
            <w:tcW w:w="3449" w:type="pct"/>
            <w:tcBorders>
              <w:top w:val="single" w:sz="8" w:space="0" w:color="AEAEAE"/>
              <w:left w:val="nil"/>
              <w:bottom w:val="single" w:sz="8" w:space="0" w:color="AEAEAE"/>
              <w:right w:val="nil"/>
            </w:tcBorders>
            <w:shd w:val="clear" w:color="auto" w:fill="auto"/>
          </w:tcPr>
          <w:p w14:paraId="73AE54BD" w14:textId="77777777" w:rsidR="003859C9" w:rsidRPr="00EB11D3" w:rsidRDefault="003859C9" w:rsidP="003859C9">
            <w:pPr>
              <w:spacing w:after="160" w:line="259" w:lineRule="auto"/>
              <w:jc w:val="left"/>
              <w:rPr>
                <w:szCs w:val="24"/>
              </w:rPr>
            </w:pPr>
            <w:r w:rsidRPr="00EB11D3">
              <w:rPr>
                <w:szCs w:val="24"/>
              </w:rPr>
              <w:t>Effectively standardizes service delivery protocols</w:t>
            </w:r>
          </w:p>
        </w:tc>
        <w:tc>
          <w:tcPr>
            <w:tcW w:w="1551" w:type="pct"/>
            <w:tcBorders>
              <w:top w:val="single" w:sz="8" w:space="0" w:color="AEAEAE"/>
              <w:left w:val="single" w:sz="8" w:space="0" w:color="E0E0E0"/>
              <w:bottom w:val="single" w:sz="8" w:space="0" w:color="AEAEAE"/>
              <w:right w:val="nil"/>
            </w:tcBorders>
            <w:shd w:val="clear" w:color="auto" w:fill="auto"/>
          </w:tcPr>
          <w:p w14:paraId="01F5DC09"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0.591</w:t>
            </w:r>
          </w:p>
        </w:tc>
      </w:tr>
      <w:tr w:rsidR="003859C9" w:rsidRPr="00EB11D3" w14:paraId="726828E1" w14:textId="77777777" w:rsidTr="00007E09">
        <w:trPr>
          <w:cantSplit/>
        </w:trPr>
        <w:tc>
          <w:tcPr>
            <w:tcW w:w="3449" w:type="pct"/>
            <w:tcBorders>
              <w:top w:val="single" w:sz="8" w:space="0" w:color="AEAEAE"/>
              <w:left w:val="nil"/>
              <w:bottom w:val="single" w:sz="8" w:space="0" w:color="AEAEAE"/>
              <w:right w:val="nil"/>
            </w:tcBorders>
            <w:shd w:val="clear" w:color="auto" w:fill="auto"/>
          </w:tcPr>
          <w:p w14:paraId="3858F3DA" w14:textId="77777777" w:rsidR="003859C9" w:rsidRPr="00EB11D3" w:rsidRDefault="003859C9" w:rsidP="003859C9">
            <w:pPr>
              <w:spacing w:after="160" w:line="259" w:lineRule="auto"/>
              <w:jc w:val="left"/>
              <w:rPr>
                <w:szCs w:val="24"/>
              </w:rPr>
            </w:pPr>
            <w:r w:rsidRPr="00EB11D3">
              <w:rPr>
                <w:szCs w:val="24"/>
              </w:rPr>
              <w:t>Offers professional upgrade training programs to its professionals</w:t>
            </w:r>
          </w:p>
        </w:tc>
        <w:tc>
          <w:tcPr>
            <w:tcW w:w="1551" w:type="pct"/>
            <w:tcBorders>
              <w:top w:val="single" w:sz="8" w:space="0" w:color="AEAEAE"/>
              <w:left w:val="single" w:sz="8" w:space="0" w:color="E0E0E0"/>
              <w:bottom w:val="single" w:sz="8" w:space="0" w:color="AEAEAE"/>
              <w:right w:val="nil"/>
            </w:tcBorders>
            <w:shd w:val="clear" w:color="auto" w:fill="auto"/>
          </w:tcPr>
          <w:p w14:paraId="478FCAE9"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0.601</w:t>
            </w:r>
          </w:p>
        </w:tc>
      </w:tr>
      <w:tr w:rsidR="003859C9" w:rsidRPr="00EB11D3" w14:paraId="6204E282" w14:textId="77777777" w:rsidTr="00007E09">
        <w:trPr>
          <w:cantSplit/>
        </w:trPr>
        <w:tc>
          <w:tcPr>
            <w:tcW w:w="3449" w:type="pct"/>
            <w:tcBorders>
              <w:top w:val="single" w:sz="8" w:space="0" w:color="AEAEAE"/>
              <w:left w:val="nil"/>
              <w:bottom w:val="single" w:sz="8" w:space="0" w:color="AEAEAE"/>
              <w:right w:val="nil"/>
            </w:tcBorders>
            <w:shd w:val="clear" w:color="auto" w:fill="auto"/>
          </w:tcPr>
          <w:p w14:paraId="20F53095" w14:textId="77777777" w:rsidR="003859C9" w:rsidRPr="00EB11D3" w:rsidRDefault="003859C9" w:rsidP="003859C9">
            <w:pPr>
              <w:spacing w:after="160" w:line="259" w:lineRule="auto"/>
              <w:jc w:val="left"/>
              <w:rPr>
                <w:szCs w:val="24"/>
              </w:rPr>
            </w:pPr>
            <w:r w:rsidRPr="00EB11D3">
              <w:rPr>
                <w:szCs w:val="24"/>
              </w:rPr>
              <w:t>Undertakes operational service audit on time</w:t>
            </w:r>
          </w:p>
        </w:tc>
        <w:tc>
          <w:tcPr>
            <w:tcW w:w="1551" w:type="pct"/>
            <w:tcBorders>
              <w:top w:val="single" w:sz="8" w:space="0" w:color="AEAEAE"/>
              <w:left w:val="single" w:sz="8" w:space="0" w:color="E0E0E0"/>
              <w:bottom w:val="single" w:sz="8" w:space="0" w:color="AEAEAE"/>
              <w:right w:val="nil"/>
            </w:tcBorders>
            <w:shd w:val="clear" w:color="auto" w:fill="auto"/>
          </w:tcPr>
          <w:p w14:paraId="79558CBB"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0.577</w:t>
            </w:r>
          </w:p>
        </w:tc>
      </w:tr>
      <w:tr w:rsidR="003859C9" w:rsidRPr="00EB11D3" w14:paraId="28478F4D" w14:textId="77777777" w:rsidTr="00007E09">
        <w:trPr>
          <w:cantSplit/>
        </w:trPr>
        <w:tc>
          <w:tcPr>
            <w:tcW w:w="3449" w:type="pct"/>
            <w:tcBorders>
              <w:top w:val="single" w:sz="8" w:space="0" w:color="AEAEAE"/>
              <w:left w:val="nil"/>
              <w:bottom w:val="single" w:sz="8" w:space="0" w:color="AEAEAE"/>
              <w:right w:val="nil"/>
            </w:tcBorders>
            <w:shd w:val="clear" w:color="auto" w:fill="auto"/>
          </w:tcPr>
          <w:p w14:paraId="707289BD" w14:textId="77777777" w:rsidR="003859C9" w:rsidRPr="00EB11D3" w:rsidRDefault="003859C9" w:rsidP="003859C9">
            <w:pPr>
              <w:spacing w:after="160" w:line="259" w:lineRule="auto"/>
              <w:jc w:val="left"/>
              <w:rPr>
                <w:szCs w:val="24"/>
              </w:rPr>
            </w:pPr>
            <w:r w:rsidRPr="00EB11D3">
              <w:rPr>
                <w:szCs w:val="24"/>
              </w:rPr>
              <w:t>Management problem solving strategies are highly informed by the professional standards.</w:t>
            </w:r>
          </w:p>
        </w:tc>
        <w:tc>
          <w:tcPr>
            <w:tcW w:w="1551" w:type="pct"/>
            <w:tcBorders>
              <w:top w:val="single" w:sz="8" w:space="0" w:color="AEAEAE"/>
              <w:left w:val="single" w:sz="8" w:space="0" w:color="E0E0E0"/>
              <w:bottom w:val="single" w:sz="8" w:space="0" w:color="AEAEAE"/>
              <w:right w:val="nil"/>
            </w:tcBorders>
            <w:shd w:val="clear" w:color="auto" w:fill="auto"/>
          </w:tcPr>
          <w:p w14:paraId="751B02CE"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0.500</w:t>
            </w:r>
          </w:p>
        </w:tc>
      </w:tr>
      <w:tr w:rsidR="003859C9" w:rsidRPr="00EB11D3" w14:paraId="6BE6B853" w14:textId="77777777" w:rsidTr="00007E09">
        <w:trPr>
          <w:cantSplit/>
        </w:trPr>
        <w:tc>
          <w:tcPr>
            <w:tcW w:w="3449" w:type="pct"/>
            <w:tcBorders>
              <w:top w:val="single" w:sz="8" w:space="0" w:color="AEAEAE"/>
              <w:left w:val="nil"/>
              <w:bottom w:val="single" w:sz="8" w:space="0" w:color="152935"/>
              <w:right w:val="nil"/>
            </w:tcBorders>
            <w:shd w:val="clear" w:color="auto" w:fill="auto"/>
          </w:tcPr>
          <w:p w14:paraId="5C513731" w14:textId="77777777" w:rsidR="003859C9" w:rsidRPr="00EB11D3" w:rsidRDefault="003859C9" w:rsidP="003859C9">
            <w:pPr>
              <w:spacing w:after="160" w:line="259" w:lineRule="auto"/>
              <w:jc w:val="left"/>
              <w:rPr>
                <w:szCs w:val="24"/>
              </w:rPr>
            </w:pPr>
            <w:r w:rsidRPr="00EB11D3">
              <w:rPr>
                <w:szCs w:val="24"/>
              </w:rPr>
              <w:t>The hospital offers appropriate opportunities to support personal professional growth</w:t>
            </w:r>
          </w:p>
        </w:tc>
        <w:tc>
          <w:tcPr>
            <w:tcW w:w="1551" w:type="pct"/>
            <w:tcBorders>
              <w:top w:val="single" w:sz="8" w:space="0" w:color="AEAEAE"/>
              <w:left w:val="single" w:sz="8" w:space="0" w:color="E0E0E0"/>
              <w:bottom w:val="single" w:sz="8" w:space="0" w:color="152935"/>
              <w:right w:val="nil"/>
            </w:tcBorders>
            <w:shd w:val="clear" w:color="auto" w:fill="auto"/>
          </w:tcPr>
          <w:p w14:paraId="32BF31D0"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0.577</w:t>
            </w:r>
          </w:p>
        </w:tc>
      </w:tr>
    </w:tbl>
    <w:p w14:paraId="0D3A3819" w14:textId="77777777" w:rsidR="003859C9" w:rsidRPr="00EB11D3" w:rsidRDefault="003859C9" w:rsidP="003859C9">
      <w:pPr>
        <w:autoSpaceDE w:val="0"/>
        <w:autoSpaceDN w:val="0"/>
        <w:adjustRightInd w:val="0"/>
        <w:spacing w:after="0" w:line="400" w:lineRule="atLeast"/>
        <w:jc w:val="left"/>
        <w:rPr>
          <w:szCs w:val="24"/>
        </w:rPr>
      </w:pPr>
    </w:p>
    <w:p w14:paraId="0D86D8CC"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The outputs in Table 20 show that all the statements on government regulations had factor loading values greater than 0.5 and therefore they were accepted and thus no sub variable was dropped.</w:t>
      </w:r>
    </w:p>
    <w:p w14:paraId="0937C90E" w14:textId="77777777" w:rsidR="003859C9" w:rsidRPr="00EB11D3" w:rsidRDefault="003859C9" w:rsidP="00823CEA">
      <w:pPr>
        <w:pStyle w:val="Heading4"/>
      </w:pPr>
      <w:r w:rsidRPr="00EB11D3">
        <w:t>4.</w:t>
      </w:r>
      <w:r w:rsidR="00D71EA0" w:rsidRPr="00EB11D3">
        <w:t>4</w:t>
      </w:r>
      <w:r w:rsidRPr="00EB11D3">
        <w:t xml:space="preserve">.4.4 </w:t>
      </w:r>
      <w:bookmarkStart w:id="750" w:name="_Hlk160721290"/>
      <w:r w:rsidRPr="00EB11D3">
        <w:t>Factor Analysis fo</w:t>
      </w:r>
      <w:bookmarkStart w:id="751" w:name="_Hlk113498416"/>
      <w:r w:rsidRPr="00EB11D3">
        <w:t xml:space="preserve">r </w:t>
      </w:r>
      <w:bookmarkEnd w:id="751"/>
      <w:r w:rsidR="006D5C62" w:rsidRPr="00EB11D3">
        <w:t xml:space="preserve">Organisational </w:t>
      </w:r>
      <w:r w:rsidR="006724DD">
        <w:t>P</w:t>
      </w:r>
      <w:r w:rsidR="006D5C62" w:rsidRPr="00EB11D3">
        <w:t>erformance of Faith-Based Hospitals</w:t>
      </w:r>
    </w:p>
    <w:p w14:paraId="3C28C161" w14:textId="77777777" w:rsidR="003859C9" w:rsidRPr="00EB11D3" w:rsidRDefault="003859C9" w:rsidP="00C03D44">
      <w:pPr>
        <w:shd w:val="clear" w:color="auto" w:fill="FFFFFF"/>
        <w:spacing w:after="160" w:line="360" w:lineRule="auto"/>
        <w:rPr>
          <w:rFonts w:eastAsia="Times New Roman"/>
          <w:bCs/>
          <w:szCs w:val="24"/>
        </w:rPr>
      </w:pPr>
      <w:r w:rsidRPr="00EB11D3">
        <w:rPr>
          <w:rFonts w:eastAsia="Cambria"/>
          <w:szCs w:val="24"/>
        </w:rPr>
        <w:t xml:space="preserve">Factor analysis was carried out on the statements of </w:t>
      </w:r>
      <w:r w:rsidR="006D5C62" w:rsidRPr="00EB11D3">
        <w:rPr>
          <w:rFonts w:eastAsia="Times New Roman"/>
          <w:bCs/>
          <w:szCs w:val="24"/>
        </w:rPr>
        <w:t>organisational performance of Faith-Based Hospitals</w:t>
      </w:r>
      <w:r w:rsidRPr="00EB11D3">
        <w:rPr>
          <w:rFonts w:eastAsia="Cambria"/>
          <w:szCs w:val="24"/>
        </w:rPr>
        <w:t>. According to Tabachinick and Fidell (2007), factor loading of 0.45 as fair measure of real-life data. Table 21 shows the factor loading for</w:t>
      </w:r>
      <w:bookmarkStart w:id="752" w:name="_Toc100987973"/>
      <w:r w:rsidRPr="00EB11D3">
        <w:rPr>
          <w:rFonts w:eastAsia="Times New Roman"/>
          <w:bCs/>
          <w:szCs w:val="24"/>
        </w:rPr>
        <w:t xml:space="preserve"> </w:t>
      </w:r>
      <w:bookmarkStart w:id="753" w:name="_Toc126666756"/>
      <w:r w:rsidR="006D5C62" w:rsidRPr="00EB11D3">
        <w:rPr>
          <w:rFonts w:eastAsia="Times New Roman"/>
          <w:bCs/>
          <w:szCs w:val="24"/>
        </w:rPr>
        <w:t>organisational performance of Faith-Based Hospitals</w:t>
      </w:r>
      <w:r w:rsidRPr="00EB11D3">
        <w:rPr>
          <w:rFonts w:eastAsia="Times New Roman"/>
          <w:bCs/>
          <w:szCs w:val="24"/>
        </w:rPr>
        <w:t>.</w:t>
      </w:r>
    </w:p>
    <w:p w14:paraId="028F6EEC" w14:textId="77777777" w:rsidR="003859C9" w:rsidRPr="00EB11D3" w:rsidRDefault="003859C9" w:rsidP="00C9078D">
      <w:pPr>
        <w:spacing w:after="160" w:line="259" w:lineRule="auto"/>
        <w:jc w:val="left"/>
        <w:rPr>
          <w:szCs w:val="24"/>
        </w:rPr>
      </w:pPr>
      <w:r w:rsidRPr="00EB11D3">
        <w:rPr>
          <w:rFonts w:eastAsia="Times New Roman"/>
          <w:b/>
          <w:bCs/>
          <w:szCs w:val="24"/>
        </w:rPr>
        <w:br w:type="page"/>
      </w:r>
      <w:bookmarkStart w:id="754" w:name="_Toc177387952"/>
      <w:r w:rsidRPr="00EB11D3">
        <w:rPr>
          <w:rFonts w:eastAsia="Times New Roman"/>
          <w:b/>
          <w:bCs/>
          <w:szCs w:val="24"/>
        </w:rPr>
        <w:t xml:space="preserve">Table </w:t>
      </w:r>
      <w:r w:rsidRPr="00EB11D3">
        <w:rPr>
          <w:rFonts w:eastAsia="Times New Roman"/>
          <w:b/>
          <w:bCs/>
          <w:szCs w:val="24"/>
        </w:rPr>
        <w:fldChar w:fldCharType="begin"/>
      </w:r>
      <w:r w:rsidRPr="00EB11D3">
        <w:rPr>
          <w:rFonts w:eastAsia="Times New Roman"/>
          <w:b/>
          <w:bCs/>
          <w:szCs w:val="24"/>
        </w:rPr>
        <w:instrText xml:space="preserve"> SEQ Table \* ARABIC </w:instrText>
      </w:r>
      <w:r w:rsidRPr="00EB11D3">
        <w:rPr>
          <w:rFonts w:eastAsia="Times New Roman"/>
          <w:b/>
          <w:bCs/>
          <w:szCs w:val="24"/>
        </w:rPr>
        <w:fldChar w:fldCharType="separate"/>
      </w:r>
      <w:r w:rsidRPr="00EB11D3">
        <w:rPr>
          <w:rFonts w:eastAsia="Times New Roman"/>
          <w:b/>
          <w:bCs/>
          <w:noProof/>
          <w:szCs w:val="24"/>
        </w:rPr>
        <w:t>21</w:t>
      </w:r>
      <w:r w:rsidRPr="00EB11D3">
        <w:rPr>
          <w:rFonts w:eastAsia="Times New Roman"/>
          <w:b/>
          <w:bCs/>
          <w:szCs w:val="24"/>
        </w:rPr>
        <w:fldChar w:fldCharType="end"/>
      </w:r>
      <w:r w:rsidRPr="00EB11D3">
        <w:rPr>
          <w:rFonts w:eastAsia="Times New Roman"/>
          <w:b/>
          <w:bCs/>
          <w:szCs w:val="24"/>
        </w:rPr>
        <w:t>: Factor Loading for</w:t>
      </w:r>
      <w:bookmarkEnd w:id="752"/>
      <w:r w:rsidRPr="00EB11D3">
        <w:rPr>
          <w:rFonts w:eastAsia="Times New Roman"/>
          <w:b/>
          <w:bCs/>
          <w:szCs w:val="24"/>
        </w:rPr>
        <w:t xml:space="preserve"> </w:t>
      </w:r>
      <w:bookmarkEnd w:id="753"/>
      <w:r w:rsidR="006D5C62" w:rsidRPr="00EB11D3">
        <w:rPr>
          <w:rFonts w:eastAsia="Times New Roman"/>
          <w:b/>
          <w:bCs/>
          <w:szCs w:val="24"/>
        </w:rPr>
        <w:t>Organisational performance of Faith-Based Hospitals</w:t>
      </w:r>
      <w:bookmarkEnd w:id="750"/>
      <w:bookmarkEnd w:id="754"/>
    </w:p>
    <w:tbl>
      <w:tblPr>
        <w:tblW w:w="5000" w:type="pct"/>
        <w:tblCellMar>
          <w:left w:w="0" w:type="dxa"/>
          <w:right w:w="0" w:type="dxa"/>
        </w:tblCellMar>
        <w:tblLook w:val="0000" w:firstRow="0" w:lastRow="0" w:firstColumn="0" w:lastColumn="0" w:noHBand="0" w:noVBand="0"/>
      </w:tblPr>
      <w:tblGrid>
        <w:gridCol w:w="7651"/>
        <w:gridCol w:w="1709"/>
      </w:tblGrid>
      <w:tr w:rsidR="00AD2981" w:rsidRPr="006724DD" w14:paraId="0C42B490" w14:textId="77777777" w:rsidTr="00B568B1">
        <w:trPr>
          <w:cantSplit/>
        </w:trPr>
        <w:tc>
          <w:tcPr>
            <w:tcW w:w="4087" w:type="pct"/>
            <w:tcBorders>
              <w:top w:val="nil"/>
              <w:left w:val="nil"/>
              <w:bottom w:val="single" w:sz="8" w:space="0" w:color="152935"/>
              <w:right w:val="nil"/>
            </w:tcBorders>
            <w:shd w:val="clear" w:color="auto" w:fill="auto"/>
            <w:vAlign w:val="bottom"/>
          </w:tcPr>
          <w:p w14:paraId="539F0E8D" w14:textId="77777777" w:rsidR="003859C9" w:rsidRPr="006724DD" w:rsidRDefault="006724DD" w:rsidP="006724DD">
            <w:pPr>
              <w:autoSpaceDE w:val="0"/>
              <w:autoSpaceDN w:val="0"/>
              <w:adjustRightInd w:val="0"/>
              <w:spacing w:after="0" w:line="240" w:lineRule="auto"/>
              <w:jc w:val="center"/>
              <w:rPr>
                <w:b/>
                <w:bCs/>
                <w:szCs w:val="24"/>
              </w:rPr>
            </w:pPr>
            <w:r w:rsidRPr="006724DD">
              <w:rPr>
                <w:b/>
                <w:bCs/>
                <w:szCs w:val="24"/>
              </w:rPr>
              <w:t>Statement</w:t>
            </w:r>
          </w:p>
        </w:tc>
        <w:tc>
          <w:tcPr>
            <w:tcW w:w="913" w:type="pct"/>
            <w:tcBorders>
              <w:top w:val="nil"/>
              <w:left w:val="single" w:sz="8" w:space="0" w:color="E0E0E0"/>
              <w:bottom w:val="single" w:sz="8" w:space="0" w:color="152935"/>
              <w:right w:val="nil"/>
            </w:tcBorders>
            <w:shd w:val="clear" w:color="auto" w:fill="auto"/>
            <w:vAlign w:val="bottom"/>
          </w:tcPr>
          <w:p w14:paraId="17FE279F" w14:textId="77777777" w:rsidR="003859C9" w:rsidRPr="006724DD" w:rsidRDefault="003859C9" w:rsidP="006724DD">
            <w:pPr>
              <w:spacing w:after="0" w:line="259" w:lineRule="auto"/>
              <w:jc w:val="right"/>
              <w:rPr>
                <w:b/>
                <w:bCs/>
                <w:szCs w:val="24"/>
              </w:rPr>
            </w:pPr>
            <w:r w:rsidRPr="006724DD">
              <w:rPr>
                <w:b/>
                <w:bCs/>
                <w:szCs w:val="24"/>
              </w:rPr>
              <w:t>Extraction</w:t>
            </w:r>
          </w:p>
        </w:tc>
      </w:tr>
      <w:tr w:rsidR="00AD2981" w:rsidRPr="00EB11D3" w14:paraId="593F1513" w14:textId="77777777" w:rsidTr="00B568B1">
        <w:trPr>
          <w:cantSplit/>
        </w:trPr>
        <w:tc>
          <w:tcPr>
            <w:tcW w:w="4087" w:type="pct"/>
            <w:tcBorders>
              <w:top w:val="single" w:sz="8" w:space="0" w:color="152935"/>
              <w:left w:val="nil"/>
              <w:bottom w:val="single" w:sz="8" w:space="0" w:color="AEAEAE"/>
              <w:right w:val="nil"/>
            </w:tcBorders>
            <w:shd w:val="clear" w:color="auto" w:fill="auto"/>
          </w:tcPr>
          <w:p w14:paraId="7615BBD2" w14:textId="77777777" w:rsidR="003859C9" w:rsidRPr="00EB11D3" w:rsidRDefault="003859C9" w:rsidP="00C9078D">
            <w:pPr>
              <w:spacing w:after="160" w:line="259" w:lineRule="auto"/>
              <w:rPr>
                <w:b/>
                <w:szCs w:val="24"/>
              </w:rPr>
            </w:pPr>
            <w:r w:rsidRPr="00EB11D3">
              <w:rPr>
                <w:b/>
                <w:szCs w:val="24"/>
              </w:rPr>
              <w:t>Customer Satisfaction</w:t>
            </w:r>
          </w:p>
        </w:tc>
        <w:tc>
          <w:tcPr>
            <w:tcW w:w="913" w:type="pct"/>
            <w:tcBorders>
              <w:top w:val="single" w:sz="8" w:space="0" w:color="152935"/>
              <w:left w:val="single" w:sz="8" w:space="0" w:color="E0E0E0"/>
              <w:bottom w:val="single" w:sz="8" w:space="0" w:color="AEAEAE"/>
              <w:right w:val="nil"/>
            </w:tcBorders>
            <w:shd w:val="clear" w:color="auto" w:fill="auto"/>
          </w:tcPr>
          <w:p w14:paraId="3AD35A61" w14:textId="77777777" w:rsidR="003859C9" w:rsidRPr="00EB11D3" w:rsidRDefault="003859C9" w:rsidP="003859C9">
            <w:pPr>
              <w:autoSpaceDE w:val="0"/>
              <w:autoSpaceDN w:val="0"/>
              <w:adjustRightInd w:val="0"/>
              <w:spacing w:after="0" w:line="320" w:lineRule="atLeast"/>
              <w:ind w:left="60" w:right="60"/>
              <w:jc w:val="right"/>
              <w:rPr>
                <w:szCs w:val="24"/>
              </w:rPr>
            </w:pPr>
          </w:p>
        </w:tc>
      </w:tr>
      <w:tr w:rsidR="00AD2981" w:rsidRPr="00EB11D3" w14:paraId="2C5C44FE" w14:textId="77777777" w:rsidTr="00B568B1">
        <w:trPr>
          <w:cantSplit/>
        </w:trPr>
        <w:tc>
          <w:tcPr>
            <w:tcW w:w="4087" w:type="pct"/>
            <w:tcBorders>
              <w:top w:val="single" w:sz="8" w:space="0" w:color="152935"/>
              <w:left w:val="nil"/>
              <w:bottom w:val="single" w:sz="8" w:space="0" w:color="AEAEAE"/>
              <w:right w:val="nil"/>
            </w:tcBorders>
            <w:shd w:val="clear" w:color="auto" w:fill="auto"/>
          </w:tcPr>
          <w:p w14:paraId="641871F0" w14:textId="77777777" w:rsidR="003859C9" w:rsidRPr="00EB11D3" w:rsidRDefault="003859C9" w:rsidP="00C9078D">
            <w:pPr>
              <w:spacing w:after="160" w:line="259" w:lineRule="auto"/>
              <w:rPr>
                <w:szCs w:val="24"/>
              </w:rPr>
            </w:pPr>
            <w:r w:rsidRPr="00EB11D3">
              <w:rPr>
                <w:szCs w:val="24"/>
              </w:rPr>
              <w:t>The hospital has adequate medical infrastructure to offer quality client service</w:t>
            </w:r>
          </w:p>
        </w:tc>
        <w:tc>
          <w:tcPr>
            <w:tcW w:w="913" w:type="pct"/>
            <w:tcBorders>
              <w:top w:val="single" w:sz="8" w:space="0" w:color="152935"/>
              <w:left w:val="single" w:sz="8" w:space="0" w:color="E0E0E0"/>
              <w:bottom w:val="single" w:sz="8" w:space="0" w:color="AEAEAE"/>
              <w:right w:val="nil"/>
            </w:tcBorders>
            <w:shd w:val="clear" w:color="auto" w:fill="auto"/>
          </w:tcPr>
          <w:p w14:paraId="18D7DD94"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0.639</w:t>
            </w:r>
          </w:p>
        </w:tc>
      </w:tr>
      <w:tr w:rsidR="00AD2981" w:rsidRPr="00EB11D3" w14:paraId="07805734"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6ACF9006" w14:textId="77777777" w:rsidR="003859C9" w:rsidRPr="00EB11D3" w:rsidRDefault="003859C9" w:rsidP="00C9078D">
            <w:pPr>
              <w:spacing w:after="160" w:line="259" w:lineRule="auto"/>
              <w:rPr>
                <w:szCs w:val="24"/>
              </w:rPr>
            </w:pPr>
            <w:r w:rsidRPr="00EB11D3">
              <w:rPr>
                <w:szCs w:val="24"/>
              </w:rPr>
              <w:t>Clients are served timely upon arrival at the hospital</w:t>
            </w:r>
          </w:p>
        </w:tc>
        <w:tc>
          <w:tcPr>
            <w:tcW w:w="913" w:type="pct"/>
            <w:tcBorders>
              <w:top w:val="single" w:sz="8" w:space="0" w:color="AEAEAE"/>
              <w:left w:val="single" w:sz="8" w:space="0" w:color="E0E0E0"/>
              <w:bottom w:val="single" w:sz="8" w:space="0" w:color="AEAEAE"/>
              <w:right w:val="nil"/>
            </w:tcBorders>
            <w:shd w:val="clear" w:color="auto" w:fill="auto"/>
          </w:tcPr>
          <w:p w14:paraId="37D52885"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0.589</w:t>
            </w:r>
          </w:p>
        </w:tc>
      </w:tr>
      <w:tr w:rsidR="00AD2981" w:rsidRPr="00EB11D3" w14:paraId="614B7F71"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619E140B" w14:textId="77777777" w:rsidR="003859C9" w:rsidRPr="00EB11D3" w:rsidRDefault="003859C9" w:rsidP="00C9078D">
            <w:pPr>
              <w:spacing w:after="160" w:line="259" w:lineRule="auto"/>
              <w:rPr>
                <w:szCs w:val="24"/>
              </w:rPr>
            </w:pPr>
            <w:r w:rsidRPr="00EB11D3">
              <w:rPr>
                <w:szCs w:val="24"/>
              </w:rPr>
              <w:t>The digitalised service offers better client-service delivery</w:t>
            </w:r>
          </w:p>
        </w:tc>
        <w:tc>
          <w:tcPr>
            <w:tcW w:w="913" w:type="pct"/>
            <w:tcBorders>
              <w:top w:val="single" w:sz="8" w:space="0" w:color="AEAEAE"/>
              <w:left w:val="single" w:sz="8" w:space="0" w:color="E0E0E0"/>
              <w:bottom w:val="single" w:sz="8" w:space="0" w:color="AEAEAE"/>
              <w:right w:val="nil"/>
            </w:tcBorders>
            <w:shd w:val="clear" w:color="auto" w:fill="auto"/>
          </w:tcPr>
          <w:p w14:paraId="0873E602"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0.589</w:t>
            </w:r>
          </w:p>
        </w:tc>
      </w:tr>
      <w:tr w:rsidR="00AD2981" w:rsidRPr="00EB11D3" w14:paraId="5EE1EAAB"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2864EC0B" w14:textId="77777777" w:rsidR="003859C9" w:rsidRPr="00EB11D3" w:rsidRDefault="003859C9" w:rsidP="00C9078D">
            <w:pPr>
              <w:spacing w:after="160" w:line="259" w:lineRule="auto"/>
              <w:rPr>
                <w:szCs w:val="24"/>
              </w:rPr>
            </w:pPr>
            <w:r w:rsidRPr="00EB11D3">
              <w:rPr>
                <w:szCs w:val="24"/>
              </w:rPr>
              <w:t>The hospital offers timely communication to the clients</w:t>
            </w:r>
          </w:p>
        </w:tc>
        <w:tc>
          <w:tcPr>
            <w:tcW w:w="913" w:type="pct"/>
            <w:tcBorders>
              <w:top w:val="single" w:sz="8" w:space="0" w:color="AEAEAE"/>
              <w:left w:val="single" w:sz="8" w:space="0" w:color="E0E0E0"/>
              <w:bottom w:val="single" w:sz="8" w:space="0" w:color="AEAEAE"/>
              <w:right w:val="nil"/>
            </w:tcBorders>
            <w:shd w:val="clear" w:color="auto" w:fill="auto"/>
          </w:tcPr>
          <w:p w14:paraId="42C01B3E"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0.542</w:t>
            </w:r>
          </w:p>
        </w:tc>
      </w:tr>
      <w:tr w:rsidR="00AD2981" w:rsidRPr="00EB11D3" w14:paraId="29CA4CE6"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1BF49776" w14:textId="77777777" w:rsidR="003859C9" w:rsidRPr="00EB11D3" w:rsidRDefault="003859C9" w:rsidP="00C9078D">
            <w:pPr>
              <w:spacing w:after="160" w:line="259" w:lineRule="auto"/>
              <w:rPr>
                <w:szCs w:val="24"/>
              </w:rPr>
            </w:pPr>
            <w:r w:rsidRPr="00EB11D3">
              <w:rPr>
                <w:szCs w:val="24"/>
              </w:rPr>
              <w:t>The hospital offers comprehensive high-quality service</w:t>
            </w:r>
          </w:p>
        </w:tc>
        <w:tc>
          <w:tcPr>
            <w:tcW w:w="913" w:type="pct"/>
            <w:tcBorders>
              <w:top w:val="single" w:sz="8" w:space="0" w:color="AEAEAE"/>
              <w:left w:val="single" w:sz="8" w:space="0" w:color="E0E0E0"/>
              <w:bottom w:val="single" w:sz="8" w:space="0" w:color="AEAEAE"/>
              <w:right w:val="nil"/>
            </w:tcBorders>
            <w:shd w:val="clear" w:color="auto" w:fill="auto"/>
          </w:tcPr>
          <w:p w14:paraId="11634E94"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0.590</w:t>
            </w:r>
          </w:p>
        </w:tc>
      </w:tr>
      <w:tr w:rsidR="00AD2981" w:rsidRPr="00EB11D3" w14:paraId="4B894A69"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50F4D1D2" w14:textId="77777777" w:rsidR="003859C9" w:rsidRPr="00EB11D3" w:rsidRDefault="003859C9" w:rsidP="00C9078D">
            <w:pPr>
              <w:spacing w:after="160" w:line="259" w:lineRule="auto"/>
              <w:rPr>
                <w:szCs w:val="24"/>
              </w:rPr>
            </w:pPr>
            <w:r w:rsidRPr="00EB11D3">
              <w:rPr>
                <w:szCs w:val="24"/>
              </w:rPr>
              <w:t>Client satisfaction enhances hospital comparative advantage</w:t>
            </w:r>
          </w:p>
        </w:tc>
        <w:tc>
          <w:tcPr>
            <w:tcW w:w="913" w:type="pct"/>
            <w:tcBorders>
              <w:top w:val="single" w:sz="8" w:space="0" w:color="AEAEAE"/>
              <w:left w:val="single" w:sz="8" w:space="0" w:color="E0E0E0"/>
              <w:bottom w:val="single" w:sz="8" w:space="0" w:color="AEAEAE"/>
              <w:right w:val="nil"/>
            </w:tcBorders>
            <w:shd w:val="clear" w:color="auto" w:fill="auto"/>
          </w:tcPr>
          <w:p w14:paraId="5B223CF4"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0.547</w:t>
            </w:r>
          </w:p>
        </w:tc>
      </w:tr>
      <w:tr w:rsidR="00AD2981" w:rsidRPr="00EB11D3" w14:paraId="1B17BA04"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6CF87BF4" w14:textId="77777777" w:rsidR="003859C9" w:rsidRPr="00EB11D3" w:rsidRDefault="003859C9" w:rsidP="00C9078D">
            <w:pPr>
              <w:spacing w:after="160" w:line="259" w:lineRule="auto"/>
              <w:rPr>
                <w:szCs w:val="24"/>
              </w:rPr>
            </w:pPr>
            <w:r w:rsidRPr="00EB11D3">
              <w:rPr>
                <w:szCs w:val="24"/>
              </w:rPr>
              <w:t>The hospital customer feedback provide basis of improving service quality</w:t>
            </w:r>
          </w:p>
        </w:tc>
        <w:tc>
          <w:tcPr>
            <w:tcW w:w="913" w:type="pct"/>
            <w:tcBorders>
              <w:top w:val="single" w:sz="8" w:space="0" w:color="AEAEAE"/>
              <w:left w:val="single" w:sz="8" w:space="0" w:color="E0E0E0"/>
              <w:bottom w:val="single" w:sz="8" w:space="0" w:color="AEAEAE"/>
              <w:right w:val="nil"/>
            </w:tcBorders>
            <w:shd w:val="clear" w:color="auto" w:fill="auto"/>
          </w:tcPr>
          <w:p w14:paraId="13B8295E"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0.569</w:t>
            </w:r>
          </w:p>
        </w:tc>
      </w:tr>
      <w:tr w:rsidR="00AD2981" w:rsidRPr="00EB11D3" w14:paraId="4140439F"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7847EE23" w14:textId="77777777" w:rsidR="003859C9" w:rsidRPr="00EB11D3" w:rsidRDefault="003859C9" w:rsidP="00C9078D">
            <w:pPr>
              <w:spacing w:after="160" w:line="259" w:lineRule="auto"/>
              <w:rPr>
                <w:szCs w:val="24"/>
              </w:rPr>
            </w:pPr>
            <w:r w:rsidRPr="00EB11D3">
              <w:rPr>
                <w:b/>
                <w:bCs/>
                <w:szCs w:val="24"/>
              </w:rPr>
              <w:t>Efficiency</w:t>
            </w:r>
          </w:p>
        </w:tc>
        <w:tc>
          <w:tcPr>
            <w:tcW w:w="913" w:type="pct"/>
            <w:tcBorders>
              <w:top w:val="single" w:sz="8" w:space="0" w:color="AEAEAE"/>
              <w:left w:val="single" w:sz="8" w:space="0" w:color="E0E0E0"/>
              <w:bottom w:val="single" w:sz="8" w:space="0" w:color="AEAEAE"/>
              <w:right w:val="nil"/>
            </w:tcBorders>
            <w:shd w:val="clear" w:color="auto" w:fill="auto"/>
          </w:tcPr>
          <w:p w14:paraId="7A87A7E0" w14:textId="77777777" w:rsidR="003859C9" w:rsidRPr="00EB11D3" w:rsidRDefault="003859C9" w:rsidP="003859C9">
            <w:pPr>
              <w:autoSpaceDE w:val="0"/>
              <w:autoSpaceDN w:val="0"/>
              <w:adjustRightInd w:val="0"/>
              <w:spacing w:after="0" w:line="320" w:lineRule="atLeast"/>
              <w:ind w:left="60" w:right="60"/>
              <w:jc w:val="right"/>
              <w:rPr>
                <w:szCs w:val="24"/>
              </w:rPr>
            </w:pPr>
          </w:p>
        </w:tc>
      </w:tr>
      <w:tr w:rsidR="00AD2981" w:rsidRPr="00EB11D3" w14:paraId="4E09E771"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596EFF5B" w14:textId="77777777" w:rsidR="003859C9" w:rsidRPr="00EB11D3" w:rsidRDefault="003859C9" w:rsidP="00C9078D">
            <w:pPr>
              <w:spacing w:after="160" w:line="259" w:lineRule="auto"/>
              <w:rPr>
                <w:szCs w:val="24"/>
              </w:rPr>
            </w:pPr>
            <w:r w:rsidRPr="00EB11D3">
              <w:rPr>
                <w:szCs w:val="24"/>
              </w:rPr>
              <w:t>The hospital regularly evaluates barriers to performance</w:t>
            </w:r>
          </w:p>
        </w:tc>
        <w:tc>
          <w:tcPr>
            <w:tcW w:w="913" w:type="pct"/>
            <w:tcBorders>
              <w:top w:val="single" w:sz="8" w:space="0" w:color="AEAEAE"/>
              <w:left w:val="single" w:sz="8" w:space="0" w:color="E0E0E0"/>
              <w:bottom w:val="single" w:sz="8" w:space="0" w:color="AEAEAE"/>
              <w:right w:val="nil"/>
            </w:tcBorders>
            <w:shd w:val="clear" w:color="auto" w:fill="auto"/>
          </w:tcPr>
          <w:p w14:paraId="124722AC"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0.640</w:t>
            </w:r>
          </w:p>
        </w:tc>
      </w:tr>
      <w:tr w:rsidR="00AD2981" w:rsidRPr="00EB11D3" w14:paraId="1F3A0434"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6D00B469" w14:textId="77777777" w:rsidR="003859C9" w:rsidRPr="00EB11D3" w:rsidRDefault="003859C9" w:rsidP="00C9078D">
            <w:pPr>
              <w:spacing w:after="160" w:line="259" w:lineRule="auto"/>
              <w:rPr>
                <w:szCs w:val="24"/>
              </w:rPr>
            </w:pPr>
            <w:r w:rsidRPr="00EB11D3">
              <w:rPr>
                <w:szCs w:val="24"/>
              </w:rPr>
              <w:t>The hospital strives to meet customers’ needs</w:t>
            </w:r>
          </w:p>
        </w:tc>
        <w:tc>
          <w:tcPr>
            <w:tcW w:w="913" w:type="pct"/>
            <w:tcBorders>
              <w:top w:val="single" w:sz="8" w:space="0" w:color="AEAEAE"/>
              <w:left w:val="single" w:sz="8" w:space="0" w:color="E0E0E0"/>
              <w:bottom w:val="single" w:sz="8" w:space="0" w:color="AEAEAE"/>
              <w:right w:val="nil"/>
            </w:tcBorders>
            <w:shd w:val="clear" w:color="auto" w:fill="auto"/>
          </w:tcPr>
          <w:p w14:paraId="4F162298"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0.668</w:t>
            </w:r>
          </w:p>
        </w:tc>
      </w:tr>
      <w:tr w:rsidR="00AD2981" w:rsidRPr="00EB11D3" w14:paraId="722E13A1"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0FBFF059" w14:textId="77777777" w:rsidR="003859C9" w:rsidRPr="00EB11D3" w:rsidRDefault="003859C9" w:rsidP="00C9078D">
            <w:pPr>
              <w:spacing w:after="160" w:line="259" w:lineRule="auto"/>
              <w:rPr>
                <w:szCs w:val="24"/>
              </w:rPr>
            </w:pPr>
            <w:r w:rsidRPr="00EB11D3">
              <w:rPr>
                <w:szCs w:val="24"/>
              </w:rPr>
              <w:t>The hospital leadership align hospital strategy with customer expectation</w:t>
            </w:r>
          </w:p>
        </w:tc>
        <w:tc>
          <w:tcPr>
            <w:tcW w:w="913" w:type="pct"/>
            <w:tcBorders>
              <w:top w:val="single" w:sz="8" w:space="0" w:color="AEAEAE"/>
              <w:left w:val="single" w:sz="8" w:space="0" w:color="E0E0E0"/>
              <w:bottom w:val="single" w:sz="8" w:space="0" w:color="AEAEAE"/>
              <w:right w:val="nil"/>
            </w:tcBorders>
            <w:shd w:val="clear" w:color="auto" w:fill="auto"/>
          </w:tcPr>
          <w:p w14:paraId="51743550"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0.658</w:t>
            </w:r>
          </w:p>
        </w:tc>
      </w:tr>
      <w:tr w:rsidR="00AD2981" w:rsidRPr="00EB11D3" w14:paraId="5F2A2F80"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6CB3F1F6" w14:textId="77777777" w:rsidR="003859C9" w:rsidRPr="00EB11D3" w:rsidRDefault="003859C9" w:rsidP="00C9078D">
            <w:pPr>
              <w:spacing w:after="160" w:line="259" w:lineRule="auto"/>
              <w:rPr>
                <w:szCs w:val="24"/>
              </w:rPr>
            </w:pPr>
            <w:r w:rsidRPr="00EB11D3">
              <w:rPr>
                <w:szCs w:val="24"/>
              </w:rPr>
              <w:t>The hospital streamlines its process to maximize available resources.</w:t>
            </w:r>
          </w:p>
        </w:tc>
        <w:tc>
          <w:tcPr>
            <w:tcW w:w="913" w:type="pct"/>
            <w:tcBorders>
              <w:top w:val="single" w:sz="8" w:space="0" w:color="AEAEAE"/>
              <w:left w:val="single" w:sz="8" w:space="0" w:color="E0E0E0"/>
              <w:bottom w:val="single" w:sz="8" w:space="0" w:color="AEAEAE"/>
              <w:right w:val="nil"/>
            </w:tcBorders>
            <w:shd w:val="clear" w:color="auto" w:fill="auto"/>
          </w:tcPr>
          <w:p w14:paraId="4E56488D"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0.751</w:t>
            </w:r>
          </w:p>
        </w:tc>
      </w:tr>
      <w:tr w:rsidR="00AD2981" w:rsidRPr="00EB11D3" w14:paraId="67106CA5"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706D1903" w14:textId="77777777" w:rsidR="003859C9" w:rsidRPr="00EB11D3" w:rsidRDefault="003859C9" w:rsidP="00C9078D">
            <w:pPr>
              <w:spacing w:after="160" w:line="259" w:lineRule="auto"/>
              <w:rPr>
                <w:szCs w:val="24"/>
              </w:rPr>
            </w:pPr>
            <w:r w:rsidRPr="00EB11D3">
              <w:rPr>
                <w:szCs w:val="24"/>
              </w:rPr>
              <w:t>The hospital ensures optimal allocation of scarce resources.</w:t>
            </w:r>
          </w:p>
        </w:tc>
        <w:tc>
          <w:tcPr>
            <w:tcW w:w="913" w:type="pct"/>
            <w:tcBorders>
              <w:top w:val="single" w:sz="8" w:space="0" w:color="AEAEAE"/>
              <w:left w:val="single" w:sz="8" w:space="0" w:color="E0E0E0"/>
              <w:bottom w:val="single" w:sz="8" w:space="0" w:color="AEAEAE"/>
              <w:right w:val="nil"/>
            </w:tcBorders>
            <w:shd w:val="clear" w:color="auto" w:fill="auto"/>
          </w:tcPr>
          <w:p w14:paraId="24658E4A"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0.565</w:t>
            </w:r>
          </w:p>
        </w:tc>
      </w:tr>
      <w:tr w:rsidR="00AD2981" w:rsidRPr="00EB11D3" w14:paraId="7D7E5EB9"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7C24E5E2" w14:textId="77777777" w:rsidR="003859C9" w:rsidRPr="00EB11D3" w:rsidRDefault="003859C9" w:rsidP="00C9078D">
            <w:pPr>
              <w:spacing w:after="160" w:line="259" w:lineRule="auto"/>
              <w:rPr>
                <w:szCs w:val="24"/>
              </w:rPr>
            </w:pPr>
            <w:r w:rsidRPr="00EB11D3">
              <w:rPr>
                <w:szCs w:val="24"/>
              </w:rPr>
              <w:t>Strategic alignment with hospital objectives enhances performance.</w:t>
            </w:r>
          </w:p>
        </w:tc>
        <w:tc>
          <w:tcPr>
            <w:tcW w:w="913" w:type="pct"/>
            <w:tcBorders>
              <w:top w:val="single" w:sz="8" w:space="0" w:color="AEAEAE"/>
              <w:left w:val="single" w:sz="8" w:space="0" w:color="E0E0E0"/>
              <w:bottom w:val="single" w:sz="8" w:space="0" w:color="AEAEAE"/>
              <w:right w:val="nil"/>
            </w:tcBorders>
            <w:shd w:val="clear" w:color="auto" w:fill="auto"/>
          </w:tcPr>
          <w:p w14:paraId="2E93F72E"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0.640</w:t>
            </w:r>
          </w:p>
        </w:tc>
      </w:tr>
      <w:tr w:rsidR="00AD2981" w:rsidRPr="00EB11D3" w14:paraId="471A9AD7"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7404D631" w14:textId="77777777" w:rsidR="003859C9" w:rsidRPr="00EB11D3" w:rsidRDefault="003859C9" w:rsidP="00C9078D">
            <w:pPr>
              <w:spacing w:after="160" w:line="259" w:lineRule="auto"/>
              <w:rPr>
                <w:szCs w:val="24"/>
              </w:rPr>
            </w:pPr>
            <w:r w:rsidRPr="00EB11D3">
              <w:rPr>
                <w:szCs w:val="24"/>
              </w:rPr>
              <w:t>There is increased utilisation of clinical technologies to enhance quality service delivery</w:t>
            </w:r>
          </w:p>
        </w:tc>
        <w:tc>
          <w:tcPr>
            <w:tcW w:w="913" w:type="pct"/>
            <w:tcBorders>
              <w:top w:val="single" w:sz="8" w:space="0" w:color="AEAEAE"/>
              <w:left w:val="single" w:sz="8" w:space="0" w:color="E0E0E0"/>
              <w:bottom w:val="single" w:sz="8" w:space="0" w:color="AEAEAE"/>
              <w:right w:val="nil"/>
            </w:tcBorders>
            <w:shd w:val="clear" w:color="auto" w:fill="auto"/>
          </w:tcPr>
          <w:p w14:paraId="789A00B8"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0.669</w:t>
            </w:r>
          </w:p>
        </w:tc>
      </w:tr>
      <w:tr w:rsidR="00AD2981" w:rsidRPr="00EB11D3" w14:paraId="04BE79D1"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62B2F7A8" w14:textId="77777777" w:rsidR="003859C9" w:rsidRPr="00EB11D3" w:rsidRDefault="003859C9" w:rsidP="00C9078D">
            <w:pPr>
              <w:spacing w:after="160" w:line="259" w:lineRule="auto"/>
              <w:rPr>
                <w:szCs w:val="24"/>
              </w:rPr>
            </w:pPr>
            <w:r w:rsidRPr="00EB11D3">
              <w:rPr>
                <w:b/>
                <w:bCs/>
                <w:szCs w:val="24"/>
              </w:rPr>
              <w:t>Productivity</w:t>
            </w:r>
          </w:p>
        </w:tc>
        <w:tc>
          <w:tcPr>
            <w:tcW w:w="913" w:type="pct"/>
            <w:tcBorders>
              <w:top w:val="single" w:sz="8" w:space="0" w:color="AEAEAE"/>
              <w:left w:val="single" w:sz="8" w:space="0" w:color="E0E0E0"/>
              <w:bottom w:val="single" w:sz="8" w:space="0" w:color="AEAEAE"/>
              <w:right w:val="nil"/>
            </w:tcBorders>
            <w:shd w:val="clear" w:color="auto" w:fill="auto"/>
          </w:tcPr>
          <w:p w14:paraId="06D3C1CD" w14:textId="77777777" w:rsidR="003859C9" w:rsidRPr="00EB11D3" w:rsidRDefault="003859C9" w:rsidP="003859C9">
            <w:pPr>
              <w:autoSpaceDE w:val="0"/>
              <w:autoSpaceDN w:val="0"/>
              <w:adjustRightInd w:val="0"/>
              <w:spacing w:after="0" w:line="320" w:lineRule="atLeast"/>
              <w:ind w:left="60" w:right="60"/>
              <w:jc w:val="right"/>
              <w:rPr>
                <w:szCs w:val="24"/>
              </w:rPr>
            </w:pPr>
          </w:p>
        </w:tc>
      </w:tr>
      <w:tr w:rsidR="00AD2981" w:rsidRPr="00EB11D3" w14:paraId="72F57762"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1A53FE13" w14:textId="77777777" w:rsidR="003859C9" w:rsidRPr="00EB11D3" w:rsidRDefault="003859C9" w:rsidP="00C9078D">
            <w:pPr>
              <w:spacing w:after="160" w:line="259" w:lineRule="auto"/>
              <w:rPr>
                <w:szCs w:val="24"/>
              </w:rPr>
            </w:pPr>
            <w:r w:rsidRPr="00EB11D3">
              <w:rPr>
                <w:szCs w:val="24"/>
              </w:rPr>
              <w:t>The hospital undertakes staff performance assessment review to assess individual performance.</w:t>
            </w:r>
          </w:p>
        </w:tc>
        <w:tc>
          <w:tcPr>
            <w:tcW w:w="913" w:type="pct"/>
            <w:tcBorders>
              <w:top w:val="single" w:sz="8" w:space="0" w:color="AEAEAE"/>
              <w:left w:val="single" w:sz="8" w:space="0" w:color="E0E0E0"/>
              <w:bottom w:val="single" w:sz="8" w:space="0" w:color="AEAEAE"/>
              <w:right w:val="nil"/>
            </w:tcBorders>
            <w:shd w:val="clear" w:color="auto" w:fill="auto"/>
          </w:tcPr>
          <w:p w14:paraId="2346ECC1"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0.508</w:t>
            </w:r>
          </w:p>
        </w:tc>
      </w:tr>
      <w:tr w:rsidR="00AD2981" w:rsidRPr="00EB11D3" w14:paraId="1D9618A6"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4DF1F18C" w14:textId="77777777" w:rsidR="003859C9" w:rsidRPr="00EB11D3" w:rsidRDefault="003859C9" w:rsidP="00C9078D">
            <w:pPr>
              <w:spacing w:after="160" w:line="259" w:lineRule="auto"/>
              <w:rPr>
                <w:szCs w:val="24"/>
              </w:rPr>
            </w:pPr>
            <w:r w:rsidRPr="00EB11D3">
              <w:rPr>
                <w:szCs w:val="24"/>
              </w:rPr>
              <w:t>The hospital has performance rewards mechanism in place.</w:t>
            </w:r>
          </w:p>
        </w:tc>
        <w:tc>
          <w:tcPr>
            <w:tcW w:w="913" w:type="pct"/>
            <w:tcBorders>
              <w:top w:val="single" w:sz="8" w:space="0" w:color="AEAEAE"/>
              <w:left w:val="single" w:sz="8" w:space="0" w:color="E0E0E0"/>
              <w:bottom w:val="single" w:sz="8" w:space="0" w:color="AEAEAE"/>
              <w:right w:val="nil"/>
            </w:tcBorders>
            <w:shd w:val="clear" w:color="auto" w:fill="auto"/>
          </w:tcPr>
          <w:p w14:paraId="55CC66F1"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0.617</w:t>
            </w:r>
          </w:p>
        </w:tc>
      </w:tr>
      <w:tr w:rsidR="00AD2981" w:rsidRPr="00EB11D3" w14:paraId="0F59FAAB"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223C5DC4" w14:textId="77777777" w:rsidR="003859C9" w:rsidRPr="00EB11D3" w:rsidRDefault="003859C9" w:rsidP="00C9078D">
            <w:pPr>
              <w:spacing w:after="160" w:line="259" w:lineRule="auto"/>
              <w:rPr>
                <w:szCs w:val="24"/>
              </w:rPr>
            </w:pPr>
            <w:r w:rsidRPr="00EB11D3">
              <w:rPr>
                <w:szCs w:val="24"/>
              </w:rPr>
              <w:t>The hospital staff have clear target to measure their productivity</w:t>
            </w:r>
          </w:p>
        </w:tc>
        <w:tc>
          <w:tcPr>
            <w:tcW w:w="913" w:type="pct"/>
            <w:tcBorders>
              <w:top w:val="single" w:sz="8" w:space="0" w:color="AEAEAE"/>
              <w:left w:val="single" w:sz="8" w:space="0" w:color="E0E0E0"/>
              <w:bottom w:val="single" w:sz="8" w:space="0" w:color="AEAEAE"/>
              <w:right w:val="nil"/>
            </w:tcBorders>
            <w:shd w:val="clear" w:color="auto" w:fill="auto"/>
          </w:tcPr>
          <w:p w14:paraId="00E5EA4B"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0.622</w:t>
            </w:r>
          </w:p>
        </w:tc>
      </w:tr>
      <w:tr w:rsidR="00AD2981" w:rsidRPr="00EB11D3" w14:paraId="025CF2DC"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09F2272D" w14:textId="77777777" w:rsidR="003859C9" w:rsidRPr="00EB11D3" w:rsidRDefault="003859C9" w:rsidP="00C9078D">
            <w:pPr>
              <w:spacing w:after="160" w:line="259" w:lineRule="auto"/>
              <w:rPr>
                <w:szCs w:val="24"/>
              </w:rPr>
            </w:pPr>
            <w:r w:rsidRPr="00EB11D3">
              <w:rPr>
                <w:szCs w:val="24"/>
              </w:rPr>
              <w:t>The hospital uses profit as a measure of asset productivity.</w:t>
            </w:r>
          </w:p>
        </w:tc>
        <w:tc>
          <w:tcPr>
            <w:tcW w:w="913" w:type="pct"/>
            <w:tcBorders>
              <w:top w:val="single" w:sz="8" w:space="0" w:color="AEAEAE"/>
              <w:left w:val="single" w:sz="8" w:space="0" w:color="E0E0E0"/>
              <w:bottom w:val="single" w:sz="8" w:space="0" w:color="AEAEAE"/>
              <w:right w:val="nil"/>
            </w:tcBorders>
            <w:shd w:val="clear" w:color="auto" w:fill="auto"/>
          </w:tcPr>
          <w:p w14:paraId="29D5990B"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0.739</w:t>
            </w:r>
          </w:p>
        </w:tc>
      </w:tr>
      <w:tr w:rsidR="00AD2981" w:rsidRPr="00EB11D3" w14:paraId="36F7D6CB"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42DD9210" w14:textId="77777777" w:rsidR="003859C9" w:rsidRPr="00EB11D3" w:rsidRDefault="003859C9" w:rsidP="00C9078D">
            <w:pPr>
              <w:spacing w:after="160" w:line="259" w:lineRule="auto"/>
              <w:rPr>
                <w:szCs w:val="24"/>
              </w:rPr>
            </w:pPr>
            <w:r w:rsidRPr="00EB11D3">
              <w:rPr>
                <w:szCs w:val="24"/>
              </w:rPr>
              <w:t>The hospital has time measurement approaches to measure productivity of its employees.</w:t>
            </w:r>
          </w:p>
        </w:tc>
        <w:tc>
          <w:tcPr>
            <w:tcW w:w="913" w:type="pct"/>
            <w:tcBorders>
              <w:top w:val="single" w:sz="8" w:space="0" w:color="AEAEAE"/>
              <w:left w:val="single" w:sz="8" w:space="0" w:color="E0E0E0"/>
              <w:bottom w:val="single" w:sz="8" w:space="0" w:color="AEAEAE"/>
              <w:right w:val="nil"/>
            </w:tcBorders>
            <w:shd w:val="clear" w:color="auto" w:fill="auto"/>
          </w:tcPr>
          <w:p w14:paraId="4939517C"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0.712</w:t>
            </w:r>
          </w:p>
        </w:tc>
      </w:tr>
      <w:tr w:rsidR="00AD2981" w:rsidRPr="00EB11D3" w14:paraId="0CA19140"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5CF7EDEE" w14:textId="77777777" w:rsidR="003859C9" w:rsidRPr="00EB11D3" w:rsidRDefault="003859C9" w:rsidP="00C9078D">
            <w:pPr>
              <w:spacing w:after="160" w:line="259" w:lineRule="auto"/>
              <w:rPr>
                <w:szCs w:val="24"/>
              </w:rPr>
            </w:pPr>
            <w:r w:rsidRPr="00EB11D3">
              <w:rPr>
                <w:szCs w:val="24"/>
              </w:rPr>
              <w:t>The hospital prepares annual budgets that guide spending</w:t>
            </w:r>
          </w:p>
        </w:tc>
        <w:tc>
          <w:tcPr>
            <w:tcW w:w="913" w:type="pct"/>
            <w:tcBorders>
              <w:top w:val="single" w:sz="8" w:space="0" w:color="AEAEAE"/>
              <w:left w:val="single" w:sz="8" w:space="0" w:color="E0E0E0"/>
              <w:bottom w:val="single" w:sz="8" w:space="0" w:color="AEAEAE"/>
              <w:right w:val="nil"/>
            </w:tcBorders>
            <w:shd w:val="clear" w:color="auto" w:fill="auto"/>
          </w:tcPr>
          <w:p w14:paraId="2E6FA88A"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0.590</w:t>
            </w:r>
          </w:p>
        </w:tc>
      </w:tr>
      <w:tr w:rsidR="00AD2981" w:rsidRPr="00EB11D3" w14:paraId="5C1BE6E9"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2D4DF2EF" w14:textId="77777777" w:rsidR="003859C9" w:rsidRPr="00EB11D3" w:rsidRDefault="003859C9" w:rsidP="00C9078D">
            <w:pPr>
              <w:spacing w:after="160" w:line="259" w:lineRule="auto"/>
              <w:rPr>
                <w:szCs w:val="24"/>
              </w:rPr>
            </w:pPr>
            <w:r w:rsidRPr="00EB11D3">
              <w:rPr>
                <w:szCs w:val="24"/>
              </w:rPr>
              <w:t>The performance feedback data informs set priorities in the next working phase</w:t>
            </w:r>
          </w:p>
        </w:tc>
        <w:tc>
          <w:tcPr>
            <w:tcW w:w="913" w:type="pct"/>
            <w:tcBorders>
              <w:top w:val="single" w:sz="8" w:space="0" w:color="AEAEAE"/>
              <w:left w:val="single" w:sz="8" w:space="0" w:color="E0E0E0"/>
              <w:bottom w:val="single" w:sz="8" w:space="0" w:color="AEAEAE"/>
              <w:right w:val="nil"/>
            </w:tcBorders>
            <w:shd w:val="clear" w:color="auto" w:fill="auto"/>
          </w:tcPr>
          <w:p w14:paraId="226D7485"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0.517</w:t>
            </w:r>
          </w:p>
        </w:tc>
      </w:tr>
      <w:tr w:rsidR="00AD2981" w:rsidRPr="00EB11D3" w14:paraId="11522A31" w14:textId="77777777" w:rsidTr="00B568B1">
        <w:trPr>
          <w:cantSplit/>
          <w:trHeight w:val="259"/>
        </w:trPr>
        <w:tc>
          <w:tcPr>
            <w:tcW w:w="4087" w:type="pct"/>
            <w:tcBorders>
              <w:top w:val="single" w:sz="8" w:space="0" w:color="AEAEAE"/>
              <w:left w:val="nil"/>
              <w:bottom w:val="single" w:sz="8" w:space="0" w:color="AEAEAE"/>
              <w:right w:val="nil"/>
            </w:tcBorders>
            <w:shd w:val="clear" w:color="auto" w:fill="auto"/>
          </w:tcPr>
          <w:p w14:paraId="35765542" w14:textId="77777777" w:rsidR="003859C9" w:rsidRPr="00EB11D3" w:rsidRDefault="003859C9" w:rsidP="00C9078D">
            <w:pPr>
              <w:spacing w:after="160" w:line="259" w:lineRule="auto"/>
              <w:rPr>
                <w:b/>
                <w:szCs w:val="24"/>
              </w:rPr>
            </w:pPr>
            <w:r w:rsidRPr="00EB11D3">
              <w:rPr>
                <w:b/>
                <w:szCs w:val="24"/>
              </w:rPr>
              <w:t>Effectiveness</w:t>
            </w:r>
          </w:p>
        </w:tc>
        <w:tc>
          <w:tcPr>
            <w:tcW w:w="913" w:type="pct"/>
            <w:tcBorders>
              <w:top w:val="single" w:sz="8" w:space="0" w:color="AEAEAE"/>
              <w:left w:val="single" w:sz="8" w:space="0" w:color="E0E0E0"/>
              <w:bottom w:val="single" w:sz="8" w:space="0" w:color="AEAEAE"/>
              <w:right w:val="nil"/>
            </w:tcBorders>
            <w:shd w:val="clear" w:color="auto" w:fill="auto"/>
          </w:tcPr>
          <w:p w14:paraId="17B18BF0" w14:textId="77777777" w:rsidR="003859C9" w:rsidRPr="00EB11D3" w:rsidRDefault="003859C9" w:rsidP="003859C9">
            <w:pPr>
              <w:autoSpaceDE w:val="0"/>
              <w:autoSpaceDN w:val="0"/>
              <w:adjustRightInd w:val="0"/>
              <w:spacing w:after="0" w:line="320" w:lineRule="atLeast"/>
              <w:ind w:left="60" w:right="60"/>
              <w:jc w:val="right"/>
              <w:rPr>
                <w:szCs w:val="24"/>
              </w:rPr>
            </w:pPr>
          </w:p>
        </w:tc>
      </w:tr>
      <w:tr w:rsidR="00AD2981" w:rsidRPr="00EB11D3" w14:paraId="43890D57"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18294F87" w14:textId="77777777" w:rsidR="003859C9" w:rsidRPr="00EB11D3" w:rsidRDefault="003859C9" w:rsidP="00C9078D">
            <w:pPr>
              <w:spacing w:after="160" w:line="259" w:lineRule="auto"/>
              <w:rPr>
                <w:szCs w:val="24"/>
              </w:rPr>
            </w:pPr>
            <w:r w:rsidRPr="00EB11D3">
              <w:rPr>
                <w:szCs w:val="24"/>
              </w:rPr>
              <w:t>The hospital has clear objective -focused approach as means of measuring performance effectiveness</w:t>
            </w:r>
          </w:p>
        </w:tc>
        <w:tc>
          <w:tcPr>
            <w:tcW w:w="913" w:type="pct"/>
            <w:tcBorders>
              <w:top w:val="single" w:sz="8" w:space="0" w:color="AEAEAE"/>
              <w:left w:val="single" w:sz="8" w:space="0" w:color="E0E0E0"/>
              <w:bottom w:val="single" w:sz="8" w:space="0" w:color="AEAEAE"/>
              <w:right w:val="nil"/>
            </w:tcBorders>
            <w:shd w:val="clear" w:color="auto" w:fill="auto"/>
          </w:tcPr>
          <w:p w14:paraId="03DCAA97"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0.598</w:t>
            </w:r>
          </w:p>
        </w:tc>
      </w:tr>
      <w:tr w:rsidR="00AD2981" w:rsidRPr="00EB11D3" w14:paraId="19967B02"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7BD19C11" w14:textId="77777777" w:rsidR="003859C9" w:rsidRPr="00EB11D3" w:rsidRDefault="003859C9" w:rsidP="00C9078D">
            <w:pPr>
              <w:spacing w:after="160" w:line="259" w:lineRule="auto"/>
              <w:rPr>
                <w:szCs w:val="24"/>
              </w:rPr>
            </w:pPr>
            <w:r w:rsidRPr="00EB11D3">
              <w:rPr>
                <w:szCs w:val="24"/>
              </w:rPr>
              <w:t>The hospital adopts rating scale approach to maintain consistency</w:t>
            </w:r>
          </w:p>
        </w:tc>
        <w:tc>
          <w:tcPr>
            <w:tcW w:w="913" w:type="pct"/>
            <w:tcBorders>
              <w:top w:val="single" w:sz="8" w:space="0" w:color="AEAEAE"/>
              <w:left w:val="single" w:sz="8" w:space="0" w:color="E0E0E0"/>
              <w:bottom w:val="single" w:sz="8" w:space="0" w:color="AEAEAE"/>
              <w:right w:val="nil"/>
            </w:tcBorders>
            <w:shd w:val="clear" w:color="auto" w:fill="auto"/>
          </w:tcPr>
          <w:p w14:paraId="335D33BC"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0.628</w:t>
            </w:r>
          </w:p>
        </w:tc>
      </w:tr>
      <w:tr w:rsidR="00AD2981" w:rsidRPr="00EB11D3" w14:paraId="4E168437" w14:textId="77777777" w:rsidTr="00567D13">
        <w:trPr>
          <w:cantSplit/>
          <w:trHeight w:val="619"/>
        </w:trPr>
        <w:tc>
          <w:tcPr>
            <w:tcW w:w="4087" w:type="pct"/>
            <w:tcBorders>
              <w:top w:val="single" w:sz="8" w:space="0" w:color="AEAEAE"/>
              <w:left w:val="nil"/>
              <w:bottom w:val="single" w:sz="8" w:space="0" w:color="AEAEAE"/>
              <w:right w:val="nil"/>
            </w:tcBorders>
            <w:shd w:val="clear" w:color="auto" w:fill="auto"/>
          </w:tcPr>
          <w:p w14:paraId="3CF9A8AF" w14:textId="77777777" w:rsidR="003859C9" w:rsidRPr="00EB11D3" w:rsidRDefault="003859C9" w:rsidP="00567D13">
            <w:pPr>
              <w:spacing w:after="0" w:line="259" w:lineRule="auto"/>
              <w:rPr>
                <w:szCs w:val="24"/>
              </w:rPr>
            </w:pPr>
            <w:r w:rsidRPr="00EB11D3">
              <w:rPr>
                <w:szCs w:val="24"/>
              </w:rPr>
              <w:t xml:space="preserve">The hospital </w:t>
            </w:r>
            <w:r w:rsidR="00567D13" w:rsidRPr="00EB11D3">
              <w:rPr>
                <w:szCs w:val="24"/>
              </w:rPr>
              <w:t>conducts</w:t>
            </w:r>
            <w:r w:rsidRPr="00EB11D3">
              <w:rPr>
                <w:szCs w:val="24"/>
              </w:rPr>
              <w:t xml:space="preserve"> employee satisfaction evaluations as a crucial measure of their effectiveness</w:t>
            </w:r>
          </w:p>
        </w:tc>
        <w:tc>
          <w:tcPr>
            <w:tcW w:w="913" w:type="pct"/>
            <w:tcBorders>
              <w:top w:val="single" w:sz="8" w:space="0" w:color="AEAEAE"/>
              <w:left w:val="single" w:sz="8" w:space="0" w:color="E0E0E0"/>
              <w:bottom w:val="single" w:sz="8" w:space="0" w:color="AEAEAE"/>
              <w:right w:val="nil"/>
            </w:tcBorders>
            <w:shd w:val="clear" w:color="auto" w:fill="auto"/>
          </w:tcPr>
          <w:p w14:paraId="50C91AD0"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0.573</w:t>
            </w:r>
          </w:p>
        </w:tc>
      </w:tr>
      <w:tr w:rsidR="00AD2981" w:rsidRPr="00EB11D3" w14:paraId="5BC49B49" w14:textId="77777777" w:rsidTr="00B568B1">
        <w:trPr>
          <w:cantSplit/>
          <w:trHeight w:val="520"/>
        </w:trPr>
        <w:tc>
          <w:tcPr>
            <w:tcW w:w="4087" w:type="pct"/>
            <w:tcBorders>
              <w:top w:val="single" w:sz="8" w:space="0" w:color="AEAEAE"/>
              <w:left w:val="nil"/>
              <w:bottom w:val="single" w:sz="8" w:space="0" w:color="AEAEAE"/>
              <w:right w:val="nil"/>
            </w:tcBorders>
            <w:shd w:val="clear" w:color="auto" w:fill="auto"/>
          </w:tcPr>
          <w:p w14:paraId="50DB05F9" w14:textId="77777777" w:rsidR="003859C9" w:rsidRPr="00EB11D3" w:rsidRDefault="003859C9" w:rsidP="00C9078D">
            <w:pPr>
              <w:spacing w:after="160" w:line="259" w:lineRule="auto"/>
              <w:rPr>
                <w:szCs w:val="24"/>
              </w:rPr>
            </w:pPr>
            <w:r w:rsidRPr="00EB11D3">
              <w:rPr>
                <w:szCs w:val="24"/>
              </w:rPr>
              <w:t>There is sufficient measures or application to track hospital activities stage of implementation</w:t>
            </w:r>
          </w:p>
        </w:tc>
        <w:tc>
          <w:tcPr>
            <w:tcW w:w="913" w:type="pct"/>
            <w:tcBorders>
              <w:top w:val="single" w:sz="8" w:space="0" w:color="AEAEAE"/>
              <w:left w:val="single" w:sz="8" w:space="0" w:color="E0E0E0"/>
              <w:bottom w:val="single" w:sz="8" w:space="0" w:color="AEAEAE"/>
              <w:right w:val="nil"/>
            </w:tcBorders>
            <w:shd w:val="clear" w:color="auto" w:fill="auto"/>
          </w:tcPr>
          <w:p w14:paraId="7D81130B"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0.615</w:t>
            </w:r>
          </w:p>
        </w:tc>
      </w:tr>
      <w:tr w:rsidR="00AD2981" w:rsidRPr="00EB11D3" w14:paraId="4EAE259B"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208616F7" w14:textId="77777777" w:rsidR="003859C9" w:rsidRPr="00EB11D3" w:rsidRDefault="003859C9" w:rsidP="00C9078D">
            <w:pPr>
              <w:spacing w:after="160" w:line="259" w:lineRule="auto"/>
              <w:rPr>
                <w:szCs w:val="24"/>
              </w:rPr>
            </w:pPr>
            <w:r w:rsidRPr="00EB11D3">
              <w:rPr>
                <w:szCs w:val="24"/>
              </w:rPr>
              <w:t>There is a sufficient number of experienced personnel at the hospital to provide excellent care.</w:t>
            </w:r>
          </w:p>
        </w:tc>
        <w:tc>
          <w:tcPr>
            <w:tcW w:w="913" w:type="pct"/>
            <w:tcBorders>
              <w:top w:val="single" w:sz="8" w:space="0" w:color="AEAEAE"/>
              <w:left w:val="single" w:sz="8" w:space="0" w:color="E0E0E0"/>
              <w:bottom w:val="single" w:sz="8" w:space="0" w:color="AEAEAE"/>
              <w:right w:val="nil"/>
            </w:tcBorders>
            <w:shd w:val="clear" w:color="auto" w:fill="auto"/>
          </w:tcPr>
          <w:p w14:paraId="532BB43B"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0.681</w:t>
            </w:r>
          </w:p>
        </w:tc>
      </w:tr>
      <w:tr w:rsidR="00AD2981" w:rsidRPr="00EB11D3" w14:paraId="7FE0A22B" w14:textId="77777777" w:rsidTr="00B568B1">
        <w:trPr>
          <w:cantSplit/>
        </w:trPr>
        <w:tc>
          <w:tcPr>
            <w:tcW w:w="4087" w:type="pct"/>
            <w:tcBorders>
              <w:top w:val="single" w:sz="8" w:space="0" w:color="AEAEAE"/>
              <w:left w:val="nil"/>
              <w:bottom w:val="single" w:sz="8" w:space="0" w:color="AEAEAE"/>
              <w:right w:val="nil"/>
            </w:tcBorders>
            <w:shd w:val="clear" w:color="auto" w:fill="auto"/>
          </w:tcPr>
          <w:p w14:paraId="09E593EA" w14:textId="77777777" w:rsidR="003859C9" w:rsidRPr="00EB11D3" w:rsidRDefault="003859C9" w:rsidP="00C9078D">
            <w:pPr>
              <w:spacing w:after="160" w:line="259" w:lineRule="auto"/>
              <w:rPr>
                <w:szCs w:val="24"/>
              </w:rPr>
            </w:pPr>
            <w:r w:rsidRPr="00EB11D3">
              <w:rPr>
                <w:szCs w:val="24"/>
              </w:rPr>
              <w:t>Feedback is integrated into the employees' improvement plans</w:t>
            </w:r>
          </w:p>
        </w:tc>
        <w:tc>
          <w:tcPr>
            <w:tcW w:w="913" w:type="pct"/>
            <w:tcBorders>
              <w:top w:val="single" w:sz="8" w:space="0" w:color="AEAEAE"/>
              <w:left w:val="single" w:sz="8" w:space="0" w:color="E0E0E0"/>
              <w:bottom w:val="single" w:sz="8" w:space="0" w:color="AEAEAE"/>
              <w:right w:val="nil"/>
            </w:tcBorders>
            <w:shd w:val="clear" w:color="auto" w:fill="auto"/>
          </w:tcPr>
          <w:p w14:paraId="47681B00"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0.692</w:t>
            </w:r>
          </w:p>
        </w:tc>
      </w:tr>
      <w:tr w:rsidR="00AD2981" w:rsidRPr="00EB11D3" w14:paraId="71287D9F" w14:textId="77777777" w:rsidTr="00B568B1">
        <w:trPr>
          <w:cantSplit/>
          <w:trHeight w:val="133"/>
        </w:trPr>
        <w:tc>
          <w:tcPr>
            <w:tcW w:w="4087" w:type="pct"/>
            <w:tcBorders>
              <w:top w:val="single" w:sz="8" w:space="0" w:color="AEAEAE"/>
              <w:left w:val="nil"/>
              <w:bottom w:val="single" w:sz="8" w:space="0" w:color="152935"/>
              <w:right w:val="nil"/>
            </w:tcBorders>
            <w:shd w:val="clear" w:color="auto" w:fill="auto"/>
          </w:tcPr>
          <w:p w14:paraId="67BA3D49" w14:textId="77777777" w:rsidR="003859C9" w:rsidRPr="00EB11D3" w:rsidRDefault="003859C9" w:rsidP="00C9078D">
            <w:pPr>
              <w:spacing w:after="0" w:line="259" w:lineRule="auto"/>
              <w:rPr>
                <w:szCs w:val="24"/>
              </w:rPr>
            </w:pPr>
            <w:r w:rsidRPr="00EB11D3">
              <w:rPr>
                <w:szCs w:val="24"/>
              </w:rPr>
              <w:t>The hospital has increased number of services offered to better clients’ needs</w:t>
            </w:r>
          </w:p>
        </w:tc>
        <w:tc>
          <w:tcPr>
            <w:tcW w:w="913" w:type="pct"/>
            <w:tcBorders>
              <w:top w:val="single" w:sz="8" w:space="0" w:color="AEAEAE"/>
              <w:left w:val="single" w:sz="8" w:space="0" w:color="E0E0E0"/>
              <w:bottom w:val="single" w:sz="8" w:space="0" w:color="152935"/>
              <w:right w:val="nil"/>
            </w:tcBorders>
            <w:shd w:val="clear" w:color="auto" w:fill="auto"/>
          </w:tcPr>
          <w:p w14:paraId="6ECE087C" w14:textId="77777777" w:rsidR="003859C9" w:rsidRPr="00EB11D3" w:rsidRDefault="003859C9" w:rsidP="00731AD0">
            <w:pPr>
              <w:autoSpaceDE w:val="0"/>
              <w:autoSpaceDN w:val="0"/>
              <w:adjustRightInd w:val="0"/>
              <w:spacing w:after="0" w:line="320" w:lineRule="atLeast"/>
              <w:ind w:left="60" w:right="60"/>
              <w:jc w:val="right"/>
              <w:rPr>
                <w:szCs w:val="24"/>
              </w:rPr>
            </w:pPr>
            <w:r w:rsidRPr="00EB11D3">
              <w:rPr>
                <w:szCs w:val="24"/>
              </w:rPr>
              <w:t>0.534</w:t>
            </w:r>
          </w:p>
        </w:tc>
      </w:tr>
    </w:tbl>
    <w:p w14:paraId="39683147" w14:textId="77777777" w:rsidR="000F2AE7" w:rsidRPr="00EB11D3" w:rsidRDefault="000F2AE7" w:rsidP="000678E6">
      <w:pPr>
        <w:shd w:val="clear" w:color="auto" w:fill="FFFFFF"/>
        <w:spacing w:before="240" w:line="360" w:lineRule="auto"/>
        <w:rPr>
          <w:rFonts w:eastAsia="Cambria"/>
          <w:szCs w:val="24"/>
        </w:rPr>
      </w:pPr>
      <w:bookmarkStart w:id="755" w:name="_Toc164151260"/>
      <w:r w:rsidRPr="00EB11D3">
        <w:rPr>
          <w:rFonts w:eastAsia="Cambria"/>
          <w:szCs w:val="24"/>
        </w:rPr>
        <w:t xml:space="preserve">The </w:t>
      </w:r>
      <w:r>
        <w:rPr>
          <w:rFonts w:eastAsia="Cambria"/>
          <w:szCs w:val="24"/>
        </w:rPr>
        <w:t xml:space="preserve">results </w:t>
      </w:r>
      <w:r w:rsidRPr="00EB11D3">
        <w:rPr>
          <w:rFonts w:eastAsia="Cambria"/>
          <w:szCs w:val="24"/>
        </w:rPr>
        <w:t>in Table 2</w:t>
      </w:r>
      <w:r>
        <w:rPr>
          <w:rFonts w:eastAsia="Cambria"/>
          <w:szCs w:val="24"/>
        </w:rPr>
        <w:t>1</w:t>
      </w:r>
      <w:r w:rsidRPr="00EB11D3">
        <w:rPr>
          <w:rFonts w:eastAsia="Cambria"/>
          <w:szCs w:val="24"/>
        </w:rPr>
        <w:t xml:space="preserve"> show that all the statements on </w:t>
      </w:r>
      <w:r>
        <w:rPr>
          <w:rFonts w:eastAsia="Cambria"/>
          <w:szCs w:val="24"/>
        </w:rPr>
        <w:t>organizational performance</w:t>
      </w:r>
      <w:r w:rsidRPr="00EB11D3">
        <w:rPr>
          <w:rFonts w:eastAsia="Cambria"/>
          <w:szCs w:val="24"/>
        </w:rPr>
        <w:t xml:space="preserve"> had factor loading values greater than 0.5 and therefore they were accepted and thus no sub variable was dropped.</w:t>
      </w:r>
    </w:p>
    <w:p w14:paraId="6D3735A6" w14:textId="77777777" w:rsidR="00567D13" w:rsidRPr="00EB11D3" w:rsidRDefault="00567D13" w:rsidP="00FA0B96">
      <w:pPr>
        <w:pStyle w:val="Heading2"/>
        <w:spacing w:line="360" w:lineRule="auto"/>
        <w:jc w:val="both"/>
      </w:pPr>
      <w:bookmarkStart w:id="756" w:name="_Toc177387879"/>
      <w:r w:rsidRPr="00EB11D3">
        <w:t>4.</w:t>
      </w:r>
      <w:r w:rsidR="004373D8">
        <w:t>4</w:t>
      </w:r>
      <w:r w:rsidRPr="00EB11D3">
        <w:t xml:space="preserve"> Descriptive Statistics on Corporate Governance, Service Innovation, Government Regulations and </w:t>
      </w:r>
      <w:bookmarkStart w:id="757" w:name="_Hlk160721441"/>
      <w:r w:rsidRPr="00EB11D3">
        <w:t>Organisational Performance of Faith-based Hospitals</w:t>
      </w:r>
      <w:bookmarkEnd w:id="755"/>
      <w:bookmarkEnd w:id="756"/>
      <w:bookmarkEnd w:id="757"/>
    </w:p>
    <w:p w14:paraId="7A121EBB" w14:textId="77777777" w:rsidR="00567D13" w:rsidRPr="00EB11D3" w:rsidRDefault="00466DDF" w:rsidP="00567D13">
      <w:pPr>
        <w:spacing w:line="360" w:lineRule="auto"/>
      </w:pPr>
      <w:r w:rsidRPr="00466DDF">
        <w:t>Descriptive statistics were used in the study to enable indices or statistics to be used to meaningfully characterise a score or measurement distribution. The study's variables and measuring scale determine the kind of statistics or indices that are employed. Descriptive analyses of corporate governance, service innovation, government regulations, and organisational performance are included in this section. The median indicates the middle number in a group of numbers, the mean displays the average values, and the mode displays the value that is most prevalent.</w:t>
      </w:r>
    </w:p>
    <w:p w14:paraId="2431EEAF" w14:textId="77777777" w:rsidR="00567D13" w:rsidRPr="00EB11D3" w:rsidRDefault="00567D13" w:rsidP="00FA0B96">
      <w:pPr>
        <w:pStyle w:val="Heading3"/>
      </w:pPr>
      <w:bookmarkStart w:id="758" w:name="_Toc100987663"/>
      <w:bookmarkStart w:id="759" w:name="_Toc103414516"/>
      <w:bookmarkStart w:id="760" w:name="_Toc117773068"/>
      <w:bookmarkStart w:id="761" w:name="_Toc117772208"/>
      <w:bookmarkStart w:id="762" w:name="_Toc124240247"/>
      <w:bookmarkStart w:id="763" w:name="_Toc126071138"/>
      <w:bookmarkStart w:id="764" w:name="_Toc164149000"/>
      <w:bookmarkStart w:id="765" w:name="_Toc164151261"/>
      <w:bookmarkStart w:id="766" w:name="_Toc168737895"/>
      <w:bookmarkStart w:id="767" w:name="_Toc171602648"/>
      <w:bookmarkStart w:id="768" w:name="_Toc171603475"/>
      <w:bookmarkStart w:id="769" w:name="_Toc177387880"/>
      <w:r w:rsidRPr="00EB11D3">
        <w:t>4.</w:t>
      </w:r>
      <w:r w:rsidR="004373D8">
        <w:t>4</w:t>
      </w:r>
      <w:r w:rsidRPr="00EB11D3">
        <w:t xml:space="preserve">.1 </w:t>
      </w:r>
      <w:bookmarkStart w:id="770" w:name="_Hlk170494603"/>
      <w:bookmarkEnd w:id="758"/>
      <w:bookmarkEnd w:id="759"/>
      <w:bookmarkEnd w:id="760"/>
      <w:bookmarkEnd w:id="761"/>
      <w:bookmarkEnd w:id="762"/>
      <w:bookmarkEnd w:id="763"/>
      <w:r w:rsidRPr="00EB11D3">
        <w:t>Corporate Governance</w:t>
      </w:r>
      <w:bookmarkEnd w:id="764"/>
      <w:bookmarkEnd w:id="765"/>
      <w:bookmarkEnd w:id="766"/>
      <w:bookmarkEnd w:id="767"/>
      <w:bookmarkEnd w:id="768"/>
      <w:bookmarkEnd w:id="769"/>
    </w:p>
    <w:p w14:paraId="2A9E8811" w14:textId="77777777" w:rsidR="00567D13" w:rsidRPr="00EB11D3" w:rsidRDefault="00567D13" w:rsidP="00567D13">
      <w:pPr>
        <w:shd w:val="clear" w:color="auto" w:fill="FFFFFF"/>
        <w:spacing w:after="160" w:line="360" w:lineRule="auto"/>
        <w:rPr>
          <w:rFonts w:eastAsia="Cambria"/>
          <w:szCs w:val="24"/>
        </w:rPr>
      </w:pPr>
      <w:r w:rsidRPr="00EB11D3">
        <w:rPr>
          <w:rFonts w:eastAsia="Cambria"/>
          <w:szCs w:val="24"/>
        </w:rPr>
        <w:t xml:space="preserve">The first objective of the study was to establish the </w:t>
      </w:r>
      <w:r w:rsidR="00FA0B96" w:rsidRPr="00EB11D3">
        <w:rPr>
          <w:rFonts w:eastAsia="Cambria"/>
          <w:szCs w:val="24"/>
        </w:rPr>
        <w:t>effects of</w:t>
      </w:r>
      <w:r w:rsidRPr="00EB11D3">
        <w:rPr>
          <w:rFonts w:eastAsia="Cambria"/>
          <w:szCs w:val="24"/>
        </w:rPr>
        <w:t xml:space="preserve"> </w:t>
      </w:r>
      <w:r w:rsidRPr="00EB11D3">
        <w:rPr>
          <w:rFonts w:eastAsia="Cambria"/>
          <w:szCs w:val="24"/>
          <w:lang w:val="en"/>
        </w:rPr>
        <w:t xml:space="preserve">corporate governance on </w:t>
      </w:r>
      <w:r w:rsidRPr="00EB11D3">
        <w:rPr>
          <w:rFonts w:eastAsia="Cambria"/>
          <w:szCs w:val="24"/>
        </w:rPr>
        <w:t>organisational performance</w:t>
      </w:r>
      <w:r w:rsidRPr="00EB11D3">
        <w:rPr>
          <w:rFonts w:eastAsia="Cambria"/>
          <w:szCs w:val="24"/>
          <w:lang w:val="en"/>
        </w:rPr>
        <w:t xml:space="preserve"> of faith-based hospitals</w:t>
      </w:r>
      <w:r w:rsidRPr="00EB11D3">
        <w:rPr>
          <w:rFonts w:eastAsia="Cambria"/>
          <w:szCs w:val="24"/>
        </w:rPr>
        <w:t xml:space="preserve"> in Kenya. The descriptive present the results for corporate governance depicted in Table 22.</w:t>
      </w:r>
    </w:p>
    <w:p w14:paraId="1ED6BB83" w14:textId="77777777" w:rsidR="000F2AE7" w:rsidRDefault="000F2AE7" w:rsidP="00567D13">
      <w:pPr>
        <w:shd w:val="clear" w:color="auto" w:fill="FFFFFF"/>
        <w:spacing w:after="0" w:line="240" w:lineRule="auto"/>
        <w:jc w:val="left"/>
        <w:rPr>
          <w:rFonts w:eastAsia="Times New Roman"/>
          <w:b/>
          <w:bCs/>
          <w:szCs w:val="24"/>
        </w:rPr>
      </w:pPr>
      <w:bookmarkStart w:id="771" w:name="_Toc164148633"/>
    </w:p>
    <w:p w14:paraId="2EE44112" w14:textId="77777777" w:rsidR="00567D13" w:rsidRPr="00EB11D3" w:rsidRDefault="00567D13" w:rsidP="00567D13">
      <w:pPr>
        <w:shd w:val="clear" w:color="auto" w:fill="FFFFFF"/>
        <w:spacing w:after="0" w:line="240" w:lineRule="auto"/>
        <w:jc w:val="left"/>
        <w:rPr>
          <w:rFonts w:eastAsia="Cambria"/>
          <w:b/>
          <w:bCs/>
          <w:szCs w:val="24"/>
        </w:rPr>
      </w:pPr>
      <w:bookmarkStart w:id="772" w:name="_Toc177387953"/>
      <w:r w:rsidRPr="00EB11D3">
        <w:rPr>
          <w:rFonts w:eastAsia="Times New Roman"/>
          <w:b/>
          <w:bCs/>
          <w:szCs w:val="24"/>
        </w:rPr>
        <w:t xml:space="preserve">Table </w:t>
      </w:r>
      <w:r w:rsidRPr="00EB11D3">
        <w:rPr>
          <w:rFonts w:eastAsia="Times New Roman"/>
          <w:b/>
          <w:bCs/>
          <w:szCs w:val="24"/>
        </w:rPr>
        <w:fldChar w:fldCharType="begin"/>
      </w:r>
      <w:r w:rsidRPr="00EB11D3">
        <w:rPr>
          <w:rFonts w:eastAsia="Times New Roman"/>
          <w:b/>
          <w:bCs/>
          <w:szCs w:val="24"/>
        </w:rPr>
        <w:instrText xml:space="preserve"> SEQ Table \* ARABIC </w:instrText>
      </w:r>
      <w:r w:rsidRPr="00EB11D3">
        <w:rPr>
          <w:rFonts w:eastAsia="Times New Roman"/>
          <w:b/>
          <w:bCs/>
          <w:szCs w:val="24"/>
        </w:rPr>
        <w:fldChar w:fldCharType="separate"/>
      </w:r>
      <w:r w:rsidRPr="00EB11D3">
        <w:rPr>
          <w:rFonts w:eastAsia="Times New Roman"/>
          <w:b/>
          <w:bCs/>
          <w:noProof/>
          <w:szCs w:val="24"/>
        </w:rPr>
        <w:t>22</w:t>
      </w:r>
      <w:r w:rsidRPr="00EB11D3">
        <w:rPr>
          <w:rFonts w:eastAsia="Times New Roman"/>
          <w:b/>
          <w:bCs/>
          <w:szCs w:val="24"/>
        </w:rPr>
        <w:fldChar w:fldCharType="end"/>
      </w:r>
      <w:r w:rsidRPr="00EB11D3">
        <w:rPr>
          <w:rFonts w:eastAsia="Times New Roman"/>
          <w:b/>
          <w:bCs/>
          <w:szCs w:val="24"/>
        </w:rPr>
        <w:t>: Descriptive Statistics for Corporate governance</w:t>
      </w:r>
      <w:bookmarkEnd w:id="771"/>
      <w:bookmarkEnd w:id="772"/>
    </w:p>
    <w:p w14:paraId="05A11706" w14:textId="77777777" w:rsidR="00567D13" w:rsidRPr="00EB11D3" w:rsidRDefault="00567D13" w:rsidP="00567D13">
      <w:pPr>
        <w:autoSpaceDE w:val="0"/>
        <w:autoSpaceDN w:val="0"/>
        <w:adjustRightInd w:val="0"/>
        <w:spacing w:after="0" w:line="400" w:lineRule="atLeast"/>
        <w:jc w:val="left"/>
        <w:rPr>
          <w:szCs w:val="24"/>
        </w:rPr>
      </w:pPr>
    </w:p>
    <w:tbl>
      <w:tblPr>
        <w:tblW w:w="5000" w:type="pct"/>
        <w:tblCellMar>
          <w:left w:w="0" w:type="dxa"/>
          <w:right w:w="0" w:type="dxa"/>
        </w:tblCellMar>
        <w:tblLook w:val="0000" w:firstRow="0" w:lastRow="0" w:firstColumn="0" w:lastColumn="0" w:noHBand="0" w:noVBand="0"/>
      </w:tblPr>
      <w:tblGrid>
        <w:gridCol w:w="3195"/>
        <w:gridCol w:w="3194"/>
        <w:gridCol w:w="2971"/>
      </w:tblGrid>
      <w:tr w:rsidR="00567D13" w:rsidRPr="00EB11D3" w14:paraId="77E64FD2" w14:textId="77777777" w:rsidTr="00A821E7">
        <w:trPr>
          <w:cantSplit/>
        </w:trPr>
        <w:tc>
          <w:tcPr>
            <w:tcW w:w="5000" w:type="pct"/>
            <w:gridSpan w:val="3"/>
            <w:tcBorders>
              <w:top w:val="nil"/>
              <w:left w:val="nil"/>
              <w:bottom w:val="single" w:sz="4" w:space="0" w:color="auto"/>
              <w:right w:val="nil"/>
            </w:tcBorders>
            <w:shd w:val="clear" w:color="auto" w:fill="auto"/>
            <w:vAlign w:val="center"/>
          </w:tcPr>
          <w:p w14:paraId="0FFCFF99" w14:textId="77777777" w:rsidR="00567D13" w:rsidRPr="00EB11D3" w:rsidRDefault="00567D13" w:rsidP="00567D13">
            <w:pPr>
              <w:autoSpaceDE w:val="0"/>
              <w:autoSpaceDN w:val="0"/>
              <w:adjustRightInd w:val="0"/>
              <w:spacing w:after="0" w:line="400" w:lineRule="atLeast"/>
              <w:jc w:val="center"/>
              <w:rPr>
                <w:szCs w:val="24"/>
              </w:rPr>
            </w:pPr>
            <w:r w:rsidRPr="00EB11D3">
              <w:rPr>
                <w:b/>
                <w:bCs/>
                <w:szCs w:val="24"/>
              </w:rPr>
              <w:t>Statistics</w:t>
            </w:r>
          </w:p>
        </w:tc>
      </w:tr>
      <w:tr w:rsidR="00567D13" w:rsidRPr="00EB11D3" w14:paraId="2D3F0090" w14:textId="77777777" w:rsidTr="00A821E7">
        <w:trPr>
          <w:cantSplit/>
        </w:trPr>
        <w:tc>
          <w:tcPr>
            <w:tcW w:w="5000" w:type="pct"/>
            <w:gridSpan w:val="3"/>
            <w:tcBorders>
              <w:top w:val="single" w:sz="4" w:space="0" w:color="auto"/>
              <w:left w:val="nil"/>
              <w:bottom w:val="single" w:sz="4" w:space="0" w:color="auto"/>
              <w:right w:val="nil"/>
            </w:tcBorders>
            <w:shd w:val="clear" w:color="auto" w:fill="auto"/>
            <w:vAlign w:val="bottom"/>
          </w:tcPr>
          <w:p w14:paraId="599110D1" w14:textId="77777777" w:rsidR="00567D13" w:rsidRPr="006724DD" w:rsidRDefault="00567D13" w:rsidP="00567D13">
            <w:pPr>
              <w:autoSpaceDE w:val="0"/>
              <w:autoSpaceDN w:val="0"/>
              <w:adjustRightInd w:val="0"/>
              <w:spacing w:after="0" w:line="400" w:lineRule="atLeast"/>
              <w:jc w:val="left"/>
              <w:rPr>
                <w:b/>
                <w:bCs/>
                <w:szCs w:val="24"/>
              </w:rPr>
            </w:pPr>
            <w:r w:rsidRPr="006724DD">
              <w:rPr>
                <w:b/>
                <w:bCs/>
                <w:szCs w:val="24"/>
              </w:rPr>
              <w:t xml:space="preserve">Corporate </w:t>
            </w:r>
            <w:r w:rsidR="006724DD">
              <w:rPr>
                <w:b/>
                <w:bCs/>
                <w:szCs w:val="24"/>
              </w:rPr>
              <w:t>G</w:t>
            </w:r>
            <w:r w:rsidRPr="006724DD">
              <w:rPr>
                <w:b/>
                <w:bCs/>
                <w:szCs w:val="24"/>
              </w:rPr>
              <w:t xml:space="preserve">overnance  </w:t>
            </w:r>
          </w:p>
        </w:tc>
      </w:tr>
      <w:tr w:rsidR="00567D13" w:rsidRPr="00EB11D3" w14:paraId="4AC18D54" w14:textId="77777777" w:rsidTr="00A821E7">
        <w:trPr>
          <w:cantSplit/>
        </w:trPr>
        <w:tc>
          <w:tcPr>
            <w:tcW w:w="1707" w:type="pct"/>
            <w:tcBorders>
              <w:top w:val="single" w:sz="4" w:space="0" w:color="auto"/>
              <w:left w:val="nil"/>
              <w:bottom w:val="single" w:sz="8" w:space="0" w:color="AEAEAE"/>
              <w:right w:val="nil"/>
            </w:tcBorders>
            <w:shd w:val="clear" w:color="auto" w:fill="auto"/>
          </w:tcPr>
          <w:p w14:paraId="65055799"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N</w:t>
            </w:r>
          </w:p>
        </w:tc>
        <w:tc>
          <w:tcPr>
            <w:tcW w:w="1706" w:type="pct"/>
            <w:tcBorders>
              <w:top w:val="single" w:sz="4" w:space="0" w:color="auto"/>
              <w:left w:val="nil"/>
              <w:bottom w:val="single" w:sz="8" w:space="0" w:color="AEAEAE"/>
              <w:right w:val="nil"/>
            </w:tcBorders>
            <w:shd w:val="clear" w:color="auto" w:fill="auto"/>
          </w:tcPr>
          <w:p w14:paraId="18FE66C5" w14:textId="77777777" w:rsidR="00567D13" w:rsidRPr="00EB11D3" w:rsidRDefault="00567D13" w:rsidP="00567D13">
            <w:pPr>
              <w:autoSpaceDE w:val="0"/>
              <w:autoSpaceDN w:val="0"/>
              <w:adjustRightInd w:val="0"/>
              <w:spacing w:after="0" w:line="400" w:lineRule="atLeast"/>
              <w:jc w:val="left"/>
              <w:rPr>
                <w:szCs w:val="24"/>
              </w:rPr>
            </w:pPr>
          </w:p>
        </w:tc>
        <w:tc>
          <w:tcPr>
            <w:tcW w:w="1587" w:type="pct"/>
            <w:tcBorders>
              <w:top w:val="single" w:sz="4" w:space="0" w:color="auto"/>
              <w:left w:val="nil"/>
              <w:bottom w:val="single" w:sz="8" w:space="0" w:color="AEAEAE"/>
              <w:right w:val="nil"/>
            </w:tcBorders>
            <w:shd w:val="clear" w:color="auto" w:fill="auto"/>
          </w:tcPr>
          <w:p w14:paraId="72B95367"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250</w:t>
            </w:r>
          </w:p>
        </w:tc>
      </w:tr>
      <w:tr w:rsidR="00567D13" w:rsidRPr="00EB11D3" w14:paraId="77FDF573"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7E57B38B"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Mean</w:t>
            </w:r>
          </w:p>
        </w:tc>
        <w:tc>
          <w:tcPr>
            <w:tcW w:w="1587" w:type="pct"/>
            <w:tcBorders>
              <w:top w:val="single" w:sz="8" w:space="0" w:color="AEAEAE"/>
              <w:left w:val="nil"/>
              <w:bottom w:val="single" w:sz="8" w:space="0" w:color="AEAEAE"/>
              <w:right w:val="nil"/>
            </w:tcBorders>
            <w:shd w:val="clear" w:color="auto" w:fill="auto"/>
          </w:tcPr>
          <w:p w14:paraId="058FC825"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4.2393</w:t>
            </w:r>
          </w:p>
        </w:tc>
      </w:tr>
      <w:tr w:rsidR="00567D13" w:rsidRPr="00EB11D3" w14:paraId="62101D86"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64BE3DF4"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Median</w:t>
            </w:r>
          </w:p>
        </w:tc>
        <w:tc>
          <w:tcPr>
            <w:tcW w:w="1587" w:type="pct"/>
            <w:tcBorders>
              <w:top w:val="single" w:sz="8" w:space="0" w:color="AEAEAE"/>
              <w:left w:val="nil"/>
              <w:bottom w:val="single" w:sz="8" w:space="0" w:color="AEAEAE"/>
              <w:right w:val="nil"/>
            </w:tcBorders>
            <w:shd w:val="clear" w:color="auto" w:fill="auto"/>
          </w:tcPr>
          <w:p w14:paraId="715B992C"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4.3036</w:t>
            </w:r>
          </w:p>
        </w:tc>
      </w:tr>
      <w:tr w:rsidR="00567D13" w:rsidRPr="00EB11D3" w14:paraId="310E2329"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1F499724"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Mode</w:t>
            </w:r>
          </w:p>
        </w:tc>
        <w:tc>
          <w:tcPr>
            <w:tcW w:w="1587" w:type="pct"/>
            <w:tcBorders>
              <w:top w:val="single" w:sz="8" w:space="0" w:color="AEAEAE"/>
              <w:left w:val="nil"/>
              <w:bottom w:val="single" w:sz="8" w:space="0" w:color="AEAEAE"/>
              <w:right w:val="nil"/>
            </w:tcBorders>
            <w:shd w:val="clear" w:color="auto" w:fill="auto"/>
          </w:tcPr>
          <w:p w14:paraId="65380469"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4.46</w:t>
            </w:r>
          </w:p>
        </w:tc>
      </w:tr>
      <w:tr w:rsidR="00567D13" w:rsidRPr="00EB11D3" w14:paraId="221D91A7"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0667AEC5"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Std. Deviation</w:t>
            </w:r>
          </w:p>
        </w:tc>
        <w:tc>
          <w:tcPr>
            <w:tcW w:w="1587" w:type="pct"/>
            <w:tcBorders>
              <w:top w:val="single" w:sz="8" w:space="0" w:color="AEAEAE"/>
              <w:left w:val="nil"/>
              <w:bottom w:val="single" w:sz="8" w:space="0" w:color="AEAEAE"/>
              <w:right w:val="nil"/>
            </w:tcBorders>
            <w:shd w:val="clear" w:color="auto" w:fill="auto"/>
          </w:tcPr>
          <w:p w14:paraId="52A86AFF"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.45043</w:t>
            </w:r>
          </w:p>
        </w:tc>
      </w:tr>
      <w:tr w:rsidR="00567D13" w:rsidRPr="00EB11D3" w14:paraId="6976F5C0"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6369856A"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Skewness</w:t>
            </w:r>
          </w:p>
        </w:tc>
        <w:tc>
          <w:tcPr>
            <w:tcW w:w="1587" w:type="pct"/>
            <w:tcBorders>
              <w:top w:val="single" w:sz="8" w:space="0" w:color="AEAEAE"/>
              <w:left w:val="nil"/>
              <w:bottom w:val="single" w:sz="8" w:space="0" w:color="AEAEAE"/>
              <w:right w:val="nil"/>
            </w:tcBorders>
            <w:shd w:val="clear" w:color="auto" w:fill="auto"/>
          </w:tcPr>
          <w:p w14:paraId="623013DD"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-1.770.</w:t>
            </w:r>
          </w:p>
        </w:tc>
      </w:tr>
      <w:tr w:rsidR="00567D13" w:rsidRPr="00EB11D3" w14:paraId="0F373477"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13BEB93E"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Kurtosis</w:t>
            </w:r>
          </w:p>
        </w:tc>
        <w:tc>
          <w:tcPr>
            <w:tcW w:w="1587" w:type="pct"/>
            <w:tcBorders>
              <w:top w:val="single" w:sz="8" w:space="0" w:color="AEAEAE"/>
              <w:left w:val="nil"/>
              <w:bottom w:val="single" w:sz="8" w:space="0" w:color="AEAEAE"/>
              <w:right w:val="nil"/>
            </w:tcBorders>
            <w:shd w:val="clear" w:color="auto" w:fill="auto"/>
          </w:tcPr>
          <w:p w14:paraId="16D547FB"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5.901</w:t>
            </w:r>
          </w:p>
        </w:tc>
      </w:tr>
    </w:tbl>
    <w:p w14:paraId="53E46942" w14:textId="77777777" w:rsidR="00567D13" w:rsidRPr="00EB11D3" w:rsidRDefault="00567D13" w:rsidP="00567D13">
      <w:pPr>
        <w:autoSpaceDE w:val="0"/>
        <w:autoSpaceDN w:val="0"/>
        <w:adjustRightInd w:val="0"/>
        <w:spacing w:after="0" w:line="400" w:lineRule="atLeast"/>
        <w:jc w:val="left"/>
        <w:rPr>
          <w:szCs w:val="24"/>
        </w:rPr>
      </w:pPr>
    </w:p>
    <w:p w14:paraId="7CA6F35F" w14:textId="77777777" w:rsidR="00567D13" w:rsidRPr="00EB11D3" w:rsidRDefault="00A57498" w:rsidP="00567D13">
      <w:pPr>
        <w:autoSpaceDE w:val="0"/>
        <w:autoSpaceDN w:val="0"/>
        <w:adjustRightInd w:val="0"/>
        <w:spacing w:after="0" w:line="400" w:lineRule="atLeast"/>
        <w:rPr>
          <w:szCs w:val="24"/>
        </w:rPr>
      </w:pPr>
      <w:r w:rsidRPr="00A57498">
        <w:rPr>
          <w:szCs w:val="24"/>
        </w:rPr>
        <w:t>Table 22 presents descriptive data indicating the dispersion and central tendency of all corporate governance metrics. There were 250 responders in all for each measurement. While mean, median, and mode were used to assess central tenancy, skewness and kurtosis were used to measure data distribution. Dispersion was measured using the standard deviation.</w:t>
      </w:r>
      <w:r w:rsidR="00567D13" w:rsidRPr="00EB11D3">
        <w:rPr>
          <w:szCs w:val="24"/>
        </w:rPr>
        <w:t xml:space="preserve"> Assumptions about normality are tested using the measurements of kurtosis and skewness (Kline, 2005). According to Bai and Ng (2005), the distribution is considered severely skewed if the skewness is less than -1 or greater than 1, moderately skewed if the skewness is between -1 and -0.5 or between 0.5 and 1, and roughly symmetric if the skewness is between -0.5 and 0.5.</w:t>
      </w:r>
    </w:p>
    <w:p w14:paraId="2BD38105" w14:textId="77777777" w:rsidR="00567D13" w:rsidRPr="00EB11D3" w:rsidRDefault="00567D13" w:rsidP="00567D13">
      <w:pPr>
        <w:autoSpaceDE w:val="0"/>
        <w:autoSpaceDN w:val="0"/>
        <w:adjustRightInd w:val="0"/>
        <w:spacing w:after="0" w:line="360" w:lineRule="auto"/>
        <w:rPr>
          <w:szCs w:val="24"/>
        </w:rPr>
      </w:pPr>
    </w:p>
    <w:p w14:paraId="6C0959E1" w14:textId="77777777" w:rsidR="00567D13" w:rsidRPr="00EB11D3" w:rsidRDefault="00BB51A4" w:rsidP="00567D13">
      <w:pPr>
        <w:autoSpaceDE w:val="0"/>
        <w:autoSpaceDN w:val="0"/>
        <w:adjustRightInd w:val="0"/>
        <w:spacing w:after="0" w:line="360" w:lineRule="auto"/>
        <w:rPr>
          <w:szCs w:val="24"/>
        </w:rPr>
      </w:pPr>
      <w:r w:rsidRPr="00BB51A4">
        <w:rPr>
          <w:szCs w:val="24"/>
        </w:rPr>
        <w:t>The findings indicate that the mean, median, and mode of corporate governance were 4.24, 4.30, and 4.46, respectively. This suggested that the majority agreed with the corporate governance statement, as indicated by the mean of 4.24. The group's members deviated from the observation's mean value of 4.24, as indicated by the standard deviation of 0.45. The corporate governance skewness was -1.770. We consequently infer that the distribution is severely skewed because the values were below -1. Kurtosis analysis revealed a corporate governance score of 5.901. As a result, since the values are more than 3, they are not platykurtic and do not exhibit a broad tail distribution or outliers.</w:t>
      </w:r>
    </w:p>
    <w:p w14:paraId="3DCA0E5D" w14:textId="77777777" w:rsidR="00567D13" w:rsidRPr="00EB11D3" w:rsidRDefault="00567D13" w:rsidP="00FA0B96">
      <w:pPr>
        <w:pStyle w:val="Heading3"/>
      </w:pPr>
      <w:bookmarkStart w:id="773" w:name="_Toc100987664"/>
      <w:bookmarkStart w:id="774" w:name="_Toc103414517"/>
      <w:bookmarkStart w:id="775" w:name="_Toc117773069"/>
      <w:bookmarkStart w:id="776" w:name="_Toc117772209"/>
      <w:bookmarkStart w:id="777" w:name="_Toc124240248"/>
      <w:bookmarkStart w:id="778" w:name="_Toc126071139"/>
      <w:bookmarkStart w:id="779" w:name="_Toc164149001"/>
      <w:bookmarkStart w:id="780" w:name="_Toc164151262"/>
      <w:bookmarkStart w:id="781" w:name="_Toc168737896"/>
      <w:bookmarkStart w:id="782" w:name="_Toc171602649"/>
      <w:bookmarkStart w:id="783" w:name="_Toc171603476"/>
      <w:bookmarkStart w:id="784" w:name="_Toc177387881"/>
      <w:bookmarkEnd w:id="770"/>
      <w:r w:rsidRPr="00EB11D3">
        <w:t>4.</w:t>
      </w:r>
      <w:r w:rsidR="004373D8">
        <w:t>4</w:t>
      </w:r>
      <w:r w:rsidRPr="00EB11D3">
        <w:t>.2</w:t>
      </w:r>
      <w:bookmarkEnd w:id="773"/>
      <w:bookmarkEnd w:id="774"/>
      <w:r w:rsidRPr="00EB11D3">
        <w:t xml:space="preserve"> </w:t>
      </w:r>
      <w:bookmarkEnd w:id="775"/>
      <w:bookmarkEnd w:id="776"/>
      <w:bookmarkEnd w:id="777"/>
      <w:bookmarkEnd w:id="778"/>
      <w:r w:rsidRPr="00EB11D3">
        <w:t>Service Innovation</w:t>
      </w:r>
      <w:bookmarkEnd w:id="779"/>
      <w:bookmarkEnd w:id="780"/>
      <w:bookmarkEnd w:id="781"/>
      <w:bookmarkEnd w:id="782"/>
      <w:bookmarkEnd w:id="783"/>
      <w:bookmarkEnd w:id="784"/>
      <w:r w:rsidRPr="00EB11D3">
        <w:t xml:space="preserve"> </w:t>
      </w:r>
    </w:p>
    <w:p w14:paraId="0B95E8C5" w14:textId="77777777" w:rsidR="00567D13" w:rsidRPr="00EB11D3" w:rsidRDefault="00567D13" w:rsidP="00567D13">
      <w:pPr>
        <w:autoSpaceDE w:val="0"/>
        <w:autoSpaceDN w:val="0"/>
        <w:adjustRightInd w:val="0"/>
        <w:spacing w:after="0" w:line="400" w:lineRule="atLeast"/>
        <w:jc w:val="left"/>
        <w:rPr>
          <w:szCs w:val="24"/>
          <w:lang w:val="en"/>
        </w:rPr>
      </w:pPr>
      <w:r w:rsidRPr="00EB11D3">
        <w:rPr>
          <w:szCs w:val="24"/>
        </w:rPr>
        <w:t xml:space="preserve">The second objective of the study was to determine </w:t>
      </w:r>
      <w:r w:rsidRPr="00EB11D3">
        <w:rPr>
          <w:szCs w:val="24"/>
          <w:lang w:val="en"/>
        </w:rPr>
        <w:t xml:space="preserve">the mediating effect of service innovation on the relationship between corporate governance and </w:t>
      </w:r>
      <w:r w:rsidRPr="00EB11D3">
        <w:rPr>
          <w:szCs w:val="24"/>
        </w:rPr>
        <w:t>organisational performance</w:t>
      </w:r>
      <w:r w:rsidRPr="00EB11D3">
        <w:rPr>
          <w:szCs w:val="24"/>
          <w:lang w:val="en"/>
        </w:rPr>
        <w:t xml:space="preserve"> of faith-based hospitals in Kenya.  </w:t>
      </w:r>
      <w:r w:rsidRPr="00EB11D3">
        <w:rPr>
          <w:szCs w:val="24"/>
        </w:rPr>
        <w:t>The descriptive results for service innovation are shown in Table 23.</w:t>
      </w:r>
    </w:p>
    <w:p w14:paraId="110F7F06" w14:textId="77777777" w:rsidR="00567D13" w:rsidRPr="00EB11D3" w:rsidRDefault="00567D13" w:rsidP="00567D13">
      <w:pPr>
        <w:autoSpaceDE w:val="0"/>
        <w:autoSpaceDN w:val="0"/>
        <w:adjustRightInd w:val="0"/>
        <w:spacing w:before="240" w:after="0" w:line="400" w:lineRule="atLeast"/>
        <w:jc w:val="left"/>
        <w:rPr>
          <w:szCs w:val="24"/>
        </w:rPr>
      </w:pPr>
      <w:bookmarkStart w:id="785" w:name="_Toc100987975"/>
      <w:bookmarkStart w:id="786" w:name="_Toc126666758"/>
      <w:bookmarkStart w:id="787" w:name="_Toc164148634"/>
      <w:bookmarkStart w:id="788" w:name="_Toc177387954"/>
      <w:r w:rsidRPr="00EB11D3">
        <w:rPr>
          <w:b/>
          <w:bCs/>
          <w:szCs w:val="24"/>
        </w:rPr>
        <w:t xml:space="preserve">Table </w:t>
      </w:r>
      <w:r w:rsidRPr="00EB11D3">
        <w:rPr>
          <w:b/>
          <w:bCs/>
          <w:szCs w:val="24"/>
        </w:rPr>
        <w:fldChar w:fldCharType="begin"/>
      </w:r>
      <w:r w:rsidRPr="00EB11D3">
        <w:rPr>
          <w:b/>
          <w:bCs/>
          <w:szCs w:val="24"/>
        </w:rPr>
        <w:instrText xml:space="preserve"> SEQ Table \* ARABIC </w:instrText>
      </w:r>
      <w:r w:rsidRPr="00EB11D3">
        <w:rPr>
          <w:b/>
          <w:bCs/>
          <w:szCs w:val="24"/>
        </w:rPr>
        <w:fldChar w:fldCharType="separate"/>
      </w:r>
      <w:r w:rsidRPr="00EB11D3">
        <w:rPr>
          <w:b/>
          <w:bCs/>
          <w:szCs w:val="24"/>
        </w:rPr>
        <w:t>23</w:t>
      </w:r>
      <w:r w:rsidRPr="00EB11D3">
        <w:rPr>
          <w:szCs w:val="24"/>
        </w:rPr>
        <w:fldChar w:fldCharType="end"/>
      </w:r>
      <w:r w:rsidRPr="00EB11D3">
        <w:rPr>
          <w:b/>
          <w:bCs/>
          <w:szCs w:val="24"/>
        </w:rPr>
        <w:t xml:space="preserve">: Descriptive Statistics for </w:t>
      </w:r>
      <w:bookmarkEnd w:id="785"/>
      <w:bookmarkEnd w:id="786"/>
      <w:r w:rsidRPr="00EB11D3">
        <w:rPr>
          <w:b/>
          <w:bCs/>
          <w:szCs w:val="24"/>
        </w:rPr>
        <w:t>Service Innovation</w:t>
      </w:r>
      <w:bookmarkEnd w:id="787"/>
      <w:bookmarkEnd w:id="788"/>
    </w:p>
    <w:p w14:paraId="1A88B82A" w14:textId="77777777" w:rsidR="00567D13" w:rsidRPr="00EB11D3" w:rsidRDefault="00567D13" w:rsidP="00567D13">
      <w:pPr>
        <w:autoSpaceDE w:val="0"/>
        <w:autoSpaceDN w:val="0"/>
        <w:adjustRightInd w:val="0"/>
        <w:spacing w:after="0" w:line="400" w:lineRule="atLeast"/>
        <w:jc w:val="left"/>
        <w:rPr>
          <w:szCs w:val="24"/>
        </w:rPr>
      </w:pPr>
    </w:p>
    <w:tbl>
      <w:tblPr>
        <w:tblW w:w="5000" w:type="pct"/>
        <w:tblCellMar>
          <w:left w:w="0" w:type="dxa"/>
          <w:right w:w="0" w:type="dxa"/>
        </w:tblCellMar>
        <w:tblLook w:val="0000" w:firstRow="0" w:lastRow="0" w:firstColumn="0" w:lastColumn="0" w:noHBand="0" w:noVBand="0"/>
      </w:tblPr>
      <w:tblGrid>
        <w:gridCol w:w="3195"/>
        <w:gridCol w:w="3194"/>
        <w:gridCol w:w="2971"/>
      </w:tblGrid>
      <w:tr w:rsidR="00567D13" w:rsidRPr="00EB11D3" w14:paraId="4F4FE357" w14:textId="77777777" w:rsidTr="00A821E7">
        <w:trPr>
          <w:cantSplit/>
        </w:trPr>
        <w:tc>
          <w:tcPr>
            <w:tcW w:w="5000" w:type="pct"/>
            <w:gridSpan w:val="3"/>
            <w:tcBorders>
              <w:top w:val="nil"/>
              <w:left w:val="nil"/>
              <w:bottom w:val="single" w:sz="4" w:space="0" w:color="auto"/>
              <w:right w:val="nil"/>
            </w:tcBorders>
            <w:shd w:val="clear" w:color="auto" w:fill="auto"/>
            <w:vAlign w:val="center"/>
          </w:tcPr>
          <w:p w14:paraId="0A0DD277" w14:textId="77777777" w:rsidR="00567D13" w:rsidRPr="00EB11D3" w:rsidRDefault="00567D13" w:rsidP="00567D13">
            <w:pPr>
              <w:autoSpaceDE w:val="0"/>
              <w:autoSpaceDN w:val="0"/>
              <w:adjustRightInd w:val="0"/>
              <w:spacing w:after="0" w:line="400" w:lineRule="atLeast"/>
              <w:jc w:val="center"/>
              <w:rPr>
                <w:szCs w:val="24"/>
              </w:rPr>
            </w:pPr>
            <w:r w:rsidRPr="00EB11D3">
              <w:rPr>
                <w:b/>
                <w:bCs/>
                <w:szCs w:val="24"/>
              </w:rPr>
              <w:t>Statistics</w:t>
            </w:r>
          </w:p>
        </w:tc>
      </w:tr>
      <w:tr w:rsidR="00567D13" w:rsidRPr="00EB11D3" w14:paraId="692B71B6" w14:textId="77777777" w:rsidTr="00A821E7">
        <w:trPr>
          <w:cantSplit/>
        </w:trPr>
        <w:tc>
          <w:tcPr>
            <w:tcW w:w="5000" w:type="pct"/>
            <w:gridSpan w:val="3"/>
            <w:tcBorders>
              <w:top w:val="single" w:sz="4" w:space="0" w:color="auto"/>
              <w:left w:val="nil"/>
              <w:bottom w:val="single" w:sz="4" w:space="0" w:color="auto"/>
              <w:right w:val="nil"/>
            </w:tcBorders>
            <w:shd w:val="clear" w:color="auto" w:fill="auto"/>
            <w:vAlign w:val="bottom"/>
          </w:tcPr>
          <w:p w14:paraId="46D15EB7" w14:textId="77777777" w:rsidR="00567D13" w:rsidRPr="00EB11D3" w:rsidRDefault="00567D13" w:rsidP="00567D13">
            <w:pPr>
              <w:autoSpaceDE w:val="0"/>
              <w:autoSpaceDN w:val="0"/>
              <w:adjustRightInd w:val="0"/>
              <w:spacing w:after="0" w:line="400" w:lineRule="atLeast"/>
              <w:jc w:val="left"/>
              <w:rPr>
                <w:b/>
                <w:bCs/>
                <w:szCs w:val="24"/>
              </w:rPr>
            </w:pPr>
            <w:r w:rsidRPr="00EB11D3">
              <w:rPr>
                <w:b/>
                <w:bCs/>
                <w:szCs w:val="24"/>
              </w:rPr>
              <w:t xml:space="preserve">Service Innovation  </w:t>
            </w:r>
          </w:p>
        </w:tc>
      </w:tr>
      <w:tr w:rsidR="00567D13" w:rsidRPr="00EB11D3" w14:paraId="35D94E36" w14:textId="77777777" w:rsidTr="00A821E7">
        <w:trPr>
          <w:cantSplit/>
        </w:trPr>
        <w:tc>
          <w:tcPr>
            <w:tcW w:w="1707" w:type="pct"/>
            <w:tcBorders>
              <w:top w:val="single" w:sz="4" w:space="0" w:color="auto"/>
              <w:left w:val="nil"/>
              <w:bottom w:val="single" w:sz="8" w:space="0" w:color="AEAEAE"/>
              <w:right w:val="nil"/>
            </w:tcBorders>
            <w:shd w:val="clear" w:color="auto" w:fill="auto"/>
          </w:tcPr>
          <w:p w14:paraId="42B64E26"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N</w:t>
            </w:r>
          </w:p>
        </w:tc>
        <w:tc>
          <w:tcPr>
            <w:tcW w:w="1706" w:type="pct"/>
            <w:tcBorders>
              <w:top w:val="single" w:sz="4" w:space="0" w:color="auto"/>
              <w:left w:val="nil"/>
              <w:bottom w:val="single" w:sz="8" w:space="0" w:color="AEAEAE"/>
              <w:right w:val="nil"/>
            </w:tcBorders>
            <w:shd w:val="clear" w:color="auto" w:fill="auto"/>
          </w:tcPr>
          <w:p w14:paraId="66E0EB62" w14:textId="77777777" w:rsidR="00567D13" w:rsidRPr="00EB11D3" w:rsidRDefault="00567D13" w:rsidP="00567D13">
            <w:pPr>
              <w:autoSpaceDE w:val="0"/>
              <w:autoSpaceDN w:val="0"/>
              <w:adjustRightInd w:val="0"/>
              <w:spacing w:after="0" w:line="400" w:lineRule="atLeast"/>
              <w:jc w:val="left"/>
              <w:rPr>
                <w:szCs w:val="24"/>
              </w:rPr>
            </w:pPr>
          </w:p>
        </w:tc>
        <w:tc>
          <w:tcPr>
            <w:tcW w:w="1587" w:type="pct"/>
            <w:tcBorders>
              <w:top w:val="single" w:sz="4" w:space="0" w:color="auto"/>
              <w:left w:val="nil"/>
              <w:bottom w:val="single" w:sz="8" w:space="0" w:color="AEAEAE"/>
              <w:right w:val="nil"/>
            </w:tcBorders>
            <w:shd w:val="clear" w:color="auto" w:fill="auto"/>
          </w:tcPr>
          <w:p w14:paraId="5DB2F7CD"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250</w:t>
            </w:r>
          </w:p>
        </w:tc>
      </w:tr>
      <w:tr w:rsidR="00567D13" w:rsidRPr="00EB11D3" w14:paraId="485600AC"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6C9A462E"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Mean</w:t>
            </w:r>
          </w:p>
        </w:tc>
        <w:tc>
          <w:tcPr>
            <w:tcW w:w="1587" w:type="pct"/>
            <w:tcBorders>
              <w:top w:val="single" w:sz="8" w:space="0" w:color="AEAEAE"/>
              <w:left w:val="nil"/>
              <w:bottom w:val="single" w:sz="8" w:space="0" w:color="AEAEAE"/>
              <w:right w:val="nil"/>
            </w:tcBorders>
            <w:shd w:val="clear" w:color="auto" w:fill="auto"/>
          </w:tcPr>
          <w:p w14:paraId="7583475F"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4.2893</w:t>
            </w:r>
          </w:p>
        </w:tc>
      </w:tr>
      <w:tr w:rsidR="00567D13" w:rsidRPr="00EB11D3" w14:paraId="1DF85102"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26649563"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Median</w:t>
            </w:r>
          </w:p>
        </w:tc>
        <w:tc>
          <w:tcPr>
            <w:tcW w:w="1587" w:type="pct"/>
            <w:tcBorders>
              <w:top w:val="single" w:sz="8" w:space="0" w:color="AEAEAE"/>
              <w:left w:val="nil"/>
              <w:bottom w:val="single" w:sz="8" w:space="0" w:color="AEAEAE"/>
              <w:right w:val="nil"/>
            </w:tcBorders>
            <w:shd w:val="clear" w:color="auto" w:fill="auto"/>
          </w:tcPr>
          <w:p w14:paraId="7BC3B4B4"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4.3214</w:t>
            </w:r>
          </w:p>
        </w:tc>
      </w:tr>
      <w:tr w:rsidR="00567D13" w:rsidRPr="00EB11D3" w14:paraId="7D9F9764"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5A4877B1"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Mode</w:t>
            </w:r>
          </w:p>
        </w:tc>
        <w:tc>
          <w:tcPr>
            <w:tcW w:w="1587" w:type="pct"/>
            <w:tcBorders>
              <w:top w:val="single" w:sz="8" w:space="0" w:color="AEAEAE"/>
              <w:left w:val="nil"/>
              <w:bottom w:val="single" w:sz="8" w:space="0" w:color="AEAEAE"/>
              <w:right w:val="nil"/>
            </w:tcBorders>
            <w:shd w:val="clear" w:color="auto" w:fill="auto"/>
          </w:tcPr>
          <w:p w14:paraId="2924A375"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4.43</w:t>
            </w:r>
          </w:p>
        </w:tc>
      </w:tr>
      <w:tr w:rsidR="00567D13" w:rsidRPr="00EB11D3" w14:paraId="27DFD520"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6E7FDA00"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Std. Deviation</w:t>
            </w:r>
          </w:p>
        </w:tc>
        <w:tc>
          <w:tcPr>
            <w:tcW w:w="1587" w:type="pct"/>
            <w:tcBorders>
              <w:top w:val="single" w:sz="8" w:space="0" w:color="AEAEAE"/>
              <w:left w:val="nil"/>
              <w:bottom w:val="single" w:sz="8" w:space="0" w:color="AEAEAE"/>
              <w:right w:val="nil"/>
            </w:tcBorders>
            <w:shd w:val="clear" w:color="auto" w:fill="auto"/>
          </w:tcPr>
          <w:p w14:paraId="39DB29D0"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.40572</w:t>
            </w:r>
          </w:p>
        </w:tc>
      </w:tr>
      <w:tr w:rsidR="00567D13" w:rsidRPr="00EB11D3" w14:paraId="6AE94E06"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50FFE7D1"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Skewness</w:t>
            </w:r>
          </w:p>
        </w:tc>
        <w:tc>
          <w:tcPr>
            <w:tcW w:w="1587" w:type="pct"/>
            <w:tcBorders>
              <w:top w:val="single" w:sz="8" w:space="0" w:color="AEAEAE"/>
              <w:left w:val="nil"/>
              <w:bottom w:val="single" w:sz="8" w:space="0" w:color="AEAEAE"/>
              <w:right w:val="nil"/>
            </w:tcBorders>
            <w:shd w:val="clear" w:color="auto" w:fill="auto"/>
          </w:tcPr>
          <w:p w14:paraId="046D29CD"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-1.092</w:t>
            </w:r>
          </w:p>
        </w:tc>
      </w:tr>
      <w:tr w:rsidR="00567D13" w:rsidRPr="00EB11D3" w14:paraId="4FA5504F"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136330FF"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Kurtosis</w:t>
            </w:r>
          </w:p>
        </w:tc>
        <w:tc>
          <w:tcPr>
            <w:tcW w:w="1587" w:type="pct"/>
            <w:tcBorders>
              <w:top w:val="single" w:sz="8" w:space="0" w:color="AEAEAE"/>
              <w:left w:val="nil"/>
              <w:bottom w:val="single" w:sz="8" w:space="0" w:color="AEAEAE"/>
              <w:right w:val="nil"/>
            </w:tcBorders>
            <w:shd w:val="clear" w:color="auto" w:fill="auto"/>
          </w:tcPr>
          <w:p w14:paraId="5F5B6101"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1.962</w:t>
            </w:r>
          </w:p>
        </w:tc>
      </w:tr>
    </w:tbl>
    <w:p w14:paraId="1406C496" w14:textId="77777777" w:rsidR="00567D13" w:rsidRPr="00EB11D3" w:rsidRDefault="00567D13" w:rsidP="00567D13">
      <w:pPr>
        <w:autoSpaceDE w:val="0"/>
        <w:autoSpaceDN w:val="0"/>
        <w:adjustRightInd w:val="0"/>
        <w:spacing w:after="0" w:line="400" w:lineRule="atLeast"/>
        <w:jc w:val="left"/>
        <w:rPr>
          <w:szCs w:val="24"/>
        </w:rPr>
      </w:pPr>
    </w:p>
    <w:p w14:paraId="62B078D2" w14:textId="77777777" w:rsidR="00567D13" w:rsidRPr="00EB11D3" w:rsidRDefault="00FE78E7" w:rsidP="00567D13">
      <w:pPr>
        <w:autoSpaceDE w:val="0"/>
        <w:autoSpaceDN w:val="0"/>
        <w:adjustRightInd w:val="0"/>
        <w:spacing w:after="0" w:line="400" w:lineRule="atLeast"/>
        <w:rPr>
          <w:szCs w:val="24"/>
        </w:rPr>
      </w:pPr>
      <w:r w:rsidRPr="00FE78E7">
        <w:rPr>
          <w:szCs w:val="24"/>
        </w:rPr>
        <w:t>The central tendency and dispersion of all the service innovation metrics are shown by the descriptive statistics in Table 23. There were 250 responders in all for each measurement. While mean, median, and mode were used to assess central tenancy, skewness and kurtosis were used to measure data distribution. The dispersion was measured using the standard deviation.</w:t>
      </w:r>
      <w:r w:rsidR="00567D13" w:rsidRPr="00EB11D3">
        <w:rPr>
          <w:szCs w:val="24"/>
        </w:rPr>
        <w:t xml:space="preserve"> The distribution is considered </w:t>
      </w:r>
      <w:r w:rsidR="00C22167">
        <w:rPr>
          <w:szCs w:val="24"/>
        </w:rPr>
        <w:t>strongly</w:t>
      </w:r>
      <w:r w:rsidR="00567D13" w:rsidRPr="00EB11D3">
        <w:rPr>
          <w:szCs w:val="24"/>
        </w:rPr>
        <w:t xml:space="preserve"> skewed if the skewness is less than -1 or greater than 1, moderately skewed if the skewness is between -1 and -0.5 or between 0.5 and 1, and roughly symmetric if the skewness is between -0.5 and 0.5 (Bai &amp; Ng, 2005).</w:t>
      </w:r>
    </w:p>
    <w:p w14:paraId="2717F153" w14:textId="77777777" w:rsidR="00567D13" w:rsidRPr="00EB11D3" w:rsidRDefault="00D871B8" w:rsidP="00567D13">
      <w:pPr>
        <w:autoSpaceDE w:val="0"/>
        <w:autoSpaceDN w:val="0"/>
        <w:adjustRightInd w:val="0"/>
        <w:spacing w:before="240" w:after="0" w:line="400" w:lineRule="atLeast"/>
        <w:rPr>
          <w:szCs w:val="24"/>
        </w:rPr>
      </w:pPr>
      <w:bookmarkStart w:id="789" w:name="_Hlk129521800"/>
      <w:r w:rsidRPr="00D871B8">
        <w:rPr>
          <w:szCs w:val="24"/>
        </w:rPr>
        <w:t xml:space="preserve">Service innovation had a mean of 4.29, a median of 4.32, and a mode of 4.43, according to the data. This suggested that the majority agreed with the claims about service innovation, as indicated by the mean of 4.29. The group's members deviated from the observation's mean value of 4.29, as indicated by the standard deviation of 0.41. The service innovation skewness was -1.092. We deduce that the distribution is </w:t>
      </w:r>
      <w:r w:rsidR="00C22167">
        <w:rPr>
          <w:szCs w:val="24"/>
        </w:rPr>
        <w:t>strong</w:t>
      </w:r>
      <w:r w:rsidRPr="00D871B8">
        <w:rPr>
          <w:szCs w:val="24"/>
        </w:rPr>
        <w:t>ly skewed as the values of skewness for service innovation were either larger than 1 or less than -1. According to Kurtosis statistics, service innovation scored a 1.962. Since the values were less than 3, we may thus conclude that they were platykurtic, with a broad tail distribution and no outliers.</w:t>
      </w:r>
    </w:p>
    <w:p w14:paraId="5C91B93E" w14:textId="77777777" w:rsidR="00567D13" w:rsidRPr="00EB11D3" w:rsidRDefault="00567D13" w:rsidP="00567D13">
      <w:pPr>
        <w:autoSpaceDE w:val="0"/>
        <w:autoSpaceDN w:val="0"/>
        <w:adjustRightInd w:val="0"/>
        <w:spacing w:after="0" w:line="400" w:lineRule="atLeast"/>
        <w:rPr>
          <w:b/>
          <w:bCs/>
          <w:szCs w:val="24"/>
          <w:lang w:val="en-GB"/>
        </w:rPr>
      </w:pPr>
      <w:bookmarkStart w:id="790" w:name="_Toc100987665"/>
      <w:bookmarkStart w:id="791" w:name="_Toc103414518"/>
      <w:bookmarkStart w:id="792" w:name="_Toc117773070"/>
      <w:bookmarkStart w:id="793" w:name="_Toc117772210"/>
      <w:bookmarkStart w:id="794" w:name="_Toc124240249"/>
      <w:bookmarkStart w:id="795" w:name="_Toc126071140"/>
      <w:bookmarkEnd w:id="789"/>
    </w:p>
    <w:p w14:paraId="5D7C7349" w14:textId="77777777" w:rsidR="00567D13" w:rsidRPr="00EB11D3" w:rsidRDefault="00567D13" w:rsidP="00FA0B96">
      <w:pPr>
        <w:pStyle w:val="Heading3"/>
      </w:pPr>
      <w:bookmarkStart w:id="796" w:name="_Toc164149002"/>
      <w:bookmarkStart w:id="797" w:name="_Toc164151263"/>
      <w:bookmarkStart w:id="798" w:name="_Toc168737897"/>
      <w:bookmarkStart w:id="799" w:name="_Toc171602650"/>
      <w:bookmarkStart w:id="800" w:name="_Toc171603477"/>
      <w:bookmarkStart w:id="801" w:name="_Toc177387882"/>
      <w:r w:rsidRPr="00EB11D3">
        <w:t>4.</w:t>
      </w:r>
      <w:r w:rsidR="004373D8">
        <w:t>4</w:t>
      </w:r>
      <w:r w:rsidRPr="00EB11D3">
        <w:t xml:space="preserve">.3 Descriptive Statistics for </w:t>
      </w:r>
      <w:bookmarkEnd w:id="790"/>
      <w:bookmarkEnd w:id="791"/>
      <w:bookmarkEnd w:id="792"/>
      <w:bookmarkEnd w:id="793"/>
      <w:bookmarkEnd w:id="794"/>
      <w:bookmarkEnd w:id="795"/>
      <w:r w:rsidRPr="00EB11D3">
        <w:t>Government Regulations</w:t>
      </w:r>
      <w:bookmarkEnd w:id="796"/>
      <w:bookmarkEnd w:id="797"/>
      <w:bookmarkEnd w:id="798"/>
      <w:bookmarkEnd w:id="799"/>
      <w:bookmarkEnd w:id="800"/>
      <w:bookmarkEnd w:id="801"/>
    </w:p>
    <w:p w14:paraId="0A5FA9B7" w14:textId="77777777" w:rsidR="00567D13" w:rsidRPr="00EB11D3" w:rsidRDefault="00567D13" w:rsidP="00567D13">
      <w:pPr>
        <w:autoSpaceDE w:val="0"/>
        <w:autoSpaceDN w:val="0"/>
        <w:adjustRightInd w:val="0"/>
        <w:spacing w:after="0" w:line="400" w:lineRule="atLeast"/>
        <w:jc w:val="left"/>
        <w:rPr>
          <w:szCs w:val="24"/>
          <w:lang w:val="en"/>
        </w:rPr>
      </w:pPr>
      <w:r w:rsidRPr="00EB11D3">
        <w:rPr>
          <w:szCs w:val="24"/>
        </w:rPr>
        <w:t xml:space="preserve">The third objective of the study was to examine </w:t>
      </w:r>
      <w:r w:rsidRPr="00EB11D3">
        <w:rPr>
          <w:szCs w:val="24"/>
          <w:lang w:val="en"/>
        </w:rPr>
        <w:t xml:space="preserve">the moderating effect of government regulations on the relationship between corporate governance and </w:t>
      </w:r>
      <w:r w:rsidRPr="00EB11D3">
        <w:rPr>
          <w:szCs w:val="24"/>
        </w:rPr>
        <w:t>organisational performance</w:t>
      </w:r>
      <w:r w:rsidRPr="00EB11D3">
        <w:rPr>
          <w:szCs w:val="24"/>
          <w:lang w:val="en"/>
        </w:rPr>
        <w:t xml:space="preserve"> of faith-based hospitals in Kenya. </w:t>
      </w:r>
      <w:r w:rsidRPr="00EB11D3">
        <w:rPr>
          <w:szCs w:val="24"/>
        </w:rPr>
        <w:t>The descriptive results are shown in Table 24.</w:t>
      </w:r>
    </w:p>
    <w:p w14:paraId="12FE7E11" w14:textId="77777777" w:rsidR="00567D13" w:rsidRPr="00EB11D3" w:rsidRDefault="00567D13" w:rsidP="00567D13">
      <w:pPr>
        <w:autoSpaceDE w:val="0"/>
        <w:autoSpaceDN w:val="0"/>
        <w:adjustRightInd w:val="0"/>
        <w:spacing w:after="0" w:line="400" w:lineRule="atLeast"/>
        <w:jc w:val="left"/>
        <w:rPr>
          <w:b/>
          <w:bCs/>
          <w:szCs w:val="24"/>
        </w:rPr>
      </w:pPr>
      <w:bookmarkStart w:id="802" w:name="_Toc100987976"/>
      <w:bookmarkStart w:id="803" w:name="_Toc126666759"/>
    </w:p>
    <w:p w14:paraId="48370893" w14:textId="77777777" w:rsidR="00567D13" w:rsidRPr="00EB11D3" w:rsidRDefault="00567D13" w:rsidP="00567D13">
      <w:pPr>
        <w:autoSpaceDE w:val="0"/>
        <w:autoSpaceDN w:val="0"/>
        <w:adjustRightInd w:val="0"/>
        <w:spacing w:after="0" w:line="400" w:lineRule="atLeast"/>
        <w:jc w:val="left"/>
        <w:rPr>
          <w:b/>
          <w:bCs/>
          <w:szCs w:val="24"/>
        </w:rPr>
      </w:pPr>
      <w:bookmarkStart w:id="804" w:name="_Toc164148635"/>
      <w:bookmarkStart w:id="805" w:name="_Toc177387955"/>
      <w:r w:rsidRPr="00EB11D3">
        <w:rPr>
          <w:b/>
          <w:bCs/>
          <w:szCs w:val="24"/>
        </w:rPr>
        <w:t xml:space="preserve">Table </w:t>
      </w:r>
      <w:r w:rsidRPr="00EB11D3">
        <w:rPr>
          <w:b/>
          <w:bCs/>
          <w:szCs w:val="24"/>
        </w:rPr>
        <w:fldChar w:fldCharType="begin"/>
      </w:r>
      <w:r w:rsidRPr="00EB11D3">
        <w:rPr>
          <w:b/>
          <w:bCs/>
          <w:szCs w:val="24"/>
        </w:rPr>
        <w:instrText xml:space="preserve"> SEQ Table \* ARABIC </w:instrText>
      </w:r>
      <w:r w:rsidRPr="00EB11D3">
        <w:rPr>
          <w:b/>
          <w:bCs/>
          <w:szCs w:val="24"/>
        </w:rPr>
        <w:fldChar w:fldCharType="separate"/>
      </w:r>
      <w:r w:rsidRPr="00EB11D3">
        <w:rPr>
          <w:b/>
          <w:bCs/>
          <w:szCs w:val="24"/>
        </w:rPr>
        <w:t>24</w:t>
      </w:r>
      <w:r w:rsidRPr="00EB11D3">
        <w:rPr>
          <w:szCs w:val="24"/>
        </w:rPr>
        <w:fldChar w:fldCharType="end"/>
      </w:r>
      <w:r w:rsidRPr="00EB11D3">
        <w:rPr>
          <w:b/>
          <w:bCs/>
          <w:szCs w:val="24"/>
        </w:rPr>
        <w:t xml:space="preserve">: Descriptive Statistics for </w:t>
      </w:r>
      <w:bookmarkEnd w:id="802"/>
      <w:bookmarkEnd w:id="803"/>
      <w:r w:rsidRPr="00EB11D3">
        <w:rPr>
          <w:b/>
          <w:bCs/>
          <w:szCs w:val="24"/>
        </w:rPr>
        <w:t>Government Regulations</w:t>
      </w:r>
      <w:bookmarkEnd w:id="804"/>
      <w:bookmarkEnd w:id="805"/>
    </w:p>
    <w:p w14:paraId="0250C44D" w14:textId="77777777" w:rsidR="00567D13" w:rsidRPr="00EB11D3" w:rsidRDefault="00567D13" w:rsidP="00567D13">
      <w:pPr>
        <w:autoSpaceDE w:val="0"/>
        <w:autoSpaceDN w:val="0"/>
        <w:adjustRightInd w:val="0"/>
        <w:spacing w:after="0" w:line="400" w:lineRule="atLeast"/>
        <w:jc w:val="left"/>
        <w:rPr>
          <w:szCs w:val="24"/>
        </w:rPr>
      </w:pPr>
    </w:p>
    <w:tbl>
      <w:tblPr>
        <w:tblW w:w="5000" w:type="pct"/>
        <w:tblCellMar>
          <w:left w:w="0" w:type="dxa"/>
          <w:right w:w="0" w:type="dxa"/>
        </w:tblCellMar>
        <w:tblLook w:val="0000" w:firstRow="0" w:lastRow="0" w:firstColumn="0" w:lastColumn="0" w:noHBand="0" w:noVBand="0"/>
      </w:tblPr>
      <w:tblGrid>
        <w:gridCol w:w="3195"/>
        <w:gridCol w:w="3194"/>
        <w:gridCol w:w="2971"/>
      </w:tblGrid>
      <w:tr w:rsidR="00567D13" w:rsidRPr="00EB11D3" w14:paraId="38F007C6" w14:textId="77777777" w:rsidTr="00A821E7">
        <w:trPr>
          <w:cantSplit/>
        </w:trPr>
        <w:tc>
          <w:tcPr>
            <w:tcW w:w="5000" w:type="pct"/>
            <w:gridSpan w:val="3"/>
            <w:tcBorders>
              <w:top w:val="nil"/>
              <w:left w:val="nil"/>
              <w:bottom w:val="single" w:sz="4" w:space="0" w:color="auto"/>
              <w:right w:val="nil"/>
            </w:tcBorders>
            <w:shd w:val="clear" w:color="auto" w:fill="auto"/>
            <w:vAlign w:val="center"/>
          </w:tcPr>
          <w:p w14:paraId="6F8769BA" w14:textId="77777777" w:rsidR="00567D13" w:rsidRPr="00EB11D3" w:rsidRDefault="00567D13" w:rsidP="00567D13">
            <w:pPr>
              <w:autoSpaceDE w:val="0"/>
              <w:autoSpaceDN w:val="0"/>
              <w:adjustRightInd w:val="0"/>
              <w:spacing w:after="0" w:line="400" w:lineRule="atLeast"/>
              <w:jc w:val="center"/>
              <w:rPr>
                <w:szCs w:val="24"/>
              </w:rPr>
            </w:pPr>
            <w:r w:rsidRPr="00EB11D3">
              <w:rPr>
                <w:b/>
                <w:bCs/>
                <w:szCs w:val="24"/>
              </w:rPr>
              <w:t>Statistics</w:t>
            </w:r>
          </w:p>
        </w:tc>
      </w:tr>
      <w:tr w:rsidR="00567D13" w:rsidRPr="00EB11D3" w14:paraId="69FB7E42" w14:textId="77777777" w:rsidTr="00A821E7">
        <w:trPr>
          <w:cantSplit/>
        </w:trPr>
        <w:tc>
          <w:tcPr>
            <w:tcW w:w="5000" w:type="pct"/>
            <w:gridSpan w:val="3"/>
            <w:tcBorders>
              <w:top w:val="single" w:sz="4" w:space="0" w:color="auto"/>
              <w:left w:val="nil"/>
              <w:bottom w:val="single" w:sz="4" w:space="0" w:color="auto"/>
              <w:right w:val="nil"/>
            </w:tcBorders>
            <w:shd w:val="clear" w:color="auto" w:fill="auto"/>
            <w:vAlign w:val="bottom"/>
          </w:tcPr>
          <w:p w14:paraId="6B67036E" w14:textId="77777777" w:rsidR="00567D13" w:rsidRPr="0040103C" w:rsidRDefault="00567D13" w:rsidP="00567D13">
            <w:pPr>
              <w:autoSpaceDE w:val="0"/>
              <w:autoSpaceDN w:val="0"/>
              <w:adjustRightInd w:val="0"/>
              <w:spacing w:after="0" w:line="400" w:lineRule="atLeast"/>
              <w:jc w:val="left"/>
              <w:rPr>
                <w:b/>
                <w:bCs/>
                <w:szCs w:val="24"/>
              </w:rPr>
            </w:pPr>
            <w:r w:rsidRPr="0040103C">
              <w:rPr>
                <w:b/>
                <w:bCs/>
                <w:szCs w:val="24"/>
              </w:rPr>
              <w:t xml:space="preserve">Government Regulations  </w:t>
            </w:r>
          </w:p>
        </w:tc>
      </w:tr>
      <w:tr w:rsidR="00567D13" w:rsidRPr="00EB11D3" w14:paraId="0FE2A20A" w14:textId="77777777" w:rsidTr="00A821E7">
        <w:trPr>
          <w:cantSplit/>
        </w:trPr>
        <w:tc>
          <w:tcPr>
            <w:tcW w:w="1707" w:type="pct"/>
            <w:tcBorders>
              <w:top w:val="single" w:sz="4" w:space="0" w:color="auto"/>
              <w:left w:val="nil"/>
              <w:bottom w:val="single" w:sz="8" w:space="0" w:color="AEAEAE"/>
              <w:right w:val="nil"/>
            </w:tcBorders>
            <w:shd w:val="clear" w:color="auto" w:fill="auto"/>
          </w:tcPr>
          <w:p w14:paraId="70278802"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N</w:t>
            </w:r>
          </w:p>
        </w:tc>
        <w:tc>
          <w:tcPr>
            <w:tcW w:w="1706" w:type="pct"/>
            <w:tcBorders>
              <w:top w:val="single" w:sz="4" w:space="0" w:color="auto"/>
              <w:left w:val="nil"/>
              <w:bottom w:val="single" w:sz="8" w:space="0" w:color="AEAEAE"/>
              <w:right w:val="nil"/>
            </w:tcBorders>
            <w:shd w:val="clear" w:color="auto" w:fill="auto"/>
          </w:tcPr>
          <w:p w14:paraId="3799B35B" w14:textId="77777777" w:rsidR="00567D13" w:rsidRPr="00EB11D3" w:rsidRDefault="00567D13" w:rsidP="00567D13">
            <w:pPr>
              <w:autoSpaceDE w:val="0"/>
              <w:autoSpaceDN w:val="0"/>
              <w:adjustRightInd w:val="0"/>
              <w:spacing w:after="0" w:line="400" w:lineRule="atLeast"/>
              <w:jc w:val="left"/>
              <w:rPr>
                <w:szCs w:val="24"/>
              </w:rPr>
            </w:pPr>
          </w:p>
        </w:tc>
        <w:tc>
          <w:tcPr>
            <w:tcW w:w="1587" w:type="pct"/>
            <w:tcBorders>
              <w:top w:val="single" w:sz="4" w:space="0" w:color="auto"/>
              <w:left w:val="nil"/>
              <w:bottom w:val="single" w:sz="8" w:space="0" w:color="AEAEAE"/>
              <w:right w:val="nil"/>
            </w:tcBorders>
            <w:shd w:val="clear" w:color="auto" w:fill="auto"/>
          </w:tcPr>
          <w:p w14:paraId="1E8282DA"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250</w:t>
            </w:r>
          </w:p>
        </w:tc>
      </w:tr>
      <w:tr w:rsidR="00567D13" w:rsidRPr="00EB11D3" w14:paraId="2EE7C04F"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046F1FFF"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Mean</w:t>
            </w:r>
          </w:p>
        </w:tc>
        <w:tc>
          <w:tcPr>
            <w:tcW w:w="1587" w:type="pct"/>
            <w:tcBorders>
              <w:top w:val="single" w:sz="8" w:space="0" w:color="AEAEAE"/>
              <w:left w:val="nil"/>
              <w:bottom w:val="single" w:sz="8" w:space="0" w:color="AEAEAE"/>
              <w:right w:val="nil"/>
            </w:tcBorders>
            <w:shd w:val="clear" w:color="auto" w:fill="auto"/>
          </w:tcPr>
          <w:p w14:paraId="362B1C41"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4.3704</w:t>
            </w:r>
          </w:p>
        </w:tc>
      </w:tr>
      <w:tr w:rsidR="00567D13" w:rsidRPr="00EB11D3" w14:paraId="4F7D8459"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0BC9503F"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Median</w:t>
            </w:r>
          </w:p>
        </w:tc>
        <w:tc>
          <w:tcPr>
            <w:tcW w:w="1587" w:type="pct"/>
            <w:tcBorders>
              <w:top w:val="single" w:sz="8" w:space="0" w:color="AEAEAE"/>
              <w:left w:val="nil"/>
              <w:bottom w:val="single" w:sz="8" w:space="0" w:color="AEAEAE"/>
              <w:right w:val="nil"/>
            </w:tcBorders>
            <w:shd w:val="clear" w:color="auto" w:fill="auto"/>
          </w:tcPr>
          <w:p w14:paraId="4518478B"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4.4000</w:t>
            </w:r>
          </w:p>
        </w:tc>
      </w:tr>
      <w:tr w:rsidR="00567D13" w:rsidRPr="00EB11D3" w14:paraId="591FD816"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1D4B36E8"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Mode</w:t>
            </w:r>
          </w:p>
        </w:tc>
        <w:tc>
          <w:tcPr>
            <w:tcW w:w="1587" w:type="pct"/>
            <w:tcBorders>
              <w:top w:val="single" w:sz="8" w:space="0" w:color="AEAEAE"/>
              <w:left w:val="nil"/>
              <w:bottom w:val="single" w:sz="8" w:space="0" w:color="AEAEAE"/>
              <w:right w:val="nil"/>
            </w:tcBorders>
            <w:shd w:val="clear" w:color="auto" w:fill="auto"/>
          </w:tcPr>
          <w:p w14:paraId="69861D53"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4.45</w:t>
            </w:r>
            <w:r w:rsidRPr="00EB11D3">
              <w:rPr>
                <w:szCs w:val="24"/>
                <w:vertAlign w:val="superscript"/>
              </w:rPr>
              <w:t>a</w:t>
            </w:r>
          </w:p>
        </w:tc>
      </w:tr>
      <w:tr w:rsidR="00567D13" w:rsidRPr="00EB11D3" w14:paraId="2042185A"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35B1A327"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Std. Deviation</w:t>
            </w:r>
          </w:p>
        </w:tc>
        <w:tc>
          <w:tcPr>
            <w:tcW w:w="1587" w:type="pct"/>
            <w:tcBorders>
              <w:top w:val="single" w:sz="8" w:space="0" w:color="AEAEAE"/>
              <w:left w:val="nil"/>
              <w:bottom w:val="single" w:sz="8" w:space="0" w:color="AEAEAE"/>
              <w:right w:val="nil"/>
            </w:tcBorders>
            <w:shd w:val="clear" w:color="auto" w:fill="auto"/>
          </w:tcPr>
          <w:p w14:paraId="7ACCDCDE"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.36170</w:t>
            </w:r>
          </w:p>
        </w:tc>
      </w:tr>
      <w:tr w:rsidR="00567D13" w:rsidRPr="00EB11D3" w14:paraId="72D60D8D"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22ACF729"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Skewness</w:t>
            </w:r>
          </w:p>
        </w:tc>
        <w:tc>
          <w:tcPr>
            <w:tcW w:w="1587" w:type="pct"/>
            <w:tcBorders>
              <w:top w:val="single" w:sz="8" w:space="0" w:color="AEAEAE"/>
              <w:left w:val="nil"/>
              <w:bottom w:val="single" w:sz="8" w:space="0" w:color="AEAEAE"/>
              <w:right w:val="nil"/>
            </w:tcBorders>
            <w:shd w:val="clear" w:color="auto" w:fill="auto"/>
          </w:tcPr>
          <w:p w14:paraId="609297CA"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-.953</w:t>
            </w:r>
          </w:p>
        </w:tc>
      </w:tr>
      <w:tr w:rsidR="00567D13" w:rsidRPr="00EB11D3" w14:paraId="7BBB7B06"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18D2CD04"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Kurtosis</w:t>
            </w:r>
          </w:p>
        </w:tc>
        <w:tc>
          <w:tcPr>
            <w:tcW w:w="1587" w:type="pct"/>
            <w:tcBorders>
              <w:top w:val="single" w:sz="8" w:space="0" w:color="AEAEAE"/>
              <w:left w:val="nil"/>
              <w:bottom w:val="single" w:sz="8" w:space="0" w:color="AEAEAE"/>
              <w:right w:val="nil"/>
            </w:tcBorders>
            <w:shd w:val="clear" w:color="auto" w:fill="auto"/>
          </w:tcPr>
          <w:p w14:paraId="6A0FD06B"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1.798</w:t>
            </w:r>
          </w:p>
        </w:tc>
      </w:tr>
      <w:tr w:rsidR="00567D13" w:rsidRPr="00EB11D3" w14:paraId="5403E5B6" w14:textId="77777777" w:rsidTr="00A821E7">
        <w:trPr>
          <w:cantSplit/>
        </w:trPr>
        <w:tc>
          <w:tcPr>
            <w:tcW w:w="5000" w:type="pct"/>
            <w:gridSpan w:val="3"/>
            <w:tcBorders>
              <w:top w:val="nil"/>
              <w:left w:val="nil"/>
              <w:bottom w:val="nil"/>
              <w:right w:val="nil"/>
            </w:tcBorders>
            <w:shd w:val="clear" w:color="auto" w:fill="auto"/>
          </w:tcPr>
          <w:p w14:paraId="626B936F" w14:textId="77777777" w:rsidR="00567D13" w:rsidRPr="00EB11D3" w:rsidRDefault="00567D13" w:rsidP="00567D13">
            <w:pPr>
              <w:autoSpaceDE w:val="0"/>
              <w:autoSpaceDN w:val="0"/>
              <w:adjustRightInd w:val="0"/>
              <w:spacing w:after="0" w:line="400" w:lineRule="atLeast"/>
              <w:rPr>
                <w:szCs w:val="24"/>
              </w:rPr>
            </w:pPr>
          </w:p>
        </w:tc>
      </w:tr>
    </w:tbl>
    <w:p w14:paraId="34904F89" w14:textId="77777777" w:rsidR="0057052F" w:rsidRPr="0057052F" w:rsidRDefault="0057052F" w:rsidP="0057052F">
      <w:pPr>
        <w:autoSpaceDE w:val="0"/>
        <w:autoSpaceDN w:val="0"/>
        <w:adjustRightInd w:val="0"/>
        <w:spacing w:before="240" w:after="0" w:line="360" w:lineRule="auto"/>
        <w:rPr>
          <w:szCs w:val="24"/>
        </w:rPr>
      </w:pPr>
      <w:r w:rsidRPr="0057052F">
        <w:rPr>
          <w:szCs w:val="24"/>
        </w:rPr>
        <w:t xml:space="preserve">The descriptive data for government regulations are displayed in Table 24. There were 250 respondents in all for each measurement.  While mean, median, and mode were used to assess central tenancy, skewness and kurtosis were used to measure data distribution. Dispersion was measured using the standard deviation. </w:t>
      </w:r>
    </w:p>
    <w:p w14:paraId="1F47FB23" w14:textId="77777777" w:rsidR="00567D13" w:rsidRPr="00EB11D3" w:rsidRDefault="0057052F" w:rsidP="0057052F">
      <w:pPr>
        <w:autoSpaceDE w:val="0"/>
        <w:autoSpaceDN w:val="0"/>
        <w:adjustRightInd w:val="0"/>
        <w:spacing w:before="240" w:after="0" w:line="360" w:lineRule="auto"/>
        <w:rPr>
          <w:szCs w:val="24"/>
        </w:rPr>
      </w:pPr>
      <w:r w:rsidRPr="0057052F">
        <w:rPr>
          <w:szCs w:val="24"/>
        </w:rPr>
        <w:t>Government regulations had a mean of 4.37, a median of 4.40, and a mode of 4.45, according to the data. According to the mean of 4.37, the majority of people appeared to agree with the statement regarding government rules. The group's members deviated from the observation's mean value of 4.37, as indicated by the standard deviation of 0.36. The government regulations' skewness was -0.953. Given that the values fell within the range of -1 to -0.5, we may infer that the distribution is roughly symmetric. Kurtosis findings indicated a 1.798 for government regulations. Since the values were less than 3, we may thus conclude that they were platykurtic, with a broad tail distribution and no outliers.</w:t>
      </w:r>
    </w:p>
    <w:p w14:paraId="277A2251" w14:textId="77777777" w:rsidR="00567D13" w:rsidRPr="00EB11D3" w:rsidRDefault="00567D13" w:rsidP="00FA0B96">
      <w:pPr>
        <w:pStyle w:val="Heading3"/>
      </w:pPr>
      <w:bookmarkStart w:id="806" w:name="_Toc100987666"/>
      <w:bookmarkStart w:id="807" w:name="_Toc103414519"/>
      <w:bookmarkStart w:id="808" w:name="_Toc117772211"/>
      <w:bookmarkStart w:id="809" w:name="_Toc117773071"/>
      <w:bookmarkStart w:id="810" w:name="_Toc124240250"/>
      <w:bookmarkStart w:id="811" w:name="_Toc126071141"/>
      <w:bookmarkStart w:id="812" w:name="_Toc164149003"/>
      <w:bookmarkStart w:id="813" w:name="_Toc164151264"/>
      <w:bookmarkStart w:id="814" w:name="_Toc168737898"/>
      <w:bookmarkStart w:id="815" w:name="_Toc171602651"/>
      <w:bookmarkStart w:id="816" w:name="_Toc171603478"/>
      <w:bookmarkStart w:id="817" w:name="_Toc177387883"/>
      <w:r w:rsidRPr="00EB11D3">
        <w:t>4.</w:t>
      </w:r>
      <w:r w:rsidR="004373D8">
        <w:t>4</w:t>
      </w:r>
      <w:r w:rsidRPr="00EB11D3">
        <w:t xml:space="preserve">.4 </w:t>
      </w:r>
      <w:bookmarkStart w:id="818" w:name="_Hlk170494985"/>
      <w:bookmarkEnd w:id="806"/>
      <w:bookmarkEnd w:id="807"/>
      <w:bookmarkEnd w:id="808"/>
      <w:bookmarkEnd w:id="809"/>
      <w:bookmarkEnd w:id="810"/>
      <w:bookmarkEnd w:id="811"/>
      <w:r w:rsidRPr="00EB11D3">
        <w:t>Organisational Performance</w:t>
      </w:r>
      <w:r w:rsidRPr="00EB11D3">
        <w:rPr>
          <w:lang w:val="en"/>
        </w:rPr>
        <w:t xml:space="preserve"> of Faith-Based Hospitals</w:t>
      </w:r>
      <w:bookmarkEnd w:id="812"/>
      <w:bookmarkEnd w:id="813"/>
      <w:bookmarkEnd w:id="814"/>
      <w:bookmarkEnd w:id="815"/>
      <w:bookmarkEnd w:id="816"/>
      <w:bookmarkEnd w:id="817"/>
    </w:p>
    <w:p w14:paraId="13834489" w14:textId="77777777" w:rsidR="00567D13" w:rsidRPr="00EB11D3" w:rsidRDefault="00567D13" w:rsidP="00567D13">
      <w:pPr>
        <w:autoSpaceDE w:val="0"/>
        <w:autoSpaceDN w:val="0"/>
        <w:adjustRightInd w:val="0"/>
        <w:spacing w:after="0" w:line="400" w:lineRule="atLeast"/>
        <w:rPr>
          <w:szCs w:val="24"/>
        </w:rPr>
      </w:pPr>
      <w:r w:rsidRPr="00EB11D3">
        <w:rPr>
          <w:szCs w:val="24"/>
        </w:rPr>
        <w:t xml:space="preserve">Descriptive statistics were conducted on </w:t>
      </w:r>
      <w:bookmarkStart w:id="819" w:name="_Hlk160725075"/>
      <w:r w:rsidRPr="00EB11D3">
        <w:rPr>
          <w:szCs w:val="24"/>
        </w:rPr>
        <w:t>organisational performance</w:t>
      </w:r>
      <w:r w:rsidRPr="00EB11D3">
        <w:rPr>
          <w:szCs w:val="24"/>
          <w:lang w:val="en"/>
        </w:rPr>
        <w:t xml:space="preserve"> of faith-based hospitals </w:t>
      </w:r>
      <w:r w:rsidRPr="00EB11D3">
        <w:rPr>
          <w:szCs w:val="24"/>
        </w:rPr>
        <w:t>in Kenya</w:t>
      </w:r>
      <w:bookmarkEnd w:id="819"/>
      <w:r w:rsidRPr="00EB11D3">
        <w:rPr>
          <w:szCs w:val="24"/>
        </w:rPr>
        <w:t>. The descriptive present the results for organisational performance</w:t>
      </w:r>
      <w:r w:rsidRPr="00EB11D3">
        <w:rPr>
          <w:szCs w:val="24"/>
          <w:lang w:val="en"/>
        </w:rPr>
        <w:t xml:space="preserve"> of faith-based hospitals </w:t>
      </w:r>
      <w:r w:rsidRPr="00EB11D3">
        <w:rPr>
          <w:szCs w:val="24"/>
        </w:rPr>
        <w:t>as shown in Table 25.</w:t>
      </w:r>
    </w:p>
    <w:p w14:paraId="2DE8FDB5" w14:textId="77777777" w:rsidR="00567D13" w:rsidRPr="00EB11D3" w:rsidRDefault="00567D13" w:rsidP="00567D13">
      <w:pPr>
        <w:autoSpaceDE w:val="0"/>
        <w:autoSpaceDN w:val="0"/>
        <w:adjustRightInd w:val="0"/>
        <w:spacing w:after="0" w:line="400" w:lineRule="atLeast"/>
        <w:jc w:val="left"/>
        <w:rPr>
          <w:szCs w:val="24"/>
        </w:rPr>
      </w:pPr>
      <w:bookmarkStart w:id="820" w:name="_Toc100987977"/>
      <w:bookmarkStart w:id="821" w:name="_Toc126666760"/>
      <w:bookmarkStart w:id="822" w:name="_Toc164148636"/>
      <w:bookmarkStart w:id="823" w:name="_Toc177387956"/>
      <w:r w:rsidRPr="00EB11D3">
        <w:rPr>
          <w:b/>
          <w:bCs/>
          <w:szCs w:val="24"/>
        </w:rPr>
        <w:t xml:space="preserve">Table </w:t>
      </w:r>
      <w:r w:rsidRPr="00EB11D3">
        <w:rPr>
          <w:b/>
          <w:bCs/>
          <w:szCs w:val="24"/>
        </w:rPr>
        <w:fldChar w:fldCharType="begin"/>
      </w:r>
      <w:r w:rsidRPr="00EB11D3">
        <w:rPr>
          <w:b/>
          <w:bCs/>
          <w:szCs w:val="24"/>
        </w:rPr>
        <w:instrText xml:space="preserve"> SEQ Table \* ARABIC </w:instrText>
      </w:r>
      <w:r w:rsidRPr="00EB11D3">
        <w:rPr>
          <w:b/>
          <w:bCs/>
          <w:szCs w:val="24"/>
        </w:rPr>
        <w:fldChar w:fldCharType="separate"/>
      </w:r>
      <w:r w:rsidRPr="00EB11D3">
        <w:rPr>
          <w:b/>
          <w:bCs/>
          <w:szCs w:val="24"/>
        </w:rPr>
        <w:t>25</w:t>
      </w:r>
      <w:r w:rsidRPr="00EB11D3">
        <w:rPr>
          <w:szCs w:val="24"/>
        </w:rPr>
        <w:fldChar w:fldCharType="end"/>
      </w:r>
      <w:r w:rsidRPr="00EB11D3">
        <w:rPr>
          <w:b/>
          <w:bCs/>
          <w:szCs w:val="24"/>
        </w:rPr>
        <w:t>: Descriptive Statistics</w:t>
      </w:r>
      <w:bookmarkEnd w:id="820"/>
      <w:r w:rsidRPr="00EB11D3">
        <w:rPr>
          <w:b/>
          <w:bCs/>
          <w:szCs w:val="24"/>
        </w:rPr>
        <w:t xml:space="preserve"> for</w:t>
      </w:r>
      <w:r w:rsidRPr="00EB11D3">
        <w:rPr>
          <w:b/>
          <w:szCs w:val="24"/>
        </w:rPr>
        <w:t xml:space="preserve"> </w:t>
      </w:r>
      <w:bookmarkEnd w:id="821"/>
      <w:r w:rsidRPr="00EB11D3">
        <w:rPr>
          <w:b/>
          <w:szCs w:val="24"/>
        </w:rPr>
        <w:t>Organisational Performance</w:t>
      </w:r>
      <w:r w:rsidRPr="00EB11D3">
        <w:rPr>
          <w:b/>
          <w:szCs w:val="24"/>
          <w:lang w:val="en"/>
        </w:rPr>
        <w:t xml:space="preserve"> of Faith-Based Hospitals</w:t>
      </w:r>
      <w:bookmarkEnd w:id="822"/>
      <w:bookmarkEnd w:id="823"/>
    </w:p>
    <w:p w14:paraId="5E59DC99" w14:textId="77777777" w:rsidR="00567D13" w:rsidRPr="00EB11D3" w:rsidRDefault="00567D13" w:rsidP="00567D13">
      <w:pPr>
        <w:autoSpaceDE w:val="0"/>
        <w:autoSpaceDN w:val="0"/>
        <w:adjustRightInd w:val="0"/>
        <w:spacing w:after="0" w:line="400" w:lineRule="atLeast"/>
        <w:jc w:val="left"/>
        <w:rPr>
          <w:szCs w:val="24"/>
        </w:rPr>
      </w:pPr>
    </w:p>
    <w:tbl>
      <w:tblPr>
        <w:tblW w:w="5000" w:type="pct"/>
        <w:tblCellMar>
          <w:left w:w="0" w:type="dxa"/>
          <w:right w:w="0" w:type="dxa"/>
        </w:tblCellMar>
        <w:tblLook w:val="0000" w:firstRow="0" w:lastRow="0" w:firstColumn="0" w:lastColumn="0" w:noHBand="0" w:noVBand="0"/>
      </w:tblPr>
      <w:tblGrid>
        <w:gridCol w:w="3195"/>
        <w:gridCol w:w="3194"/>
        <w:gridCol w:w="2971"/>
      </w:tblGrid>
      <w:tr w:rsidR="00567D13" w:rsidRPr="00EB11D3" w14:paraId="581896F7" w14:textId="77777777" w:rsidTr="00A821E7">
        <w:trPr>
          <w:cantSplit/>
        </w:trPr>
        <w:tc>
          <w:tcPr>
            <w:tcW w:w="5000" w:type="pct"/>
            <w:gridSpan w:val="3"/>
            <w:tcBorders>
              <w:top w:val="nil"/>
              <w:left w:val="nil"/>
              <w:bottom w:val="single" w:sz="4" w:space="0" w:color="auto"/>
              <w:right w:val="nil"/>
            </w:tcBorders>
            <w:shd w:val="clear" w:color="auto" w:fill="auto"/>
            <w:vAlign w:val="center"/>
          </w:tcPr>
          <w:p w14:paraId="3870BD3D" w14:textId="77777777" w:rsidR="00567D13" w:rsidRPr="00EB11D3" w:rsidRDefault="00567D13" w:rsidP="00567D13">
            <w:pPr>
              <w:autoSpaceDE w:val="0"/>
              <w:autoSpaceDN w:val="0"/>
              <w:adjustRightInd w:val="0"/>
              <w:spacing w:after="0" w:line="400" w:lineRule="atLeast"/>
              <w:jc w:val="center"/>
              <w:rPr>
                <w:szCs w:val="24"/>
              </w:rPr>
            </w:pPr>
            <w:r w:rsidRPr="00EB11D3">
              <w:rPr>
                <w:b/>
                <w:bCs/>
                <w:szCs w:val="24"/>
              </w:rPr>
              <w:t>Statistics</w:t>
            </w:r>
          </w:p>
        </w:tc>
      </w:tr>
      <w:tr w:rsidR="00567D13" w:rsidRPr="00EB11D3" w14:paraId="1E9E2746" w14:textId="77777777" w:rsidTr="00A821E7">
        <w:trPr>
          <w:cantSplit/>
        </w:trPr>
        <w:tc>
          <w:tcPr>
            <w:tcW w:w="5000" w:type="pct"/>
            <w:gridSpan w:val="3"/>
            <w:tcBorders>
              <w:top w:val="single" w:sz="4" w:space="0" w:color="auto"/>
              <w:left w:val="nil"/>
              <w:bottom w:val="single" w:sz="4" w:space="0" w:color="auto"/>
              <w:right w:val="nil"/>
            </w:tcBorders>
            <w:shd w:val="clear" w:color="auto" w:fill="auto"/>
            <w:vAlign w:val="bottom"/>
          </w:tcPr>
          <w:p w14:paraId="42645859" w14:textId="77777777" w:rsidR="00567D13" w:rsidRPr="00EB11D3" w:rsidRDefault="00567D13" w:rsidP="00567D13">
            <w:pPr>
              <w:autoSpaceDE w:val="0"/>
              <w:autoSpaceDN w:val="0"/>
              <w:adjustRightInd w:val="0"/>
              <w:spacing w:after="0" w:line="400" w:lineRule="atLeast"/>
              <w:jc w:val="left"/>
              <w:rPr>
                <w:b/>
                <w:bCs/>
                <w:szCs w:val="24"/>
              </w:rPr>
            </w:pPr>
            <w:r w:rsidRPr="00EB11D3">
              <w:rPr>
                <w:b/>
                <w:bCs/>
                <w:szCs w:val="24"/>
              </w:rPr>
              <w:t xml:space="preserve">Organisational Performance  </w:t>
            </w:r>
          </w:p>
        </w:tc>
      </w:tr>
      <w:tr w:rsidR="00567D13" w:rsidRPr="00EB11D3" w14:paraId="2D92B631" w14:textId="77777777" w:rsidTr="00A821E7">
        <w:trPr>
          <w:cantSplit/>
        </w:trPr>
        <w:tc>
          <w:tcPr>
            <w:tcW w:w="1707" w:type="pct"/>
            <w:tcBorders>
              <w:top w:val="single" w:sz="4" w:space="0" w:color="auto"/>
              <w:left w:val="nil"/>
              <w:bottom w:val="single" w:sz="8" w:space="0" w:color="AEAEAE"/>
              <w:right w:val="nil"/>
            </w:tcBorders>
            <w:shd w:val="clear" w:color="auto" w:fill="auto"/>
          </w:tcPr>
          <w:p w14:paraId="34557336"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N</w:t>
            </w:r>
          </w:p>
        </w:tc>
        <w:tc>
          <w:tcPr>
            <w:tcW w:w="1706" w:type="pct"/>
            <w:tcBorders>
              <w:top w:val="single" w:sz="4" w:space="0" w:color="auto"/>
              <w:left w:val="nil"/>
              <w:bottom w:val="single" w:sz="8" w:space="0" w:color="AEAEAE"/>
              <w:right w:val="nil"/>
            </w:tcBorders>
            <w:shd w:val="clear" w:color="auto" w:fill="auto"/>
          </w:tcPr>
          <w:p w14:paraId="4D319CBB" w14:textId="77777777" w:rsidR="00567D13" w:rsidRPr="00EB11D3" w:rsidRDefault="00567D13" w:rsidP="00567D13">
            <w:pPr>
              <w:autoSpaceDE w:val="0"/>
              <w:autoSpaceDN w:val="0"/>
              <w:adjustRightInd w:val="0"/>
              <w:spacing w:after="0" w:line="400" w:lineRule="atLeast"/>
              <w:jc w:val="left"/>
              <w:rPr>
                <w:szCs w:val="24"/>
              </w:rPr>
            </w:pPr>
          </w:p>
        </w:tc>
        <w:tc>
          <w:tcPr>
            <w:tcW w:w="1587" w:type="pct"/>
            <w:tcBorders>
              <w:top w:val="single" w:sz="4" w:space="0" w:color="auto"/>
              <w:left w:val="nil"/>
              <w:bottom w:val="single" w:sz="8" w:space="0" w:color="AEAEAE"/>
              <w:right w:val="nil"/>
            </w:tcBorders>
            <w:shd w:val="clear" w:color="auto" w:fill="auto"/>
          </w:tcPr>
          <w:p w14:paraId="0356A208"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250</w:t>
            </w:r>
          </w:p>
        </w:tc>
      </w:tr>
      <w:tr w:rsidR="00567D13" w:rsidRPr="00EB11D3" w14:paraId="4892F203"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706452DC"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Mean</w:t>
            </w:r>
          </w:p>
        </w:tc>
        <w:tc>
          <w:tcPr>
            <w:tcW w:w="1587" w:type="pct"/>
            <w:tcBorders>
              <w:top w:val="single" w:sz="8" w:space="0" w:color="AEAEAE"/>
              <w:left w:val="nil"/>
              <w:bottom w:val="single" w:sz="8" w:space="0" w:color="AEAEAE"/>
              <w:right w:val="nil"/>
            </w:tcBorders>
            <w:shd w:val="clear" w:color="auto" w:fill="auto"/>
          </w:tcPr>
          <w:p w14:paraId="53CBB2B0"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4.3468</w:t>
            </w:r>
          </w:p>
        </w:tc>
      </w:tr>
      <w:tr w:rsidR="00567D13" w:rsidRPr="00EB11D3" w14:paraId="06A7AD04"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485B4265"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Median</w:t>
            </w:r>
          </w:p>
        </w:tc>
        <w:tc>
          <w:tcPr>
            <w:tcW w:w="1587" w:type="pct"/>
            <w:tcBorders>
              <w:top w:val="single" w:sz="8" w:space="0" w:color="AEAEAE"/>
              <w:left w:val="nil"/>
              <w:bottom w:val="single" w:sz="8" w:space="0" w:color="AEAEAE"/>
              <w:right w:val="nil"/>
            </w:tcBorders>
            <w:shd w:val="clear" w:color="auto" w:fill="auto"/>
          </w:tcPr>
          <w:p w14:paraId="700EE658"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4.3929</w:t>
            </w:r>
          </w:p>
        </w:tc>
      </w:tr>
      <w:tr w:rsidR="00567D13" w:rsidRPr="00EB11D3" w14:paraId="5F069406"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69A52D45"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Mode</w:t>
            </w:r>
          </w:p>
        </w:tc>
        <w:tc>
          <w:tcPr>
            <w:tcW w:w="1587" w:type="pct"/>
            <w:tcBorders>
              <w:top w:val="single" w:sz="8" w:space="0" w:color="AEAEAE"/>
              <w:left w:val="nil"/>
              <w:bottom w:val="single" w:sz="8" w:space="0" w:color="AEAEAE"/>
              <w:right w:val="nil"/>
            </w:tcBorders>
            <w:shd w:val="clear" w:color="auto" w:fill="auto"/>
          </w:tcPr>
          <w:p w14:paraId="00C6A077"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4.39</w:t>
            </w:r>
          </w:p>
        </w:tc>
      </w:tr>
      <w:tr w:rsidR="00567D13" w:rsidRPr="00EB11D3" w14:paraId="61BC4362"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1A699D20"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Std. Deviation</w:t>
            </w:r>
          </w:p>
        </w:tc>
        <w:tc>
          <w:tcPr>
            <w:tcW w:w="1587" w:type="pct"/>
            <w:tcBorders>
              <w:top w:val="single" w:sz="8" w:space="0" w:color="AEAEAE"/>
              <w:left w:val="nil"/>
              <w:bottom w:val="single" w:sz="8" w:space="0" w:color="AEAEAE"/>
              <w:right w:val="nil"/>
            </w:tcBorders>
            <w:shd w:val="clear" w:color="auto" w:fill="auto"/>
          </w:tcPr>
          <w:p w14:paraId="60BD85A0"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.41893</w:t>
            </w:r>
          </w:p>
        </w:tc>
      </w:tr>
      <w:tr w:rsidR="00567D13" w:rsidRPr="00EB11D3" w14:paraId="02571EC0"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0E71F4E6"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Skewness</w:t>
            </w:r>
          </w:p>
        </w:tc>
        <w:tc>
          <w:tcPr>
            <w:tcW w:w="1587" w:type="pct"/>
            <w:tcBorders>
              <w:top w:val="single" w:sz="8" w:space="0" w:color="AEAEAE"/>
              <w:left w:val="nil"/>
              <w:bottom w:val="single" w:sz="8" w:space="0" w:color="AEAEAE"/>
              <w:right w:val="nil"/>
            </w:tcBorders>
            <w:shd w:val="clear" w:color="auto" w:fill="auto"/>
          </w:tcPr>
          <w:p w14:paraId="44CCDD6B"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-.827</w:t>
            </w:r>
          </w:p>
        </w:tc>
      </w:tr>
      <w:tr w:rsidR="00567D13" w:rsidRPr="00EB11D3" w14:paraId="50772A14" w14:textId="77777777" w:rsidTr="00A821E7">
        <w:trPr>
          <w:cantSplit/>
        </w:trPr>
        <w:tc>
          <w:tcPr>
            <w:tcW w:w="3413" w:type="pct"/>
            <w:gridSpan w:val="2"/>
            <w:tcBorders>
              <w:top w:val="single" w:sz="8" w:space="0" w:color="AEAEAE"/>
              <w:left w:val="nil"/>
              <w:bottom w:val="single" w:sz="8" w:space="0" w:color="AEAEAE"/>
              <w:right w:val="nil"/>
            </w:tcBorders>
            <w:shd w:val="clear" w:color="auto" w:fill="auto"/>
          </w:tcPr>
          <w:p w14:paraId="63436D29"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Kurtosis</w:t>
            </w:r>
          </w:p>
        </w:tc>
        <w:tc>
          <w:tcPr>
            <w:tcW w:w="1587" w:type="pct"/>
            <w:tcBorders>
              <w:top w:val="single" w:sz="8" w:space="0" w:color="AEAEAE"/>
              <w:left w:val="nil"/>
              <w:bottom w:val="single" w:sz="8" w:space="0" w:color="AEAEAE"/>
              <w:right w:val="nil"/>
            </w:tcBorders>
            <w:shd w:val="clear" w:color="auto" w:fill="auto"/>
          </w:tcPr>
          <w:p w14:paraId="2CBFADB1" w14:textId="77777777" w:rsidR="00567D13" w:rsidRPr="00EB11D3" w:rsidRDefault="00567D13" w:rsidP="00567D13">
            <w:pPr>
              <w:autoSpaceDE w:val="0"/>
              <w:autoSpaceDN w:val="0"/>
              <w:adjustRightInd w:val="0"/>
              <w:spacing w:after="0" w:line="400" w:lineRule="atLeast"/>
              <w:jc w:val="left"/>
              <w:rPr>
                <w:szCs w:val="24"/>
              </w:rPr>
            </w:pPr>
            <w:r w:rsidRPr="00EB11D3">
              <w:rPr>
                <w:szCs w:val="24"/>
              </w:rPr>
              <w:t>.916</w:t>
            </w:r>
          </w:p>
        </w:tc>
      </w:tr>
    </w:tbl>
    <w:p w14:paraId="069625C0" w14:textId="77777777" w:rsidR="00567D13" w:rsidRPr="00EB11D3" w:rsidRDefault="00567D13" w:rsidP="00567D13">
      <w:pPr>
        <w:autoSpaceDE w:val="0"/>
        <w:autoSpaceDN w:val="0"/>
        <w:adjustRightInd w:val="0"/>
        <w:spacing w:after="0" w:line="400" w:lineRule="atLeast"/>
        <w:jc w:val="left"/>
        <w:rPr>
          <w:szCs w:val="24"/>
        </w:rPr>
      </w:pPr>
    </w:p>
    <w:p w14:paraId="4932DA1E" w14:textId="77777777" w:rsidR="00E600CF" w:rsidRPr="00E600CF" w:rsidRDefault="00E600CF" w:rsidP="00E600CF">
      <w:pPr>
        <w:autoSpaceDE w:val="0"/>
        <w:autoSpaceDN w:val="0"/>
        <w:adjustRightInd w:val="0"/>
        <w:spacing w:after="0" w:line="400" w:lineRule="atLeast"/>
        <w:rPr>
          <w:szCs w:val="24"/>
        </w:rPr>
      </w:pPr>
      <w:r w:rsidRPr="00E600CF">
        <w:rPr>
          <w:szCs w:val="24"/>
        </w:rPr>
        <w:t xml:space="preserve">The descriptive data regarding the organisational performance of faith-based hospitals </w:t>
      </w:r>
      <w:r w:rsidR="00F531F5">
        <w:rPr>
          <w:szCs w:val="24"/>
        </w:rPr>
        <w:t xml:space="preserve">in Kenya </w:t>
      </w:r>
      <w:r w:rsidRPr="00E600CF">
        <w:rPr>
          <w:szCs w:val="24"/>
        </w:rPr>
        <w:t>are displayed in Table 25. There were 250 responde</w:t>
      </w:r>
      <w:r w:rsidR="00922254">
        <w:rPr>
          <w:szCs w:val="24"/>
        </w:rPr>
        <w:t>nts</w:t>
      </w:r>
      <w:r w:rsidRPr="00E600CF">
        <w:rPr>
          <w:szCs w:val="24"/>
        </w:rPr>
        <w:t xml:space="preserve"> in all for each measurement. While mean, median, and mode were used to assess central tenancy, skewness and kurtosis were used to measure data distribution. Dispersion was measured using the standard deviation. </w:t>
      </w:r>
    </w:p>
    <w:p w14:paraId="3EE6808C" w14:textId="77777777" w:rsidR="00E600CF" w:rsidRDefault="00E600CF" w:rsidP="00E600CF">
      <w:pPr>
        <w:autoSpaceDE w:val="0"/>
        <w:autoSpaceDN w:val="0"/>
        <w:adjustRightInd w:val="0"/>
        <w:spacing w:after="0" w:line="400" w:lineRule="atLeast"/>
        <w:rPr>
          <w:szCs w:val="24"/>
        </w:rPr>
      </w:pPr>
      <w:r w:rsidRPr="00E600CF">
        <w:rPr>
          <w:szCs w:val="24"/>
        </w:rPr>
        <w:t>According to the descriptive findings, organisational performance</w:t>
      </w:r>
      <w:r w:rsidR="00D40B92">
        <w:rPr>
          <w:szCs w:val="24"/>
        </w:rPr>
        <w:t xml:space="preserve"> of </w:t>
      </w:r>
      <w:r w:rsidR="00290ED4">
        <w:rPr>
          <w:szCs w:val="24"/>
        </w:rPr>
        <w:t>faith-based</w:t>
      </w:r>
      <w:r w:rsidR="00D40B92">
        <w:rPr>
          <w:szCs w:val="24"/>
        </w:rPr>
        <w:t xml:space="preserve"> hospitals in Kenya</w:t>
      </w:r>
      <w:r w:rsidRPr="00E600CF">
        <w:rPr>
          <w:szCs w:val="24"/>
        </w:rPr>
        <w:t xml:space="preserve"> had a mean of 4.35, a median of 4.39, and a mode of 4.39. According to the mean of 4.35, the majority of people in Kenya agree</w:t>
      </w:r>
      <w:r w:rsidR="00BD4DE2">
        <w:rPr>
          <w:szCs w:val="24"/>
        </w:rPr>
        <w:t>d</w:t>
      </w:r>
      <w:r w:rsidRPr="00E600CF">
        <w:rPr>
          <w:szCs w:val="24"/>
        </w:rPr>
        <w:t xml:space="preserve"> with the </w:t>
      </w:r>
      <w:r w:rsidR="00BD4DE2">
        <w:rPr>
          <w:szCs w:val="24"/>
        </w:rPr>
        <w:t>statements on</w:t>
      </w:r>
      <w:r w:rsidRPr="00E600CF">
        <w:rPr>
          <w:szCs w:val="24"/>
        </w:rPr>
        <w:t xml:space="preserve"> the organisational performance of faith-based hospitals. The observations </w:t>
      </w:r>
      <w:r w:rsidR="005D2E00">
        <w:rPr>
          <w:szCs w:val="24"/>
        </w:rPr>
        <w:t xml:space="preserve">on the </w:t>
      </w:r>
      <w:r w:rsidRPr="00E600CF">
        <w:rPr>
          <w:szCs w:val="24"/>
        </w:rPr>
        <w:t xml:space="preserve">mean value of 4.35 indicated </w:t>
      </w:r>
      <w:r w:rsidR="005D2E00">
        <w:rPr>
          <w:szCs w:val="24"/>
        </w:rPr>
        <w:t>a</w:t>
      </w:r>
      <w:r w:rsidRPr="00E600CF">
        <w:rPr>
          <w:szCs w:val="24"/>
        </w:rPr>
        <w:t xml:space="preserve"> standard deviation of 0.42. </w:t>
      </w:r>
    </w:p>
    <w:p w14:paraId="2BDE57EC" w14:textId="77777777" w:rsidR="00E600CF" w:rsidRDefault="00E600CF" w:rsidP="00E600CF">
      <w:pPr>
        <w:autoSpaceDE w:val="0"/>
        <w:autoSpaceDN w:val="0"/>
        <w:adjustRightInd w:val="0"/>
        <w:spacing w:after="0" w:line="400" w:lineRule="atLeast"/>
        <w:rPr>
          <w:szCs w:val="24"/>
        </w:rPr>
      </w:pPr>
    </w:p>
    <w:p w14:paraId="0BDFC324" w14:textId="77777777" w:rsidR="00567D13" w:rsidRPr="00EB11D3" w:rsidRDefault="00E600CF" w:rsidP="00E600CF">
      <w:pPr>
        <w:autoSpaceDE w:val="0"/>
        <w:autoSpaceDN w:val="0"/>
        <w:adjustRightInd w:val="0"/>
        <w:spacing w:after="0" w:line="400" w:lineRule="atLeast"/>
        <w:rPr>
          <w:szCs w:val="24"/>
        </w:rPr>
      </w:pPr>
      <w:r w:rsidRPr="00E600CF">
        <w:rPr>
          <w:szCs w:val="24"/>
        </w:rPr>
        <w:t>A high standard deviation indicates that the data points are dispersed throughout a large range of values, while a standard deviation of 0.42 further suggests that the data points typically tend to be extremely near to the data mean</w:t>
      </w:r>
      <w:r w:rsidR="00ED3C4B">
        <w:rPr>
          <w:szCs w:val="24"/>
        </w:rPr>
        <w:t xml:space="preserve"> indicating that the distribution is more spread out unevenly</w:t>
      </w:r>
      <w:r w:rsidRPr="00E600CF">
        <w:rPr>
          <w:szCs w:val="24"/>
        </w:rPr>
        <w:t xml:space="preserve">. </w:t>
      </w:r>
      <w:r w:rsidR="00DF052B" w:rsidRPr="00290ED4">
        <w:rPr>
          <w:szCs w:val="24"/>
        </w:rPr>
        <w:t>The</w:t>
      </w:r>
      <w:r w:rsidRPr="00290ED4">
        <w:rPr>
          <w:szCs w:val="24"/>
        </w:rPr>
        <w:t xml:space="preserve"> organisational performance</w:t>
      </w:r>
      <w:r w:rsidRPr="00E600CF">
        <w:rPr>
          <w:szCs w:val="24"/>
        </w:rPr>
        <w:t xml:space="preserve"> </w:t>
      </w:r>
      <w:r w:rsidR="00DF052B">
        <w:rPr>
          <w:szCs w:val="24"/>
        </w:rPr>
        <w:t xml:space="preserve">of </w:t>
      </w:r>
      <w:r w:rsidR="0007583A">
        <w:rPr>
          <w:szCs w:val="24"/>
        </w:rPr>
        <w:t>faith-based</w:t>
      </w:r>
      <w:r w:rsidR="00DF052B">
        <w:rPr>
          <w:szCs w:val="24"/>
        </w:rPr>
        <w:t xml:space="preserve"> hospitals in Kenya </w:t>
      </w:r>
      <w:r w:rsidRPr="00E600CF">
        <w:rPr>
          <w:szCs w:val="24"/>
        </w:rPr>
        <w:t xml:space="preserve">had a skewness of -0.827. We thus determine that the distribution is significantly skewed since the values were either between 0.5 and 1 or between -1 and -0.5. Kurtosis data indicated that </w:t>
      </w:r>
      <w:r w:rsidR="0007583A">
        <w:rPr>
          <w:szCs w:val="24"/>
        </w:rPr>
        <w:t xml:space="preserve">organizational performance </w:t>
      </w:r>
      <w:r w:rsidRPr="00E600CF">
        <w:rPr>
          <w:szCs w:val="24"/>
        </w:rPr>
        <w:t>faith-based hospitals in Kenya had a 0.916 organisational performance. Since the values were less than 3, we may thus conclude that they were platykurtic, with a broad tail distribution and no outliers.</w:t>
      </w:r>
      <w:r w:rsidR="00567D13" w:rsidRPr="00EB11D3">
        <w:rPr>
          <w:szCs w:val="24"/>
        </w:rPr>
        <w:t xml:space="preserve"> </w:t>
      </w:r>
    </w:p>
    <w:p w14:paraId="224DFDB8" w14:textId="77777777" w:rsidR="003859C9" w:rsidRPr="00EB11D3" w:rsidRDefault="003859C9" w:rsidP="003859C9">
      <w:pPr>
        <w:autoSpaceDE w:val="0"/>
        <w:autoSpaceDN w:val="0"/>
        <w:adjustRightInd w:val="0"/>
        <w:spacing w:after="0" w:line="400" w:lineRule="atLeast"/>
        <w:jc w:val="left"/>
        <w:rPr>
          <w:szCs w:val="24"/>
        </w:rPr>
      </w:pPr>
      <w:bookmarkStart w:id="824" w:name="_Toc103414520"/>
      <w:bookmarkStart w:id="825" w:name="_Toc126071142"/>
      <w:bookmarkEnd w:id="818"/>
    </w:p>
    <w:p w14:paraId="250B33D1" w14:textId="77777777" w:rsidR="003859C9" w:rsidRPr="00EB11D3" w:rsidRDefault="003859C9" w:rsidP="00D71EA0">
      <w:pPr>
        <w:pStyle w:val="Heading2"/>
        <w:spacing w:line="360" w:lineRule="auto"/>
        <w:jc w:val="both"/>
      </w:pPr>
      <w:bookmarkStart w:id="826" w:name="_Toc177387884"/>
      <w:r w:rsidRPr="00EB11D3">
        <w:t>4.</w:t>
      </w:r>
      <w:r w:rsidR="004373D8">
        <w:t>5</w:t>
      </w:r>
      <w:r w:rsidRPr="00EB11D3">
        <w:t xml:space="preserve"> </w:t>
      </w:r>
      <w:bookmarkEnd w:id="824"/>
      <w:bookmarkEnd w:id="825"/>
      <w:r w:rsidRPr="00EB11D3">
        <w:t xml:space="preserve">Relationship Between </w:t>
      </w:r>
      <w:bookmarkStart w:id="827" w:name="_Hlk129522718"/>
      <w:r w:rsidRPr="00EB11D3">
        <w:t xml:space="preserve">Corporate Governance, Service Innovation, Government Regulations and </w:t>
      </w:r>
      <w:r w:rsidR="006D5C62" w:rsidRPr="00EB11D3">
        <w:t xml:space="preserve">Organisational </w:t>
      </w:r>
      <w:r w:rsidR="00EB2799" w:rsidRPr="00EB11D3">
        <w:t>P</w:t>
      </w:r>
      <w:r w:rsidR="006D5C62" w:rsidRPr="00EB11D3">
        <w:t>erformance of Faith-Based Hospitals</w:t>
      </w:r>
      <w:bookmarkEnd w:id="826"/>
      <w:r w:rsidRPr="00EB11D3">
        <w:t xml:space="preserve"> </w:t>
      </w:r>
    </w:p>
    <w:bookmarkEnd w:id="827"/>
    <w:p w14:paraId="39CFA6B4" w14:textId="77777777" w:rsidR="003859C9" w:rsidRPr="00EB11D3" w:rsidRDefault="009368C9" w:rsidP="003859C9">
      <w:pPr>
        <w:autoSpaceDE w:val="0"/>
        <w:autoSpaceDN w:val="0"/>
        <w:adjustRightInd w:val="0"/>
        <w:spacing w:after="160" w:line="400" w:lineRule="atLeast"/>
        <w:rPr>
          <w:szCs w:val="24"/>
        </w:rPr>
      </w:pPr>
      <w:r w:rsidRPr="009368C9">
        <w:rPr>
          <w:szCs w:val="24"/>
        </w:rPr>
        <w:t xml:space="preserve">The relationship between the factors, corporate governance, service innovation, government regulations, and organisational performance of faith-based hospitals in Kenya was tested using correlation analysis. Using SPSS, the mean score for each variable was determined, and the Pearson's correlation was found. The correlations were performed at a significance level of 0.01 with two asterisks (*) or 0.05 with one asterisk (*). A single asterisk (*) in statistical analysis usually denotes a p-value of less than 0.05, which means that there is a statistically significant difference or association with a 95% confidence level. A result with a greater confidence level of 99% and a p-value less than 0.01, shown by two asterisks (**), is highly statistically significant. One must compare the p-value to the chosen significance level in order to assess the significance of the correlation between the variables. A 0.05 significance threshold, often known as alpha or α, is a good starting point. When an alpha of 0.05 is used, there is a 5% chance of determining that a link exists when none does. Whether or not the correlation coefficient deviates substantially from 0 is shown by the p-value. Statistical significance is achieved when the correlation coefficient is less than or equal to 0.05. Correlation is not statistically significant, but, if the p-value is higher than 0.05 or the significant threshold (Statistics Solution, 2018). </w:t>
      </w:r>
      <w:r w:rsidR="003859C9" w:rsidRPr="00EB11D3">
        <w:rPr>
          <w:szCs w:val="24"/>
        </w:rPr>
        <w:t>The correlation results are presented in Table 26.</w:t>
      </w:r>
    </w:p>
    <w:p w14:paraId="6E3B0FB2" w14:textId="77777777" w:rsidR="003859C9" w:rsidRPr="00EB11D3" w:rsidRDefault="003859C9" w:rsidP="003859C9">
      <w:pPr>
        <w:autoSpaceDE w:val="0"/>
        <w:autoSpaceDN w:val="0"/>
        <w:adjustRightInd w:val="0"/>
        <w:spacing w:after="0" w:line="400" w:lineRule="atLeast"/>
        <w:jc w:val="left"/>
        <w:rPr>
          <w:b/>
          <w:bCs/>
          <w:szCs w:val="24"/>
        </w:rPr>
      </w:pPr>
      <w:bookmarkStart w:id="828" w:name="_Toc126666761"/>
    </w:p>
    <w:p w14:paraId="6AD6045E" w14:textId="77777777" w:rsidR="003859C9" w:rsidRPr="00EB11D3" w:rsidRDefault="003859C9" w:rsidP="003859C9">
      <w:pPr>
        <w:spacing w:after="160" w:line="259" w:lineRule="auto"/>
        <w:jc w:val="left"/>
        <w:rPr>
          <w:b/>
          <w:bCs/>
          <w:szCs w:val="24"/>
        </w:rPr>
      </w:pPr>
      <w:r w:rsidRPr="00EB11D3">
        <w:rPr>
          <w:b/>
          <w:bCs/>
          <w:szCs w:val="24"/>
        </w:rPr>
        <w:br w:type="page"/>
      </w:r>
    </w:p>
    <w:p w14:paraId="2F7268C9" w14:textId="77777777" w:rsidR="003859C9" w:rsidRPr="00EB11D3" w:rsidRDefault="003859C9" w:rsidP="003859C9">
      <w:pPr>
        <w:autoSpaceDE w:val="0"/>
        <w:autoSpaceDN w:val="0"/>
        <w:adjustRightInd w:val="0"/>
        <w:spacing w:after="0" w:line="400" w:lineRule="atLeast"/>
        <w:jc w:val="left"/>
        <w:rPr>
          <w:b/>
          <w:bCs/>
          <w:szCs w:val="24"/>
        </w:rPr>
      </w:pPr>
      <w:bookmarkStart w:id="829" w:name="_Toc177387957"/>
      <w:r w:rsidRPr="00EB11D3">
        <w:rPr>
          <w:b/>
          <w:bCs/>
          <w:szCs w:val="24"/>
        </w:rPr>
        <w:t xml:space="preserve">Table </w:t>
      </w:r>
      <w:r w:rsidRPr="00EB11D3">
        <w:rPr>
          <w:b/>
          <w:bCs/>
          <w:szCs w:val="24"/>
        </w:rPr>
        <w:fldChar w:fldCharType="begin"/>
      </w:r>
      <w:r w:rsidRPr="00EB11D3">
        <w:rPr>
          <w:b/>
          <w:bCs/>
          <w:szCs w:val="24"/>
        </w:rPr>
        <w:instrText xml:space="preserve"> SEQ Table \* ARABIC </w:instrText>
      </w:r>
      <w:r w:rsidRPr="00EB11D3">
        <w:rPr>
          <w:b/>
          <w:bCs/>
          <w:szCs w:val="24"/>
        </w:rPr>
        <w:fldChar w:fldCharType="separate"/>
      </w:r>
      <w:r w:rsidRPr="00EB11D3">
        <w:rPr>
          <w:b/>
          <w:bCs/>
          <w:szCs w:val="24"/>
        </w:rPr>
        <w:t>26</w:t>
      </w:r>
      <w:r w:rsidRPr="00EB11D3">
        <w:rPr>
          <w:szCs w:val="24"/>
        </w:rPr>
        <w:fldChar w:fldCharType="end"/>
      </w:r>
      <w:r w:rsidRPr="00EB11D3">
        <w:rPr>
          <w:b/>
          <w:bCs/>
          <w:szCs w:val="24"/>
        </w:rPr>
        <w:t xml:space="preserve">: Relationship Between </w:t>
      </w:r>
      <w:bookmarkEnd w:id="828"/>
      <w:r w:rsidRPr="00EB11D3">
        <w:rPr>
          <w:b/>
          <w:bCs/>
          <w:szCs w:val="24"/>
        </w:rPr>
        <w:t xml:space="preserve">Corporate Governance, Service Innovation, Government Regulations and </w:t>
      </w:r>
      <w:r w:rsidR="006D5C62" w:rsidRPr="00EB11D3">
        <w:rPr>
          <w:b/>
          <w:bCs/>
          <w:szCs w:val="24"/>
        </w:rPr>
        <w:t>Organisational performance of Faith-Based Hospitals</w:t>
      </w:r>
      <w:bookmarkEnd w:id="829"/>
    </w:p>
    <w:p w14:paraId="532AAA61" w14:textId="77777777" w:rsidR="003859C9" w:rsidRPr="00EB11D3" w:rsidRDefault="003859C9" w:rsidP="003859C9">
      <w:pPr>
        <w:autoSpaceDE w:val="0"/>
        <w:autoSpaceDN w:val="0"/>
        <w:adjustRightInd w:val="0"/>
        <w:spacing w:after="0" w:line="400" w:lineRule="atLeast"/>
        <w:jc w:val="left"/>
        <w:rPr>
          <w:szCs w:val="24"/>
        </w:rPr>
      </w:pPr>
    </w:p>
    <w:tbl>
      <w:tblPr>
        <w:tblW w:w="5000" w:type="pct"/>
        <w:tblCellMar>
          <w:left w:w="0" w:type="dxa"/>
          <w:right w:w="0" w:type="dxa"/>
        </w:tblCellMar>
        <w:tblLook w:val="0000" w:firstRow="0" w:lastRow="0" w:firstColumn="0" w:lastColumn="0" w:noHBand="0" w:noVBand="0"/>
      </w:tblPr>
      <w:tblGrid>
        <w:gridCol w:w="2204"/>
        <w:gridCol w:w="1787"/>
        <w:gridCol w:w="1315"/>
        <w:gridCol w:w="1315"/>
        <w:gridCol w:w="1316"/>
        <w:gridCol w:w="1423"/>
      </w:tblGrid>
      <w:tr w:rsidR="003859C9" w:rsidRPr="00EB11D3" w14:paraId="28684E69" w14:textId="77777777" w:rsidTr="00823CEA">
        <w:trPr>
          <w:cantSplit/>
        </w:trPr>
        <w:tc>
          <w:tcPr>
            <w:tcW w:w="5000" w:type="pct"/>
            <w:gridSpan w:val="6"/>
            <w:tcBorders>
              <w:top w:val="nil"/>
              <w:left w:val="nil"/>
              <w:bottom w:val="single" w:sz="4" w:space="0" w:color="auto"/>
              <w:right w:val="nil"/>
            </w:tcBorders>
            <w:shd w:val="clear" w:color="auto" w:fill="auto"/>
            <w:vAlign w:val="center"/>
          </w:tcPr>
          <w:p w14:paraId="26D73065" w14:textId="77777777" w:rsidR="003859C9" w:rsidRPr="00EB11D3" w:rsidRDefault="003859C9" w:rsidP="00823CEA">
            <w:pPr>
              <w:autoSpaceDE w:val="0"/>
              <w:autoSpaceDN w:val="0"/>
              <w:adjustRightInd w:val="0"/>
              <w:spacing w:after="0" w:line="400" w:lineRule="atLeast"/>
              <w:jc w:val="center"/>
              <w:rPr>
                <w:szCs w:val="24"/>
              </w:rPr>
            </w:pPr>
            <w:r w:rsidRPr="00EB11D3">
              <w:rPr>
                <w:b/>
                <w:bCs/>
                <w:szCs w:val="24"/>
              </w:rPr>
              <w:t>Correlations</w:t>
            </w:r>
          </w:p>
        </w:tc>
      </w:tr>
      <w:tr w:rsidR="003859C9" w:rsidRPr="00EB11D3" w14:paraId="7246636F" w14:textId="77777777" w:rsidTr="00823CEA">
        <w:trPr>
          <w:cantSplit/>
        </w:trPr>
        <w:tc>
          <w:tcPr>
            <w:tcW w:w="2151" w:type="pct"/>
            <w:gridSpan w:val="2"/>
            <w:tcBorders>
              <w:top w:val="single" w:sz="4" w:space="0" w:color="auto"/>
              <w:left w:val="nil"/>
              <w:bottom w:val="single" w:sz="8" w:space="0" w:color="152935"/>
              <w:right w:val="nil"/>
            </w:tcBorders>
            <w:shd w:val="clear" w:color="auto" w:fill="auto"/>
            <w:vAlign w:val="bottom"/>
          </w:tcPr>
          <w:p w14:paraId="4494E311" w14:textId="77777777" w:rsidR="003859C9" w:rsidRPr="00EB11D3" w:rsidRDefault="003859C9" w:rsidP="003859C9">
            <w:pPr>
              <w:autoSpaceDE w:val="0"/>
              <w:autoSpaceDN w:val="0"/>
              <w:adjustRightInd w:val="0"/>
              <w:spacing w:after="0" w:line="400" w:lineRule="atLeast"/>
              <w:jc w:val="left"/>
              <w:rPr>
                <w:szCs w:val="24"/>
              </w:rPr>
            </w:pPr>
          </w:p>
        </w:tc>
        <w:tc>
          <w:tcPr>
            <w:tcW w:w="712" w:type="pct"/>
            <w:tcBorders>
              <w:top w:val="single" w:sz="4" w:space="0" w:color="auto"/>
              <w:left w:val="nil"/>
              <w:bottom w:val="single" w:sz="8" w:space="0" w:color="152935"/>
              <w:right w:val="single" w:sz="8" w:space="0" w:color="E0E0E0"/>
            </w:tcBorders>
            <w:shd w:val="clear" w:color="auto" w:fill="auto"/>
            <w:vAlign w:val="bottom"/>
          </w:tcPr>
          <w:p w14:paraId="1ED7E39C"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Corporate governance</w:t>
            </w:r>
          </w:p>
        </w:tc>
        <w:tc>
          <w:tcPr>
            <w:tcW w:w="712" w:type="pct"/>
            <w:tcBorders>
              <w:top w:val="single" w:sz="4" w:space="0" w:color="auto"/>
              <w:left w:val="single" w:sz="8" w:space="0" w:color="E0E0E0"/>
              <w:bottom w:val="single" w:sz="8" w:space="0" w:color="152935"/>
              <w:right w:val="single" w:sz="8" w:space="0" w:color="E0E0E0"/>
            </w:tcBorders>
            <w:shd w:val="clear" w:color="auto" w:fill="auto"/>
            <w:vAlign w:val="bottom"/>
          </w:tcPr>
          <w:p w14:paraId="5B43A8BE"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Service Innovation</w:t>
            </w:r>
          </w:p>
        </w:tc>
        <w:tc>
          <w:tcPr>
            <w:tcW w:w="712" w:type="pct"/>
            <w:tcBorders>
              <w:top w:val="single" w:sz="4" w:space="0" w:color="auto"/>
              <w:left w:val="single" w:sz="8" w:space="0" w:color="E0E0E0"/>
              <w:bottom w:val="single" w:sz="8" w:space="0" w:color="152935"/>
              <w:right w:val="single" w:sz="8" w:space="0" w:color="E0E0E0"/>
            </w:tcBorders>
            <w:shd w:val="clear" w:color="auto" w:fill="auto"/>
            <w:vAlign w:val="bottom"/>
          </w:tcPr>
          <w:p w14:paraId="4DAD6F64"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Government Regulations</w:t>
            </w:r>
          </w:p>
        </w:tc>
        <w:tc>
          <w:tcPr>
            <w:tcW w:w="712" w:type="pct"/>
            <w:tcBorders>
              <w:top w:val="single" w:sz="4" w:space="0" w:color="auto"/>
              <w:left w:val="single" w:sz="8" w:space="0" w:color="E0E0E0"/>
              <w:bottom w:val="single" w:sz="8" w:space="0" w:color="152935"/>
              <w:right w:val="nil"/>
            </w:tcBorders>
            <w:shd w:val="clear" w:color="auto" w:fill="auto"/>
            <w:vAlign w:val="bottom"/>
          </w:tcPr>
          <w:p w14:paraId="11973E86"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Organisational Performance</w:t>
            </w:r>
          </w:p>
        </w:tc>
      </w:tr>
      <w:tr w:rsidR="003859C9" w:rsidRPr="00EB11D3" w14:paraId="1B7D2EBE" w14:textId="77777777" w:rsidTr="00007E09">
        <w:trPr>
          <w:cantSplit/>
        </w:trPr>
        <w:tc>
          <w:tcPr>
            <w:tcW w:w="1187" w:type="pct"/>
            <w:vMerge w:val="restart"/>
            <w:tcBorders>
              <w:top w:val="single" w:sz="8" w:space="0" w:color="152935"/>
              <w:left w:val="nil"/>
              <w:bottom w:val="nil"/>
              <w:right w:val="nil"/>
            </w:tcBorders>
            <w:shd w:val="clear" w:color="auto" w:fill="auto"/>
          </w:tcPr>
          <w:p w14:paraId="1161817A"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Corporate governance</w:t>
            </w:r>
          </w:p>
        </w:tc>
        <w:tc>
          <w:tcPr>
            <w:tcW w:w="964" w:type="pct"/>
            <w:tcBorders>
              <w:top w:val="single" w:sz="8" w:space="0" w:color="152935"/>
              <w:left w:val="nil"/>
              <w:bottom w:val="single" w:sz="8" w:space="0" w:color="AEAEAE"/>
              <w:right w:val="nil"/>
            </w:tcBorders>
            <w:shd w:val="clear" w:color="auto" w:fill="auto"/>
          </w:tcPr>
          <w:p w14:paraId="64B0EB3A"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Pearson Correlation</w:t>
            </w:r>
          </w:p>
        </w:tc>
        <w:tc>
          <w:tcPr>
            <w:tcW w:w="712" w:type="pct"/>
            <w:tcBorders>
              <w:top w:val="single" w:sz="8" w:space="0" w:color="152935"/>
              <w:left w:val="nil"/>
              <w:bottom w:val="single" w:sz="8" w:space="0" w:color="AEAEAE"/>
              <w:right w:val="single" w:sz="8" w:space="0" w:color="E0E0E0"/>
            </w:tcBorders>
            <w:shd w:val="clear" w:color="auto" w:fill="auto"/>
          </w:tcPr>
          <w:p w14:paraId="723CFBF7"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1</w:t>
            </w:r>
          </w:p>
        </w:tc>
        <w:tc>
          <w:tcPr>
            <w:tcW w:w="712" w:type="pct"/>
            <w:tcBorders>
              <w:top w:val="single" w:sz="8" w:space="0" w:color="152935"/>
              <w:left w:val="single" w:sz="8" w:space="0" w:color="E0E0E0"/>
              <w:bottom w:val="single" w:sz="8" w:space="0" w:color="AEAEAE"/>
              <w:right w:val="single" w:sz="8" w:space="0" w:color="E0E0E0"/>
            </w:tcBorders>
            <w:shd w:val="clear" w:color="auto" w:fill="auto"/>
          </w:tcPr>
          <w:p w14:paraId="289B2227"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.812</w:t>
            </w:r>
            <w:r w:rsidRPr="00EB11D3">
              <w:rPr>
                <w:szCs w:val="24"/>
                <w:vertAlign w:val="superscript"/>
              </w:rPr>
              <w:t>**</w:t>
            </w:r>
          </w:p>
        </w:tc>
        <w:tc>
          <w:tcPr>
            <w:tcW w:w="712" w:type="pct"/>
            <w:tcBorders>
              <w:top w:val="single" w:sz="8" w:space="0" w:color="152935"/>
              <w:left w:val="single" w:sz="8" w:space="0" w:color="E0E0E0"/>
              <w:bottom w:val="single" w:sz="8" w:space="0" w:color="AEAEAE"/>
              <w:right w:val="single" w:sz="8" w:space="0" w:color="E0E0E0"/>
            </w:tcBorders>
            <w:shd w:val="clear" w:color="auto" w:fill="auto"/>
          </w:tcPr>
          <w:p w14:paraId="6279E98A"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.833</w:t>
            </w:r>
            <w:r w:rsidRPr="00EB11D3">
              <w:rPr>
                <w:szCs w:val="24"/>
                <w:vertAlign w:val="superscript"/>
              </w:rPr>
              <w:t>**</w:t>
            </w:r>
          </w:p>
        </w:tc>
        <w:tc>
          <w:tcPr>
            <w:tcW w:w="712" w:type="pct"/>
            <w:tcBorders>
              <w:top w:val="single" w:sz="8" w:space="0" w:color="152935"/>
              <w:left w:val="single" w:sz="8" w:space="0" w:color="E0E0E0"/>
              <w:bottom w:val="single" w:sz="8" w:space="0" w:color="AEAEAE"/>
              <w:right w:val="nil"/>
            </w:tcBorders>
            <w:shd w:val="clear" w:color="auto" w:fill="auto"/>
          </w:tcPr>
          <w:p w14:paraId="7A0135E3"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.783</w:t>
            </w:r>
            <w:r w:rsidRPr="00EB11D3">
              <w:rPr>
                <w:szCs w:val="24"/>
                <w:vertAlign w:val="superscript"/>
              </w:rPr>
              <w:t>**</w:t>
            </w:r>
          </w:p>
        </w:tc>
      </w:tr>
      <w:tr w:rsidR="003859C9" w:rsidRPr="00EB11D3" w14:paraId="3E8EB71E" w14:textId="77777777" w:rsidTr="00007E09">
        <w:trPr>
          <w:cantSplit/>
        </w:trPr>
        <w:tc>
          <w:tcPr>
            <w:tcW w:w="1187" w:type="pct"/>
            <w:vMerge/>
            <w:tcBorders>
              <w:top w:val="single" w:sz="8" w:space="0" w:color="152935"/>
              <w:left w:val="nil"/>
              <w:bottom w:val="nil"/>
              <w:right w:val="nil"/>
            </w:tcBorders>
            <w:shd w:val="clear" w:color="auto" w:fill="auto"/>
          </w:tcPr>
          <w:p w14:paraId="2C76EA71" w14:textId="77777777" w:rsidR="003859C9" w:rsidRPr="00EB11D3" w:rsidRDefault="003859C9" w:rsidP="003859C9">
            <w:pPr>
              <w:autoSpaceDE w:val="0"/>
              <w:autoSpaceDN w:val="0"/>
              <w:adjustRightInd w:val="0"/>
              <w:spacing w:after="0" w:line="400" w:lineRule="atLeast"/>
              <w:jc w:val="left"/>
              <w:rPr>
                <w:szCs w:val="24"/>
              </w:rPr>
            </w:pPr>
          </w:p>
        </w:tc>
        <w:tc>
          <w:tcPr>
            <w:tcW w:w="964" w:type="pct"/>
            <w:tcBorders>
              <w:top w:val="single" w:sz="8" w:space="0" w:color="AEAEAE"/>
              <w:left w:val="nil"/>
              <w:bottom w:val="single" w:sz="8" w:space="0" w:color="AEAEAE"/>
              <w:right w:val="nil"/>
            </w:tcBorders>
            <w:shd w:val="clear" w:color="auto" w:fill="auto"/>
          </w:tcPr>
          <w:p w14:paraId="690CCC76"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Sig. (2-tailed)</w:t>
            </w:r>
          </w:p>
        </w:tc>
        <w:tc>
          <w:tcPr>
            <w:tcW w:w="712" w:type="pct"/>
            <w:tcBorders>
              <w:top w:val="single" w:sz="8" w:space="0" w:color="AEAEAE"/>
              <w:left w:val="nil"/>
              <w:bottom w:val="single" w:sz="8" w:space="0" w:color="AEAEAE"/>
              <w:right w:val="single" w:sz="8" w:space="0" w:color="E0E0E0"/>
            </w:tcBorders>
            <w:shd w:val="clear" w:color="auto" w:fill="auto"/>
            <w:vAlign w:val="center"/>
          </w:tcPr>
          <w:p w14:paraId="2B0CBBC9" w14:textId="77777777" w:rsidR="003859C9" w:rsidRPr="00EB11D3" w:rsidRDefault="003859C9" w:rsidP="003859C9">
            <w:pPr>
              <w:autoSpaceDE w:val="0"/>
              <w:autoSpaceDN w:val="0"/>
              <w:adjustRightInd w:val="0"/>
              <w:spacing w:after="0" w:line="400" w:lineRule="atLeast"/>
              <w:jc w:val="left"/>
              <w:rPr>
                <w:szCs w:val="24"/>
              </w:rPr>
            </w:pPr>
          </w:p>
        </w:tc>
        <w:tc>
          <w:tcPr>
            <w:tcW w:w="712" w:type="pct"/>
            <w:tcBorders>
              <w:top w:val="single" w:sz="8" w:space="0" w:color="AEAEAE"/>
              <w:left w:val="single" w:sz="8" w:space="0" w:color="E0E0E0"/>
              <w:bottom w:val="single" w:sz="8" w:space="0" w:color="AEAEAE"/>
              <w:right w:val="single" w:sz="8" w:space="0" w:color="E0E0E0"/>
            </w:tcBorders>
            <w:shd w:val="clear" w:color="auto" w:fill="auto"/>
          </w:tcPr>
          <w:p w14:paraId="228CDD98"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.000</w:t>
            </w:r>
          </w:p>
        </w:tc>
        <w:tc>
          <w:tcPr>
            <w:tcW w:w="712" w:type="pct"/>
            <w:tcBorders>
              <w:top w:val="single" w:sz="8" w:space="0" w:color="AEAEAE"/>
              <w:left w:val="single" w:sz="8" w:space="0" w:color="E0E0E0"/>
              <w:bottom w:val="single" w:sz="8" w:space="0" w:color="AEAEAE"/>
              <w:right w:val="single" w:sz="8" w:space="0" w:color="E0E0E0"/>
            </w:tcBorders>
            <w:shd w:val="clear" w:color="auto" w:fill="auto"/>
          </w:tcPr>
          <w:p w14:paraId="111DE651"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.000</w:t>
            </w:r>
          </w:p>
        </w:tc>
        <w:tc>
          <w:tcPr>
            <w:tcW w:w="712" w:type="pct"/>
            <w:tcBorders>
              <w:top w:val="single" w:sz="8" w:space="0" w:color="AEAEAE"/>
              <w:left w:val="single" w:sz="8" w:space="0" w:color="E0E0E0"/>
              <w:bottom w:val="single" w:sz="8" w:space="0" w:color="AEAEAE"/>
              <w:right w:val="nil"/>
            </w:tcBorders>
            <w:shd w:val="clear" w:color="auto" w:fill="auto"/>
          </w:tcPr>
          <w:p w14:paraId="43195996"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.000</w:t>
            </w:r>
          </w:p>
        </w:tc>
      </w:tr>
      <w:tr w:rsidR="003859C9" w:rsidRPr="00EB11D3" w14:paraId="2AF0001F" w14:textId="77777777" w:rsidTr="00007E09">
        <w:trPr>
          <w:cantSplit/>
        </w:trPr>
        <w:tc>
          <w:tcPr>
            <w:tcW w:w="1187" w:type="pct"/>
            <w:vMerge/>
            <w:tcBorders>
              <w:top w:val="single" w:sz="8" w:space="0" w:color="152935"/>
              <w:left w:val="nil"/>
              <w:bottom w:val="nil"/>
              <w:right w:val="nil"/>
            </w:tcBorders>
            <w:shd w:val="clear" w:color="auto" w:fill="auto"/>
          </w:tcPr>
          <w:p w14:paraId="0413DBC2" w14:textId="77777777" w:rsidR="003859C9" w:rsidRPr="00EB11D3" w:rsidRDefault="003859C9" w:rsidP="003859C9">
            <w:pPr>
              <w:autoSpaceDE w:val="0"/>
              <w:autoSpaceDN w:val="0"/>
              <w:adjustRightInd w:val="0"/>
              <w:spacing w:after="0" w:line="400" w:lineRule="atLeast"/>
              <w:jc w:val="left"/>
              <w:rPr>
                <w:szCs w:val="24"/>
              </w:rPr>
            </w:pPr>
          </w:p>
        </w:tc>
        <w:tc>
          <w:tcPr>
            <w:tcW w:w="964" w:type="pct"/>
            <w:tcBorders>
              <w:top w:val="single" w:sz="8" w:space="0" w:color="AEAEAE"/>
              <w:left w:val="nil"/>
              <w:bottom w:val="nil"/>
              <w:right w:val="nil"/>
            </w:tcBorders>
            <w:shd w:val="clear" w:color="auto" w:fill="auto"/>
          </w:tcPr>
          <w:p w14:paraId="08E25D7F"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N</w:t>
            </w:r>
          </w:p>
        </w:tc>
        <w:tc>
          <w:tcPr>
            <w:tcW w:w="712" w:type="pct"/>
            <w:tcBorders>
              <w:top w:val="single" w:sz="8" w:space="0" w:color="AEAEAE"/>
              <w:left w:val="nil"/>
              <w:bottom w:val="nil"/>
              <w:right w:val="single" w:sz="8" w:space="0" w:color="E0E0E0"/>
            </w:tcBorders>
            <w:shd w:val="clear" w:color="auto" w:fill="auto"/>
          </w:tcPr>
          <w:p w14:paraId="6F299791"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250</w:t>
            </w:r>
          </w:p>
        </w:tc>
        <w:tc>
          <w:tcPr>
            <w:tcW w:w="712" w:type="pct"/>
            <w:tcBorders>
              <w:top w:val="single" w:sz="8" w:space="0" w:color="AEAEAE"/>
              <w:left w:val="single" w:sz="8" w:space="0" w:color="E0E0E0"/>
              <w:bottom w:val="nil"/>
              <w:right w:val="single" w:sz="8" w:space="0" w:color="E0E0E0"/>
            </w:tcBorders>
            <w:shd w:val="clear" w:color="auto" w:fill="auto"/>
          </w:tcPr>
          <w:p w14:paraId="29A88BFD"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250</w:t>
            </w:r>
          </w:p>
        </w:tc>
        <w:tc>
          <w:tcPr>
            <w:tcW w:w="712" w:type="pct"/>
            <w:tcBorders>
              <w:top w:val="single" w:sz="8" w:space="0" w:color="AEAEAE"/>
              <w:left w:val="single" w:sz="8" w:space="0" w:color="E0E0E0"/>
              <w:bottom w:val="nil"/>
              <w:right w:val="single" w:sz="8" w:space="0" w:color="E0E0E0"/>
            </w:tcBorders>
            <w:shd w:val="clear" w:color="auto" w:fill="auto"/>
          </w:tcPr>
          <w:p w14:paraId="420F3B8E"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250</w:t>
            </w:r>
          </w:p>
        </w:tc>
        <w:tc>
          <w:tcPr>
            <w:tcW w:w="712" w:type="pct"/>
            <w:tcBorders>
              <w:top w:val="single" w:sz="8" w:space="0" w:color="AEAEAE"/>
              <w:left w:val="single" w:sz="8" w:space="0" w:color="E0E0E0"/>
              <w:bottom w:val="nil"/>
              <w:right w:val="nil"/>
            </w:tcBorders>
            <w:shd w:val="clear" w:color="auto" w:fill="auto"/>
          </w:tcPr>
          <w:p w14:paraId="5D6C9DD6"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250</w:t>
            </w:r>
          </w:p>
        </w:tc>
      </w:tr>
      <w:tr w:rsidR="003859C9" w:rsidRPr="00EB11D3" w14:paraId="3B073EDD" w14:textId="77777777" w:rsidTr="00007E09">
        <w:trPr>
          <w:cantSplit/>
        </w:trPr>
        <w:tc>
          <w:tcPr>
            <w:tcW w:w="1187" w:type="pct"/>
            <w:vMerge w:val="restart"/>
            <w:tcBorders>
              <w:top w:val="single" w:sz="8" w:space="0" w:color="AEAEAE"/>
              <w:left w:val="nil"/>
              <w:bottom w:val="nil"/>
              <w:right w:val="nil"/>
            </w:tcBorders>
            <w:shd w:val="clear" w:color="auto" w:fill="auto"/>
          </w:tcPr>
          <w:p w14:paraId="544175E2"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Service Innovation</w:t>
            </w:r>
          </w:p>
        </w:tc>
        <w:tc>
          <w:tcPr>
            <w:tcW w:w="964" w:type="pct"/>
            <w:tcBorders>
              <w:top w:val="single" w:sz="8" w:space="0" w:color="AEAEAE"/>
              <w:left w:val="nil"/>
              <w:bottom w:val="single" w:sz="8" w:space="0" w:color="AEAEAE"/>
              <w:right w:val="nil"/>
            </w:tcBorders>
            <w:shd w:val="clear" w:color="auto" w:fill="auto"/>
          </w:tcPr>
          <w:p w14:paraId="6E544A06"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Pearson Correlation</w:t>
            </w:r>
          </w:p>
        </w:tc>
        <w:tc>
          <w:tcPr>
            <w:tcW w:w="712" w:type="pct"/>
            <w:tcBorders>
              <w:top w:val="single" w:sz="8" w:space="0" w:color="AEAEAE"/>
              <w:left w:val="nil"/>
              <w:bottom w:val="single" w:sz="8" w:space="0" w:color="AEAEAE"/>
              <w:right w:val="single" w:sz="8" w:space="0" w:color="E0E0E0"/>
            </w:tcBorders>
            <w:shd w:val="clear" w:color="auto" w:fill="auto"/>
          </w:tcPr>
          <w:p w14:paraId="32A8A9BD"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.812</w:t>
            </w:r>
            <w:r w:rsidRPr="00EB11D3">
              <w:rPr>
                <w:szCs w:val="24"/>
                <w:vertAlign w:val="superscript"/>
              </w:rPr>
              <w:t>**</w:t>
            </w:r>
          </w:p>
        </w:tc>
        <w:tc>
          <w:tcPr>
            <w:tcW w:w="712" w:type="pct"/>
            <w:tcBorders>
              <w:top w:val="single" w:sz="8" w:space="0" w:color="AEAEAE"/>
              <w:left w:val="single" w:sz="8" w:space="0" w:color="E0E0E0"/>
              <w:bottom w:val="single" w:sz="8" w:space="0" w:color="AEAEAE"/>
              <w:right w:val="single" w:sz="8" w:space="0" w:color="E0E0E0"/>
            </w:tcBorders>
            <w:shd w:val="clear" w:color="auto" w:fill="auto"/>
          </w:tcPr>
          <w:p w14:paraId="0B847E2C"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1</w:t>
            </w:r>
          </w:p>
        </w:tc>
        <w:tc>
          <w:tcPr>
            <w:tcW w:w="712" w:type="pct"/>
            <w:tcBorders>
              <w:top w:val="single" w:sz="8" w:space="0" w:color="AEAEAE"/>
              <w:left w:val="single" w:sz="8" w:space="0" w:color="E0E0E0"/>
              <w:bottom w:val="single" w:sz="8" w:space="0" w:color="AEAEAE"/>
              <w:right w:val="single" w:sz="8" w:space="0" w:color="E0E0E0"/>
            </w:tcBorders>
            <w:shd w:val="clear" w:color="auto" w:fill="auto"/>
          </w:tcPr>
          <w:p w14:paraId="74E90E89"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.873</w:t>
            </w:r>
            <w:r w:rsidRPr="00EB11D3">
              <w:rPr>
                <w:szCs w:val="24"/>
                <w:vertAlign w:val="superscript"/>
              </w:rPr>
              <w:t>**</w:t>
            </w:r>
          </w:p>
        </w:tc>
        <w:tc>
          <w:tcPr>
            <w:tcW w:w="712" w:type="pct"/>
            <w:tcBorders>
              <w:top w:val="single" w:sz="8" w:space="0" w:color="AEAEAE"/>
              <w:left w:val="single" w:sz="8" w:space="0" w:color="E0E0E0"/>
              <w:bottom w:val="single" w:sz="8" w:space="0" w:color="AEAEAE"/>
              <w:right w:val="nil"/>
            </w:tcBorders>
            <w:shd w:val="clear" w:color="auto" w:fill="auto"/>
          </w:tcPr>
          <w:p w14:paraId="2BDF9296"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.891</w:t>
            </w:r>
            <w:r w:rsidRPr="00EB11D3">
              <w:rPr>
                <w:szCs w:val="24"/>
                <w:vertAlign w:val="superscript"/>
              </w:rPr>
              <w:t>**</w:t>
            </w:r>
          </w:p>
        </w:tc>
      </w:tr>
      <w:tr w:rsidR="003859C9" w:rsidRPr="00EB11D3" w14:paraId="196F71AE" w14:textId="77777777" w:rsidTr="00007E09">
        <w:trPr>
          <w:cantSplit/>
        </w:trPr>
        <w:tc>
          <w:tcPr>
            <w:tcW w:w="1187" w:type="pct"/>
            <w:vMerge/>
            <w:tcBorders>
              <w:top w:val="single" w:sz="8" w:space="0" w:color="AEAEAE"/>
              <w:left w:val="nil"/>
              <w:bottom w:val="nil"/>
              <w:right w:val="nil"/>
            </w:tcBorders>
            <w:shd w:val="clear" w:color="auto" w:fill="auto"/>
          </w:tcPr>
          <w:p w14:paraId="20036ADF" w14:textId="77777777" w:rsidR="003859C9" w:rsidRPr="00EB11D3" w:rsidRDefault="003859C9" w:rsidP="003859C9">
            <w:pPr>
              <w:autoSpaceDE w:val="0"/>
              <w:autoSpaceDN w:val="0"/>
              <w:adjustRightInd w:val="0"/>
              <w:spacing w:after="0" w:line="400" w:lineRule="atLeast"/>
              <w:jc w:val="left"/>
              <w:rPr>
                <w:szCs w:val="24"/>
              </w:rPr>
            </w:pPr>
          </w:p>
        </w:tc>
        <w:tc>
          <w:tcPr>
            <w:tcW w:w="964" w:type="pct"/>
            <w:tcBorders>
              <w:top w:val="single" w:sz="8" w:space="0" w:color="AEAEAE"/>
              <w:left w:val="nil"/>
              <w:bottom w:val="single" w:sz="8" w:space="0" w:color="AEAEAE"/>
              <w:right w:val="nil"/>
            </w:tcBorders>
            <w:shd w:val="clear" w:color="auto" w:fill="auto"/>
          </w:tcPr>
          <w:p w14:paraId="3E27A489"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Sig. (2-tailed)</w:t>
            </w:r>
          </w:p>
        </w:tc>
        <w:tc>
          <w:tcPr>
            <w:tcW w:w="712" w:type="pct"/>
            <w:tcBorders>
              <w:top w:val="single" w:sz="8" w:space="0" w:color="AEAEAE"/>
              <w:left w:val="nil"/>
              <w:bottom w:val="single" w:sz="8" w:space="0" w:color="AEAEAE"/>
              <w:right w:val="single" w:sz="8" w:space="0" w:color="E0E0E0"/>
            </w:tcBorders>
            <w:shd w:val="clear" w:color="auto" w:fill="auto"/>
          </w:tcPr>
          <w:p w14:paraId="11DFE61A"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.000</w:t>
            </w:r>
          </w:p>
        </w:tc>
        <w:tc>
          <w:tcPr>
            <w:tcW w:w="712" w:type="pct"/>
            <w:tcBorders>
              <w:top w:val="single" w:sz="8" w:space="0" w:color="AEAEAE"/>
              <w:left w:val="single" w:sz="8" w:space="0" w:color="E0E0E0"/>
              <w:bottom w:val="single" w:sz="8" w:space="0" w:color="AEAEAE"/>
              <w:right w:val="single" w:sz="8" w:space="0" w:color="E0E0E0"/>
            </w:tcBorders>
            <w:shd w:val="clear" w:color="auto" w:fill="auto"/>
            <w:vAlign w:val="center"/>
          </w:tcPr>
          <w:p w14:paraId="558B2E1D" w14:textId="77777777" w:rsidR="003859C9" w:rsidRPr="00EB11D3" w:rsidRDefault="003859C9" w:rsidP="003859C9">
            <w:pPr>
              <w:autoSpaceDE w:val="0"/>
              <w:autoSpaceDN w:val="0"/>
              <w:adjustRightInd w:val="0"/>
              <w:spacing w:after="0" w:line="400" w:lineRule="atLeast"/>
              <w:jc w:val="left"/>
              <w:rPr>
                <w:szCs w:val="24"/>
              </w:rPr>
            </w:pPr>
          </w:p>
        </w:tc>
        <w:tc>
          <w:tcPr>
            <w:tcW w:w="712" w:type="pct"/>
            <w:tcBorders>
              <w:top w:val="single" w:sz="8" w:space="0" w:color="AEAEAE"/>
              <w:left w:val="single" w:sz="8" w:space="0" w:color="E0E0E0"/>
              <w:bottom w:val="single" w:sz="8" w:space="0" w:color="AEAEAE"/>
              <w:right w:val="single" w:sz="8" w:space="0" w:color="E0E0E0"/>
            </w:tcBorders>
            <w:shd w:val="clear" w:color="auto" w:fill="auto"/>
          </w:tcPr>
          <w:p w14:paraId="5774F0FD"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.000</w:t>
            </w:r>
          </w:p>
        </w:tc>
        <w:tc>
          <w:tcPr>
            <w:tcW w:w="712" w:type="pct"/>
            <w:tcBorders>
              <w:top w:val="single" w:sz="8" w:space="0" w:color="AEAEAE"/>
              <w:left w:val="single" w:sz="8" w:space="0" w:color="E0E0E0"/>
              <w:bottom w:val="single" w:sz="8" w:space="0" w:color="AEAEAE"/>
              <w:right w:val="nil"/>
            </w:tcBorders>
            <w:shd w:val="clear" w:color="auto" w:fill="auto"/>
          </w:tcPr>
          <w:p w14:paraId="3C4E0DAD"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.000</w:t>
            </w:r>
          </w:p>
        </w:tc>
      </w:tr>
      <w:tr w:rsidR="003859C9" w:rsidRPr="00EB11D3" w14:paraId="0C09A63A" w14:textId="77777777" w:rsidTr="00007E09">
        <w:trPr>
          <w:cantSplit/>
        </w:trPr>
        <w:tc>
          <w:tcPr>
            <w:tcW w:w="1187" w:type="pct"/>
            <w:vMerge/>
            <w:tcBorders>
              <w:top w:val="single" w:sz="8" w:space="0" w:color="AEAEAE"/>
              <w:left w:val="nil"/>
              <w:bottom w:val="nil"/>
              <w:right w:val="nil"/>
            </w:tcBorders>
            <w:shd w:val="clear" w:color="auto" w:fill="auto"/>
          </w:tcPr>
          <w:p w14:paraId="6368CCCB" w14:textId="77777777" w:rsidR="003859C9" w:rsidRPr="00EB11D3" w:rsidRDefault="003859C9" w:rsidP="003859C9">
            <w:pPr>
              <w:autoSpaceDE w:val="0"/>
              <w:autoSpaceDN w:val="0"/>
              <w:adjustRightInd w:val="0"/>
              <w:spacing w:after="0" w:line="400" w:lineRule="atLeast"/>
              <w:jc w:val="left"/>
              <w:rPr>
                <w:szCs w:val="24"/>
              </w:rPr>
            </w:pPr>
          </w:p>
        </w:tc>
        <w:tc>
          <w:tcPr>
            <w:tcW w:w="964" w:type="pct"/>
            <w:tcBorders>
              <w:top w:val="single" w:sz="8" w:space="0" w:color="AEAEAE"/>
              <w:left w:val="nil"/>
              <w:bottom w:val="nil"/>
              <w:right w:val="nil"/>
            </w:tcBorders>
            <w:shd w:val="clear" w:color="auto" w:fill="auto"/>
          </w:tcPr>
          <w:p w14:paraId="46856482"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N</w:t>
            </w:r>
          </w:p>
        </w:tc>
        <w:tc>
          <w:tcPr>
            <w:tcW w:w="712" w:type="pct"/>
            <w:tcBorders>
              <w:top w:val="single" w:sz="8" w:space="0" w:color="AEAEAE"/>
              <w:left w:val="nil"/>
              <w:bottom w:val="nil"/>
              <w:right w:val="single" w:sz="8" w:space="0" w:color="E0E0E0"/>
            </w:tcBorders>
            <w:shd w:val="clear" w:color="auto" w:fill="auto"/>
          </w:tcPr>
          <w:p w14:paraId="066DA420"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250</w:t>
            </w:r>
          </w:p>
        </w:tc>
        <w:tc>
          <w:tcPr>
            <w:tcW w:w="712" w:type="pct"/>
            <w:tcBorders>
              <w:top w:val="single" w:sz="8" w:space="0" w:color="AEAEAE"/>
              <w:left w:val="single" w:sz="8" w:space="0" w:color="E0E0E0"/>
              <w:bottom w:val="nil"/>
              <w:right w:val="single" w:sz="8" w:space="0" w:color="E0E0E0"/>
            </w:tcBorders>
            <w:shd w:val="clear" w:color="auto" w:fill="auto"/>
          </w:tcPr>
          <w:p w14:paraId="373E0B62"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250</w:t>
            </w:r>
          </w:p>
        </w:tc>
        <w:tc>
          <w:tcPr>
            <w:tcW w:w="712" w:type="pct"/>
            <w:tcBorders>
              <w:top w:val="single" w:sz="8" w:space="0" w:color="AEAEAE"/>
              <w:left w:val="single" w:sz="8" w:space="0" w:color="E0E0E0"/>
              <w:bottom w:val="nil"/>
              <w:right w:val="single" w:sz="8" w:space="0" w:color="E0E0E0"/>
            </w:tcBorders>
            <w:shd w:val="clear" w:color="auto" w:fill="auto"/>
          </w:tcPr>
          <w:p w14:paraId="62478B70"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250</w:t>
            </w:r>
          </w:p>
        </w:tc>
        <w:tc>
          <w:tcPr>
            <w:tcW w:w="712" w:type="pct"/>
            <w:tcBorders>
              <w:top w:val="single" w:sz="8" w:space="0" w:color="AEAEAE"/>
              <w:left w:val="single" w:sz="8" w:space="0" w:color="E0E0E0"/>
              <w:bottom w:val="nil"/>
              <w:right w:val="nil"/>
            </w:tcBorders>
            <w:shd w:val="clear" w:color="auto" w:fill="auto"/>
          </w:tcPr>
          <w:p w14:paraId="6DBD238C"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250</w:t>
            </w:r>
          </w:p>
        </w:tc>
      </w:tr>
      <w:tr w:rsidR="003859C9" w:rsidRPr="00EB11D3" w14:paraId="1416BF07" w14:textId="77777777" w:rsidTr="00007E09">
        <w:trPr>
          <w:cantSplit/>
        </w:trPr>
        <w:tc>
          <w:tcPr>
            <w:tcW w:w="1187" w:type="pct"/>
            <w:vMerge w:val="restart"/>
            <w:tcBorders>
              <w:top w:val="single" w:sz="8" w:space="0" w:color="AEAEAE"/>
              <w:left w:val="nil"/>
              <w:bottom w:val="nil"/>
              <w:right w:val="nil"/>
            </w:tcBorders>
            <w:shd w:val="clear" w:color="auto" w:fill="auto"/>
          </w:tcPr>
          <w:p w14:paraId="693AB5FE"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Government Regulations</w:t>
            </w:r>
          </w:p>
        </w:tc>
        <w:tc>
          <w:tcPr>
            <w:tcW w:w="964" w:type="pct"/>
            <w:tcBorders>
              <w:top w:val="single" w:sz="8" w:space="0" w:color="AEAEAE"/>
              <w:left w:val="nil"/>
              <w:bottom w:val="single" w:sz="8" w:space="0" w:color="AEAEAE"/>
              <w:right w:val="nil"/>
            </w:tcBorders>
            <w:shd w:val="clear" w:color="auto" w:fill="auto"/>
          </w:tcPr>
          <w:p w14:paraId="0C64B096"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Pearson Correlation</w:t>
            </w:r>
          </w:p>
        </w:tc>
        <w:tc>
          <w:tcPr>
            <w:tcW w:w="712" w:type="pct"/>
            <w:tcBorders>
              <w:top w:val="single" w:sz="8" w:space="0" w:color="AEAEAE"/>
              <w:left w:val="nil"/>
              <w:bottom w:val="single" w:sz="8" w:space="0" w:color="AEAEAE"/>
              <w:right w:val="single" w:sz="8" w:space="0" w:color="E0E0E0"/>
            </w:tcBorders>
            <w:shd w:val="clear" w:color="auto" w:fill="auto"/>
          </w:tcPr>
          <w:p w14:paraId="0DD71FC5"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.833</w:t>
            </w:r>
            <w:r w:rsidRPr="00EB11D3">
              <w:rPr>
                <w:szCs w:val="24"/>
                <w:vertAlign w:val="superscript"/>
              </w:rPr>
              <w:t>**</w:t>
            </w:r>
          </w:p>
        </w:tc>
        <w:tc>
          <w:tcPr>
            <w:tcW w:w="712" w:type="pct"/>
            <w:tcBorders>
              <w:top w:val="single" w:sz="8" w:space="0" w:color="AEAEAE"/>
              <w:left w:val="single" w:sz="8" w:space="0" w:color="E0E0E0"/>
              <w:bottom w:val="single" w:sz="8" w:space="0" w:color="AEAEAE"/>
              <w:right w:val="single" w:sz="8" w:space="0" w:color="E0E0E0"/>
            </w:tcBorders>
            <w:shd w:val="clear" w:color="auto" w:fill="auto"/>
          </w:tcPr>
          <w:p w14:paraId="10EA81AA"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.873</w:t>
            </w:r>
            <w:r w:rsidRPr="00EB11D3">
              <w:rPr>
                <w:szCs w:val="24"/>
                <w:vertAlign w:val="superscript"/>
              </w:rPr>
              <w:t>**</w:t>
            </w:r>
          </w:p>
        </w:tc>
        <w:tc>
          <w:tcPr>
            <w:tcW w:w="712" w:type="pct"/>
            <w:tcBorders>
              <w:top w:val="single" w:sz="8" w:space="0" w:color="AEAEAE"/>
              <w:left w:val="single" w:sz="8" w:space="0" w:color="E0E0E0"/>
              <w:bottom w:val="single" w:sz="8" w:space="0" w:color="AEAEAE"/>
              <w:right w:val="single" w:sz="8" w:space="0" w:color="E0E0E0"/>
            </w:tcBorders>
            <w:shd w:val="clear" w:color="auto" w:fill="auto"/>
          </w:tcPr>
          <w:p w14:paraId="0F7D19F9"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1</w:t>
            </w:r>
          </w:p>
        </w:tc>
        <w:tc>
          <w:tcPr>
            <w:tcW w:w="712" w:type="pct"/>
            <w:tcBorders>
              <w:top w:val="single" w:sz="8" w:space="0" w:color="AEAEAE"/>
              <w:left w:val="single" w:sz="8" w:space="0" w:color="E0E0E0"/>
              <w:bottom w:val="single" w:sz="8" w:space="0" w:color="AEAEAE"/>
              <w:right w:val="nil"/>
            </w:tcBorders>
            <w:shd w:val="clear" w:color="auto" w:fill="auto"/>
          </w:tcPr>
          <w:p w14:paraId="4D5A164F"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.794</w:t>
            </w:r>
            <w:r w:rsidRPr="00EB11D3">
              <w:rPr>
                <w:szCs w:val="24"/>
                <w:vertAlign w:val="superscript"/>
              </w:rPr>
              <w:t>**</w:t>
            </w:r>
          </w:p>
        </w:tc>
      </w:tr>
      <w:tr w:rsidR="003859C9" w:rsidRPr="00EB11D3" w14:paraId="6021AFCF" w14:textId="77777777" w:rsidTr="00007E09">
        <w:trPr>
          <w:cantSplit/>
        </w:trPr>
        <w:tc>
          <w:tcPr>
            <w:tcW w:w="1187" w:type="pct"/>
            <w:vMerge/>
            <w:tcBorders>
              <w:top w:val="single" w:sz="8" w:space="0" w:color="AEAEAE"/>
              <w:left w:val="nil"/>
              <w:bottom w:val="nil"/>
              <w:right w:val="nil"/>
            </w:tcBorders>
            <w:shd w:val="clear" w:color="auto" w:fill="auto"/>
          </w:tcPr>
          <w:p w14:paraId="47AB195A" w14:textId="77777777" w:rsidR="003859C9" w:rsidRPr="00EB11D3" w:rsidRDefault="003859C9" w:rsidP="003859C9">
            <w:pPr>
              <w:autoSpaceDE w:val="0"/>
              <w:autoSpaceDN w:val="0"/>
              <w:adjustRightInd w:val="0"/>
              <w:spacing w:after="0" w:line="400" w:lineRule="atLeast"/>
              <w:jc w:val="left"/>
              <w:rPr>
                <w:szCs w:val="24"/>
              </w:rPr>
            </w:pPr>
          </w:p>
        </w:tc>
        <w:tc>
          <w:tcPr>
            <w:tcW w:w="964" w:type="pct"/>
            <w:tcBorders>
              <w:top w:val="single" w:sz="8" w:space="0" w:color="AEAEAE"/>
              <w:left w:val="nil"/>
              <w:bottom w:val="single" w:sz="8" w:space="0" w:color="AEAEAE"/>
              <w:right w:val="nil"/>
            </w:tcBorders>
            <w:shd w:val="clear" w:color="auto" w:fill="auto"/>
          </w:tcPr>
          <w:p w14:paraId="09F8792D"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Sig. (2-tailed)</w:t>
            </w:r>
          </w:p>
        </w:tc>
        <w:tc>
          <w:tcPr>
            <w:tcW w:w="712" w:type="pct"/>
            <w:tcBorders>
              <w:top w:val="single" w:sz="8" w:space="0" w:color="AEAEAE"/>
              <w:left w:val="nil"/>
              <w:bottom w:val="single" w:sz="8" w:space="0" w:color="AEAEAE"/>
              <w:right w:val="single" w:sz="8" w:space="0" w:color="E0E0E0"/>
            </w:tcBorders>
            <w:shd w:val="clear" w:color="auto" w:fill="auto"/>
          </w:tcPr>
          <w:p w14:paraId="1C4D60E8"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.000</w:t>
            </w:r>
          </w:p>
        </w:tc>
        <w:tc>
          <w:tcPr>
            <w:tcW w:w="712" w:type="pct"/>
            <w:tcBorders>
              <w:top w:val="single" w:sz="8" w:space="0" w:color="AEAEAE"/>
              <w:left w:val="single" w:sz="8" w:space="0" w:color="E0E0E0"/>
              <w:bottom w:val="single" w:sz="8" w:space="0" w:color="AEAEAE"/>
              <w:right w:val="single" w:sz="8" w:space="0" w:color="E0E0E0"/>
            </w:tcBorders>
            <w:shd w:val="clear" w:color="auto" w:fill="auto"/>
          </w:tcPr>
          <w:p w14:paraId="5F8B688A"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.000</w:t>
            </w:r>
          </w:p>
        </w:tc>
        <w:tc>
          <w:tcPr>
            <w:tcW w:w="712" w:type="pct"/>
            <w:tcBorders>
              <w:top w:val="single" w:sz="8" w:space="0" w:color="AEAEAE"/>
              <w:left w:val="single" w:sz="8" w:space="0" w:color="E0E0E0"/>
              <w:bottom w:val="single" w:sz="8" w:space="0" w:color="AEAEAE"/>
              <w:right w:val="single" w:sz="8" w:space="0" w:color="E0E0E0"/>
            </w:tcBorders>
            <w:shd w:val="clear" w:color="auto" w:fill="auto"/>
            <w:vAlign w:val="center"/>
          </w:tcPr>
          <w:p w14:paraId="0236622F" w14:textId="77777777" w:rsidR="003859C9" w:rsidRPr="00EB11D3" w:rsidRDefault="003859C9" w:rsidP="003859C9">
            <w:pPr>
              <w:autoSpaceDE w:val="0"/>
              <w:autoSpaceDN w:val="0"/>
              <w:adjustRightInd w:val="0"/>
              <w:spacing w:after="0" w:line="400" w:lineRule="atLeast"/>
              <w:jc w:val="left"/>
              <w:rPr>
                <w:szCs w:val="24"/>
              </w:rPr>
            </w:pPr>
          </w:p>
        </w:tc>
        <w:tc>
          <w:tcPr>
            <w:tcW w:w="712" w:type="pct"/>
            <w:tcBorders>
              <w:top w:val="single" w:sz="8" w:space="0" w:color="AEAEAE"/>
              <w:left w:val="single" w:sz="8" w:space="0" w:color="E0E0E0"/>
              <w:bottom w:val="single" w:sz="8" w:space="0" w:color="AEAEAE"/>
              <w:right w:val="nil"/>
            </w:tcBorders>
            <w:shd w:val="clear" w:color="auto" w:fill="auto"/>
          </w:tcPr>
          <w:p w14:paraId="7B6155B3"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.000</w:t>
            </w:r>
          </w:p>
        </w:tc>
      </w:tr>
      <w:tr w:rsidR="003859C9" w:rsidRPr="00EB11D3" w14:paraId="0603000D" w14:textId="77777777" w:rsidTr="00007E09">
        <w:trPr>
          <w:cantSplit/>
        </w:trPr>
        <w:tc>
          <w:tcPr>
            <w:tcW w:w="1187" w:type="pct"/>
            <w:vMerge/>
            <w:tcBorders>
              <w:top w:val="single" w:sz="8" w:space="0" w:color="AEAEAE"/>
              <w:left w:val="nil"/>
              <w:bottom w:val="nil"/>
              <w:right w:val="nil"/>
            </w:tcBorders>
            <w:shd w:val="clear" w:color="auto" w:fill="auto"/>
          </w:tcPr>
          <w:p w14:paraId="07628BAB" w14:textId="77777777" w:rsidR="003859C9" w:rsidRPr="00EB11D3" w:rsidRDefault="003859C9" w:rsidP="003859C9">
            <w:pPr>
              <w:autoSpaceDE w:val="0"/>
              <w:autoSpaceDN w:val="0"/>
              <w:adjustRightInd w:val="0"/>
              <w:spacing w:after="0" w:line="400" w:lineRule="atLeast"/>
              <w:jc w:val="left"/>
              <w:rPr>
                <w:szCs w:val="24"/>
              </w:rPr>
            </w:pPr>
          </w:p>
        </w:tc>
        <w:tc>
          <w:tcPr>
            <w:tcW w:w="964" w:type="pct"/>
            <w:tcBorders>
              <w:top w:val="single" w:sz="8" w:space="0" w:color="AEAEAE"/>
              <w:left w:val="nil"/>
              <w:bottom w:val="nil"/>
              <w:right w:val="nil"/>
            </w:tcBorders>
            <w:shd w:val="clear" w:color="auto" w:fill="auto"/>
          </w:tcPr>
          <w:p w14:paraId="6A94CF13"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N</w:t>
            </w:r>
          </w:p>
        </w:tc>
        <w:tc>
          <w:tcPr>
            <w:tcW w:w="712" w:type="pct"/>
            <w:tcBorders>
              <w:top w:val="single" w:sz="8" w:space="0" w:color="AEAEAE"/>
              <w:left w:val="nil"/>
              <w:bottom w:val="nil"/>
              <w:right w:val="single" w:sz="8" w:space="0" w:color="E0E0E0"/>
            </w:tcBorders>
            <w:shd w:val="clear" w:color="auto" w:fill="auto"/>
          </w:tcPr>
          <w:p w14:paraId="69D8EF54"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250</w:t>
            </w:r>
          </w:p>
        </w:tc>
        <w:tc>
          <w:tcPr>
            <w:tcW w:w="712" w:type="pct"/>
            <w:tcBorders>
              <w:top w:val="single" w:sz="8" w:space="0" w:color="AEAEAE"/>
              <w:left w:val="single" w:sz="8" w:space="0" w:color="E0E0E0"/>
              <w:bottom w:val="nil"/>
              <w:right w:val="single" w:sz="8" w:space="0" w:color="E0E0E0"/>
            </w:tcBorders>
            <w:shd w:val="clear" w:color="auto" w:fill="auto"/>
          </w:tcPr>
          <w:p w14:paraId="42626B24"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250</w:t>
            </w:r>
          </w:p>
        </w:tc>
        <w:tc>
          <w:tcPr>
            <w:tcW w:w="712" w:type="pct"/>
            <w:tcBorders>
              <w:top w:val="single" w:sz="8" w:space="0" w:color="AEAEAE"/>
              <w:left w:val="single" w:sz="8" w:space="0" w:color="E0E0E0"/>
              <w:bottom w:val="nil"/>
              <w:right w:val="single" w:sz="8" w:space="0" w:color="E0E0E0"/>
            </w:tcBorders>
            <w:shd w:val="clear" w:color="auto" w:fill="auto"/>
          </w:tcPr>
          <w:p w14:paraId="54B5270F"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250</w:t>
            </w:r>
          </w:p>
        </w:tc>
        <w:tc>
          <w:tcPr>
            <w:tcW w:w="712" w:type="pct"/>
            <w:tcBorders>
              <w:top w:val="single" w:sz="8" w:space="0" w:color="AEAEAE"/>
              <w:left w:val="single" w:sz="8" w:space="0" w:color="E0E0E0"/>
              <w:bottom w:val="nil"/>
              <w:right w:val="nil"/>
            </w:tcBorders>
            <w:shd w:val="clear" w:color="auto" w:fill="auto"/>
          </w:tcPr>
          <w:p w14:paraId="44A84244"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250</w:t>
            </w:r>
          </w:p>
        </w:tc>
      </w:tr>
      <w:tr w:rsidR="003859C9" w:rsidRPr="00EB11D3" w14:paraId="3769EA6C" w14:textId="77777777" w:rsidTr="00007E09">
        <w:trPr>
          <w:cantSplit/>
        </w:trPr>
        <w:tc>
          <w:tcPr>
            <w:tcW w:w="1187" w:type="pct"/>
            <w:vMerge w:val="restart"/>
            <w:tcBorders>
              <w:top w:val="single" w:sz="8" w:space="0" w:color="AEAEAE"/>
              <w:left w:val="nil"/>
              <w:bottom w:val="single" w:sz="8" w:space="0" w:color="152935"/>
              <w:right w:val="nil"/>
            </w:tcBorders>
            <w:shd w:val="clear" w:color="auto" w:fill="auto"/>
          </w:tcPr>
          <w:p w14:paraId="3C25A1EE"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Organisational Performance</w:t>
            </w:r>
          </w:p>
        </w:tc>
        <w:tc>
          <w:tcPr>
            <w:tcW w:w="964" w:type="pct"/>
            <w:tcBorders>
              <w:top w:val="single" w:sz="8" w:space="0" w:color="AEAEAE"/>
              <w:left w:val="nil"/>
              <w:bottom w:val="single" w:sz="8" w:space="0" w:color="AEAEAE"/>
              <w:right w:val="nil"/>
            </w:tcBorders>
            <w:shd w:val="clear" w:color="auto" w:fill="auto"/>
          </w:tcPr>
          <w:p w14:paraId="0AC1EB93"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Pearson Correlation</w:t>
            </w:r>
          </w:p>
        </w:tc>
        <w:tc>
          <w:tcPr>
            <w:tcW w:w="712" w:type="pct"/>
            <w:tcBorders>
              <w:top w:val="single" w:sz="8" w:space="0" w:color="AEAEAE"/>
              <w:left w:val="nil"/>
              <w:bottom w:val="single" w:sz="8" w:space="0" w:color="AEAEAE"/>
              <w:right w:val="single" w:sz="8" w:space="0" w:color="E0E0E0"/>
            </w:tcBorders>
            <w:shd w:val="clear" w:color="auto" w:fill="auto"/>
          </w:tcPr>
          <w:p w14:paraId="4C771E26"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.783</w:t>
            </w:r>
            <w:r w:rsidRPr="00EB11D3">
              <w:rPr>
                <w:szCs w:val="24"/>
                <w:vertAlign w:val="superscript"/>
              </w:rPr>
              <w:t>**</w:t>
            </w:r>
          </w:p>
        </w:tc>
        <w:tc>
          <w:tcPr>
            <w:tcW w:w="712" w:type="pct"/>
            <w:tcBorders>
              <w:top w:val="single" w:sz="8" w:space="0" w:color="AEAEAE"/>
              <w:left w:val="single" w:sz="8" w:space="0" w:color="E0E0E0"/>
              <w:bottom w:val="single" w:sz="8" w:space="0" w:color="AEAEAE"/>
              <w:right w:val="single" w:sz="8" w:space="0" w:color="E0E0E0"/>
            </w:tcBorders>
            <w:shd w:val="clear" w:color="auto" w:fill="auto"/>
          </w:tcPr>
          <w:p w14:paraId="10CC770B"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.891</w:t>
            </w:r>
            <w:r w:rsidRPr="00EB11D3">
              <w:rPr>
                <w:szCs w:val="24"/>
                <w:vertAlign w:val="superscript"/>
              </w:rPr>
              <w:t>**</w:t>
            </w:r>
          </w:p>
        </w:tc>
        <w:tc>
          <w:tcPr>
            <w:tcW w:w="712" w:type="pct"/>
            <w:tcBorders>
              <w:top w:val="single" w:sz="8" w:space="0" w:color="AEAEAE"/>
              <w:left w:val="single" w:sz="8" w:space="0" w:color="E0E0E0"/>
              <w:bottom w:val="single" w:sz="8" w:space="0" w:color="AEAEAE"/>
              <w:right w:val="single" w:sz="8" w:space="0" w:color="E0E0E0"/>
            </w:tcBorders>
            <w:shd w:val="clear" w:color="auto" w:fill="auto"/>
          </w:tcPr>
          <w:p w14:paraId="0EFF8F4E"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.794</w:t>
            </w:r>
            <w:r w:rsidRPr="00EB11D3">
              <w:rPr>
                <w:szCs w:val="24"/>
                <w:vertAlign w:val="superscript"/>
              </w:rPr>
              <w:t>**</w:t>
            </w:r>
          </w:p>
        </w:tc>
        <w:tc>
          <w:tcPr>
            <w:tcW w:w="712" w:type="pct"/>
            <w:tcBorders>
              <w:top w:val="single" w:sz="8" w:space="0" w:color="AEAEAE"/>
              <w:left w:val="single" w:sz="8" w:space="0" w:color="E0E0E0"/>
              <w:bottom w:val="single" w:sz="8" w:space="0" w:color="AEAEAE"/>
              <w:right w:val="nil"/>
            </w:tcBorders>
            <w:shd w:val="clear" w:color="auto" w:fill="auto"/>
          </w:tcPr>
          <w:p w14:paraId="7D29608D"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1</w:t>
            </w:r>
          </w:p>
        </w:tc>
      </w:tr>
      <w:tr w:rsidR="003859C9" w:rsidRPr="00EB11D3" w14:paraId="43C68EF4" w14:textId="77777777" w:rsidTr="00007E09">
        <w:trPr>
          <w:cantSplit/>
        </w:trPr>
        <w:tc>
          <w:tcPr>
            <w:tcW w:w="1187" w:type="pct"/>
            <w:vMerge/>
            <w:tcBorders>
              <w:top w:val="single" w:sz="8" w:space="0" w:color="AEAEAE"/>
              <w:left w:val="nil"/>
              <w:bottom w:val="single" w:sz="8" w:space="0" w:color="152935"/>
              <w:right w:val="nil"/>
            </w:tcBorders>
            <w:shd w:val="clear" w:color="auto" w:fill="auto"/>
          </w:tcPr>
          <w:p w14:paraId="75530BF8" w14:textId="77777777" w:rsidR="003859C9" w:rsidRPr="00EB11D3" w:rsidRDefault="003859C9" w:rsidP="003859C9">
            <w:pPr>
              <w:autoSpaceDE w:val="0"/>
              <w:autoSpaceDN w:val="0"/>
              <w:adjustRightInd w:val="0"/>
              <w:spacing w:after="0" w:line="400" w:lineRule="atLeast"/>
              <w:jc w:val="left"/>
              <w:rPr>
                <w:szCs w:val="24"/>
              </w:rPr>
            </w:pPr>
          </w:p>
        </w:tc>
        <w:tc>
          <w:tcPr>
            <w:tcW w:w="964" w:type="pct"/>
            <w:tcBorders>
              <w:top w:val="single" w:sz="8" w:space="0" w:color="AEAEAE"/>
              <w:left w:val="nil"/>
              <w:bottom w:val="single" w:sz="8" w:space="0" w:color="AEAEAE"/>
              <w:right w:val="nil"/>
            </w:tcBorders>
            <w:shd w:val="clear" w:color="auto" w:fill="auto"/>
          </w:tcPr>
          <w:p w14:paraId="0DFF2807"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Sig. (2-tailed)</w:t>
            </w:r>
          </w:p>
        </w:tc>
        <w:tc>
          <w:tcPr>
            <w:tcW w:w="712" w:type="pct"/>
            <w:tcBorders>
              <w:top w:val="single" w:sz="8" w:space="0" w:color="AEAEAE"/>
              <w:left w:val="nil"/>
              <w:bottom w:val="single" w:sz="8" w:space="0" w:color="AEAEAE"/>
              <w:right w:val="single" w:sz="8" w:space="0" w:color="E0E0E0"/>
            </w:tcBorders>
            <w:shd w:val="clear" w:color="auto" w:fill="auto"/>
          </w:tcPr>
          <w:p w14:paraId="10AF3C7C"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.000</w:t>
            </w:r>
          </w:p>
        </w:tc>
        <w:tc>
          <w:tcPr>
            <w:tcW w:w="712" w:type="pct"/>
            <w:tcBorders>
              <w:top w:val="single" w:sz="8" w:space="0" w:color="AEAEAE"/>
              <w:left w:val="single" w:sz="8" w:space="0" w:color="E0E0E0"/>
              <w:bottom w:val="single" w:sz="8" w:space="0" w:color="AEAEAE"/>
              <w:right w:val="single" w:sz="8" w:space="0" w:color="E0E0E0"/>
            </w:tcBorders>
            <w:shd w:val="clear" w:color="auto" w:fill="auto"/>
          </w:tcPr>
          <w:p w14:paraId="2DB00D68"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.000</w:t>
            </w:r>
          </w:p>
        </w:tc>
        <w:tc>
          <w:tcPr>
            <w:tcW w:w="712" w:type="pct"/>
            <w:tcBorders>
              <w:top w:val="single" w:sz="8" w:space="0" w:color="AEAEAE"/>
              <w:left w:val="single" w:sz="8" w:space="0" w:color="E0E0E0"/>
              <w:bottom w:val="single" w:sz="8" w:space="0" w:color="AEAEAE"/>
              <w:right w:val="single" w:sz="8" w:space="0" w:color="E0E0E0"/>
            </w:tcBorders>
            <w:shd w:val="clear" w:color="auto" w:fill="auto"/>
          </w:tcPr>
          <w:p w14:paraId="55FF16A3"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.000</w:t>
            </w:r>
          </w:p>
        </w:tc>
        <w:tc>
          <w:tcPr>
            <w:tcW w:w="712" w:type="pct"/>
            <w:tcBorders>
              <w:top w:val="single" w:sz="8" w:space="0" w:color="AEAEAE"/>
              <w:left w:val="single" w:sz="8" w:space="0" w:color="E0E0E0"/>
              <w:bottom w:val="single" w:sz="8" w:space="0" w:color="AEAEAE"/>
              <w:right w:val="nil"/>
            </w:tcBorders>
            <w:shd w:val="clear" w:color="auto" w:fill="auto"/>
            <w:vAlign w:val="center"/>
          </w:tcPr>
          <w:p w14:paraId="36144C79" w14:textId="77777777" w:rsidR="003859C9" w:rsidRPr="00EB11D3" w:rsidRDefault="003859C9" w:rsidP="003859C9">
            <w:pPr>
              <w:autoSpaceDE w:val="0"/>
              <w:autoSpaceDN w:val="0"/>
              <w:adjustRightInd w:val="0"/>
              <w:spacing w:after="0" w:line="400" w:lineRule="atLeast"/>
              <w:jc w:val="left"/>
              <w:rPr>
                <w:szCs w:val="24"/>
              </w:rPr>
            </w:pPr>
          </w:p>
        </w:tc>
      </w:tr>
      <w:tr w:rsidR="003859C9" w:rsidRPr="00EB11D3" w14:paraId="191F4A1B" w14:textId="77777777" w:rsidTr="00007E09">
        <w:trPr>
          <w:cantSplit/>
        </w:trPr>
        <w:tc>
          <w:tcPr>
            <w:tcW w:w="1187" w:type="pct"/>
            <w:vMerge/>
            <w:tcBorders>
              <w:top w:val="single" w:sz="8" w:space="0" w:color="AEAEAE"/>
              <w:left w:val="nil"/>
              <w:bottom w:val="single" w:sz="8" w:space="0" w:color="152935"/>
              <w:right w:val="nil"/>
            </w:tcBorders>
            <w:shd w:val="clear" w:color="auto" w:fill="auto"/>
          </w:tcPr>
          <w:p w14:paraId="33670E0B" w14:textId="77777777" w:rsidR="003859C9" w:rsidRPr="00EB11D3" w:rsidRDefault="003859C9" w:rsidP="003859C9">
            <w:pPr>
              <w:autoSpaceDE w:val="0"/>
              <w:autoSpaceDN w:val="0"/>
              <w:adjustRightInd w:val="0"/>
              <w:spacing w:after="0" w:line="400" w:lineRule="atLeast"/>
              <w:jc w:val="left"/>
              <w:rPr>
                <w:szCs w:val="24"/>
              </w:rPr>
            </w:pPr>
          </w:p>
        </w:tc>
        <w:tc>
          <w:tcPr>
            <w:tcW w:w="964" w:type="pct"/>
            <w:tcBorders>
              <w:top w:val="single" w:sz="8" w:space="0" w:color="AEAEAE"/>
              <w:left w:val="nil"/>
              <w:bottom w:val="single" w:sz="8" w:space="0" w:color="152935"/>
              <w:right w:val="nil"/>
            </w:tcBorders>
            <w:shd w:val="clear" w:color="auto" w:fill="auto"/>
          </w:tcPr>
          <w:p w14:paraId="139288F3"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N</w:t>
            </w:r>
          </w:p>
        </w:tc>
        <w:tc>
          <w:tcPr>
            <w:tcW w:w="712" w:type="pct"/>
            <w:tcBorders>
              <w:top w:val="single" w:sz="8" w:space="0" w:color="AEAEAE"/>
              <w:left w:val="nil"/>
              <w:bottom w:val="single" w:sz="8" w:space="0" w:color="152935"/>
              <w:right w:val="single" w:sz="8" w:space="0" w:color="E0E0E0"/>
            </w:tcBorders>
            <w:shd w:val="clear" w:color="auto" w:fill="auto"/>
          </w:tcPr>
          <w:p w14:paraId="779C9AA8"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250</w:t>
            </w:r>
          </w:p>
        </w:tc>
        <w:tc>
          <w:tcPr>
            <w:tcW w:w="712" w:type="pct"/>
            <w:tcBorders>
              <w:top w:val="single" w:sz="8" w:space="0" w:color="AEAEAE"/>
              <w:left w:val="single" w:sz="8" w:space="0" w:color="E0E0E0"/>
              <w:bottom w:val="single" w:sz="8" w:space="0" w:color="152935"/>
              <w:right w:val="single" w:sz="8" w:space="0" w:color="E0E0E0"/>
            </w:tcBorders>
            <w:shd w:val="clear" w:color="auto" w:fill="auto"/>
          </w:tcPr>
          <w:p w14:paraId="4DE60AB4"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250</w:t>
            </w:r>
          </w:p>
        </w:tc>
        <w:tc>
          <w:tcPr>
            <w:tcW w:w="712" w:type="pct"/>
            <w:tcBorders>
              <w:top w:val="single" w:sz="8" w:space="0" w:color="AEAEAE"/>
              <w:left w:val="single" w:sz="8" w:space="0" w:color="E0E0E0"/>
              <w:bottom w:val="single" w:sz="8" w:space="0" w:color="152935"/>
              <w:right w:val="single" w:sz="8" w:space="0" w:color="E0E0E0"/>
            </w:tcBorders>
            <w:shd w:val="clear" w:color="auto" w:fill="auto"/>
          </w:tcPr>
          <w:p w14:paraId="0D3575FB"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250</w:t>
            </w:r>
          </w:p>
        </w:tc>
        <w:tc>
          <w:tcPr>
            <w:tcW w:w="712" w:type="pct"/>
            <w:tcBorders>
              <w:top w:val="single" w:sz="8" w:space="0" w:color="AEAEAE"/>
              <w:left w:val="single" w:sz="8" w:space="0" w:color="E0E0E0"/>
              <w:bottom w:val="single" w:sz="8" w:space="0" w:color="152935"/>
              <w:right w:val="nil"/>
            </w:tcBorders>
            <w:shd w:val="clear" w:color="auto" w:fill="auto"/>
          </w:tcPr>
          <w:p w14:paraId="56FBE8D0"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250</w:t>
            </w:r>
          </w:p>
        </w:tc>
      </w:tr>
      <w:tr w:rsidR="003859C9" w:rsidRPr="00EB11D3" w14:paraId="7A4C2A8D" w14:textId="77777777" w:rsidTr="00007E09">
        <w:trPr>
          <w:cantSplit/>
        </w:trPr>
        <w:tc>
          <w:tcPr>
            <w:tcW w:w="5000" w:type="pct"/>
            <w:gridSpan w:val="6"/>
            <w:tcBorders>
              <w:top w:val="nil"/>
              <w:left w:val="nil"/>
              <w:bottom w:val="nil"/>
              <w:right w:val="nil"/>
            </w:tcBorders>
            <w:shd w:val="clear" w:color="auto" w:fill="auto"/>
          </w:tcPr>
          <w:p w14:paraId="606ABFC7"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 Correlation is significant at the 0.01 level (2-tailed).</w:t>
            </w:r>
          </w:p>
        </w:tc>
      </w:tr>
    </w:tbl>
    <w:p w14:paraId="57096DB0" w14:textId="77777777" w:rsidR="003859C9" w:rsidRPr="00EB11D3" w:rsidRDefault="003859C9" w:rsidP="003859C9">
      <w:pPr>
        <w:autoSpaceDE w:val="0"/>
        <w:autoSpaceDN w:val="0"/>
        <w:adjustRightInd w:val="0"/>
        <w:spacing w:after="0" w:line="400" w:lineRule="atLeast"/>
        <w:jc w:val="left"/>
        <w:rPr>
          <w:szCs w:val="24"/>
        </w:rPr>
      </w:pPr>
    </w:p>
    <w:p w14:paraId="1FC1EC8E" w14:textId="77777777" w:rsidR="003859C9" w:rsidRPr="00EB11D3" w:rsidRDefault="003859C9" w:rsidP="003859C9">
      <w:pPr>
        <w:autoSpaceDE w:val="0"/>
        <w:autoSpaceDN w:val="0"/>
        <w:adjustRightInd w:val="0"/>
        <w:spacing w:after="0" w:line="400" w:lineRule="atLeast"/>
        <w:rPr>
          <w:szCs w:val="24"/>
        </w:rPr>
      </w:pPr>
      <w:r w:rsidRPr="00EB11D3">
        <w:rPr>
          <w:szCs w:val="24"/>
        </w:rPr>
        <w:t xml:space="preserve">The results in Table 26 indicate that corporate governance is positively and significantly related with </w:t>
      </w:r>
      <w:bookmarkStart w:id="830" w:name="_Hlk160726396"/>
      <w:r w:rsidR="006D5C62" w:rsidRPr="00EB11D3">
        <w:rPr>
          <w:bCs/>
          <w:szCs w:val="24"/>
        </w:rPr>
        <w:t>Organisational performance of Faith-Based Hospitals</w:t>
      </w:r>
      <w:r w:rsidRPr="00EB11D3">
        <w:rPr>
          <w:szCs w:val="24"/>
        </w:rPr>
        <w:t xml:space="preserve"> </w:t>
      </w:r>
      <w:bookmarkEnd w:id="830"/>
      <w:r w:rsidRPr="00EB11D3">
        <w:rPr>
          <w:szCs w:val="24"/>
        </w:rPr>
        <w:t xml:space="preserve">in Kenya (r=0.783, p&lt;0.05). Service innovation is positively and significantly related </w:t>
      </w:r>
      <w:r w:rsidR="006D5C62" w:rsidRPr="00EB11D3">
        <w:rPr>
          <w:bCs/>
          <w:szCs w:val="24"/>
        </w:rPr>
        <w:t>Organisational performance of Faith-Based Hospitals</w:t>
      </w:r>
      <w:r w:rsidRPr="00EB11D3">
        <w:rPr>
          <w:szCs w:val="24"/>
        </w:rPr>
        <w:t xml:space="preserve"> in Kenya (r=0.891, p&lt;0.05). Government regulations is positively and significantly related with </w:t>
      </w:r>
      <w:bookmarkStart w:id="831" w:name="_Hlk160726529"/>
      <w:r w:rsidR="006D5C62" w:rsidRPr="00EB11D3">
        <w:rPr>
          <w:bCs/>
          <w:szCs w:val="24"/>
        </w:rPr>
        <w:t>Organisational performance of Faith-Based Hospitals</w:t>
      </w:r>
      <w:r w:rsidRPr="00EB11D3">
        <w:rPr>
          <w:szCs w:val="24"/>
        </w:rPr>
        <w:t xml:space="preserve"> </w:t>
      </w:r>
      <w:bookmarkEnd w:id="831"/>
      <w:r w:rsidRPr="00EB11D3">
        <w:rPr>
          <w:szCs w:val="24"/>
        </w:rPr>
        <w:t xml:space="preserve">in Kenya (r=0.794, p&lt;0.05). Since the R-values were above 0.5, this is an indication that </w:t>
      </w:r>
      <w:bookmarkStart w:id="832" w:name="_Hlk160725489"/>
      <w:r w:rsidRPr="00EB11D3">
        <w:rPr>
          <w:szCs w:val="24"/>
        </w:rPr>
        <w:t xml:space="preserve">corporate governance, service innovation and government regulations </w:t>
      </w:r>
      <w:bookmarkEnd w:id="832"/>
      <w:r w:rsidRPr="00EB11D3">
        <w:rPr>
          <w:szCs w:val="24"/>
        </w:rPr>
        <w:t xml:space="preserve">were strongly correlated with </w:t>
      </w:r>
      <w:r w:rsidR="006D5C62" w:rsidRPr="00EB11D3">
        <w:rPr>
          <w:bCs/>
          <w:szCs w:val="24"/>
        </w:rPr>
        <w:t>Organisational performance of Faith-Based Hospitals</w:t>
      </w:r>
      <w:r w:rsidRPr="00EB11D3">
        <w:rPr>
          <w:szCs w:val="24"/>
        </w:rPr>
        <w:t xml:space="preserve"> in Kenya.</w:t>
      </w:r>
    </w:p>
    <w:p w14:paraId="6D9CC179" w14:textId="77777777" w:rsidR="003859C9" w:rsidRPr="00EB11D3" w:rsidRDefault="003859C9" w:rsidP="003859C9">
      <w:pPr>
        <w:autoSpaceDE w:val="0"/>
        <w:autoSpaceDN w:val="0"/>
        <w:adjustRightInd w:val="0"/>
        <w:spacing w:after="0" w:line="400" w:lineRule="atLeast"/>
        <w:jc w:val="left"/>
        <w:rPr>
          <w:b/>
          <w:bCs/>
          <w:szCs w:val="24"/>
        </w:rPr>
      </w:pPr>
      <w:bookmarkStart w:id="833" w:name="_Toc126071143"/>
    </w:p>
    <w:p w14:paraId="31B74082" w14:textId="77777777" w:rsidR="003859C9" w:rsidRPr="00EB11D3" w:rsidRDefault="000D666C" w:rsidP="00823CEA">
      <w:pPr>
        <w:pStyle w:val="Heading2"/>
      </w:pPr>
      <w:bookmarkStart w:id="834" w:name="_Toc177387885"/>
      <w:r w:rsidRPr="00EB11D3">
        <w:t>4.</w:t>
      </w:r>
      <w:r w:rsidR="004373D8">
        <w:t>6</w:t>
      </w:r>
      <w:r w:rsidRPr="00EB11D3">
        <w:t xml:space="preserve"> </w:t>
      </w:r>
      <w:r w:rsidR="003859C9" w:rsidRPr="00EB11D3">
        <w:t>Hypotheses Testing</w:t>
      </w:r>
      <w:bookmarkEnd w:id="833"/>
      <w:bookmarkEnd w:id="834"/>
    </w:p>
    <w:p w14:paraId="5E329750" w14:textId="77777777" w:rsidR="003859C9" w:rsidRPr="00EB11D3" w:rsidRDefault="00292E95" w:rsidP="003859C9">
      <w:pPr>
        <w:autoSpaceDE w:val="0"/>
        <w:autoSpaceDN w:val="0"/>
        <w:adjustRightInd w:val="0"/>
        <w:spacing w:after="0" w:line="400" w:lineRule="atLeast"/>
        <w:rPr>
          <w:szCs w:val="24"/>
          <w:lang w:val="en"/>
        </w:rPr>
      </w:pPr>
      <w:r w:rsidRPr="00292E95">
        <w:rPr>
          <w:szCs w:val="24"/>
        </w:rPr>
        <w:t xml:space="preserve">The results of </w:t>
      </w:r>
      <w:r>
        <w:rPr>
          <w:szCs w:val="24"/>
        </w:rPr>
        <w:t xml:space="preserve">testing </w:t>
      </w:r>
      <w:r w:rsidRPr="00292E95">
        <w:rPr>
          <w:szCs w:val="24"/>
        </w:rPr>
        <w:t xml:space="preserve">the hypotheses are shown in this section. The conceptual model's conceptualization and presentation of the study's variable relationships are explained by the hypotheses. There were four main goals of the study, and four related hypotheses. The relationship between </w:t>
      </w:r>
      <w:r w:rsidR="00290ED4">
        <w:rPr>
          <w:szCs w:val="24"/>
        </w:rPr>
        <w:t>organisational performance of faith-based hospitals in Kenya</w:t>
      </w:r>
      <w:r w:rsidRPr="00292E95">
        <w:rPr>
          <w:szCs w:val="24"/>
        </w:rPr>
        <w:t xml:space="preserve"> and corporate governance, as well as the moderating influence of government regulations on this relationship, are all the subject of hypothesis testing. Additionally, the mediating role of service innovation and the relationship between </w:t>
      </w:r>
      <w:r w:rsidR="00290ED4">
        <w:rPr>
          <w:szCs w:val="24"/>
        </w:rPr>
        <w:t>organisational performance of faith-based hospitals in Kenya</w:t>
      </w:r>
      <w:r w:rsidRPr="00292E95">
        <w:rPr>
          <w:szCs w:val="24"/>
        </w:rPr>
        <w:t xml:space="preserve"> and corporate governance are also examined. The final hypothesis examined how government regulation and service innovation mediated the connection between corporate governance and organisational performance </w:t>
      </w:r>
      <w:r>
        <w:rPr>
          <w:szCs w:val="24"/>
        </w:rPr>
        <w:t>of</w:t>
      </w:r>
      <w:r w:rsidRPr="00292E95">
        <w:rPr>
          <w:szCs w:val="24"/>
        </w:rPr>
        <w:t xml:space="preserve"> faith-based hospitals</w:t>
      </w:r>
      <w:r>
        <w:rPr>
          <w:szCs w:val="24"/>
        </w:rPr>
        <w:t xml:space="preserve"> in Kenya</w:t>
      </w:r>
      <w:r w:rsidRPr="00292E95">
        <w:rPr>
          <w:szCs w:val="24"/>
        </w:rPr>
        <w:t>.</w:t>
      </w:r>
      <w:bookmarkStart w:id="835" w:name="_Hlk129523859"/>
      <w:r w:rsidR="003859C9" w:rsidRPr="00EB11D3">
        <w:rPr>
          <w:szCs w:val="24"/>
          <w:lang w:val="en"/>
        </w:rPr>
        <w:t xml:space="preserve"> </w:t>
      </w:r>
      <w:r w:rsidR="003859C9" w:rsidRPr="00EB11D3">
        <w:rPr>
          <w:szCs w:val="24"/>
        </w:rPr>
        <w:t xml:space="preserve">The first hypothesis was tested using simple regression model. The second, third and fourth hypotheses for mediation and moderation models respectively were tested using stepwise approach as suggested by Baron and Kenny (1986). The tests were done at 5% significance level (α = 0.05). </w:t>
      </w:r>
      <w:bookmarkEnd w:id="835"/>
      <w:r w:rsidR="003859C9" w:rsidRPr="00EB11D3">
        <w:rPr>
          <w:szCs w:val="24"/>
        </w:rPr>
        <w:t>The evaluation focused on the hypotheses derived from the objectives of the study.</w:t>
      </w:r>
    </w:p>
    <w:p w14:paraId="55E3BAF8" w14:textId="77777777" w:rsidR="003859C9" w:rsidRPr="00EB11D3" w:rsidRDefault="003859C9" w:rsidP="003859C9">
      <w:pPr>
        <w:autoSpaceDE w:val="0"/>
        <w:autoSpaceDN w:val="0"/>
        <w:adjustRightInd w:val="0"/>
        <w:spacing w:after="0" w:line="400" w:lineRule="atLeast"/>
        <w:jc w:val="left"/>
        <w:rPr>
          <w:b/>
          <w:bCs/>
          <w:szCs w:val="24"/>
          <w:lang w:val="en-GB"/>
        </w:rPr>
      </w:pPr>
      <w:bookmarkStart w:id="836" w:name="_Toc124240253"/>
      <w:bookmarkStart w:id="837" w:name="_Toc126071144"/>
    </w:p>
    <w:p w14:paraId="1C888CF2" w14:textId="77777777" w:rsidR="003859C9" w:rsidRPr="00EB11D3" w:rsidRDefault="003859C9" w:rsidP="00823CEA">
      <w:pPr>
        <w:pStyle w:val="Heading3"/>
      </w:pPr>
      <w:bookmarkStart w:id="838" w:name="_Toc164151267"/>
      <w:bookmarkStart w:id="839" w:name="_Toc168673459"/>
      <w:bookmarkStart w:id="840" w:name="_Toc168737901"/>
      <w:bookmarkStart w:id="841" w:name="_Toc171602654"/>
      <w:bookmarkStart w:id="842" w:name="_Toc171603481"/>
      <w:bookmarkStart w:id="843" w:name="_Toc177387886"/>
      <w:r w:rsidRPr="00EB11D3">
        <w:t>4.</w:t>
      </w:r>
      <w:r w:rsidR="004373D8">
        <w:t>6</w:t>
      </w:r>
      <w:r w:rsidRPr="00EB11D3">
        <w:t xml:space="preserve">.1 </w:t>
      </w:r>
      <w:bookmarkStart w:id="844" w:name="_Hlk160728261"/>
      <w:bookmarkStart w:id="845" w:name="_Hlk170495286"/>
      <w:bookmarkEnd w:id="836"/>
      <w:bookmarkEnd w:id="837"/>
      <w:r w:rsidRPr="00EB11D3">
        <w:t xml:space="preserve">Corporate Governance </w:t>
      </w:r>
      <w:r w:rsidR="003C5420" w:rsidRPr="00EB11D3">
        <w:t xml:space="preserve">and </w:t>
      </w:r>
      <w:r w:rsidR="006D5C62" w:rsidRPr="00EB11D3">
        <w:t xml:space="preserve">Organisational </w:t>
      </w:r>
      <w:r w:rsidR="00EB2799" w:rsidRPr="00EB11D3">
        <w:t>P</w:t>
      </w:r>
      <w:r w:rsidR="006D5C62" w:rsidRPr="00EB11D3">
        <w:t>erformance of Faith-Based Hospitals</w:t>
      </w:r>
      <w:bookmarkEnd w:id="838"/>
      <w:bookmarkEnd w:id="839"/>
      <w:bookmarkEnd w:id="840"/>
      <w:bookmarkEnd w:id="841"/>
      <w:bookmarkEnd w:id="842"/>
      <w:bookmarkEnd w:id="843"/>
    </w:p>
    <w:bookmarkEnd w:id="844"/>
    <w:p w14:paraId="3D93D304" w14:textId="77777777" w:rsidR="00B94AAB" w:rsidRDefault="00B94AAB" w:rsidP="00823CEA">
      <w:pPr>
        <w:autoSpaceDE w:val="0"/>
        <w:autoSpaceDN w:val="0"/>
        <w:adjustRightInd w:val="0"/>
        <w:spacing w:after="0" w:line="400" w:lineRule="atLeast"/>
        <w:rPr>
          <w:szCs w:val="24"/>
        </w:rPr>
      </w:pPr>
      <w:r w:rsidRPr="00B94AAB">
        <w:rPr>
          <w:szCs w:val="24"/>
        </w:rPr>
        <w:t xml:space="preserve">The study's primary goal was to determine how corporate governance affected </w:t>
      </w:r>
      <w:r w:rsidR="00290ED4">
        <w:rPr>
          <w:szCs w:val="24"/>
        </w:rPr>
        <w:t>organisational performance of faith-based hospitals in Kenya</w:t>
      </w:r>
      <w:r w:rsidRPr="00B94AAB">
        <w:rPr>
          <w:szCs w:val="24"/>
        </w:rPr>
        <w:t>. The statistical relevance of the independent variable (corporate governance) on the dependent variable (organisational performance) in Kenyan faith-based hospitals was examined using a basic regression model. The first hypothesis, according to the null form, is that corporate governance has no significant effect on the organisational performance of faith-based hospitals.</w:t>
      </w:r>
      <w:r w:rsidR="003859C9" w:rsidRPr="00EB11D3">
        <w:rPr>
          <w:b/>
          <w:bCs/>
          <w:szCs w:val="24"/>
          <w:lang w:val="en-GB"/>
        </w:rPr>
        <w:t xml:space="preserve"> </w:t>
      </w:r>
      <w:r w:rsidR="003859C9" w:rsidRPr="00EB11D3">
        <w:rPr>
          <w:szCs w:val="24"/>
        </w:rPr>
        <w:t>The hypothesis was tested by regressing corporate governance</w:t>
      </w:r>
      <w:r w:rsidR="003C5420" w:rsidRPr="00EB11D3">
        <w:rPr>
          <w:szCs w:val="24"/>
        </w:rPr>
        <w:t xml:space="preserve"> </w:t>
      </w:r>
      <w:r w:rsidR="003859C9" w:rsidRPr="00EB11D3">
        <w:rPr>
          <w:szCs w:val="24"/>
        </w:rPr>
        <w:t>and organisational performance   guided by the equation</w:t>
      </w:r>
      <w:r>
        <w:rPr>
          <w:szCs w:val="24"/>
        </w:rPr>
        <w:t>;</w:t>
      </w:r>
      <w:r w:rsidR="003859C9" w:rsidRPr="00EB11D3">
        <w:rPr>
          <w:szCs w:val="24"/>
        </w:rPr>
        <w:t xml:space="preserve"> </w:t>
      </w:r>
    </w:p>
    <w:p w14:paraId="6B1315A5" w14:textId="77777777" w:rsidR="00B94AAB" w:rsidRDefault="00B94AAB" w:rsidP="00823CEA">
      <w:pPr>
        <w:autoSpaceDE w:val="0"/>
        <w:autoSpaceDN w:val="0"/>
        <w:adjustRightInd w:val="0"/>
        <w:spacing w:after="0" w:line="400" w:lineRule="atLeast"/>
        <w:rPr>
          <w:szCs w:val="24"/>
        </w:rPr>
      </w:pPr>
    </w:p>
    <w:p w14:paraId="563248EF" w14:textId="77777777" w:rsidR="003859C9" w:rsidRPr="00EB11D3" w:rsidRDefault="003859C9" w:rsidP="00823CEA">
      <w:pPr>
        <w:autoSpaceDE w:val="0"/>
        <w:autoSpaceDN w:val="0"/>
        <w:adjustRightInd w:val="0"/>
        <w:spacing w:after="0" w:line="400" w:lineRule="atLeast"/>
        <w:rPr>
          <w:b/>
          <w:bCs/>
          <w:szCs w:val="24"/>
          <w:lang w:val="en-GB"/>
        </w:rPr>
      </w:pPr>
      <w:r w:rsidRPr="00EB11D3">
        <w:rPr>
          <w:szCs w:val="24"/>
        </w:rPr>
        <w:t>OP = α0 + ß</w:t>
      </w:r>
      <w:r w:rsidRPr="00EB11D3">
        <w:rPr>
          <w:szCs w:val="24"/>
          <w:vertAlign w:val="subscript"/>
        </w:rPr>
        <w:t>0</w:t>
      </w:r>
      <w:r w:rsidRPr="00EB11D3">
        <w:rPr>
          <w:szCs w:val="24"/>
        </w:rPr>
        <w:t>CG+ ε</w:t>
      </w:r>
    </w:p>
    <w:p w14:paraId="6224EB8A" w14:textId="77777777" w:rsidR="003859C9" w:rsidRDefault="003859C9" w:rsidP="007E0AFF">
      <w:pPr>
        <w:autoSpaceDE w:val="0"/>
        <w:autoSpaceDN w:val="0"/>
        <w:adjustRightInd w:val="0"/>
        <w:spacing w:after="0" w:line="400" w:lineRule="atLeast"/>
        <w:rPr>
          <w:szCs w:val="24"/>
        </w:rPr>
      </w:pPr>
      <w:r w:rsidRPr="00EB11D3">
        <w:rPr>
          <w:szCs w:val="24"/>
        </w:rPr>
        <w:t xml:space="preserve">Where OP = </w:t>
      </w:r>
      <w:r w:rsidR="006D5C62" w:rsidRPr="00EB11D3">
        <w:rPr>
          <w:bCs/>
          <w:szCs w:val="24"/>
        </w:rPr>
        <w:t>Organisational performance of Faith-Based Hospitals</w:t>
      </w:r>
      <w:r w:rsidRPr="00EB11D3">
        <w:rPr>
          <w:bCs/>
          <w:szCs w:val="24"/>
          <w:lang w:val="en-GB"/>
        </w:rPr>
        <w:t xml:space="preserve"> </w:t>
      </w:r>
      <w:r w:rsidRPr="00EB11D3">
        <w:rPr>
          <w:szCs w:val="24"/>
        </w:rPr>
        <w:t xml:space="preserve">in Kenya, CG= </w:t>
      </w:r>
      <w:bookmarkStart w:id="846" w:name="_Toc126666762"/>
      <w:r w:rsidRPr="00EB11D3">
        <w:rPr>
          <w:szCs w:val="24"/>
        </w:rPr>
        <w:t>corporate governance and ε</w:t>
      </w:r>
    </w:p>
    <w:p w14:paraId="3D6CEA7E" w14:textId="77777777" w:rsidR="007E0AFF" w:rsidRPr="00EB11D3" w:rsidRDefault="007E0AFF" w:rsidP="007E0AFF">
      <w:pPr>
        <w:autoSpaceDE w:val="0"/>
        <w:autoSpaceDN w:val="0"/>
        <w:adjustRightInd w:val="0"/>
        <w:spacing w:after="0" w:line="400" w:lineRule="atLeast"/>
        <w:rPr>
          <w:b/>
          <w:bCs/>
          <w:szCs w:val="24"/>
        </w:rPr>
      </w:pPr>
    </w:p>
    <w:p w14:paraId="166CCA0E" w14:textId="77777777" w:rsidR="003859C9" w:rsidRPr="00EB11D3" w:rsidRDefault="003859C9" w:rsidP="003859C9">
      <w:pPr>
        <w:autoSpaceDE w:val="0"/>
        <w:autoSpaceDN w:val="0"/>
        <w:adjustRightInd w:val="0"/>
        <w:spacing w:after="0" w:line="400" w:lineRule="atLeast"/>
        <w:jc w:val="left"/>
        <w:rPr>
          <w:b/>
          <w:bCs/>
          <w:szCs w:val="24"/>
        </w:rPr>
      </w:pPr>
      <w:bookmarkStart w:id="847" w:name="_Toc177387958"/>
      <w:r w:rsidRPr="00EB11D3">
        <w:rPr>
          <w:b/>
          <w:bCs/>
          <w:szCs w:val="24"/>
        </w:rPr>
        <w:t xml:space="preserve">Table </w:t>
      </w:r>
      <w:r w:rsidRPr="00EB11D3">
        <w:rPr>
          <w:b/>
          <w:bCs/>
          <w:szCs w:val="24"/>
        </w:rPr>
        <w:fldChar w:fldCharType="begin"/>
      </w:r>
      <w:r w:rsidRPr="00EB11D3">
        <w:rPr>
          <w:b/>
          <w:bCs/>
          <w:szCs w:val="24"/>
        </w:rPr>
        <w:instrText xml:space="preserve"> SEQ Table \* ARABIC </w:instrText>
      </w:r>
      <w:r w:rsidRPr="00EB11D3">
        <w:rPr>
          <w:b/>
          <w:bCs/>
          <w:szCs w:val="24"/>
        </w:rPr>
        <w:fldChar w:fldCharType="separate"/>
      </w:r>
      <w:r w:rsidRPr="00EB11D3">
        <w:rPr>
          <w:b/>
          <w:bCs/>
          <w:szCs w:val="24"/>
        </w:rPr>
        <w:t>27</w:t>
      </w:r>
      <w:r w:rsidRPr="00EB11D3">
        <w:rPr>
          <w:szCs w:val="24"/>
        </w:rPr>
        <w:fldChar w:fldCharType="end"/>
      </w:r>
      <w:r w:rsidRPr="00EB11D3">
        <w:rPr>
          <w:b/>
          <w:bCs/>
          <w:szCs w:val="24"/>
        </w:rPr>
        <w:t xml:space="preserve">: Model Summary for </w:t>
      </w:r>
      <w:bookmarkEnd w:id="846"/>
      <w:r w:rsidRPr="00EB11D3">
        <w:rPr>
          <w:b/>
          <w:bCs/>
          <w:szCs w:val="24"/>
        </w:rPr>
        <w:t>Corporate governance</w:t>
      </w:r>
      <w:bookmarkEnd w:id="847"/>
      <w:r w:rsidRPr="00EB11D3">
        <w:rPr>
          <w:b/>
          <w:bCs/>
          <w:szCs w:val="24"/>
        </w:rPr>
        <w:t xml:space="preserve">  </w:t>
      </w:r>
    </w:p>
    <w:p w14:paraId="66902C3D" w14:textId="77777777" w:rsidR="003859C9" w:rsidRPr="00EB11D3" w:rsidRDefault="003859C9" w:rsidP="003859C9">
      <w:pPr>
        <w:autoSpaceDE w:val="0"/>
        <w:autoSpaceDN w:val="0"/>
        <w:adjustRightInd w:val="0"/>
        <w:spacing w:after="0" w:line="400" w:lineRule="atLeast"/>
        <w:jc w:val="left"/>
        <w:rPr>
          <w:b/>
          <w:bCs/>
          <w:szCs w:val="24"/>
        </w:rPr>
      </w:pPr>
    </w:p>
    <w:tbl>
      <w:tblPr>
        <w:tblW w:w="5000" w:type="pct"/>
        <w:tblCellMar>
          <w:left w:w="0" w:type="dxa"/>
          <w:right w:w="0" w:type="dxa"/>
        </w:tblCellMar>
        <w:tblLook w:val="0000" w:firstRow="0" w:lastRow="0" w:firstColumn="0" w:lastColumn="0" w:noHBand="0" w:noVBand="0"/>
      </w:tblPr>
      <w:tblGrid>
        <w:gridCol w:w="1271"/>
        <w:gridCol w:w="1638"/>
        <w:gridCol w:w="1739"/>
        <w:gridCol w:w="2351"/>
        <w:gridCol w:w="2351"/>
      </w:tblGrid>
      <w:tr w:rsidR="003859C9" w:rsidRPr="00EB11D3" w14:paraId="627BC7D1" w14:textId="77777777" w:rsidTr="00823CEA">
        <w:trPr>
          <w:cantSplit/>
          <w:trHeight w:val="400"/>
        </w:trPr>
        <w:tc>
          <w:tcPr>
            <w:tcW w:w="680" w:type="pct"/>
            <w:vMerge w:val="restart"/>
            <w:tcBorders>
              <w:top w:val="single" w:sz="4" w:space="0" w:color="auto"/>
              <w:left w:val="nil"/>
              <w:bottom w:val="nil"/>
              <w:right w:val="nil"/>
            </w:tcBorders>
            <w:shd w:val="clear" w:color="auto" w:fill="auto"/>
            <w:vAlign w:val="bottom"/>
          </w:tcPr>
          <w:p w14:paraId="43FDFFFE"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Model</w:t>
            </w:r>
          </w:p>
        </w:tc>
        <w:tc>
          <w:tcPr>
            <w:tcW w:w="876" w:type="pct"/>
            <w:vMerge w:val="restart"/>
            <w:tcBorders>
              <w:top w:val="single" w:sz="4" w:space="0" w:color="auto"/>
              <w:left w:val="nil"/>
              <w:bottom w:val="nil"/>
              <w:right w:val="single" w:sz="8" w:space="0" w:color="E0E0E0"/>
            </w:tcBorders>
            <w:shd w:val="clear" w:color="auto" w:fill="auto"/>
            <w:vAlign w:val="bottom"/>
          </w:tcPr>
          <w:p w14:paraId="02529954"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R</w:t>
            </w:r>
          </w:p>
        </w:tc>
        <w:tc>
          <w:tcPr>
            <w:tcW w:w="930" w:type="pct"/>
            <w:vMerge w:val="restart"/>
            <w:tcBorders>
              <w:top w:val="single" w:sz="4" w:space="0" w:color="auto"/>
              <w:left w:val="single" w:sz="8" w:space="0" w:color="E0E0E0"/>
              <w:bottom w:val="nil"/>
              <w:right w:val="single" w:sz="8" w:space="0" w:color="E0E0E0"/>
            </w:tcBorders>
            <w:shd w:val="clear" w:color="auto" w:fill="auto"/>
            <w:vAlign w:val="bottom"/>
          </w:tcPr>
          <w:p w14:paraId="35D0EE21"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R Square</w:t>
            </w:r>
          </w:p>
        </w:tc>
        <w:tc>
          <w:tcPr>
            <w:tcW w:w="1257" w:type="pct"/>
            <w:vMerge w:val="restart"/>
            <w:tcBorders>
              <w:top w:val="single" w:sz="4" w:space="0" w:color="auto"/>
              <w:left w:val="single" w:sz="8" w:space="0" w:color="E0E0E0"/>
              <w:bottom w:val="nil"/>
              <w:right w:val="single" w:sz="8" w:space="0" w:color="E0E0E0"/>
            </w:tcBorders>
            <w:shd w:val="clear" w:color="auto" w:fill="auto"/>
            <w:vAlign w:val="bottom"/>
          </w:tcPr>
          <w:p w14:paraId="2B4C2DD3"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Adjusted R Square</w:t>
            </w:r>
          </w:p>
        </w:tc>
        <w:tc>
          <w:tcPr>
            <w:tcW w:w="1257" w:type="pct"/>
            <w:vMerge w:val="restart"/>
            <w:tcBorders>
              <w:top w:val="single" w:sz="4" w:space="0" w:color="auto"/>
              <w:left w:val="single" w:sz="8" w:space="0" w:color="E0E0E0"/>
              <w:bottom w:val="nil"/>
              <w:right w:val="single" w:sz="8" w:space="0" w:color="E0E0E0"/>
            </w:tcBorders>
            <w:shd w:val="clear" w:color="auto" w:fill="auto"/>
            <w:vAlign w:val="bottom"/>
          </w:tcPr>
          <w:p w14:paraId="2486CD39"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Std. Error of the Estimate</w:t>
            </w:r>
          </w:p>
        </w:tc>
      </w:tr>
      <w:tr w:rsidR="003859C9" w:rsidRPr="00EB11D3" w14:paraId="2A2A9E12" w14:textId="77777777" w:rsidTr="00007E09">
        <w:trPr>
          <w:cantSplit/>
          <w:trHeight w:val="400"/>
        </w:trPr>
        <w:tc>
          <w:tcPr>
            <w:tcW w:w="680" w:type="pct"/>
            <w:vMerge/>
            <w:tcBorders>
              <w:top w:val="nil"/>
              <w:left w:val="nil"/>
              <w:bottom w:val="nil"/>
              <w:right w:val="nil"/>
            </w:tcBorders>
            <w:shd w:val="clear" w:color="auto" w:fill="auto"/>
            <w:vAlign w:val="bottom"/>
          </w:tcPr>
          <w:p w14:paraId="41AD7B09" w14:textId="77777777" w:rsidR="003859C9" w:rsidRPr="00EB11D3" w:rsidRDefault="003859C9" w:rsidP="003859C9">
            <w:pPr>
              <w:autoSpaceDE w:val="0"/>
              <w:autoSpaceDN w:val="0"/>
              <w:adjustRightInd w:val="0"/>
              <w:spacing w:after="0" w:line="400" w:lineRule="atLeast"/>
              <w:jc w:val="left"/>
              <w:rPr>
                <w:bCs/>
                <w:szCs w:val="24"/>
              </w:rPr>
            </w:pPr>
          </w:p>
        </w:tc>
        <w:tc>
          <w:tcPr>
            <w:tcW w:w="876" w:type="pct"/>
            <w:vMerge/>
            <w:tcBorders>
              <w:top w:val="nil"/>
              <w:left w:val="nil"/>
              <w:bottom w:val="nil"/>
              <w:right w:val="single" w:sz="8" w:space="0" w:color="E0E0E0"/>
            </w:tcBorders>
            <w:shd w:val="clear" w:color="auto" w:fill="auto"/>
            <w:vAlign w:val="bottom"/>
          </w:tcPr>
          <w:p w14:paraId="3755E781" w14:textId="77777777" w:rsidR="003859C9" w:rsidRPr="00EB11D3" w:rsidRDefault="003859C9" w:rsidP="003859C9">
            <w:pPr>
              <w:autoSpaceDE w:val="0"/>
              <w:autoSpaceDN w:val="0"/>
              <w:adjustRightInd w:val="0"/>
              <w:spacing w:after="0" w:line="400" w:lineRule="atLeast"/>
              <w:jc w:val="left"/>
              <w:rPr>
                <w:bCs/>
                <w:szCs w:val="24"/>
              </w:rPr>
            </w:pPr>
          </w:p>
        </w:tc>
        <w:tc>
          <w:tcPr>
            <w:tcW w:w="930" w:type="pct"/>
            <w:vMerge/>
            <w:tcBorders>
              <w:top w:val="nil"/>
              <w:left w:val="single" w:sz="8" w:space="0" w:color="E0E0E0"/>
              <w:bottom w:val="nil"/>
              <w:right w:val="single" w:sz="8" w:space="0" w:color="E0E0E0"/>
            </w:tcBorders>
            <w:shd w:val="clear" w:color="auto" w:fill="auto"/>
            <w:vAlign w:val="bottom"/>
          </w:tcPr>
          <w:p w14:paraId="759F1488" w14:textId="77777777" w:rsidR="003859C9" w:rsidRPr="00EB11D3" w:rsidRDefault="003859C9" w:rsidP="003859C9">
            <w:pPr>
              <w:autoSpaceDE w:val="0"/>
              <w:autoSpaceDN w:val="0"/>
              <w:adjustRightInd w:val="0"/>
              <w:spacing w:after="0" w:line="400" w:lineRule="atLeast"/>
              <w:jc w:val="left"/>
              <w:rPr>
                <w:bCs/>
                <w:szCs w:val="24"/>
              </w:rPr>
            </w:pPr>
          </w:p>
        </w:tc>
        <w:tc>
          <w:tcPr>
            <w:tcW w:w="1257" w:type="pct"/>
            <w:vMerge/>
            <w:tcBorders>
              <w:top w:val="nil"/>
              <w:left w:val="single" w:sz="8" w:space="0" w:color="E0E0E0"/>
              <w:bottom w:val="nil"/>
              <w:right w:val="single" w:sz="8" w:space="0" w:color="E0E0E0"/>
            </w:tcBorders>
            <w:shd w:val="clear" w:color="auto" w:fill="auto"/>
            <w:vAlign w:val="bottom"/>
          </w:tcPr>
          <w:p w14:paraId="72E388FC" w14:textId="77777777" w:rsidR="003859C9" w:rsidRPr="00EB11D3" w:rsidRDefault="003859C9" w:rsidP="003859C9">
            <w:pPr>
              <w:autoSpaceDE w:val="0"/>
              <w:autoSpaceDN w:val="0"/>
              <w:adjustRightInd w:val="0"/>
              <w:spacing w:after="0" w:line="400" w:lineRule="atLeast"/>
              <w:jc w:val="left"/>
              <w:rPr>
                <w:bCs/>
                <w:szCs w:val="24"/>
              </w:rPr>
            </w:pPr>
          </w:p>
        </w:tc>
        <w:tc>
          <w:tcPr>
            <w:tcW w:w="1257" w:type="pct"/>
            <w:vMerge/>
            <w:tcBorders>
              <w:top w:val="nil"/>
              <w:left w:val="single" w:sz="8" w:space="0" w:color="E0E0E0"/>
              <w:bottom w:val="nil"/>
              <w:right w:val="single" w:sz="8" w:space="0" w:color="E0E0E0"/>
            </w:tcBorders>
            <w:shd w:val="clear" w:color="auto" w:fill="auto"/>
            <w:vAlign w:val="bottom"/>
          </w:tcPr>
          <w:p w14:paraId="1E0B14D3" w14:textId="77777777" w:rsidR="003859C9" w:rsidRPr="00EB11D3" w:rsidRDefault="003859C9" w:rsidP="003859C9">
            <w:pPr>
              <w:autoSpaceDE w:val="0"/>
              <w:autoSpaceDN w:val="0"/>
              <w:adjustRightInd w:val="0"/>
              <w:spacing w:after="0" w:line="400" w:lineRule="atLeast"/>
              <w:jc w:val="left"/>
              <w:rPr>
                <w:bCs/>
                <w:szCs w:val="24"/>
              </w:rPr>
            </w:pPr>
          </w:p>
        </w:tc>
      </w:tr>
      <w:tr w:rsidR="003859C9" w:rsidRPr="00EB11D3" w14:paraId="25B311D8" w14:textId="77777777" w:rsidTr="00007E09">
        <w:trPr>
          <w:cantSplit/>
        </w:trPr>
        <w:tc>
          <w:tcPr>
            <w:tcW w:w="680" w:type="pct"/>
            <w:tcBorders>
              <w:top w:val="single" w:sz="8" w:space="0" w:color="152935"/>
              <w:left w:val="nil"/>
              <w:bottom w:val="single" w:sz="8" w:space="0" w:color="152935"/>
              <w:right w:val="nil"/>
            </w:tcBorders>
            <w:shd w:val="clear" w:color="auto" w:fill="auto"/>
          </w:tcPr>
          <w:p w14:paraId="3FFEF3F4"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1</w:t>
            </w:r>
          </w:p>
        </w:tc>
        <w:tc>
          <w:tcPr>
            <w:tcW w:w="876" w:type="pct"/>
            <w:tcBorders>
              <w:top w:val="single" w:sz="8" w:space="0" w:color="152935"/>
              <w:left w:val="nil"/>
              <w:bottom w:val="single" w:sz="8" w:space="0" w:color="152935"/>
              <w:right w:val="single" w:sz="8" w:space="0" w:color="E0E0E0"/>
            </w:tcBorders>
            <w:shd w:val="clear" w:color="auto" w:fill="auto"/>
          </w:tcPr>
          <w:p w14:paraId="32E1A232"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.783</w:t>
            </w:r>
            <w:r w:rsidRPr="00EB11D3">
              <w:rPr>
                <w:bCs/>
                <w:szCs w:val="24"/>
                <w:vertAlign w:val="superscript"/>
              </w:rPr>
              <w:t>a</w:t>
            </w:r>
          </w:p>
        </w:tc>
        <w:tc>
          <w:tcPr>
            <w:tcW w:w="930" w:type="pct"/>
            <w:tcBorders>
              <w:top w:val="single" w:sz="8" w:space="0" w:color="152935"/>
              <w:left w:val="single" w:sz="8" w:space="0" w:color="E0E0E0"/>
              <w:bottom w:val="single" w:sz="8" w:space="0" w:color="152935"/>
              <w:right w:val="single" w:sz="8" w:space="0" w:color="E0E0E0"/>
            </w:tcBorders>
            <w:shd w:val="clear" w:color="auto" w:fill="auto"/>
          </w:tcPr>
          <w:p w14:paraId="151827BE"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.613</w:t>
            </w:r>
          </w:p>
        </w:tc>
        <w:tc>
          <w:tcPr>
            <w:tcW w:w="1257" w:type="pct"/>
            <w:tcBorders>
              <w:top w:val="single" w:sz="8" w:space="0" w:color="152935"/>
              <w:left w:val="single" w:sz="8" w:space="0" w:color="E0E0E0"/>
              <w:bottom w:val="single" w:sz="8" w:space="0" w:color="152935"/>
              <w:right w:val="single" w:sz="8" w:space="0" w:color="E0E0E0"/>
            </w:tcBorders>
            <w:shd w:val="clear" w:color="auto" w:fill="auto"/>
          </w:tcPr>
          <w:p w14:paraId="5AB953C0"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.611</w:t>
            </w:r>
          </w:p>
        </w:tc>
        <w:tc>
          <w:tcPr>
            <w:tcW w:w="1257" w:type="pct"/>
            <w:tcBorders>
              <w:top w:val="single" w:sz="8" w:space="0" w:color="152935"/>
              <w:left w:val="single" w:sz="8" w:space="0" w:color="E0E0E0"/>
              <w:bottom w:val="single" w:sz="8" w:space="0" w:color="152935"/>
              <w:right w:val="single" w:sz="8" w:space="0" w:color="E0E0E0"/>
            </w:tcBorders>
            <w:shd w:val="clear" w:color="auto" w:fill="auto"/>
          </w:tcPr>
          <w:p w14:paraId="12CEE1A4"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.47443</w:t>
            </w:r>
          </w:p>
        </w:tc>
      </w:tr>
    </w:tbl>
    <w:p w14:paraId="61C046F6" w14:textId="77777777" w:rsidR="003859C9" w:rsidRPr="00EB11D3" w:rsidRDefault="003859C9" w:rsidP="003859C9">
      <w:pPr>
        <w:autoSpaceDE w:val="0"/>
        <w:autoSpaceDN w:val="0"/>
        <w:adjustRightInd w:val="0"/>
        <w:spacing w:after="0" w:line="400" w:lineRule="atLeast"/>
        <w:jc w:val="left"/>
        <w:rPr>
          <w:b/>
          <w:bCs/>
          <w:szCs w:val="24"/>
        </w:rPr>
      </w:pPr>
    </w:p>
    <w:p w14:paraId="286F2DC0" w14:textId="77777777" w:rsidR="003859C9" w:rsidRPr="00EB11D3" w:rsidRDefault="007E0AFF" w:rsidP="003859C9">
      <w:pPr>
        <w:shd w:val="clear" w:color="auto" w:fill="FFFFFF"/>
        <w:spacing w:after="160" w:line="360" w:lineRule="auto"/>
        <w:rPr>
          <w:rFonts w:eastAsia="Cambria"/>
          <w:szCs w:val="24"/>
        </w:rPr>
      </w:pPr>
      <w:r w:rsidRPr="007E0AFF">
        <w:rPr>
          <w:rFonts w:eastAsia="Cambria"/>
          <w:szCs w:val="24"/>
        </w:rPr>
        <w:t xml:space="preserve">The coefficient of determination (R Square) is .613, as shown in Table 27. According to the model, 61.3% of the variation in </w:t>
      </w:r>
      <w:r w:rsidR="00290ED4">
        <w:rPr>
          <w:rFonts w:eastAsia="Cambria"/>
          <w:szCs w:val="24"/>
        </w:rPr>
        <w:t>organisational performance of faith-based hospitals in Kenya</w:t>
      </w:r>
      <w:r w:rsidRPr="007E0AFF">
        <w:rPr>
          <w:rFonts w:eastAsia="Cambria"/>
          <w:szCs w:val="24"/>
        </w:rPr>
        <w:t xml:space="preserve"> can be explained by corporate governance. This suggests that corporate governance has a major </w:t>
      </w:r>
      <w:r w:rsidR="00043B2E">
        <w:rPr>
          <w:rFonts w:eastAsia="Cambria"/>
          <w:szCs w:val="24"/>
        </w:rPr>
        <w:t>effect</w:t>
      </w:r>
      <w:r w:rsidRPr="007E0AFF">
        <w:rPr>
          <w:rFonts w:eastAsia="Cambria"/>
          <w:szCs w:val="24"/>
        </w:rPr>
        <w:t xml:space="preserve"> </w:t>
      </w:r>
      <w:r w:rsidR="0067244C" w:rsidRPr="007E0AFF">
        <w:rPr>
          <w:rFonts w:eastAsia="Cambria"/>
          <w:szCs w:val="24"/>
        </w:rPr>
        <w:t>on organisational</w:t>
      </w:r>
      <w:r w:rsidR="00290ED4">
        <w:rPr>
          <w:rFonts w:eastAsia="Cambria"/>
          <w:szCs w:val="24"/>
        </w:rPr>
        <w:t xml:space="preserve"> performance of </w:t>
      </w:r>
      <w:r w:rsidR="0067244C">
        <w:rPr>
          <w:rFonts w:eastAsia="Cambria"/>
          <w:szCs w:val="24"/>
        </w:rPr>
        <w:t>faith-based</w:t>
      </w:r>
      <w:r w:rsidR="00290ED4">
        <w:rPr>
          <w:rFonts w:eastAsia="Cambria"/>
          <w:szCs w:val="24"/>
        </w:rPr>
        <w:t xml:space="preserve"> hospitals in Kenya</w:t>
      </w:r>
      <w:r w:rsidRPr="007E0AFF">
        <w:rPr>
          <w:rFonts w:eastAsia="Cambria"/>
          <w:szCs w:val="24"/>
        </w:rPr>
        <w:t>.</w:t>
      </w:r>
    </w:p>
    <w:p w14:paraId="4C3AE52F" w14:textId="77777777" w:rsidR="003859C9" w:rsidRPr="00EB11D3" w:rsidRDefault="003859C9" w:rsidP="003859C9">
      <w:pPr>
        <w:spacing w:after="0" w:line="240" w:lineRule="auto"/>
        <w:jc w:val="left"/>
        <w:rPr>
          <w:rFonts w:eastAsia="Times New Roman"/>
          <w:szCs w:val="24"/>
        </w:rPr>
      </w:pPr>
    </w:p>
    <w:p w14:paraId="0A770C07" w14:textId="77777777" w:rsidR="003859C9" w:rsidRPr="00EB11D3" w:rsidRDefault="003859C9" w:rsidP="00823CEA">
      <w:pPr>
        <w:shd w:val="clear" w:color="auto" w:fill="FFFFFF"/>
        <w:spacing w:after="0" w:line="240" w:lineRule="auto"/>
        <w:jc w:val="left"/>
        <w:rPr>
          <w:b/>
          <w:bCs/>
          <w:szCs w:val="24"/>
        </w:rPr>
      </w:pPr>
      <w:bookmarkStart w:id="848" w:name="_Toc126666763"/>
      <w:bookmarkStart w:id="849" w:name="_Toc177387959"/>
      <w:r w:rsidRPr="00EB11D3">
        <w:rPr>
          <w:rFonts w:eastAsia="Times New Roman"/>
          <w:b/>
          <w:bCs/>
          <w:szCs w:val="24"/>
        </w:rPr>
        <w:t xml:space="preserve">Table </w:t>
      </w:r>
      <w:r w:rsidRPr="00EB11D3">
        <w:rPr>
          <w:rFonts w:eastAsia="Times New Roman"/>
          <w:b/>
          <w:bCs/>
          <w:szCs w:val="24"/>
        </w:rPr>
        <w:fldChar w:fldCharType="begin"/>
      </w:r>
      <w:r w:rsidRPr="00EB11D3">
        <w:rPr>
          <w:rFonts w:eastAsia="Times New Roman"/>
          <w:b/>
          <w:bCs/>
          <w:szCs w:val="24"/>
        </w:rPr>
        <w:instrText xml:space="preserve"> SEQ Table \* ARABIC </w:instrText>
      </w:r>
      <w:r w:rsidRPr="00EB11D3">
        <w:rPr>
          <w:rFonts w:eastAsia="Times New Roman"/>
          <w:b/>
          <w:bCs/>
          <w:szCs w:val="24"/>
        </w:rPr>
        <w:fldChar w:fldCharType="separate"/>
      </w:r>
      <w:r w:rsidR="00820114" w:rsidRPr="00EB11D3">
        <w:rPr>
          <w:rFonts w:eastAsia="Times New Roman"/>
          <w:b/>
          <w:bCs/>
          <w:noProof/>
          <w:szCs w:val="24"/>
        </w:rPr>
        <w:t>28</w:t>
      </w:r>
      <w:r w:rsidRPr="00EB11D3">
        <w:rPr>
          <w:rFonts w:eastAsia="Times New Roman"/>
          <w:b/>
          <w:bCs/>
          <w:szCs w:val="24"/>
        </w:rPr>
        <w:fldChar w:fldCharType="end"/>
      </w:r>
      <w:r w:rsidRPr="00EB11D3">
        <w:rPr>
          <w:rFonts w:eastAsia="Times New Roman"/>
          <w:b/>
          <w:bCs/>
          <w:szCs w:val="24"/>
        </w:rPr>
        <w:t>: ANOVA</w:t>
      </w:r>
      <w:bookmarkEnd w:id="848"/>
      <w:bookmarkEnd w:id="849"/>
      <w:r w:rsidRPr="00EB11D3">
        <w:rPr>
          <w:rFonts w:eastAsia="Times New Roman"/>
          <w:b/>
          <w:bCs/>
          <w:szCs w:val="24"/>
        </w:rPr>
        <w:t xml:space="preserve"> </w:t>
      </w:r>
    </w:p>
    <w:tbl>
      <w:tblPr>
        <w:tblW w:w="5000" w:type="pct"/>
        <w:tblCellMar>
          <w:left w:w="0" w:type="dxa"/>
          <w:right w:w="0" w:type="dxa"/>
        </w:tblCellMar>
        <w:tblLook w:val="0000" w:firstRow="0" w:lastRow="0" w:firstColumn="0" w:lastColumn="0" w:noHBand="0" w:noVBand="0"/>
      </w:tblPr>
      <w:tblGrid>
        <w:gridCol w:w="860"/>
        <w:gridCol w:w="1509"/>
        <w:gridCol w:w="1726"/>
        <w:gridCol w:w="1204"/>
        <w:gridCol w:w="1653"/>
        <w:gridCol w:w="1204"/>
        <w:gridCol w:w="1204"/>
      </w:tblGrid>
      <w:tr w:rsidR="003859C9" w:rsidRPr="00EB11D3" w14:paraId="07C9EA09" w14:textId="77777777" w:rsidTr="00823CEA">
        <w:trPr>
          <w:cantSplit/>
        </w:trPr>
        <w:tc>
          <w:tcPr>
            <w:tcW w:w="5000" w:type="pct"/>
            <w:gridSpan w:val="7"/>
            <w:tcBorders>
              <w:top w:val="nil"/>
              <w:left w:val="nil"/>
              <w:bottom w:val="single" w:sz="4" w:space="0" w:color="auto"/>
              <w:right w:val="nil"/>
            </w:tcBorders>
            <w:shd w:val="clear" w:color="auto" w:fill="auto"/>
            <w:vAlign w:val="center"/>
          </w:tcPr>
          <w:p w14:paraId="141514C1" w14:textId="77777777" w:rsidR="003859C9" w:rsidRPr="00EB11D3" w:rsidRDefault="003859C9" w:rsidP="00823CEA">
            <w:pPr>
              <w:autoSpaceDE w:val="0"/>
              <w:autoSpaceDN w:val="0"/>
              <w:adjustRightInd w:val="0"/>
              <w:spacing w:after="0" w:line="400" w:lineRule="atLeast"/>
              <w:jc w:val="center"/>
              <w:rPr>
                <w:b/>
                <w:bCs/>
                <w:szCs w:val="24"/>
              </w:rPr>
            </w:pPr>
            <w:r w:rsidRPr="00EB11D3">
              <w:rPr>
                <w:b/>
                <w:bCs/>
                <w:szCs w:val="24"/>
              </w:rPr>
              <w:t>ANOVA</w:t>
            </w:r>
            <w:r w:rsidRPr="00EB11D3">
              <w:rPr>
                <w:b/>
                <w:bCs/>
                <w:szCs w:val="24"/>
                <w:vertAlign w:val="superscript"/>
              </w:rPr>
              <w:t>a</w:t>
            </w:r>
          </w:p>
        </w:tc>
      </w:tr>
      <w:tr w:rsidR="003859C9" w:rsidRPr="00EB11D3" w14:paraId="6AC5F311" w14:textId="77777777" w:rsidTr="00823CEA">
        <w:trPr>
          <w:cantSplit/>
        </w:trPr>
        <w:tc>
          <w:tcPr>
            <w:tcW w:w="1266" w:type="pct"/>
            <w:gridSpan w:val="2"/>
            <w:tcBorders>
              <w:top w:val="single" w:sz="4" w:space="0" w:color="auto"/>
              <w:left w:val="nil"/>
              <w:bottom w:val="single" w:sz="8" w:space="0" w:color="152935"/>
              <w:right w:val="nil"/>
            </w:tcBorders>
            <w:shd w:val="clear" w:color="auto" w:fill="auto"/>
            <w:vAlign w:val="bottom"/>
          </w:tcPr>
          <w:p w14:paraId="68241E67"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Model</w:t>
            </w:r>
          </w:p>
        </w:tc>
        <w:tc>
          <w:tcPr>
            <w:tcW w:w="922" w:type="pct"/>
            <w:tcBorders>
              <w:top w:val="single" w:sz="4" w:space="0" w:color="auto"/>
              <w:left w:val="nil"/>
              <w:bottom w:val="single" w:sz="8" w:space="0" w:color="152935"/>
              <w:right w:val="single" w:sz="8" w:space="0" w:color="E0E0E0"/>
            </w:tcBorders>
            <w:shd w:val="clear" w:color="auto" w:fill="auto"/>
            <w:vAlign w:val="bottom"/>
          </w:tcPr>
          <w:p w14:paraId="4CAF4C07"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Sum of Squares</w:t>
            </w:r>
          </w:p>
        </w:tc>
        <w:tc>
          <w:tcPr>
            <w:tcW w:w="643" w:type="pct"/>
            <w:tcBorders>
              <w:top w:val="single" w:sz="4" w:space="0" w:color="auto"/>
              <w:left w:val="single" w:sz="8" w:space="0" w:color="E0E0E0"/>
              <w:bottom w:val="single" w:sz="8" w:space="0" w:color="152935"/>
              <w:right w:val="single" w:sz="8" w:space="0" w:color="E0E0E0"/>
            </w:tcBorders>
            <w:shd w:val="clear" w:color="auto" w:fill="auto"/>
            <w:vAlign w:val="bottom"/>
          </w:tcPr>
          <w:p w14:paraId="7C0496FC"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df</w:t>
            </w:r>
          </w:p>
        </w:tc>
        <w:tc>
          <w:tcPr>
            <w:tcW w:w="883" w:type="pct"/>
            <w:tcBorders>
              <w:top w:val="single" w:sz="4" w:space="0" w:color="auto"/>
              <w:left w:val="single" w:sz="8" w:space="0" w:color="E0E0E0"/>
              <w:bottom w:val="single" w:sz="8" w:space="0" w:color="152935"/>
              <w:right w:val="single" w:sz="8" w:space="0" w:color="E0E0E0"/>
            </w:tcBorders>
            <w:shd w:val="clear" w:color="auto" w:fill="auto"/>
            <w:vAlign w:val="bottom"/>
          </w:tcPr>
          <w:p w14:paraId="572137B5"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Mean Square</w:t>
            </w:r>
          </w:p>
        </w:tc>
        <w:tc>
          <w:tcPr>
            <w:tcW w:w="643" w:type="pct"/>
            <w:tcBorders>
              <w:top w:val="single" w:sz="4" w:space="0" w:color="auto"/>
              <w:left w:val="single" w:sz="8" w:space="0" w:color="E0E0E0"/>
              <w:bottom w:val="single" w:sz="8" w:space="0" w:color="152935"/>
              <w:right w:val="single" w:sz="8" w:space="0" w:color="E0E0E0"/>
            </w:tcBorders>
            <w:shd w:val="clear" w:color="auto" w:fill="auto"/>
            <w:vAlign w:val="bottom"/>
          </w:tcPr>
          <w:p w14:paraId="306305D4"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F</w:t>
            </w:r>
          </w:p>
        </w:tc>
        <w:tc>
          <w:tcPr>
            <w:tcW w:w="643" w:type="pct"/>
            <w:tcBorders>
              <w:top w:val="single" w:sz="4" w:space="0" w:color="auto"/>
              <w:left w:val="single" w:sz="8" w:space="0" w:color="E0E0E0"/>
              <w:bottom w:val="single" w:sz="8" w:space="0" w:color="152935"/>
              <w:right w:val="nil"/>
            </w:tcBorders>
            <w:shd w:val="clear" w:color="auto" w:fill="auto"/>
            <w:vAlign w:val="bottom"/>
          </w:tcPr>
          <w:p w14:paraId="61E35F25"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Sig.</w:t>
            </w:r>
          </w:p>
        </w:tc>
      </w:tr>
      <w:tr w:rsidR="003859C9" w:rsidRPr="00EB11D3" w14:paraId="3DCABC77" w14:textId="77777777" w:rsidTr="00007E09">
        <w:trPr>
          <w:cantSplit/>
        </w:trPr>
        <w:tc>
          <w:tcPr>
            <w:tcW w:w="460" w:type="pct"/>
            <w:vMerge w:val="restart"/>
            <w:tcBorders>
              <w:top w:val="single" w:sz="8" w:space="0" w:color="152935"/>
              <w:left w:val="nil"/>
              <w:bottom w:val="single" w:sz="8" w:space="0" w:color="152935"/>
              <w:right w:val="nil"/>
            </w:tcBorders>
            <w:shd w:val="clear" w:color="auto" w:fill="auto"/>
          </w:tcPr>
          <w:p w14:paraId="470AD134" w14:textId="77777777" w:rsidR="003859C9" w:rsidRPr="00EB11D3" w:rsidRDefault="003859C9" w:rsidP="003859C9">
            <w:pPr>
              <w:autoSpaceDE w:val="0"/>
              <w:autoSpaceDN w:val="0"/>
              <w:adjustRightInd w:val="0"/>
              <w:spacing w:after="0" w:line="400" w:lineRule="atLeast"/>
              <w:jc w:val="left"/>
              <w:rPr>
                <w:b/>
                <w:bCs/>
                <w:szCs w:val="24"/>
              </w:rPr>
            </w:pPr>
            <w:r w:rsidRPr="00EB11D3">
              <w:rPr>
                <w:b/>
                <w:bCs/>
                <w:szCs w:val="24"/>
              </w:rPr>
              <w:t>1</w:t>
            </w:r>
          </w:p>
        </w:tc>
        <w:tc>
          <w:tcPr>
            <w:tcW w:w="806" w:type="pct"/>
            <w:tcBorders>
              <w:top w:val="single" w:sz="8" w:space="0" w:color="152935"/>
              <w:left w:val="nil"/>
              <w:bottom w:val="single" w:sz="8" w:space="0" w:color="AEAEAE"/>
              <w:right w:val="nil"/>
            </w:tcBorders>
            <w:shd w:val="clear" w:color="auto" w:fill="auto"/>
          </w:tcPr>
          <w:p w14:paraId="0508A5AA"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Regression</w:t>
            </w:r>
          </w:p>
        </w:tc>
        <w:tc>
          <w:tcPr>
            <w:tcW w:w="922" w:type="pct"/>
            <w:tcBorders>
              <w:top w:val="single" w:sz="8" w:space="0" w:color="152935"/>
              <w:left w:val="nil"/>
              <w:bottom w:val="single" w:sz="8" w:space="0" w:color="AEAEAE"/>
              <w:right w:val="single" w:sz="8" w:space="0" w:color="E0E0E0"/>
            </w:tcBorders>
            <w:shd w:val="clear" w:color="auto" w:fill="auto"/>
          </w:tcPr>
          <w:p w14:paraId="37C82235"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88.279</w:t>
            </w:r>
          </w:p>
        </w:tc>
        <w:tc>
          <w:tcPr>
            <w:tcW w:w="643" w:type="pct"/>
            <w:tcBorders>
              <w:top w:val="single" w:sz="8" w:space="0" w:color="152935"/>
              <w:left w:val="single" w:sz="8" w:space="0" w:color="E0E0E0"/>
              <w:bottom w:val="single" w:sz="8" w:space="0" w:color="AEAEAE"/>
              <w:right w:val="single" w:sz="8" w:space="0" w:color="E0E0E0"/>
            </w:tcBorders>
            <w:shd w:val="clear" w:color="auto" w:fill="auto"/>
          </w:tcPr>
          <w:p w14:paraId="13D50E9E"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1</w:t>
            </w:r>
          </w:p>
        </w:tc>
        <w:tc>
          <w:tcPr>
            <w:tcW w:w="883" w:type="pct"/>
            <w:tcBorders>
              <w:top w:val="single" w:sz="8" w:space="0" w:color="152935"/>
              <w:left w:val="single" w:sz="8" w:space="0" w:color="E0E0E0"/>
              <w:bottom w:val="single" w:sz="8" w:space="0" w:color="AEAEAE"/>
              <w:right w:val="single" w:sz="8" w:space="0" w:color="E0E0E0"/>
            </w:tcBorders>
            <w:shd w:val="clear" w:color="auto" w:fill="auto"/>
          </w:tcPr>
          <w:p w14:paraId="6F9E8230"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88.279</w:t>
            </w:r>
          </w:p>
        </w:tc>
        <w:tc>
          <w:tcPr>
            <w:tcW w:w="643" w:type="pct"/>
            <w:tcBorders>
              <w:top w:val="single" w:sz="8" w:space="0" w:color="152935"/>
              <w:left w:val="single" w:sz="8" w:space="0" w:color="E0E0E0"/>
              <w:bottom w:val="single" w:sz="8" w:space="0" w:color="AEAEAE"/>
              <w:right w:val="single" w:sz="8" w:space="0" w:color="E0E0E0"/>
            </w:tcBorders>
            <w:shd w:val="clear" w:color="auto" w:fill="auto"/>
          </w:tcPr>
          <w:p w14:paraId="2EF54D85"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392.200</w:t>
            </w:r>
          </w:p>
        </w:tc>
        <w:tc>
          <w:tcPr>
            <w:tcW w:w="643" w:type="pct"/>
            <w:tcBorders>
              <w:top w:val="single" w:sz="8" w:space="0" w:color="152935"/>
              <w:left w:val="single" w:sz="8" w:space="0" w:color="E0E0E0"/>
              <w:bottom w:val="single" w:sz="8" w:space="0" w:color="AEAEAE"/>
              <w:right w:val="nil"/>
            </w:tcBorders>
            <w:shd w:val="clear" w:color="auto" w:fill="auto"/>
          </w:tcPr>
          <w:p w14:paraId="13ABB851"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.000</w:t>
            </w:r>
            <w:r w:rsidRPr="00EB11D3">
              <w:rPr>
                <w:bCs/>
                <w:szCs w:val="24"/>
                <w:vertAlign w:val="superscript"/>
              </w:rPr>
              <w:t>b</w:t>
            </w:r>
          </w:p>
        </w:tc>
      </w:tr>
      <w:tr w:rsidR="003859C9" w:rsidRPr="00EB11D3" w14:paraId="55B3FC7A" w14:textId="77777777" w:rsidTr="00007E09">
        <w:trPr>
          <w:cantSplit/>
        </w:trPr>
        <w:tc>
          <w:tcPr>
            <w:tcW w:w="460" w:type="pct"/>
            <w:vMerge/>
            <w:tcBorders>
              <w:top w:val="single" w:sz="8" w:space="0" w:color="152935"/>
              <w:left w:val="nil"/>
              <w:bottom w:val="single" w:sz="8" w:space="0" w:color="152935"/>
              <w:right w:val="nil"/>
            </w:tcBorders>
            <w:shd w:val="clear" w:color="auto" w:fill="auto"/>
          </w:tcPr>
          <w:p w14:paraId="25ACEE2F" w14:textId="77777777" w:rsidR="003859C9" w:rsidRPr="00EB11D3" w:rsidRDefault="003859C9" w:rsidP="003859C9">
            <w:pPr>
              <w:autoSpaceDE w:val="0"/>
              <w:autoSpaceDN w:val="0"/>
              <w:adjustRightInd w:val="0"/>
              <w:spacing w:after="0" w:line="400" w:lineRule="atLeast"/>
              <w:jc w:val="left"/>
              <w:rPr>
                <w:b/>
                <w:bCs/>
                <w:szCs w:val="24"/>
              </w:rPr>
            </w:pPr>
          </w:p>
        </w:tc>
        <w:tc>
          <w:tcPr>
            <w:tcW w:w="806" w:type="pct"/>
            <w:tcBorders>
              <w:top w:val="single" w:sz="8" w:space="0" w:color="AEAEAE"/>
              <w:left w:val="nil"/>
              <w:bottom w:val="single" w:sz="8" w:space="0" w:color="AEAEAE"/>
              <w:right w:val="nil"/>
            </w:tcBorders>
            <w:shd w:val="clear" w:color="auto" w:fill="auto"/>
          </w:tcPr>
          <w:p w14:paraId="763A4974"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Residual</w:t>
            </w:r>
          </w:p>
        </w:tc>
        <w:tc>
          <w:tcPr>
            <w:tcW w:w="922" w:type="pct"/>
            <w:tcBorders>
              <w:top w:val="single" w:sz="8" w:space="0" w:color="AEAEAE"/>
              <w:left w:val="nil"/>
              <w:bottom w:val="single" w:sz="8" w:space="0" w:color="AEAEAE"/>
              <w:right w:val="single" w:sz="8" w:space="0" w:color="E0E0E0"/>
            </w:tcBorders>
            <w:shd w:val="clear" w:color="auto" w:fill="auto"/>
          </w:tcPr>
          <w:p w14:paraId="3520D2D0"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55.821</w:t>
            </w:r>
          </w:p>
        </w:tc>
        <w:tc>
          <w:tcPr>
            <w:tcW w:w="643" w:type="pct"/>
            <w:tcBorders>
              <w:top w:val="single" w:sz="8" w:space="0" w:color="AEAEAE"/>
              <w:left w:val="single" w:sz="8" w:space="0" w:color="E0E0E0"/>
              <w:bottom w:val="single" w:sz="8" w:space="0" w:color="AEAEAE"/>
              <w:right w:val="single" w:sz="8" w:space="0" w:color="E0E0E0"/>
            </w:tcBorders>
            <w:shd w:val="clear" w:color="auto" w:fill="auto"/>
          </w:tcPr>
          <w:p w14:paraId="47445027"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248</w:t>
            </w:r>
          </w:p>
        </w:tc>
        <w:tc>
          <w:tcPr>
            <w:tcW w:w="883" w:type="pct"/>
            <w:tcBorders>
              <w:top w:val="single" w:sz="8" w:space="0" w:color="AEAEAE"/>
              <w:left w:val="single" w:sz="8" w:space="0" w:color="E0E0E0"/>
              <w:bottom w:val="single" w:sz="8" w:space="0" w:color="AEAEAE"/>
              <w:right w:val="single" w:sz="8" w:space="0" w:color="E0E0E0"/>
            </w:tcBorders>
            <w:shd w:val="clear" w:color="auto" w:fill="auto"/>
          </w:tcPr>
          <w:p w14:paraId="22C3B2CC"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.225</w:t>
            </w:r>
          </w:p>
        </w:tc>
        <w:tc>
          <w:tcPr>
            <w:tcW w:w="643" w:type="pct"/>
            <w:tcBorders>
              <w:top w:val="single" w:sz="8" w:space="0" w:color="AEAEAE"/>
              <w:left w:val="single" w:sz="8" w:space="0" w:color="E0E0E0"/>
              <w:bottom w:val="single" w:sz="8" w:space="0" w:color="AEAEAE"/>
              <w:right w:val="single" w:sz="8" w:space="0" w:color="E0E0E0"/>
            </w:tcBorders>
            <w:shd w:val="clear" w:color="auto" w:fill="auto"/>
            <w:vAlign w:val="center"/>
          </w:tcPr>
          <w:p w14:paraId="48AF12A7" w14:textId="77777777" w:rsidR="003859C9" w:rsidRPr="00EB11D3" w:rsidRDefault="003859C9" w:rsidP="003859C9">
            <w:pPr>
              <w:autoSpaceDE w:val="0"/>
              <w:autoSpaceDN w:val="0"/>
              <w:adjustRightInd w:val="0"/>
              <w:spacing w:after="0" w:line="400" w:lineRule="atLeast"/>
              <w:jc w:val="left"/>
              <w:rPr>
                <w:bCs/>
                <w:szCs w:val="24"/>
              </w:rPr>
            </w:pPr>
          </w:p>
        </w:tc>
        <w:tc>
          <w:tcPr>
            <w:tcW w:w="643" w:type="pct"/>
            <w:tcBorders>
              <w:top w:val="single" w:sz="8" w:space="0" w:color="AEAEAE"/>
              <w:left w:val="single" w:sz="8" w:space="0" w:color="E0E0E0"/>
              <w:bottom w:val="single" w:sz="8" w:space="0" w:color="AEAEAE"/>
              <w:right w:val="nil"/>
            </w:tcBorders>
            <w:shd w:val="clear" w:color="auto" w:fill="auto"/>
            <w:vAlign w:val="center"/>
          </w:tcPr>
          <w:p w14:paraId="7F6B62A3" w14:textId="77777777" w:rsidR="003859C9" w:rsidRPr="00EB11D3" w:rsidRDefault="003859C9" w:rsidP="003859C9">
            <w:pPr>
              <w:autoSpaceDE w:val="0"/>
              <w:autoSpaceDN w:val="0"/>
              <w:adjustRightInd w:val="0"/>
              <w:spacing w:after="0" w:line="400" w:lineRule="atLeast"/>
              <w:jc w:val="left"/>
              <w:rPr>
                <w:bCs/>
                <w:szCs w:val="24"/>
              </w:rPr>
            </w:pPr>
          </w:p>
        </w:tc>
      </w:tr>
      <w:tr w:rsidR="003859C9" w:rsidRPr="00EB11D3" w14:paraId="1813BF0D" w14:textId="77777777" w:rsidTr="00007E09">
        <w:trPr>
          <w:cantSplit/>
        </w:trPr>
        <w:tc>
          <w:tcPr>
            <w:tcW w:w="460" w:type="pct"/>
            <w:vMerge/>
            <w:tcBorders>
              <w:top w:val="single" w:sz="8" w:space="0" w:color="152935"/>
              <w:left w:val="nil"/>
              <w:bottom w:val="single" w:sz="8" w:space="0" w:color="152935"/>
              <w:right w:val="nil"/>
            </w:tcBorders>
            <w:shd w:val="clear" w:color="auto" w:fill="auto"/>
          </w:tcPr>
          <w:p w14:paraId="74E9B87F" w14:textId="77777777" w:rsidR="003859C9" w:rsidRPr="00EB11D3" w:rsidRDefault="003859C9" w:rsidP="003859C9">
            <w:pPr>
              <w:autoSpaceDE w:val="0"/>
              <w:autoSpaceDN w:val="0"/>
              <w:adjustRightInd w:val="0"/>
              <w:spacing w:after="0" w:line="400" w:lineRule="atLeast"/>
              <w:jc w:val="left"/>
              <w:rPr>
                <w:b/>
                <w:bCs/>
                <w:szCs w:val="24"/>
              </w:rPr>
            </w:pPr>
          </w:p>
        </w:tc>
        <w:tc>
          <w:tcPr>
            <w:tcW w:w="806" w:type="pct"/>
            <w:tcBorders>
              <w:top w:val="single" w:sz="8" w:space="0" w:color="AEAEAE"/>
              <w:left w:val="nil"/>
              <w:bottom w:val="single" w:sz="8" w:space="0" w:color="152935"/>
              <w:right w:val="nil"/>
            </w:tcBorders>
            <w:shd w:val="clear" w:color="auto" w:fill="auto"/>
          </w:tcPr>
          <w:p w14:paraId="4557DAB8"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Total</w:t>
            </w:r>
          </w:p>
        </w:tc>
        <w:tc>
          <w:tcPr>
            <w:tcW w:w="922" w:type="pct"/>
            <w:tcBorders>
              <w:top w:val="single" w:sz="8" w:space="0" w:color="AEAEAE"/>
              <w:left w:val="nil"/>
              <w:bottom w:val="single" w:sz="8" w:space="0" w:color="152935"/>
              <w:right w:val="single" w:sz="8" w:space="0" w:color="E0E0E0"/>
            </w:tcBorders>
            <w:shd w:val="clear" w:color="auto" w:fill="auto"/>
          </w:tcPr>
          <w:p w14:paraId="566EA4FA"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144.100</w:t>
            </w:r>
          </w:p>
        </w:tc>
        <w:tc>
          <w:tcPr>
            <w:tcW w:w="643" w:type="pct"/>
            <w:tcBorders>
              <w:top w:val="single" w:sz="8" w:space="0" w:color="AEAEAE"/>
              <w:left w:val="single" w:sz="8" w:space="0" w:color="E0E0E0"/>
              <w:bottom w:val="single" w:sz="8" w:space="0" w:color="152935"/>
              <w:right w:val="single" w:sz="8" w:space="0" w:color="E0E0E0"/>
            </w:tcBorders>
            <w:shd w:val="clear" w:color="auto" w:fill="auto"/>
          </w:tcPr>
          <w:p w14:paraId="6DBBE661"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249</w:t>
            </w:r>
          </w:p>
        </w:tc>
        <w:tc>
          <w:tcPr>
            <w:tcW w:w="883" w:type="pct"/>
            <w:tcBorders>
              <w:top w:val="single" w:sz="8" w:space="0" w:color="AEAEAE"/>
              <w:left w:val="single" w:sz="8" w:space="0" w:color="E0E0E0"/>
              <w:bottom w:val="single" w:sz="8" w:space="0" w:color="152935"/>
              <w:right w:val="single" w:sz="8" w:space="0" w:color="E0E0E0"/>
            </w:tcBorders>
            <w:shd w:val="clear" w:color="auto" w:fill="auto"/>
            <w:vAlign w:val="center"/>
          </w:tcPr>
          <w:p w14:paraId="5C821617" w14:textId="77777777" w:rsidR="003859C9" w:rsidRPr="00EB11D3" w:rsidRDefault="003859C9" w:rsidP="003859C9">
            <w:pPr>
              <w:autoSpaceDE w:val="0"/>
              <w:autoSpaceDN w:val="0"/>
              <w:adjustRightInd w:val="0"/>
              <w:spacing w:after="0" w:line="400" w:lineRule="atLeast"/>
              <w:jc w:val="left"/>
              <w:rPr>
                <w:bCs/>
                <w:szCs w:val="24"/>
              </w:rPr>
            </w:pPr>
          </w:p>
        </w:tc>
        <w:tc>
          <w:tcPr>
            <w:tcW w:w="643" w:type="pct"/>
            <w:tcBorders>
              <w:top w:val="single" w:sz="8" w:space="0" w:color="AEAEAE"/>
              <w:left w:val="single" w:sz="8" w:space="0" w:color="E0E0E0"/>
              <w:bottom w:val="single" w:sz="8" w:space="0" w:color="152935"/>
              <w:right w:val="single" w:sz="8" w:space="0" w:color="E0E0E0"/>
            </w:tcBorders>
            <w:shd w:val="clear" w:color="auto" w:fill="auto"/>
            <w:vAlign w:val="center"/>
          </w:tcPr>
          <w:p w14:paraId="05965E21" w14:textId="77777777" w:rsidR="003859C9" w:rsidRPr="00EB11D3" w:rsidRDefault="003859C9" w:rsidP="003859C9">
            <w:pPr>
              <w:autoSpaceDE w:val="0"/>
              <w:autoSpaceDN w:val="0"/>
              <w:adjustRightInd w:val="0"/>
              <w:spacing w:after="0" w:line="400" w:lineRule="atLeast"/>
              <w:jc w:val="left"/>
              <w:rPr>
                <w:bCs/>
                <w:szCs w:val="24"/>
              </w:rPr>
            </w:pPr>
          </w:p>
        </w:tc>
        <w:tc>
          <w:tcPr>
            <w:tcW w:w="643" w:type="pct"/>
            <w:tcBorders>
              <w:top w:val="single" w:sz="8" w:space="0" w:color="AEAEAE"/>
              <w:left w:val="single" w:sz="8" w:space="0" w:color="E0E0E0"/>
              <w:bottom w:val="single" w:sz="8" w:space="0" w:color="152935"/>
              <w:right w:val="nil"/>
            </w:tcBorders>
            <w:shd w:val="clear" w:color="auto" w:fill="auto"/>
            <w:vAlign w:val="center"/>
          </w:tcPr>
          <w:p w14:paraId="74A5CF6F" w14:textId="77777777" w:rsidR="003859C9" w:rsidRPr="00EB11D3" w:rsidRDefault="003859C9" w:rsidP="003859C9">
            <w:pPr>
              <w:autoSpaceDE w:val="0"/>
              <w:autoSpaceDN w:val="0"/>
              <w:adjustRightInd w:val="0"/>
              <w:spacing w:after="0" w:line="400" w:lineRule="atLeast"/>
              <w:jc w:val="left"/>
              <w:rPr>
                <w:bCs/>
                <w:szCs w:val="24"/>
              </w:rPr>
            </w:pPr>
          </w:p>
        </w:tc>
      </w:tr>
      <w:tr w:rsidR="003859C9" w:rsidRPr="00EB11D3" w14:paraId="1A43A78B" w14:textId="77777777" w:rsidTr="00007E09">
        <w:trPr>
          <w:cantSplit/>
        </w:trPr>
        <w:tc>
          <w:tcPr>
            <w:tcW w:w="5000" w:type="pct"/>
            <w:gridSpan w:val="7"/>
            <w:tcBorders>
              <w:top w:val="nil"/>
              <w:left w:val="nil"/>
              <w:bottom w:val="nil"/>
              <w:right w:val="nil"/>
            </w:tcBorders>
            <w:shd w:val="clear" w:color="auto" w:fill="auto"/>
          </w:tcPr>
          <w:p w14:paraId="48951496"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a. Dependent Variable: Organisational Performance</w:t>
            </w:r>
          </w:p>
        </w:tc>
      </w:tr>
      <w:tr w:rsidR="003859C9" w:rsidRPr="00EB11D3" w14:paraId="1E9EE06B" w14:textId="77777777" w:rsidTr="00007E09">
        <w:trPr>
          <w:cantSplit/>
        </w:trPr>
        <w:tc>
          <w:tcPr>
            <w:tcW w:w="5000" w:type="pct"/>
            <w:gridSpan w:val="7"/>
            <w:tcBorders>
              <w:top w:val="nil"/>
              <w:left w:val="nil"/>
              <w:bottom w:val="nil"/>
              <w:right w:val="nil"/>
            </w:tcBorders>
            <w:shd w:val="clear" w:color="auto" w:fill="auto"/>
          </w:tcPr>
          <w:p w14:paraId="307F4C4D" w14:textId="77777777" w:rsidR="003859C9" w:rsidRPr="00EB11D3" w:rsidRDefault="003859C9" w:rsidP="003859C9">
            <w:pPr>
              <w:autoSpaceDE w:val="0"/>
              <w:autoSpaceDN w:val="0"/>
              <w:adjustRightInd w:val="0"/>
              <w:spacing w:after="0" w:line="400" w:lineRule="atLeast"/>
              <w:jc w:val="left"/>
              <w:rPr>
                <w:bCs/>
                <w:szCs w:val="24"/>
              </w:rPr>
            </w:pPr>
            <w:r w:rsidRPr="00EB11D3">
              <w:rPr>
                <w:bCs/>
                <w:szCs w:val="24"/>
              </w:rPr>
              <w:t>b. Predictors: (Constant), Corporate governance</w:t>
            </w:r>
          </w:p>
        </w:tc>
      </w:tr>
    </w:tbl>
    <w:p w14:paraId="5014366C" w14:textId="77777777" w:rsidR="003859C9" w:rsidRPr="00EB11D3" w:rsidRDefault="003859C9" w:rsidP="003859C9">
      <w:pPr>
        <w:autoSpaceDE w:val="0"/>
        <w:autoSpaceDN w:val="0"/>
        <w:adjustRightInd w:val="0"/>
        <w:spacing w:after="0" w:line="400" w:lineRule="atLeast"/>
        <w:jc w:val="left"/>
        <w:rPr>
          <w:b/>
          <w:bCs/>
          <w:szCs w:val="24"/>
        </w:rPr>
      </w:pPr>
    </w:p>
    <w:p w14:paraId="3278A700" w14:textId="77777777" w:rsidR="003859C9" w:rsidRPr="00EB11D3" w:rsidRDefault="00DA2781" w:rsidP="003859C9">
      <w:pPr>
        <w:shd w:val="clear" w:color="auto" w:fill="FFFFFF"/>
        <w:spacing w:after="160" w:line="360" w:lineRule="auto"/>
        <w:rPr>
          <w:rFonts w:eastAsia="Cambria"/>
          <w:szCs w:val="24"/>
        </w:rPr>
      </w:pPr>
      <w:bookmarkStart w:id="850" w:name="_Toc126666764"/>
      <w:r w:rsidRPr="00DA2781">
        <w:rPr>
          <w:rFonts w:eastAsia="Cambria"/>
          <w:szCs w:val="24"/>
        </w:rPr>
        <w:t xml:space="preserve">The Analysis of Variance (ANOVA) results are shown in Table 28. Analysis of Variance consists of calculations that provide information about levels of variability within a regression model and form a basis for tests of significance. This was conducted using SPSS by using average mean score of corporate governance and </w:t>
      </w:r>
      <w:r>
        <w:rPr>
          <w:rFonts w:eastAsia="Cambria"/>
          <w:szCs w:val="24"/>
        </w:rPr>
        <w:t>o</w:t>
      </w:r>
      <w:r w:rsidRPr="00DA2781">
        <w:rPr>
          <w:rFonts w:eastAsia="Cambria"/>
          <w:szCs w:val="24"/>
        </w:rPr>
        <w:t>rganisational performance of Faith-</w:t>
      </w:r>
      <w:r>
        <w:rPr>
          <w:rFonts w:eastAsia="Cambria"/>
          <w:szCs w:val="24"/>
        </w:rPr>
        <w:t>b</w:t>
      </w:r>
      <w:r w:rsidRPr="00DA2781">
        <w:rPr>
          <w:rFonts w:eastAsia="Cambria"/>
          <w:szCs w:val="24"/>
        </w:rPr>
        <w:t xml:space="preserve">ased Hospitals. The results in Table 28 indicate that F-Calculated (1, 248) = 392.200, p&lt;0.05. F calculated was greater than F-Critical from an F-distribution table (1, 265) = 3.84 at 95% confidence level. Therefore, the results confirm that the regression model of corporate governance on </w:t>
      </w:r>
      <w:r>
        <w:rPr>
          <w:rFonts w:eastAsia="Cambria"/>
          <w:szCs w:val="24"/>
        </w:rPr>
        <w:t>o</w:t>
      </w:r>
      <w:r w:rsidRPr="00DA2781">
        <w:rPr>
          <w:rFonts w:eastAsia="Cambria"/>
          <w:szCs w:val="24"/>
        </w:rPr>
        <w:t>rganisational performance of Faith-Based Hospitals is significant and valid in overall.</w:t>
      </w:r>
    </w:p>
    <w:p w14:paraId="59AB75B4" w14:textId="77777777" w:rsidR="003859C9" w:rsidRPr="00EB11D3" w:rsidRDefault="003859C9" w:rsidP="003859C9">
      <w:pPr>
        <w:shd w:val="clear" w:color="auto" w:fill="FFFFFF"/>
        <w:spacing w:after="160" w:line="360" w:lineRule="auto"/>
        <w:rPr>
          <w:rFonts w:eastAsia="Cambria"/>
          <w:szCs w:val="24"/>
        </w:rPr>
      </w:pPr>
      <w:bookmarkStart w:id="851" w:name="_Toc177387960"/>
      <w:r w:rsidRPr="00EB11D3">
        <w:rPr>
          <w:rFonts w:eastAsia="Times New Roman"/>
          <w:b/>
          <w:bCs/>
          <w:szCs w:val="24"/>
        </w:rPr>
        <w:t xml:space="preserve">Table </w:t>
      </w:r>
      <w:r w:rsidRPr="00EB11D3">
        <w:rPr>
          <w:rFonts w:eastAsia="Times New Roman"/>
          <w:b/>
          <w:bCs/>
          <w:szCs w:val="24"/>
        </w:rPr>
        <w:fldChar w:fldCharType="begin"/>
      </w:r>
      <w:r w:rsidRPr="00EB11D3">
        <w:rPr>
          <w:rFonts w:eastAsia="Times New Roman"/>
          <w:b/>
          <w:bCs/>
          <w:szCs w:val="24"/>
        </w:rPr>
        <w:instrText xml:space="preserve"> SEQ Table \* ARABIC </w:instrText>
      </w:r>
      <w:r w:rsidRPr="00EB11D3">
        <w:rPr>
          <w:rFonts w:eastAsia="Times New Roman"/>
          <w:b/>
          <w:bCs/>
          <w:szCs w:val="24"/>
        </w:rPr>
        <w:fldChar w:fldCharType="separate"/>
      </w:r>
      <w:r w:rsidRPr="00EB11D3">
        <w:rPr>
          <w:rFonts w:eastAsia="Times New Roman"/>
          <w:b/>
          <w:bCs/>
          <w:noProof/>
          <w:szCs w:val="24"/>
        </w:rPr>
        <w:t>29</w:t>
      </w:r>
      <w:r w:rsidRPr="00EB11D3">
        <w:rPr>
          <w:rFonts w:eastAsia="Times New Roman"/>
          <w:b/>
          <w:bCs/>
          <w:szCs w:val="24"/>
        </w:rPr>
        <w:fldChar w:fldCharType="end"/>
      </w:r>
      <w:r w:rsidRPr="00EB11D3">
        <w:rPr>
          <w:rFonts w:eastAsia="Times New Roman"/>
          <w:b/>
          <w:bCs/>
          <w:szCs w:val="24"/>
        </w:rPr>
        <w:t xml:space="preserve">: Regression Coefficients for CG and </w:t>
      </w:r>
      <w:bookmarkStart w:id="852" w:name="_Hlk124314179"/>
      <w:r w:rsidRPr="00EB11D3">
        <w:rPr>
          <w:rFonts w:eastAsia="Times New Roman"/>
          <w:b/>
          <w:bCs/>
          <w:szCs w:val="24"/>
        </w:rPr>
        <w:t>OP</w:t>
      </w:r>
      <w:bookmarkEnd w:id="850"/>
      <w:bookmarkEnd w:id="851"/>
      <w:bookmarkEnd w:id="852"/>
    </w:p>
    <w:tbl>
      <w:tblPr>
        <w:tblW w:w="5000" w:type="pct"/>
        <w:tblCellMar>
          <w:left w:w="0" w:type="dxa"/>
          <w:right w:w="0" w:type="dxa"/>
        </w:tblCellMar>
        <w:tblLook w:val="0000" w:firstRow="0" w:lastRow="0" w:firstColumn="0" w:lastColumn="0" w:noHBand="0" w:noVBand="0"/>
      </w:tblPr>
      <w:tblGrid>
        <w:gridCol w:w="712"/>
        <w:gridCol w:w="2433"/>
        <w:gridCol w:w="1311"/>
        <w:gridCol w:w="1313"/>
        <w:gridCol w:w="1573"/>
        <w:gridCol w:w="1004"/>
        <w:gridCol w:w="1004"/>
      </w:tblGrid>
      <w:tr w:rsidR="003859C9" w:rsidRPr="00EB11D3" w14:paraId="02D5120C" w14:textId="77777777" w:rsidTr="00823CEA">
        <w:trPr>
          <w:cantSplit/>
        </w:trPr>
        <w:tc>
          <w:tcPr>
            <w:tcW w:w="1681" w:type="pct"/>
            <w:gridSpan w:val="2"/>
            <w:vMerge w:val="restart"/>
            <w:tcBorders>
              <w:top w:val="single" w:sz="4" w:space="0" w:color="auto"/>
              <w:left w:val="nil"/>
              <w:bottom w:val="nil"/>
              <w:right w:val="nil"/>
            </w:tcBorders>
            <w:shd w:val="clear" w:color="auto" w:fill="auto"/>
            <w:vAlign w:val="bottom"/>
          </w:tcPr>
          <w:p w14:paraId="21CF57E7"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Model</w:t>
            </w:r>
          </w:p>
        </w:tc>
        <w:tc>
          <w:tcPr>
            <w:tcW w:w="1403" w:type="pct"/>
            <w:gridSpan w:val="2"/>
            <w:tcBorders>
              <w:top w:val="single" w:sz="4" w:space="0" w:color="auto"/>
              <w:left w:val="nil"/>
              <w:bottom w:val="single" w:sz="4" w:space="0" w:color="auto"/>
              <w:right w:val="single" w:sz="8" w:space="0" w:color="E0E0E0"/>
            </w:tcBorders>
            <w:shd w:val="clear" w:color="auto" w:fill="auto"/>
            <w:vAlign w:val="bottom"/>
          </w:tcPr>
          <w:p w14:paraId="2A6C06C5"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Unstandardized Coefficients</w:t>
            </w:r>
          </w:p>
        </w:tc>
        <w:tc>
          <w:tcPr>
            <w:tcW w:w="841" w:type="pct"/>
            <w:tcBorders>
              <w:top w:val="single" w:sz="4" w:space="0" w:color="auto"/>
              <w:left w:val="single" w:sz="8" w:space="0" w:color="E0E0E0"/>
              <w:bottom w:val="single" w:sz="4" w:space="0" w:color="auto"/>
              <w:right w:val="single" w:sz="8" w:space="0" w:color="E0E0E0"/>
            </w:tcBorders>
            <w:shd w:val="clear" w:color="auto" w:fill="auto"/>
            <w:vAlign w:val="bottom"/>
          </w:tcPr>
          <w:p w14:paraId="0D4C82D8"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Standardized Coefficients</w:t>
            </w:r>
          </w:p>
        </w:tc>
        <w:tc>
          <w:tcPr>
            <w:tcW w:w="537" w:type="pct"/>
            <w:vMerge w:val="restart"/>
            <w:tcBorders>
              <w:top w:val="single" w:sz="4" w:space="0" w:color="auto"/>
              <w:left w:val="single" w:sz="8" w:space="0" w:color="E0E0E0"/>
              <w:bottom w:val="nil"/>
              <w:right w:val="single" w:sz="8" w:space="0" w:color="E0E0E0"/>
            </w:tcBorders>
            <w:shd w:val="clear" w:color="auto" w:fill="auto"/>
            <w:vAlign w:val="bottom"/>
          </w:tcPr>
          <w:p w14:paraId="4B4452B0"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T</w:t>
            </w:r>
          </w:p>
        </w:tc>
        <w:tc>
          <w:tcPr>
            <w:tcW w:w="537" w:type="pct"/>
            <w:vMerge w:val="restart"/>
            <w:tcBorders>
              <w:top w:val="single" w:sz="4" w:space="0" w:color="auto"/>
              <w:left w:val="single" w:sz="8" w:space="0" w:color="E0E0E0"/>
              <w:bottom w:val="nil"/>
              <w:right w:val="single" w:sz="8" w:space="0" w:color="E0E0E0"/>
            </w:tcBorders>
            <w:shd w:val="clear" w:color="auto" w:fill="auto"/>
            <w:vAlign w:val="bottom"/>
          </w:tcPr>
          <w:p w14:paraId="172508F3"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Sig.</w:t>
            </w:r>
          </w:p>
        </w:tc>
      </w:tr>
      <w:tr w:rsidR="003859C9" w:rsidRPr="00EB11D3" w14:paraId="249D42E9" w14:textId="77777777" w:rsidTr="00823CEA">
        <w:trPr>
          <w:cantSplit/>
        </w:trPr>
        <w:tc>
          <w:tcPr>
            <w:tcW w:w="1681" w:type="pct"/>
            <w:gridSpan w:val="2"/>
            <w:vMerge/>
            <w:tcBorders>
              <w:top w:val="nil"/>
              <w:left w:val="nil"/>
              <w:bottom w:val="nil"/>
              <w:right w:val="nil"/>
            </w:tcBorders>
            <w:shd w:val="clear" w:color="auto" w:fill="auto"/>
            <w:vAlign w:val="bottom"/>
          </w:tcPr>
          <w:p w14:paraId="4321F993" w14:textId="77777777" w:rsidR="003859C9" w:rsidRPr="00EB11D3" w:rsidRDefault="003859C9" w:rsidP="003859C9">
            <w:pPr>
              <w:autoSpaceDE w:val="0"/>
              <w:autoSpaceDN w:val="0"/>
              <w:adjustRightInd w:val="0"/>
              <w:spacing w:after="0" w:line="400" w:lineRule="atLeast"/>
              <w:jc w:val="left"/>
              <w:rPr>
                <w:szCs w:val="24"/>
              </w:rPr>
            </w:pPr>
          </w:p>
        </w:tc>
        <w:tc>
          <w:tcPr>
            <w:tcW w:w="701" w:type="pct"/>
            <w:tcBorders>
              <w:top w:val="single" w:sz="4" w:space="0" w:color="auto"/>
              <w:left w:val="nil"/>
              <w:bottom w:val="single" w:sz="8" w:space="0" w:color="152935"/>
              <w:right w:val="single" w:sz="8" w:space="0" w:color="E0E0E0"/>
            </w:tcBorders>
            <w:shd w:val="clear" w:color="auto" w:fill="auto"/>
            <w:vAlign w:val="bottom"/>
          </w:tcPr>
          <w:p w14:paraId="0970647C"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B</w:t>
            </w:r>
          </w:p>
        </w:tc>
        <w:tc>
          <w:tcPr>
            <w:tcW w:w="702" w:type="pct"/>
            <w:tcBorders>
              <w:top w:val="single" w:sz="4" w:space="0" w:color="auto"/>
              <w:left w:val="single" w:sz="8" w:space="0" w:color="E0E0E0"/>
              <w:bottom w:val="single" w:sz="8" w:space="0" w:color="152935"/>
              <w:right w:val="single" w:sz="8" w:space="0" w:color="E0E0E0"/>
            </w:tcBorders>
            <w:shd w:val="clear" w:color="auto" w:fill="auto"/>
            <w:vAlign w:val="bottom"/>
          </w:tcPr>
          <w:p w14:paraId="37CB98A1"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Std. Error</w:t>
            </w:r>
          </w:p>
        </w:tc>
        <w:tc>
          <w:tcPr>
            <w:tcW w:w="841" w:type="pct"/>
            <w:tcBorders>
              <w:top w:val="single" w:sz="4" w:space="0" w:color="auto"/>
              <w:left w:val="single" w:sz="8" w:space="0" w:color="E0E0E0"/>
              <w:bottom w:val="single" w:sz="8" w:space="0" w:color="152935"/>
              <w:right w:val="single" w:sz="8" w:space="0" w:color="E0E0E0"/>
            </w:tcBorders>
            <w:shd w:val="clear" w:color="auto" w:fill="auto"/>
            <w:vAlign w:val="bottom"/>
          </w:tcPr>
          <w:p w14:paraId="18AB1914"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Beta</w:t>
            </w:r>
          </w:p>
        </w:tc>
        <w:tc>
          <w:tcPr>
            <w:tcW w:w="537" w:type="pct"/>
            <w:vMerge/>
            <w:tcBorders>
              <w:top w:val="nil"/>
              <w:left w:val="single" w:sz="8" w:space="0" w:color="E0E0E0"/>
              <w:bottom w:val="nil"/>
              <w:right w:val="single" w:sz="8" w:space="0" w:color="E0E0E0"/>
            </w:tcBorders>
            <w:shd w:val="clear" w:color="auto" w:fill="auto"/>
            <w:vAlign w:val="bottom"/>
          </w:tcPr>
          <w:p w14:paraId="76EDDDC4" w14:textId="77777777" w:rsidR="003859C9" w:rsidRPr="00EB11D3" w:rsidRDefault="003859C9" w:rsidP="003859C9">
            <w:pPr>
              <w:autoSpaceDE w:val="0"/>
              <w:autoSpaceDN w:val="0"/>
              <w:adjustRightInd w:val="0"/>
              <w:spacing w:after="0" w:line="400" w:lineRule="atLeast"/>
              <w:jc w:val="left"/>
              <w:rPr>
                <w:szCs w:val="24"/>
              </w:rPr>
            </w:pPr>
          </w:p>
        </w:tc>
        <w:tc>
          <w:tcPr>
            <w:tcW w:w="537" w:type="pct"/>
            <w:vMerge/>
            <w:tcBorders>
              <w:top w:val="nil"/>
              <w:left w:val="single" w:sz="8" w:space="0" w:color="E0E0E0"/>
              <w:bottom w:val="nil"/>
              <w:right w:val="single" w:sz="8" w:space="0" w:color="E0E0E0"/>
            </w:tcBorders>
            <w:shd w:val="clear" w:color="auto" w:fill="auto"/>
            <w:vAlign w:val="bottom"/>
          </w:tcPr>
          <w:p w14:paraId="1E61AFAD" w14:textId="77777777" w:rsidR="003859C9" w:rsidRPr="00EB11D3" w:rsidRDefault="003859C9" w:rsidP="003859C9">
            <w:pPr>
              <w:autoSpaceDE w:val="0"/>
              <w:autoSpaceDN w:val="0"/>
              <w:adjustRightInd w:val="0"/>
              <w:spacing w:after="0" w:line="400" w:lineRule="atLeast"/>
              <w:jc w:val="left"/>
              <w:rPr>
                <w:szCs w:val="24"/>
              </w:rPr>
            </w:pPr>
          </w:p>
        </w:tc>
      </w:tr>
      <w:tr w:rsidR="003859C9" w:rsidRPr="00EB11D3" w14:paraId="4BFE41DE" w14:textId="77777777" w:rsidTr="00823CEA">
        <w:trPr>
          <w:cantSplit/>
        </w:trPr>
        <w:tc>
          <w:tcPr>
            <w:tcW w:w="380" w:type="pct"/>
            <w:vMerge w:val="restart"/>
            <w:tcBorders>
              <w:top w:val="single" w:sz="8" w:space="0" w:color="152935"/>
              <w:left w:val="nil"/>
              <w:bottom w:val="single" w:sz="8" w:space="0" w:color="152935"/>
              <w:right w:val="nil"/>
            </w:tcBorders>
            <w:shd w:val="clear" w:color="auto" w:fill="auto"/>
          </w:tcPr>
          <w:p w14:paraId="401CADED"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1</w:t>
            </w:r>
          </w:p>
        </w:tc>
        <w:tc>
          <w:tcPr>
            <w:tcW w:w="1301" w:type="pct"/>
            <w:tcBorders>
              <w:top w:val="single" w:sz="8" w:space="0" w:color="152935"/>
              <w:left w:val="nil"/>
              <w:bottom w:val="single" w:sz="8" w:space="0" w:color="AEAEAE"/>
              <w:right w:val="nil"/>
            </w:tcBorders>
            <w:shd w:val="clear" w:color="auto" w:fill="auto"/>
          </w:tcPr>
          <w:p w14:paraId="2749294D"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(Constant)</w:t>
            </w:r>
          </w:p>
        </w:tc>
        <w:tc>
          <w:tcPr>
            <w:tcW w:w="701" w:type="pct"/>
            <w:tcBorders>
              <w:top w:val="single" w:sz="8" w:space="0" w:color="152935"/>
              <w:left w:val="nil"/>
              <w:bottom w:val="single" w:sz="8" w:space="0" w:color="AEAEAE"/>
              <w:right w:val="single" w:sz="8" w:space="0" w:color="E0E0E0"/>
            </w:tcBorders>
            <w:shd w:val="clear" w:color="auto" w:fill="auto"/>
          </w:tcPr>
          <w:p w14:paraId="3CC23E66"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1.299</w:t>
            </w:r>
          </w:p>
        </w:tc>
        <w:tc>
          <w:tcPr>
            <w:tcW w:w="702" w:type="pct"/>
            <w:tcBorders>
              <w:top w:val="single" w:sz="8" w:space="0" w:color="152935"/>
              <w:left w:val="single" w:sz="8" w:space="0" w:color="E0E0E0"/>
              <w:bottom w:val="single" w:sz="8" w:space="0" w:color="AEAEAE"/>
              <w:right w:val="single" w:sz="8" w:space="0" w:color="E0E0E0"/>
            </w:tcBorders>
            <w:shd w:val="clear" w:color="auto" w:fill="auto"/>
          </w:tcPr>
          <w:p w14:paraId="02E09737"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.095</w:t>
            </w:r>
          </w:p>
        </w:tc>
        <w:tc>
          <w:tcPr>
            <w:tcW w:w="841" w:type="pct"/>
            <w:tcBorders>
              <w:top w:val="single" w:sz="8" w:space="0" w:color="152935"/>
              <w:left w:val="single" w:sz="8" w:space="0" w:color="E0E0E0"/>
              <w:bottom w:val="single" w:sz="8" w:space="0" w:color="AEAEAE"/>
              <w:right w:val="single" w:sz="8" w:space="0" w:color="E0E0E0"/>
            </w:tcBorders>
            <w:shd w:val="clear" w:color="auto" w:fill="auto"/>
            <w:vAlign w:val="center"/>
          </w:tcPr>
          <w:p w14:paraId="7D15C961" w14:textId="77777777" w:rsidR="003859C9" w:rsidRPr="00EB11D3" w:rsidRDefault="003859C9" w:rsidP="003859C9">
            <w:pPr>
              <w:autoSpaceDE w:val="0"/>
              <w:autoSpaceDN w:val="0"/>
              <w:adjustRightInd w:val="0"/>
              <w:spacing w:after="0" w:line="400" w:lineRule="atLeast"/>
              <w:jc w:val="left"/>
              <w:rPr>
                <w:szCs w:val="24"/>
              </w:rPr>
            </w:pPr>
          </w:p>
        </w:tc>
        <w:tc>
          <w:tcPr>
            <w:tcW w:w="537" w:type="pct"/>
            <w:tcBorders>
              <w:top w:val="single" w:sz="8" w:space="0" w:color="152935"/>
              <w:left w:val="single" w:sz="8" w:space="0" w:color="E0E0E0"/>
              <w:bottom w:val="single" w:sz="8" w:space="0" w:color="AEAEAE"/>
              <w:right w:val="single" w:sz="8" w:space="0" w:color="E0E0E0"/>
            </w:tcBorders>
            <w:shd w:val="clear" w:color="auto" w:fill="auto"/>
          </w:tcPr>
          <w:p w14:paraId="47DB9B7B"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13.680</w:t>
            </w:r>
          </w:p>
        </w:tc>
        <w:tc>
          <w:tcPr>
            <w:tcW w:w="537" w:type="pct"/>
            <w:tcBorders>
              <w:top w:val="single" w:sz="8" w:space="0" w:color="152935"/>
              <w:left w:val="single" w:sz="8" w:space="0" w:color="E0E0E0"/>
              <w:bottom w:val="single" w:sz="8" w:space="0" w:color="AEAEAE"/>
              <w:right w:val="single" w:sz="8" w:space="0" w:color="E0E0E0"/>
            </w:tcBorders>
            <w:shd w:val="clear" w:color="auto" w:fill="auto"/>
          </w:tcPr>
          <w:p w14:paraId="4EE89739"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.000</w:t>
            </w:r>
          </w:p>
        </w:tc>
      </w:tr>
      <w:tr w:rsidR="003859C9" w:rsidRPr="00EB11D3" w14:paraId="3D7AAF34" w14:textId="77777777" w:rsidTr="00823CEA">
        <w:trPr>
          <w:cantSplit/>
        </w:trPr>
        <w:tc>
          <w:tcPr>
            <w:tcW w:w="380" w:type="pct"/>
            <w:vMerge/>
            <w:tcBorders>
              <w:top w:val="single" w:sz="8" w:space="0" w:color="152935"/>
              <w:left w:val="nil"/>
              <w:bottom w:val="single" w:sz="8" w:space="0" w:color="152935"/>
              <w:right w:val="nil"/>
            </w:tcBorders>
            <w:shd w:val="clear" w:color="auto" w:fill="auto"/>
          </w:tcPr>
          <w:p w14:paraId="7431CB85" w14:textId="77777777" w:rsidR="003859C9" w:rsidRPr="00EB11D3" w:rsidRDefault="003859C9" w:rsidP="003859C9">
            <w:pPr>
              <w:autoSpaceDE w:val="0"/>
              <w:autoSpaceDN w:val="0"/>
              <w:adjustRightInd w:val="0"/>
              <w:spacing w:after="0" w:line="400" w:lineRule="atLeast"/>
              <w:jc w:val="left"/>
              <w:rPr>
                <w:szCs w:val="24"/>
              </w:rPr>
            </w:pPr>
          </w:p>
        </w:tc>
        <w:tc>
          <w:tcPr>
            <w:tcW w:w="1301" w:type="pct"/>
            <w:tcBorders>
              <w:top w:val="single" w:sz="8" w:space="0" w:color="AEAEAE"/>
              <w:left w:val="nil"/>
              <w:bottom w:val="single" w:sz="8" w:space="0" w:color="152935"/>
              <w:right w:val="nil"/>
            </w:tcBorders>
            <w:shd w:val="clear" w:color="auto" w:fill="auto"/>
          </w:tcPr>
          <w:p w14:paraId="3559A068"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Corporate governance</w:t>
            </w:r>
          </w:p>
        </w:tc>
        <w:tc>
          <w:tcPr>
            <w:tcW w:w="701" w:type="pct"/>
            <w:tcBorders>
              <w:top w:val="single" w:sz="8" w:space="0" w:color="AEAEAE"/>
              <w:left w:val="nil"/>
              <w:bottom w:val="single" w:sz="8" w:space="0" w:color="152935"/>
              <w:right w:val="single" w:sz="8" w:space="0" w:color="E0E0E0"/>
            </w:tcBorders>
            <w:shd w:val="clear" w:color="auto" w:fill="auto"/>
          </w:tcPr>
          <w:p w14:paraId="4A6B8F9F"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.646</w:t>
            </w:r>
          </w:p>
        </w:tc>
        <w:tc>
          <w:tcPr>
            <w:tcW w:w="702" w:type="pct"/>
            <w:tcBorders>
              <w:top w:val="single" w:sz="8" w:space="0" w:color="AEAEAE"/>
              <w:left w:val="single" w:sz="8" w:space="0" w:color="E0E0E0"/>
              <w:bottom w:val="single" w:sz="8" w:space="0" w:color="152935"/>
              <w:right w:val="single" w:sz="8" w:space="0" w:color="E0E0E0"/>
            </w:tcBorders>
            <w:shd w:val="clear" w:color="auto" w:fill="auto"/>
          </w:tcPr>
          <w:p w14:paraId="1B719870"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.033</w:t>
            </w:r>
          </w:p>
        </w:tc>
        <w:tc>
          <w:tcPr>
            <w:tcW w:w="841" w:type="pct"/>
            <w:tcBorders>
              <w:top w:val="single" w:sz="8" w:space="0" w:color="AEAEAE"/>
              <w:left w:val="single" w:sz="8" w:space="0" w:color="E0E0E0"/>
              <w:bottom w:val="single" w:sz="8" w:space="0" w:color="152935"/>
              <w:right w:val="single" w:sz="8" w:space="0" w:color="E0E0E0"/>
            </w:tcBorders>
            <w:shd w:val="clear" w:color="auto" w:fill="auto"/>
          </w:tcPr>
          <w:p w14:paraId="6FF1B3B6"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.783</w:t>
            </w:r>
          </w:p>
        </w:tc>
        <w:tc>
          <w:tcPr>
            <w:tcW w:w="537" w:type="pct"/>
            <w:tcBorders>
              <w:top w:val="single" w:sz="8" w:space="0" w:color="AEAEAE"/>
              <w:left w:val="single" w:sz="8" w:space="0" w:color="E0E0E0"/>
              <w:bottom w:val="single" w:sz="8" w:space="0" w:color="152935"/>
              <w:right w:val="single" w:sz="8" w:space="0" w:color="E0E0E0"/>
            </w:tcBorders>
            <w:shd w:val="clear" w:color="auto" w:fill="auto"/>
          </w:tcPr>
          <w:p w14:paraId="268841B5"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19.804</w:t>
            </w:r>
          </w:p>
        </w:tc>
        <w:tc>
          <w:tcPr>
            <w:tcW w:w="537" w:type="pct"/>
            <w:tcBorders>
              <w:top w:val="single" w:sz="8" w:space="0" w:color="AEAEAE"/>
              <w:left w:val="single" w:sz="8" w:space="0" w:color="E0E0E0"/>
              <w:bottom w:val="single" w:sz="8" w:space="0" w:color="152935"/>
              <w:right w:val="single" w:sz="8" w:space="0" w:color="E0E0E0"/>
            </w:tcBorders>
            <w:shd w:val="clear" w:color="auto" w:fill="auto"/>
          </w:tcPr>
          <w:p w14:paraId="544D8881"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.000</w:t>
            </w:r>
          </w:p>
        </w:tc>
      </w:tr>
    </w:tbl>
    <w:p w14:paraId="26A03EC6" w14:textId="77777777" w:rsidR="00D674D6" w:rsidRPr="00EB11D3" w:rsidRDefault="00D674D6" w:rsidP="003859C9">
      <w:pPr>
        <w:shd w:val="clear" w:color="auto" w:fill="FFFFFF"/>
        <w:spacing w:after="160" w:line="259" w:lineRule="auto"/>
        <w:jc w:val="left"/>
        <w:rPr>
          <w:rFonts w:eastAsia="Cambria"/>
          <w:szCs w:val="24"/>
        </w:rPr>
      </w:pPr>
    </w:p>
    <w:p w14:paraId="6C950672" w14:textId="77777777" w:rsidR="003859C9" w:rsidRPr="00EB11D3" w:rsidRDefault="003859C9" w:rsidP="003859C9">
      <w:pPr>
        <w:shd w:val="clear" w:color="auto" w:fill="FFFFFF"/>
        <w:spacing w:after="160" w:line="259" w:lineRule="auto"/>
        <w:jc w:val="left"/>
        <w:rPr>
          <w:rFonts w:eastAsia="Cambria"/>
          <w:szCs w:val="24"/>
        </w:rPr>
      </w:pPr>
      <w:r w:rsidRPr="00EB11D3">
        <w:rPr>
          <w:rFonts w:eastAsia="Cambria"/>
          <w:szCs w:val="24"/>
        </w:rPr>
        <w:t xml:space="preserve">The fitted model from the result in Table 29 was; </w:t>
      </w:r>
    </w:p>
    <w:p w14:paraId="2C253F6C" w14:textId="77777777" w:rsidR="003859C9" w:rsidRPr="00EB11D3" w:rsidRDefault="003859C9" w:rsidP="003859C9">
      <w:pPr>
        <w:shd w:val="clear" w:color="auto" w:fill="FFFFFF"/>
        <w:spacing w:after="160" w:line="259" w:lineRule="auto"/>
        <w:jc w:val="left"/>
        <w:rPr>
          <w:rFonts w:eastAsia="Cambria"/>
          <w:szCs w:val="24"/>
        </w:rPr>
      </w:pPr>
      <w:r w:rsidRPr="00EB11D3">
        <w:rPr>
          <w:rFonts w:eastAsia="Cambria"/>
          <w:szCs w:val="24"/>
        </w:rPr>
        <w:t>OP= 1.299 + 0.646CG</w:t>
      </w:r>
    </w:p>
    <w:p w14:paraId="2BFEDD64" w14:textId="77777777" w:rsidR="003859C9" w:rsidRPr="00EB11D3" w:rsidRDefault="00F50341" w:rsidP="003859C9">
      <w:pPr>
        <w:shd w:val="clear" w:color="auto" w:fill="FFFFFF"/>
        <w:spacing w:after="160" w:line="360" w:lineRule="auto"/>
        <w:rPr>
          <w:rFonts w:eastAsia="Cambria"/>
          <w:szCs w:val="24"/>
        </w:rPr>
      </w:pPr>
      <w:r w:rsidRPr="00F50341">
        <w:rPr>
          <w:rFonts w:eastAsia="Cambria"/>
          <w:szCs w:val="24"/>
        </w:rPr>
        <w:t>This suggests that improved organisational performance is a result of sound corporate governance. According to H0</w:t>
      </w:r>
      <w:r w:rsidRPr="00F50341">
        <w:rPr>
          <w:rFonts w:eastAsia="Cambria"/>
          <w:szCs w:val="24"/>
          <w:vertAlign w:val="subscript"/>
        </w:rPr>
        <w:t>1</w:t>
      </w:r>
      <w:r w:rsidRPr="00F50341">
        <w:rPr>
          <w:rFonts w:eastAsia="Cambria"/>
          <w:szCs w:val="24"/>
        </w:rPr>
        <w:t>, corporate governance has no significant effect on the performance of faith-based hospitals in Kenya. The study found that corporate governance significantly affects the organisational performance of faith-based hospitals in Kenya, rejecting the null hypothesis since the p-value was less than 0.05.</w:t>
      </w:r>
    </w:p>
    <w:p w14:paraId="6B7FFFEB" w14:textId="77777777" w:rsidR="003859C9" w:rsidRPr="00EB11D3" w:rsidRDefault="003859C9" w:rsidP="00823CEA">
      <w:pPr>
        <w:pStyle w:val="Heading3"/>
      </w:pPr>
      <w:bookmarkStart w:id="853" w:name="_Toc124240254"/>
      <w:bookmarkStart w:id="854" w:name="_Toc126071145"/>
      <w:bookmarkStart w:id="855" w:name="_Toc164151268"/>
      <w:bookmarkStart w:id="856" w:name="_Toc168673460"/>
      <w:bookmarkStart w:id="857" w:name="_Toc168737902"/>
      <w:bookmarkStart w:id="858" w:name="_Toc171602655"/>
      <w:bookmarkStart w:id="859" w:name="_Toc171603482"/>
      <w:bookmarkStart w:id="860" w:name="_Toc177387887"/>
      <w:bookmarkEnd w:id="845"/>
      <w:r w:rsidRPr="00EB11D3">
        <w:t>4.</w:t>
      </w:r>
      <w:r w:rsidR="004373D8">
        <w:t>6</w:t>
      </w:r>
      <w:r w:rsidRPr="00EB11D3">
        <w:t xml:space="preserve">.2 Mediating Effect of </w:t>
      </w:r>
      <w:bookmarkEnd w:id="853"/>
      <w:bookmarkEnd w:id="854"/>
      <w:r w:rsidRPr="00EB11D3">
        <w:t>Service Innovation</w:t>
      </w:r>
      <w:bookmarkEnd w:id="855"/>
      <w:bookmarkEnd w:id="856"/>
      <w:bookmarkEnd w:id="857"/>
      <w:bookmarkEnd w:id="858"/>
      <w:bookmarkEnd w:id="859"/>
      <w:bookmarkEnd w:id="860"/>
      <w:r w:rsidRPr="00EB11D3">
        <w:tab/>
      </w:r>
    </w:p>
    <w:p w14:paraId="2889DC39" w14:textId="77777777" w:rsidR="003859C9" w:rsidRPr="00EB11D3" w:rsidRDefault="003859C9" w:rsidP="003859C9">
      <w:pPr>
        <w:spacing w:after="160" w:line="360" w:lineRule="auto"/>
        <w:rPr>
          <w:rFonts w:eastAsia="Cambria"/>
          <w:szCs w:val="24"/>
        </w:rPr>
      </w:pPr>
      <w:r w:rsidRPr="00EB11D3">
        <w:rPr>
          <w:rFonts w:eastAsia="Cambria"/>
          <w:szCs w:val="24"/>
        </w:rPr>
        <w:t xml:space="preserve">The second objective of the study was to examine the mediating effect of </w:t>
      </w:r>
      <w:r w:rsidRPr="00EB11D3">
        <w:rPr>
          <w:rFonts w:eastAsia="Cambria"/>
          <w:bCs/>
          <w:szCs w:val="24"/>
          <w:lang w:val="en-GB"/>
        </w:rPr>
        <w:t xml:space="preserve">Service </w:t>
      </w:r>
      <w:r w:rsidR="00EB2799" w:rsidRPr="00EB11D3">
        <w:rPr>
          <w:rFonts w:eastAsia="Cambria"/>
          <w:bCs/>
          <w:szCs w:val="24"/>
          <w:lang w:val="en-GB"/>
        </w:rPr>
        <w:t>i</w:t>
      </w:r>
      <w:r w:rsidRPr="00EB11D3">
        <w:rPr>
          <w:rFonts w:eastAsia="Cambria"/>
          <w:bCs/>
          <w:szCs w:val="24"/>
          <w:lang w:val="en-GB"/>
        </w:rPr>
        <w:t>nnovation</w:t>
      </w:r>
      <w:r w:rsidRPr="00EB11D3">
        <w:rPr>
          <w:rFonts w:eastAsia="Cambria"/>
          <w:szCs w:val="24"/>
        </w:rPr>
        <w:t xml:space="preserve"> on the relationship between corporate governance and </w:t>
      </w:r>
      <w:r w:rsidR="006D5C62" w:rsidRPr="00EB11D3">
        <w:rPr>
          <w:rFonts w:eastAsia="Cambria"/>
          <w:bCs/>
          <w:szCs w:val="24"/>
        </w:rPr>
        <w:t>Organisational performance of Faith-Based Hospitals</w:t>
      </w:r>
      <w:r w:rsidRPr="00EB11D3">
        <w:rPr>
          <w:rFonts w:eastAsia="Cambria"/>
          <w:szCs w:val="24"/>
        </w:rPr>
        <w:t xml:space="preserve"> in Kenya. </w:t>
      </w:r>
      <w:bookmarkStart w:id="861" w:name="_Hlk129535377"/>
      <w:r w:rsidR="009A024B" w:rsidRPr="009A024B">
        <w:rPr>
          <w:rFonts w:eastAsia="Cambria"/>
          <w:szCs w:val="24"/>
        </w:rPr>
        <w:t xml:space="preserve">The null version of the second hypothesis claimed that service innovation had no </w:t>
      </w:r>
      <w:r w:rsidR="009A024B">
        <w:rPr>
          <w:rFonts w:eastAsia="Cambria"/>
          <w:szCs w:val="24"/>
        </w:rPr>
        <w:t>significant</w:t>
      </w:r>
      <w:r w:rsidR="009A024B" w:rsidRPr="009A024B">
        <w:rPr>
          <w:rFonts w:eastAsia="Cambria"/>
          <w:szCs w:val="24"/>
        </w:rPr>
        <w:t xml:space="preserve"> mediation effect on the </w:t>
      </w:r>
      <w:r w:rsidR="009A024B">
        <w:rPr>
          <w:rFonts w:eastAsia="Cambria"/>
          <w:szCs w:val="24"/>
        </w:rPr>
        <w:t>link</w:t>
      </w:r>
      <w:r w:rsidR="009A024B" w:rsidRPr="009A024B">
        <w:rPr>
          <w:rFonts w:eastAsia="Cambria"/>
          <w:szCs w:val="24"/>
        </w:rPr>
        <w:t xml:space="preserve"> between corporate governance and organisational performance </w:t>
      </w:r>
      <w:r w:rsidR="009A024B">
        <w:rPr>
          <w:rFonts w:eastAsia="Cambria"/>
          <w:szCs w:val="24"/>
        </w:rPr>
        <w:t xml:space="preserve">of </w:t>
      </w:r>
      <w:r w:rsidR="009A024B" w:rsidRPr="009A024B">
        <w:rPr>
          <w:rFonts w:eastAsia="Cambria"/>
          <w:szCs w:val="24"/>
        </w:rPr>
        <w:t>faith-based hospitals in Kenya. Regression analysis was used to assess the hypothesis using Baron and Kenny's (1986) four-step method. Confirmation of mediation requires the fulfilment of the following four requirements. The independent variable has to have a substantial relationship with the dependent variable in the absence of the mediating variable.</w:t>
      </w:r>
    </w:p>
    <w:p w14:paraId="4BD2484E" w14:textId="77777777" w:rsidR="00B64BF1" w:rsidRDefault="00B64BF1" w:rsidP="003859C9">
      <w:pPr>
        <w:spacing w:after="160" w:line="360" w:lineRule="auto"/>
        <w:rPr>
          <w:rFonts w:eastAsia="Wingdings"/>
          <w:szCs w:val="24"/>
        </w:rPr>
      </w:pPr>
      <w:bookmarkStart w:id="862" w:name="_Hlk129535689"/>
      <w:bookmarkEnd w:id="861"/>
      <w:r w:rsidRPr="00B64BF1">
        <w:rPr>
          <w:rFonts w:eastAsia="Wingdings"/>
          <w:szCs w:val="24"/>
        </w:rPr>
        <w:t xml:space="preserve">In the second requirement, there ought to be a strong connection between the mediating and independent variables. </w:t>
      </w:r>
      <w:r w:rsidR="00B36895" w:rsidRPr="00B64BF1">
        <w:rPr>
          <w:rFonts w:eastAsia="Wingdings"/>
          <w:szCs w:val="24"/>
        </w:rPr>
        <w:t>The third requirement is that the mediating variable and the dependent variable must be significantly related.</w:t>
      </w:r>
      <w:r w:rsidR="001D391F">
        <w:rPr>
          <w:rFonts w:eastAsia="Wingdings"/>
          <w:szCs w:val="24"/>
        </w:rPr>
        <w:t xml:space="preserve"> </w:t>
      </w:r>
      <w:r w:rsidRPr="00B64BF1">
        <w:rPr>
          <w:rFonts w:eastAsia="Wingdings"/>
          <w:szCs w:val="24"/>
        </w:rPr>
        <w:t xml:space="preserve">The fourth requirement is that the independent variable's influence on the dependent variable should not be significant when the mediating variable's effect on the dependent variable is controlled. </w:t>
      </w:r>
    </w:p>
    <w:bookmarkEnd w:id="862"/>
    <w:p w14:paraId="5D2CAAC1" w14:textId="77777777" w:rsidR="00B64BF1" w:rsidRPr="00B64BF1" w:rsidRDefault="00B64BF1" w:rsidP="00B64BF1">
      <w:pPr>
        <w:spacing w:after="160" w:line="360" w:lineRule="auto"/>
        <w:rPr>
          <w:rFonts w:eastAsia="Calibri"/>
          <w:szCs w:val="24"/>
        </w:rPr>
      </w:pPr>
      <w:r w:rsidRPr="00B64BF1">
        <w:rPr>
          <w:rFonts w:eastAsia="Calibri"/>
          <w:szCs w:val="24"/>
        </w:rPr>
        <w:t>Thus, corporate governance was being regressed to organisational performance in the first phase. The procedure moves on to step two if step one yields statistically significant findings. If the first phase yields no significant findings, the procedure is terminated. In this case, it would be determined that service innovation does not act as a mediator in the link between organisational performance and corporate governance.</w:t>
      </w:r>
    </w:p>
    <w:p w14:paraId="159FA6D3" w14:textId="77777777" w:rsidR="00B64BF1" w:rsidRPr="00B64BF1" w:rsidRDefault="00B64BF1" w:rsidP="00B64BF1">
      <w:pPr>
        <w:spacing w:after="160" w:line="360" w:lineRule="auto"/>
        <w:rPr>
          <w:rFonts w:eastAsia="Calibri"/>
          <w:szCs w:val="24"/>
        </w:rPr>
      </w:pPr>
      <w:r w:rsidRPr="00B64BF1">
        <w:rPr>
          <w:rFonts w:eastAsia="Calibri"/>
          <w:szCs w:val="24"/>
        </w:rPr>
        <w:t>In the second level, corporate governance was regressed against service innovation. The procedure moves on to step 3 if the outcomes are noteworthy since the prerequisites for a mediating effect have been satisfied. In step three, the effect of service innovation on organisational performance is investigated using a simple linear regression model. There has to be a statistically significant impact of service innovation on organisational performance in order to test for the mediating effect.</w:t>
      </w:r>
    </w:p>
    <w:p w14:paraId="28CFB808" w14:textId="77777777" w:rsidR="003859C9" w:rsidRPr="00EB11D3" w:rsidRDefault="00B64BF1" w:rsidP="00B64BF1">
      <w:pPr>
        <w:spacing w:after="160" w:line="360" w:lineRule="auto"/>
        <w:rPr>
          <w:rFonts w:eastAsia="Calibri"/>
          <w:szCs w:val="24"/>
        </w:rPr>
      </w:pPr>
      <w:r w:rsidRPr="00B64BF1">
        <w:rPr>
          <w:rFonts w:eastAsia="Calibri"/>
          <w:szCs w:val="24"/>
        </w:rPr>
        <w:t>Step four concluded by examining how corporate governance affects organisational performance while accounting for the influence of service innovation. For these tests, a simple linear regression analysis was employed. The effect of corporate governance on organisational performance ought to be statistically significant when service innovation is controlled. This is necessary condition in order to find presence of mediati</w:t>
      </w:r>
      <w:r>
        <w:rPr>
          <w:rFonts w:eastAsia="Calibri"/>
          <w:szCs w:val="24"/>
        </w:rPr>
        <w:t>on</w:t>
      </w:r>
      <w:r w:rsidRPr="00B64BF1">
        <w:rPr>
          <w:rFonts w:eastAsia="Calibri"/>
          <w:szCs w:val="24"/>
        </w:rPr>
        <w:t xml:space="preserve"> effect.</w:t>
      </w:r>
      <w:r w:rsidR="003859C9" w:rsidRPr="00EB11D3">
        <w:rPr>
          <w:rFonts w:eastAsia="Calibri"/>
          <w:szCs w:val="24"/>
        </w:rPr>
        <w:t xml:space="preserve"> Tables 30, 31, 32 and 33 respectively shows the outcomes of the four steps.</w:t>
      </w:r>
    </w:p>
    <w:p w14:paraId="43D3DA68" w14:textId="77777777" w:rsidR="003859C9" w:rsidRPr="00EB11D3" w:rsidRDefault="003859C9" w:rsidP="00823CEA">
      <w:pPr>
        <w:spacing w:after="0" w:line="360" w:lineRule="auto"/>
        <w:rPr>
          <w:rFonts w:eastAsia="Calibri"/>
          <w:szCs w:val="24"/>
        </w:rPr>
      </w:pPr>
      <w:r w:rsidRPr="00EB11D3">
        <w:rPr>
          <w:rFonts w:eastAsia="Calibri"/>
          <w:b/>
          <w:bCs/>
          <w:szCs w:val="24"/>
        </w:rPr>
        <w:t xml:space="preserve">Step One: </w:t>
      </w:r>
      <w:r w:rsidRPr="00EB11D3">
        <w:rPr>
          <w:rFonts w:eastAsia="Calibri"/>
          <w:szCs w:val="24"/>
        </w:rPr>
        <w:t>corporate governance</w:t>
      </w:r>
      <w:r w:rsidR="000D666C" w:rsidRPr="00EB11D3">
        <w:rPr>
          <w:rFonts w:eastAsia="Calibri"/>
          <w:szCs w:val="24"/>
        </w:rPr>
        <w:t xml:space="preserve"> </w:t>
      </w:r>
      <w:r w:rsidRPr="00EB11D3">
        <w:rPr>
          <w:rFonts w:eastAsia="Calibri"/>
          <w:szCs w:val="24"/>
        </w:rPr>
        <w:t>was regressed against organisational performance. The results are presented in Table 30.</w:t>
      </w:r>
    </w:p>
    <w:p w14:paraId="316E96E8" w14:textId="77777777" w:rsidR="003859C9" w:rsidRPr="00EB11D3" w:rsidRDefault="003859C9" w:rsidP="003859C9">
      <w:pPr>
        <w:spacing w:after="0" w:line="240" w:lineRule="auto"/>
        <w:jc w:val="left"/>
        <w:rPr>
          <w:rFonts w:eastAsia="Times New Roman"/>
          <w:b/>
          <w:bCs/>
          <w:szCs w:val="24"/>
        </w:rPr>
      </w:pPr>
      <w:bookmarkStart w:id="863" w:name="_Toc8905585"/>
      <w:bookmarkStart w:id="864" w:name="_Toc15147923"/>
      <w:bookmarkStart w:id="865" w:name="_Toc16177257"/>
      <w:bookmarkStart w:id="866" w:name="_Toc16177627"/>
    </w:p>
    <w:p w14:paraId="7AA014ED" w14:textId="77777777" w:rsidR="003859C9" w:rsidRPr="00EB11D3" w:rsidRDefault="003859C9" w:rsidP="003859C9">
      <w:pPr>
        <w:spacing w:after="0" w:line="240" w:lineRule="auto"/>
        <w:jc w:val="left"/>
        <w:rPr>
          <w:rFonts w:eastAsia="Times New Roman"/>
          <w:b/>
          <w:bCs/>
          <w:szCs w:val="24"/>
        </w:rPr>
      </w:pPr>
      <w:bookmarkStart w:id="867" w:name="_Toc126666765"/>
    </w:p>
    <w:p w14:paraId="6A4FAF59" w14:textId="77777777" w:rsidR="003859C9" w:rsidRPr="00EB11D3" w:rsidRDefault="00373A2C" w:rsidP="003859C9">
      <w:pPr>
        <w:spacing w:after="0" w:line="240" w:lineRule="auto"/>
        <w:jc w:val="left"/>
        <w:rPr>
          <w:rFonts w:eastAsia="Calibri"/>
          <w:b/>
          <w:iCs/>
          <w:szCs w:val="24"/>
          <w:lang w:val="en-GB"/>
        </w:rPr>
      </w:pPr>
      <w:r>
        <w:rPr>
          <w:rFonts w:eastAsia="Calibri"/>
          <w:b/>
          <w:szCs w:val="24"/>
        </w:rPr>
        <w:br w:type="page"/>
      </w:r>
      <w:bookmarkStart w:id="868" w:name="_Toc177387961"/>
      <w:r w:rsidR="003859C9" w:rsidRPr="00EB11D3">
        <w:rPr>
          <w:rFonts w:eastAsia="Calibri"/>
          <w:b/>
          <w:szCs w:val="24"/>
        </w:rPr>
        <w:t xml:space="preserve">Table </w:t>
      </w:r>
      <w:r w:rsidR="003859C9" w:rsidRPr="00EB11D3">
        <w:rPr>
          <w:rFonts w:eastAsia="Calibri"/>
          <w:b/>
          <w:szCs w:val="24"/>
        </w:rPr>
        <w:fldChar w:fldCharType="begin"/>
      </w:r>
      <w:r w:rsidR="003859C9" w:rsidRPr="00EB11D3">
        <w:rPr>
          <w:rFonts w:eastAsia="Calibri"/>
          <w:b/>
          <w:szCs w:val="24"/>
        </w:rPr>
        <w:instrText xml:space="preserve"> SEQ Table \* ARABIC </w:instrText>
      </w:r>
      <w:r w:rsidR="003859C9" w:rsidRPr="00EB11D3">
        <w:rPr>
          <w:rFonts w:eastAsia="Calibri"/>
          <w:b/>
          <w:szCs w:val="24"/>
        </w:rPr>
        <w:fldChar w:fldCharType="separate"/>
      </w:r>
      <w:r w:rsidR="003859C9" w:rsidRPr="00EB11D3">
        <w:rPr>
          <w:rFonts w:eastAsia="Calibri"/>
          <w:b/>
          <w:noProof/>
          <w:szCs w:val="24"/>
        </w:rPr>
        <w:t>30</w:t>
      </w:r>
      <w:r w:rsidR="003859C9" w:rsidRPr="00EB11D3">
        <w:rPr>
          <w:rFonts w:eastAsia="Calibri"/>
          <w:b/>
          <w:szCs w:val="24"/>
        </w:rPr>
        <w:fldChar w:fldCharType="end"/>
      </w:r>
      <w:r w:rsidR="003859C9" w:rsidRPr="00EB11D3">
        <w:rPr>
          <w:rFonts w:eastAsia="Calibri"/>
          <w:b/>
          <w:iCs/>
          <w:szCs w:val="24"/>
          <w:lang w:val="en-GB"/>
        </w:rPr>
        <w:t>: Regression Results from the Test of the Effect of CG on OP</w:t>
      </w:r>
      <w:bookmarkEnd w:id="863"/>
      <w:bookmarkEnd w:id="864"/>
      <w:bookmarkEnd w:id="865"/>
      <w:bookmarkEnd w:id="866"/>
      <w:bookmarkEnd w:id="867"/>
      <w:bookmarkEnd w:id="868"/>
    </w:p>
    <w:p w14:paraId="0E06CEB7" w14:textId="77777777" w:rsidR="003859C9" w:rsidRPr="00EB11D3" w:rsidRDefault="003859C9" w:rsidP="003859C9">
      <w:pPr>
        <w:autoSpaceDE w:val="0"/>
        <w:autoSpaceDN w:val="0"/>
        <w:adjustRightInd w:val="0"/>
        <w:spacing w:after="0" w:line="240" w:lineRule="auto"/>
        <w:jc w:val="left"/>
        <w:rPr>
          <w:szCs w:val="24"/>
        </w:rPr>
      </w:pPr>
    </w:p>
    <w:tbl>
      <w:tblPr>
        <w:tblW w:w="5000" w:type="pct"/>
        <w:tblLayout w:type="fixed"/>
        <w:tblCellMar>
          <w:left w:w="0" w:type="dxa"/>
          <w:right w:w="0" w:type="dxa"/>
        </w:tblCellMar>
        <w:tblLook w:val="0000" w:firstRow="0" w:lastRow="0" w:firstColumn="0" w:lastColumn="0" w:noHBand="0" w:noVBand="0"/>
      </w:tblPr>
      <w:tblGrid>
        <w:gridCol w:w="732"/>
        <w:gridCol w:w="121"/>
        <w:gridCol w:w="415"/>
        <w:gridCol w:w="1085"/>
        <w:gridCol w:w="554"/>
        <w:gridCol w:w="9"/>
        <w:gridCol w:w="1152"/>
        <w:gridCol w:w="176"/>
        <w:gridCol w:w="402"/>
        <w:gridCol w:w="619"/>
        <w:gridCol w:w="307"/>
        <w:gridCol w:w="1337"/>
        <w:gridCol w:w="88"/>
        <w:gridCol w:w="41"/>
        <w:gridCol w:w="1021"/>
        <w:gridCol w:w="47"/>
        <w:gridCol w:w="1201"/>
        <w:gridCol w:w="34"/>
        <w:gridCol w:w="9"/>
      </w:tblGrid>
      <w:tr w:rsidR="003859C9" w:rsidRPr="00EB11D3" w14:paraId="09676F55" w14:textId="77777777" w:rsidTr="00373A2C">
        <w:trPr>
          <w:cantSplit/>
          <w:trHeight w:val="458"/>
        </w:trPr>
        <w:tc>
          <w:tcPr>
            <w:tcW w:w="679" w:type="pct"/>
            <w:gridSpan w:val="3"/>
            <w:vMerge w:val="restart"/>
            <w:tcBorders>
              <w:top w:val="single" w:sz="4" w:space="0" w:color="auto"/>
              <w:left w:val="nil"/>
              <w:bottom w:val="nil"/>
              <w:right w:val="nil"/>
            </w:tcBorders>
            <w:shd w:val="clear" w:color="auto" w:fill="FFFFFF"/>
            <w:vAlign w:val="bottom"/>
          </w:tcPr>
          <w:p w14:paraId="3634ECBE" w14:textId="77777777" w:rsidR="003859C9" w:rsidRPr="00EB11D3" w:rsidRDefault="003859C9" w:rsidP="003859C9">
            <w:pPr>
              <w:spacing w:after="160" w:line="259" w:lineRule="auto"/>
              <w:jc w:val="left"/>
              <w:rPr>
                <w:szCs w:val="24"/>
              </w:rPr>
            </w:pPr>
            <w:r w:rsidRPr="00EB11D3">
              <w:rPr>
                <w:szCs w:val="24"/>
              </w:rPr>
              <w:t>Model</w:t>
            </w:r>
          </w:p>
        </w:tc>
        <w:tc>
          <w:tcPr>
            <w:tcW w:w="876" w:type="pct"/>
            <w:gridSpan w:val="2"/>
            <w:vMerge w:val="restart"/>
            <w:tcBorders>
              <w:top w:val="single" w:sz="4" w:space="0" w:color="auto"/>
              <w:left w:val="nil"/>
              <w:bottom w:val="nil"/>
              <w:right w:val="single" w:sz="8" w:space="0" w:color="E0E0E0"/>
            </w:tcBorders>
            <w:shd w:val="clear" w:color="auto" w:fill="FFFFFF"/>
            <w:vAlign w:val="bottom"/>
          </w:tcPr>
          <w:p w14:paraId="276AF996" w14:textId="77777777" w:rsidR="003859C9" w:rsidRPr="00EB11D3" w:rsidRDefault="003859C9" w:rsidP="003859C9">
            <w:pPr>
              <w:spacing w:after="160" w:line="259" w:lineRule="auto"/>
              <w:jc w:val="left"/>
              <w:rPr>
                <w:szCs w:val="24"/>
              </w:rPr>
            </w:pPr>
            <w:r w:rsidRPr="00EB11D3">
              <w:rPr>
                <w:szCs w:val="24"/>
              </w:rPr>
              <w:t>R</w:t>
            </w:r>
          </w:p>
        </w:tc>
        <w:tc>
          <w:tcPr>
            <w:tcW w:w="930" w:type="pct"/>
            <w:gridSpan w:val="4"/>
            <w:vMerge w:val="restart"/>
            <w:tcBorders>
              <w:top w:val="single" w:sz="4" w:space="0" w:color="auto"/>
              <w:left w:val="single" w:sz="8" w:space="0" w:color="E0E0E0"/>
              <w:bottom w:val="nil"/>
              <w:right w:val="single" w:sz="8" w:space="0" w:color="E0E0E0"/>
            </w:tcBorders>
            <w:shd w:val="clear" w:color="auto" w:fill="FFFFFF"/>
            <w:vAlign w:val="bottom"/>
          </w:tcPr>
          <w:p w14:paraId="4DF5AAAF" w14:textId="77777777" w:rsidR="003859C9" w:rsidRPr="00EB11D3" w:rsidRDefault="003859C9" w:rsidP="003859C9">
            <w:pPr>
              <w:spacing w:after="160" w:line="259" w:lineRule="auto"/>
              <w:jc w:val="left"/>
              <w:rPr>
                <w:szCs w:val="24"/>
              </w:rPr>
            </w:pPr>
            <w:r w:rsidRPr="00EB11D3">
              <w:rPr>
                <w:szCs w:val="24"/>
              </w:rPr>
              <w:t>R Square</w:t>
            </w:r>
          </w:p>
        </w:tc>
        <w:tc>
          <w:tcPr>
            <w:tcW w:w="1257" w:type="pct"/>
            <w:gridSpan w:val="4"/>
            <w:vMerge w:val="restart"/>
            <w:tcBorders>
              <w:top w:val="single" w:sz="4" w:space="0" w:color="auto"/>
              <w:left w:val="single" w:sz="8" w:space="0" w:color="E0E0E0"/>
              <w:bottom w:val="nil"/>
              <w:right w:val="single" w:sz="8" w:space="0" w:color="E0E0E0"/>
            </w:tcBorders>
            <w:shd w:val="clear" w:color="auto" w:fill="FFFFFF"/>
            <w:vAlign w:val="bottom"/>
          </w:tcPr>
          <w:p w14:paraId="64A1E871" w14:textId="77777777" w:rsidR="003859C9" w:rsidRPr="00EB11D3" w:rsidRDefault="003859C9" w:rsidP="003859C9">
            <w:pPr>
              <w:spacing w:after="160" w:line="259" w:lineRule="auto"/>
              <w:jc w:val="left"/>
              <w:rPr>
                <w:szCs w:val="24"/>
              </w:rPr>
            </w:pPr>
            <w:r w:rsidRPr="00EB11D3">
              <w:rPr>
                <w:szCs w:val="24"/>
              </w:rPr>
              <w:t>Adjusted R Square</w:t>
            </w:r>
          </w:p>
        </w:tc>
        <w:tc>
          <w:tcPr>
            <w:tcW w:w="1258" w:type="pct"/>
            <w:gridSpan w:val="6"/>
            <w:vMerge w:val="restart"/>
            <w:tcBorders>
              <w:top w:val="single" w:sz="4" w:space="0" w:color="auto"/>
              <w:left w:val="single" w:sz="8" w:space="0" w:color="E0E0E0"/>
              <w:bottom w:val="nil"/>
              <w:right w:val="single" w:sz="8" w:space="0" w:color="E0E0E0"/>
            </w:tcBorders>
            <w:shd w:val="clear" w:color="auto" w:fill="FFFFFF"/>
            <w:vAlign w:val="bottom"/>
          </w:tcPr>
          <w:p w14:paraId="325F3455" w14:textId="77777777" w:rsidR="003859C9" w:rsidRPr="00EB11D3" w:rsidRDefault="003859C9" w:rsidP="003859C9">
            <w:pPr>
              <w:spacing w:after="160" w:line="259" w:lineRule="auto"/>
              <w:jc w:val="left"/>
              <w:rPr>
                <w:szCs w:val="24"/>
              </w:rPr>
            </w:pPr>
            <w:r w:rsidRPr="00EB11D3">
              <w:rPr>
                <w:szCs w:val="24"/>
              </w:rPr>
              <w:t>Std. Error of the Estimate</w:t>
            </w:r>
          </w:p>
        </w:tc>
      </w:tr>
      <w:tr w:rsidR="003859C9" w:rsidRPr="00EB11D3" w14:paraId="77E96CBC" w14:textId="77777777" w:rsidTr="00373A2C">
        <w:trPr>
          <w:cantSplit/>
          <w:trHeight w:val="276"/>
        </w:trPr>
        <w:tc>
          <w:tcPr>
            <w:tcW w:w="679" w:type="pct"/>
            <w:gridSpan w:val="3"/>
            <w:vMerge/>
            <w:tcBorders>
              <w:top w:val="nil"/>
              <w:left w:val="nil"/>
              <w:bottom w:val="nil"/>
              <w:right w:val="nil"/>
            </w:tcBorders>
            <w:shd w:val="clear" w:color="auto" w:fill="FFFFFF"/>
            <w:vAlign w:val="bottom"/>
          </w:tcPr>
          <w:p w14:paraId="6026CA2C" w14:textId="77777777" w:rsidR="003859C9" w:rsidRPr="00EB11D3" w:rsidRDefault="003859C9" w:rsidP="003859C9">
            <w:pPr>
              <w:autoSpaceDE w:val="0"/>
              <w:autoSpaceDN w:val="0"/>
              <w:adjustRightInd w:val="0"/>
              <w:spacing w:after="0" w:line="240" w:lineRule="auto"/>
              <w:jc w:val="left"/>
              <w:rPr>
                <w:szCs w:val="24"/>
              </w:rPr>
            </w:pPr>
          </w:p>
        </w:tc>
        <w:tc>
          <w:tcPr>
            <w:tcW w:w="876" w:type="pct"/>
            <w:gridSpan w:val="2"/>
            <w:vMerge/>
            <w:tcBorders>
              <w:top w:val="nil"/>
              <w:left w:val="nil"/>
              <w:bottom w:val="nil"/>
              <w:right w:val="single" w:sz="8" w:space="0" w:color="E0E0E0"/>
            </w:tcBorders>
            <w:shd w:val="clear" w:color="auto" w:fill="FFFFFF"/>
            <w:vAlign w:val="bottom"/>
          </w:tcPr>
          <w:p w14:paraId="4B26DFF6" w14:textId="77777777" w:rsidR="003859C9" w:rsidRPr="00EB11D3" w:rsidRDefault="003859C9" w:rsidP="003859C9">
            <w:pPr>
              <w:autoSpaceDE w:val="0"/>
              <w:autoSpaceDN w:val="0"/>
              <w:adjustRightInd w:val="0"/>
              <w:spacing w:after="0" w:line="240" w:lineRule="auto"/>
              <w:jc w:val="left"/>
              <w:rPr>
                <w:szCs w:val="24"/>
              </w:rPr>
            </w:pPr>
          </w:p>
        </w:tc>
        <w:tc>
          <w:tcPr>
            <w:tcW w:w="930" w:type="pct"/>
            <w:gridSpan w:val="4"/>
            <w:vMerge/>
            <w:tcBorders>
              <w:top w:val="nil"/>
              <w:left w:val="single" w:sz="8" w:space="0" w:color="E0E0E0"/>
              <w:bottom w:val="nil"/>
              <w:right w:val="single" w:sz="8" w:space="0" w:color="E0E0E0"/>
            </w:tcBorders>
            <w:shd w:val="clear" w:color="auto" w:fill="FFFFFF"/>
            <w:vAlign w:val="bottom"/>
          </w:tcPr>
          <w:p w14:paraId="2D6AC260" w14:textId="77777777" w:rsidR="003859C9" w:rsidRPr="00EB11D3" w:rsidRDefault="003859C9" w:rsidP="003859C9">
            <w:pPr>
              <w:autoSpaceDE w:val="0"/>
              <w:autoSpaceDN w:val="0"/>
              <w:adjustRightInd w:val="0"/>
              <w:spacing w:after="0" w:line="240" w:lineRule="auto"/>
              <w:jc w:val="left"/>
              <w:rPr>
                <w:szCs w:val="24"/>
              </w:rPr>
            </w:pPr>
          </w:p>
        </w:tc>
        <w:tc>
          <w:tcPr>
            <w:tcW w:w="1257" w:type="pct"/>
            <w:gridSpan w:val="4"/>
            <w:vMerge/>
            <w:tcBorders>
              <w:top w:val="nil"/>
              <w:left w:val="single" w:sz="8" w:space="0" w:color="E0E0E0"/>
              <w:bottom w:val="nil"/>
              <w:right w:val="single" w:sz="8" w:space="0" w:color="E0E0E0"/>
            </w:tcBorders>
            <w:shd w:val="clear" w:color="auto" w:fill="FFFFFF"/>
            <w:vAlign w:val="bottom"/>
          </w:tcPr>
          <w:p w14:paraId="73AFA6D4" w14:textId="77777777" w:rsidR="003859C9" w:rsidRPr="00EB11D3" w:rsidRDefault="003859C9" w:rsidP="003859C9">
            <w:pPr>
              <w:autoSpaceDE w:val="0"/>
              <w:autoSpaceDN w:val="0"/>
              <w:adjustRightInd w:val="0"/>
              <w:spacing w:after="0" w:line="240" w:lineRule="auto"/>
              <w:jc w:val="left"/>
              <w:rPr>
                <w:szCs w:val="24"/>
              </w:rPr>
            </w:pPr>
          </w:p>
        </w:tc>
        <w:tc>
          <w:tcPr>
            <w:tcW w:w="1258" w:type="pct"/>
            <w:gridSpan w:val="6"/>
            <w:vMerge/>
            <w:tcBorders>
              <w:top w:val="nil"/>
              <w:left w:val="single" w:sz="8" w:space="0" w:color="E0E0E0"/>
              <w:bottom w:val="nil"/>
              <w:right w:val="single" w:sz="8" w:space="0" w:color="E0E0E0"/>
            </w:tcBorders>
            <w:shd w:val="clear" w:color="auto" w:fill="FFFFFF"/>
            <w:vAlign w:val="bottom"/>
          </w:tcPr>
          <w:p w14:paraId="349FF792" w14:textId="77777777" w:rsidR="003859C9" w:rsidRPr="00EB11D3" w:rsidRDefault="003859C9" w:rsidP="003859C9">
            <w:pPr>
              <w:autoSpaceDE w:val="0"/>
              <w:autoSpaceDN w:val="0"/>
              <w:adjustRightInd w:val="0"/>
              <w:spacing w:after="0" w:line="240" w:lineRule="auto"/>
              <w:jc w:val="left"/>
              <w:rPr>
                <w:szCs w:val="24"/>
              </w:rPr>
            </w:pPr>
          </w:p>
        </w:tc>
      </w:tr>
      <w:tr w:rsidR="003859C9" w:rsidRPr="00EB11D3" w14:paraId="7367C85F" w14:textId="77777777" w:rsidTr="00373A2C">
        <w:trPr>
          <w:cantSplit/>
        </w:trPr>
        <w:tc>
          <w:tcPr>
            <w:tcW w:w="679" w:type="pct"/>
            <w:gridSpan w:val="3"/>
            <w:tcBorders>
              <w:top w:val="single" w:sz="8" w:space="0" w:color="152935"/>
              <w:left w:val="nil"/>
              <w:bottom w:val="single" w:sz="8" w:space="0" w:color="152935"/>
              <w:right w:val="nil"/>
            </w:tcBorders>
            <w:shd w:val="clear" w:color="auto" w:fill="auto"/>
          </w:tcPr>
          <w:p w14:paraId="50FD5A30" w14:textId="77777777" w:rsidR="003859C9" w:rsidRPr="00EB11D3" w:rsidRDefault="003859C9" w:rsidP="003859C9">
            <w:pPr>
              <w:spacing w:after="160" w:line="259" w:lineRule="auto"/>
              <w:jc w:val="left"/>
              <w:rPr>
                <w:szCs w:val="24"/>
              </w:rPr>
            </w:pPr>
            <w:r w:rsidRPr="00EB11D3">
              <w:rPr>
                <w:szCs w:val="24"/>
              </w:rPr>
              <w:t>1</w:t>
            </w:r>
          </w:p>
        </w:tc>
        <w:tc>
          <w:tcPr>
            <w:tcW w:w="876" w:type="pct"/>
            <w:gridSpan w:val="2"/>
            <w:tcBorders>
              <w:top w:val="single" w:sz="8" w:space="0" w:color="152935"/>
              <w:left w:val="nil"/>
              <w:bottom w:val="single" w:sz="8" w:space="0" w:color="152935"/>
              <w:right w:val="single" w:sz="8" w:space="0" w:color="E0E0E0"/>
            </w:tcBorders>
            <w:shd w:val="clear" w:color="auto" w:fill="auto"/>
          </w:tcPr>
          <w:p w14:paraId="2279C0E0"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.783</w:t>
            </w:r>
            <w:r w:rsidRPr="00EB11D3">
              <w:rPr>
                <w:szCs w:val="24"/>
                <w:vertAlign w:val="superscript"/>
              </w:rPr>
              <w:t>a</w:t>
            </w:r>
          </w:p>
        </w:tc>
        <w:tc>
          <w:tcPr>
            <w:tcW w:w="930" w:type="pct"/>
            <w:gridSpan w:val="4"/>
            <w:tcBorders>
              <w:top w:val="single" w:sz="8" w:space="0" w:color="152935"/>
              <w:left w:val="single" w:sz="8" w:space="0" w:color="E0E0E0"/>
              <w:bottom w:val="single" w:sz="8" w:space="0" w:color="152935"/>
              <w:right w:val="single" w:sz="8" w:space="0" w:color="E0E0E0"/>
            </w:tcBorders>
            <w:shd w:val="clear" w:color="auto" w:fill="F9F9FB"/>
          </w:tcPr>
          <w:p w14:paraId="33E91842"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.613</w:t>
            </w:r>
          </w:p>
        </w:tc>
        <w:tc>
          <w:tcPr>
            <w:tcW w:w="1257" w:type="pct"/>
            <w:gridSpan w:val="4"/>
            <w:tcBorders>
              <w:top w:val="single" w:sz="8" w:space="0" w:color="152935"/>
              <w:left w:val="single" w:sz="8" w:space="0" w:color="E0E0E0"/>
              <w:bottom w:val="single" w:sz="8" w:space="0" w:color="152935"/>
              <w:right w:val="single" w:sz="8" w:space="0" w:color="E0E0E0"/>
            </w:tcBorders>
            <w:shd w:val="clear" w:color="auto" w:fill="F9F9FB"/>
          </w:tcPr>
          <w:p w14:paraId="10546F60"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.611</w:t>
            </w:r>
          </w:p>
        </w:tc>
        <w:tc>
          <w:tcPr>
            <w:tcW w:w="1258" w:type="pct"/>
            <w:gridSpan w:val="6"/>
            <w:tcBorders>
              <w:top w:val="single" w:sz="8" w:space="0" w:color="152935"/>
              <w:left w:val="single" w:sz="8" w:space="0" w:color="E0E0E0"/>
              <w:bottom w:val="single" w:sz="8" w:space="0" w:color="152935"/>
              <w:right w:val="single" w:sz="8" w:space="0" w:color="E0E0E0"/>
            </w:tcBorders>
            <w:shd w:val="clear" w:color="auto" w:fill="F9F9FB"/>
          </w:tcPr>
          <w:p w14:paraId="12416FB9"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.47443</w:t>
            </w:r>
          </w:p>
        </w:tc>
      </w:tr>
      <w:tr w:rsidR="003859C9" w:rsidRPr="00EB11D3" w14:paraId="71473B97" w14:textId="77777777" w:rsidTr="00373A2C">
        <w:trPr>
          <w:gridAfter w:val="2"/>
          <w:wAfter w:w="23" w:type="pct"/>
          <w:cantSplit/>
          <w:trHeight w:val="391"/>
        </w:trPr>
        <w:tc>
          <w:tcPr>
            <w:tcW w:w="4977" w:type="pct"/>
            <w:gridSpan w:val="17"/>
            <w:tcBorders>
              <w:left w:val="nil"/>
              <w:bottom w:val="single" w:sz="4" w:space="0" w:color="auto"/>
              <w:right w:val="nil"/>
            </w:tcBorders>
            <w:shd w:val="clear" w:color="auto" w:fill="FFFFFF"/>
            <w:vAlign w:val="center"/>
          </w:tcPr>
          <w:p w14:paraId="6F7EDF3E" w14:textId="77777777" w:rsidR="003859C9" w:rsidRPr="00EB11D3" w:rsidRDefault="003859C9" w:rsidP="00823CEA">
            <w:pPr>
              <w:autoSpaceDE w:val="0"/>
              <w:autoSpaceDN w:val="0"/>
              <w:adjustRightInd w:val="0"/>
              <w:spacing w:after="0" w:line="400" w:lineRule="atLeast"/>
              <w:jc w:val="center"/>
              <w:rPr>
                <w:szCs w:val="24"/>
              </w:rPr>
            </w:pPr>
            <w:r w:rsidRPr="00EB11D3">
              <w:rPr>
                <w:b/>
                <w:bCs/>
                <w:szCs w:val="24"/>
              </w:rPr>
              <w:t>ANOVA</w:t>
            </w:r>
            <w:r w:rsidRPr="00EB11D3">
              <w:rPr>
                <w:b/>
                <w:bCs/>
                <w:szCs w:val="24"/>
                <w:vertAlign w:val="superscript"/>
              </w:rPr>
              <w:t>a</w:t>
            </w:r>
          </w:p>
        </w:tc>
      </w:tr>
      <w:tr w:rsidR="003859C9" w:rsidRPr="00EB11D3" w14:paraId="1B6F7F56" w14:textId="77777777" w:rsidTr="00373A2C">
        <w:trPr>
          <w:gridAfter w:val="2"/>
          <w:wAfter w:w="23" w:type="pct"/>
          <w:cantSplit/>
          <w:trHeight w:val="795"/>
        </w:trPr>
        <w:tc>
          <w:tcPr>
            <w:tcW w:w="1259" w:type="pct"/>
            <w:gridSpan w:val="4"/>
            <w:tcBorders>
              <w:top w:val="single" w:sz="4" w:space="0" w:color="auto"/>
              <w:left w:val="nil"/>
              <w:bottom w:val="single" w:sz="8" w:space="0" w:color="152935"/>
              <w:right w:val="nil"/>
            </w:tcBorders>
            <w:shd w:val="clear" w:color="auto" w:fill="FFFFFF"/>
            <w:vAlign w:val="bottom"/>
          </w:tcPr>
          <w:p w14:paraId="54C6099D"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Model</w:t>
            </w:r>
          </w:p>
        </w:tc>
        <w:tc>
          <w:tcPr>
            <w:tcW w:w="917" w:type="pct"/>
            <w:gridSpan w:val="3"/>
            <w:tcBorders>
              <w:top w:val="single" w:sz="4" w:space="0" w:color="auto"/>
              <w:left w:val="nil"/>
              <w:bottom w:val="single" w:sz="8" w:space="0" w:color="152935"/>
              <w:right w:val="single" w:sz="8" w:space="0" w:color="E0E0E0"/>
            </w:tcBorders>
            <w:shd w:val="clear" w:color="auto" w:fill="FFFFFF"/>
            <w:vAlign w:val="bottom"/>
          </w:tcPr>
          <w:p w14:paraId="4C6BAC51"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Sum of Squares</w:t>
            </w:r>
          </w:p>
        </w:tc>
        <w:tc>
          <w:tcPr>
            <w:tcW w:w="640" w:type="pct"/>
            <w:gridSpan w:val="3"/>
            <w:tcBorders>
              <w:top w:val="single" w:sz="4" w:space="0" w:color="auto"/>
              <w:left w:val="single" w:sz="8" w:space="0" w:color="E0E0E0"/>
              <w:bottom w:val="single" w:sz="8" w:space="0" w:color="152935"/>
              <w:right w:val="single" w:sz="8" w:space="0" w:color="E0E0E0"/>
            </w:tcBorders>
            <w:shd w:val="clear" w:color="auto" w:fill="FFFFFF"/>
            <w:vAlign w:val="bottom"/>
          </w:tcPr>
          <w:p w14:paraId="59BE88EC"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df</w:t>
            </w:r>
          </w:p>
        </w:tc>
        <w:tc>
          <w:tcPr>
            <w:tcW w:w="879" w:type="pct"/>
            <w:gridSpan w:val="2"/>
            <w:tcBorders>
              <w:top w:val="single" w:sz="4" w:space="0" w:color="auto"/>
              <w:left w:val="single" w:sz="8" w:space="0" w:color="E0E0E0"/>
              <w:bottom w:val="single" w:sz="8" w:space="0" w:color="152935"/>
              <w:right w:val="single" w:sz="8" w:space="0" w:color="E0E0E0"/>
            </w:tcBorders>
            <w:shd w:val="clear" w:color="auto" w:fill="FFFFFF"/>
            <w:vAlign w:val="bottom"/>
          </w:tcPr>
          <w:p w14:paraId="7D97BC58"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Mean Square</w:t>
            </w:r>
          </w:p>
        </w:tc>
        <w:tc>
          <w:tcPr>
            <w:tcW w:w="640" w:type="pct"/>
            <w:gridSpan w:val="4"/>
            <w:tcBorders>
              <w:top w:val="single" w:sz="4" w:space="0" w:color="auto"/>
              <w:left w:val="single" w:sz="8" w:space="0" w:color="E0E0E0"/>
              <w:bottom w:val="single" w:sz="8" w:space="0" w:color="152935"/>
              <w:right w:val="single" w:sz="8" w:space="0" w:color="E0E0E0"/>
            </w:tcBorders>
            <w:shd w:val="clear" w:color="auto" w:fill="FFFFFF"/>
            <w:vAlign w:val="bottom"/>
          </w:tcPr>
          <w:p w14:paraId="41216A6A"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F</w:t>
            </w:r>
          </w:p>
        </w:tc>
        <w:tc>
          <w:tcPr>
            <w:tcW w:w="642" w:type="pct"/>
            <w:tcBorders>
              <w:top w:val="single" w:sz="4" w:space="0" w:color="auto"/>
              <w:left w:val="single" w:sz="8" w:space="0" w:color="E0E0E0"/>
              <w:bottom w:val="single" w:sz="8" w:space="0" w:color="152935"/>
              <w:right w:val="nil"/>
            </w:tcBorders>
            <w:shd w:val="clear" w:color="auto" w:fill="FFFFFF"/>
            <w:vAlign w:val="bottom"/>
          </w:tcPr>
          <w:p w14:paraId="39FC344F"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Sig.</w:t>
            </w:r>
          </w:p>
        </w:tc>
      </w:tr>
      <w:tr w:rsidR="003859C9" w:rsidRPr="00EB11D3" w14:paraId="3FD3966E" w14:textId="77777777" w:rsidTr="00373A2C">
        <w:trPr>
          <w:gridAfter w:val="2"/>
          <w:wAfter w:w="23" w:type="pct"/>
          <w:cantSplit/>
          <w:trHeight w:val="391"/>
        </w:trPr>
        <w:tc>
          <w:tcPr>
            <w:tcW w:w="457" w:type="pct"/>
            <w:gridSpan w:val="2"/>
            <w:vMerge w:val="restart"/>
            <w:tcBorders>
              <w:top w:val="single" w:sz="8" w:space="0" w:color="152935"/>
              <w:left w:val="nil"/>
              <w:bottom w:val="single" w:sz="8" w:space="0" w:color="152935"/>
              <w:right w:val="nil"/>
            </w:tcBorders>
            <w:shd w:val="clear" w:color="auto" w:fill="auto"/>
          </w:tcPr>
          <w:p w14:paraId="1F74C868"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1</w:t>
            </w:r>
          </w:p>
        </w:tc>
        <w:tc>
          <w:tcPr>
            <w:tcW w:w="802" w:type="pct"/>
            <w:gridSpan w:val="2"/>
            <w:tcBorders>
              <w:top w:val="single" w:sz="8" w:space="0" w:color="152935"/>
              <w:left w:val="nil"/>
              <w:bottom w:val="single" w:sz="8" w:space="0" w:color="AEAEAE"/>
              <w:right w:val="nil"/>
            </w:tcBorders>
            <w:shd w:val="clear" w:color="auto" w:fill="auto"/>
          </w:tcPr>
          <w:p w14:paraId="5E39002B"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Regression</w:t>
            </w:r>
          </w:p>
        </w:tc>
        <w:tc>
          <w:tcPr>
            <w:tcW w:w="917" w:type="pct"/>
            <w:gridSpan w:val="3"/>
            <w:tcBorders>
              <w:top w:val="single" w:sz="8" w:space="0" w:color="152935"/>
              <w:left w:val="nil"/>
              <w:bottom w:val="single" w:sz="8" w:space="0" w:color="AEAEAE"/>
              <w:right w:val="single" w:sz="8" w:space="0" w:color="E0E0E0"/>
            </w:tcBorders>
            <w:shd w:val="clear" w:color="auto" w:fill="auto"/>
          </w:tcPr>
          <w:p w14:paraId="4BC848EA"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88.279</w:t>
            </w:r>
          </w:p>
        </w:tc>
        <w:tc>
          <w:tcPr>
            <w:tcW w:w="640" w:type="pct"/>
            <w:gridSpan w:val="3"/>
            <w:tcBorders>
              <w:top w:val="single" w:sz="8" w:space="0" w:color="152935"/>
              <w:left w:val="single" w:sz="8" w:space="0" w:color="E0E0E0"/>
              <w:bottom w:val="single" w:sz="8" w:space="0" w:color="AEAEAE"/>
              <w:right w:val="single" w:sz="8" w:space="0" w:color="E0E0E0"/>
            </w:tcBorders>
            <w:shd w:val="clear" w:color="auto" w:fill="F9F9FB"/>
          </w:tcPr>
          <w:p w14:paraId="5DA203EF"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1</w:t>
            </w:r>
          </w:p>
        </w:tc>
        <w:tc>
          <w:tcPr>
            <w:tcW w:w="879" w:type="pct"/>
            <w:gridSpan w:val="2"/>
            <w:tcBorders>
              <w:top w:val="single" w:sz="8" w:space="0" w:color="152935"/>
              <w:left w:val="single" w:sz="8" w:space="0" w:color="E0E0E0"/>
              <w:bottom w:val="single" w:sz="8" w:space="0" w:color="AEAEAE"/>
              <w:right w:val="single" w:sz="8" w:space="0" w:color="E0E0E0"/>
            </w:tcBorders>
            <w:shd w:val="clear" w:color="auto" w:fill="F9F9FB"/>
          </w:tcPr>
          <w:p w14:paraId="2B7DDA3E"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88.279</w:t>
            </w:r>
          </w:p>
        </w:tc>
        <w:tc>
          <w:tcPr>
            <w:tcW w:w="640" w:type="pct"/>
            <w:gridSpan w:val="4"/>
            <w:tcBorders>
              <w:top w:val="single" w:sz="8" w:space="0" w:color="152935"/>
              <w:left w:val="single" w:sz="8" w:space="0" w:color="E0E0E0"/>
              <w:bottom w:val="single" w:sz="8" w:space="0" w:color="AEAEAE"/>
              <w:right w:val="single" w:sz="8" w:space="0" w:color="E0E0E0"/>
            </w:tcBorders>
            <w:shd w:val="clear" w:color="auto" w:fill="F9F9FB"/>
          </w:tcPr>
          <w:p w14:paraId="162A3E03"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392.200</w:t>
            </w:r>
          </w:p>
        </w:tc>
        <w:tc>
          <w:tcPr>
            <w:tcW w:w="642" w:type="pct"/>
            <w:tcBorders>
              <w:top w:val="single" w:sz="8" w:space="0" w:color="152935"/>
              <w:left w:val="single" w:sz="8" w:space="0" w:color="E0E0E0"/>
              <w:bottom w:val="single" w:sz="8" w:space="0" w:color="AEAEAE"/>
              <w:right w:val="nil"/>
            </w:tcBorders>
            <w:shd w:val="clear" w:color="auto" w:fill="F9F9FB"/>
          </w:tcPr>
          <w:p w14:paraId="6D99C97C"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.000</w:t>
            </w:r>
            <w:r w:rsidRPr="00EB11D3">
              <w:rPr>
                <w:szCs w:val="24"/>
                <w:vertAlign w:val="superscript"/>
              </w:rPr>
              <w:t>b</w:t>
            </w:r>
          </w:p>
        </w:tc>
      </w:tr>
      <w:tr w:rsidR="003859C9" w:rsidRPr="00EB11D3" w14:paraId="104968E1" w14:textId="77777777" w:rsidTr="00373A2C">
        <w:trPr>
          <w:gridAfter w:val="2"/>
          <w:wAfter w:w="23" w:type="pct"/>
          <w:cantSplit/>
          <w:trHeight w:val="142"/>
        </w:trPr>
        <w:tc>
          <w:tcPr>
            <w:tcW w:w="457" w:type="pct"/>
            <w:gridSpan w:val="2"/>
            <w:vMerge/>
            <w:tcBorders>
              <w:top w:val="single" w:sz="8" w:space="0" w:color="152935"/>
              <w:left w:val="nil"/>
              <w:bottom w:val="single" w:sz="8" w:space="0" w:color="152935"/>
              <w:right w:val="nil"/>
            </w:tcBorders>
            <w:shd w:val="clear" w:color="auto" w:fill="auto"/>
          </w:tcPr>
          <w:p w14:paraId="333EC185" w14:textId="77777777" w:rsidR="003859C9" w:rsidRPr="00EB11D3" w:rsidRDefault="003859C9" w:rsidP="003859C9">
            <w:pPr>
              <w:autoSpaceDE w:val="0"/>
              <w:autoSpaceDN w:val="0"/>
              <w:adjustRightInd w:val="0"/>
              <w:spacing w:after="0" w:line="400" w:lineRule="atLeast"/>
              <w:jc w:val="left"/>
              <w:rPr>
                <w:szCs w:val="24"/>
              </w:rPr>
            </w:pPr>
          </w:p>
        </w:tc>
        <w:tc>
          <w:tcPr>
            <w:tcW w:w="802" w:type="pct"/>
            <w:gridSpan w:val="2"/>
            <w:tcBorders>
              <w:top w:val="single" w:sz="8" w:space="0" w:color="AEAEAE"/>
              <w:left w:val="nil"/>
              <w:bottom w:val="single" w:sz="8" w:space="0" w:color="AEAEAE"/>
              <w:right w:val="nil"/>
            </w:tcBorders>
            <w:shd w:val="clear" w:color="auto" w:fill="auto"/>
          </w:tcPr>
          <w:p w14:paraId="0992D0B4"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Residual</w:t>
            </w:r>
          </w:p>
        </w:tc>
        <w:tc>
          <w:tcPr>
            <w:tcW w:w="917" w:type="pct"/>
            <w:gridSpan w:val="3"/>
            <w:tcBorders>
              <w:top w:val="single" w:sz="8" w:space="0" w:color="AEAEAE"/>
              <w:left w:val="nil"/>
              <w:bottom w:val="single" w:sz="8" w:space="0" w:color="AEAEAE"/>
              <w:right w:val="single" w:sz="8" w:space="0" w:color="E0E0E0"/>
            </w:tcBorders>
            <w:shd w:val="clear" w:color="auto" w:fill="auto"/>
          </w:tcPr>
          <w:p w14:paraId="605D4482"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55.821</w:t>
            </w:r>
          </w:p>
        </w:tc>
        <w:tc>
          <w:tcPr>
            <w:tcW w:w="640" w:type="pct"/>
            <w:gridSpan w:val="3"/>
            <w:tcBorders>
              <w:top w:val="single" w:sz="8" w:space="0" w:color="AEAEAE"/>
              <w:left w:val="single" w:sz="8" w:space="0" w:color="E0E0E0"/>
              <w:bottom w:val="single" w:sz="8" w:space="0" w:color="AEAEAE"/>
              <w:right w:val="single" w:sz="8" w:space="0" w:color="E0E0E0"/>
            </w:tcBorders>
            <w:shd w:val="clear" w:color="auto" w:fill="F9F9FB"/>
          </w:tcPr>
          <w:p w14:paraId="751A1520"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248</w:t>
            </w:r>
          </w:p>
        </w:tc>
        <w:tc>
          <w:tcPr>
            <w:tcW w:w="879" w:type="pct"/>
            <w:gridSpan w:val="2"/>
            <w:tcBorders>
              <w:top w:val="single" w:sz="8" w:space="0" w:color="AEAEAE"/>
              <w:left w:val="single" w:sz="8" w:space="0" w:color="E0E0E0"/>
              <w:bottom w:val="single" w:sz="8" w:space="0" w:color="AEAEAE"/>
              <w:right w:val="single" w:sz="8" w:space="0" w:color="E0E0E0"/>
            </w:tcBorders>
            <w:shd w:val="clear" w:color="auto" w:fill="F9F9FB"/>
          </w:tcPr>
          <w:p w14:paraId="04A96E08"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.225</w:t>
            </w:r>
          </w:p>
        </w:tc>
        <w:tc>
          <w:tcPr>
            <w:tcW w:w="640" w:type="pct"/>
            <w:gridSpan w:val="4"/>
            <w:tcBorders>
              <w:top w:val="single" w:sz="8" w:space="0" w:color="AEAEAE"/>
              <w:left w:val="single" w:sz="8" w:space="0" w:color="E0E0E0"/>
              <w:bottom w:val="single" w:sz="8" w:space="0" w:color="AEAEAE"/>
              <w:right w:val="single" w:sz="8" w:space="0" w:color="E0E0E0"/>
            </w:tcBorders>
            <w:shd w:val="clear" w:color="auto" w:fill="F9F9FB"/>
            <w:vAlign w:val="center"/>
          </w:tcPr>
          <w:p w14:paraId="72EED0B1" w14:textId="77777777" w:rsidR="003859C9" w:rsidRPr="00EB11D3" w:rsidRDefault="003859C9" w:rsidP="003859C9">
            <w:pPr>
              <w:autoSpaceDE w:val="0"/>
              <w:autoSpaceDN w:val="0"/>
              <w:adjustRightInd w:val="0"/>
              <w:spacing w:after="0" w:line="400" w:lineRule="atLeast"/>
              <w:jc w:val="left"/>
              <w:rPr>
                <w:szCs w:val="24"/>
              </w:rPr>
            </w:pPr>
          </w:p>
        </w:tc>
        <w:tc>
          <w:tcPr>
            <w:tcW w:w="642" w:type="pct"/>
            <w:tcBorders>
              <w:top w:val="single" w:sz="8" w:space="0" w:color="AEAEAE"/>
              <w:left w:val="single" w:sz="8" w:space="0" w:color="E0E0E0"/>
              <w:bottom w:val="single" w:sz="8" w:space="0" w:color="AEAEAE"/>
              <w:right w:val="nil"/>
            </w:tcBorders>
            <w:shd w:val="clear" w:color="auto" w:fill="F9F9FB"/>
            <w:vAlign w:val="center"/>
          </w:tcPr>
          <w:p w14:paraId="4EC90173" w14:textId="77777777" w:rsidR="003859C9" w:rsidRPr="00EB11D3" w:rsidRDefault="003859C9" w:rsidP="003859C9">
            <w:pPr>
              <w:autoSpaceDE w:val="0"/>
              <w:autoSpaceDN w:val="0"/>
              <w:adjustRightInd w:val="0"/>
              <w:spacing w:after="0" w:line="400" w:lineRule="atLeast"/>
              <w:jc w:val="left"/>
              <w:rPr>
                <w:szCs w:val="24"/>
              </w:rPr>
            </w:pPr>
          </w:p>
        </w:tc>
      </w:tr>
      <w:tr w:rsidR="003859C9" w:rsidRPr="00EB11D3" w14:paraId="0FB9925A" w14:textId="77777777" w:rsidTr="00373A2C">
        <w:trPr>
          <w:gridAfter w:val="2"/>
          <w:wAfter w:w="23" w:type="pct"/>
          <w:cantSplit/>
          <w:trHeight w:val="142"/>
        </w:trPr>
        <w:tc>
          <w:tcPr>
            <w:tcW w:w="457" w:type="pct"/>
            <w:gridSpan w:val="2"/>
            <w:vMerge/>
            <w:tcBorders>
              <w:top w:val="single" w:sz="8" w:space="0" w:color="152935"/>
              <w:left w:val="nil"/>
              <w:bottom w:val="single" w:sz="8" w:space="0" w:color="152935"/>
              <w:right w:val="nil"/>
            </w:tcBorders>
            <w:shd w:val="clear" w:color="auto" w:fill="auto"/>
          </w:tcPr>
          <w:p w14:paraId="6B4939E1" w14:textId="77777777" w:rsidR="003859C9" w:rsidRPr="00EB11D3" w:rsidRDefault="003859C9" w:rsidP="003859C9">
            <w:pPr>
              <w:autoSpaceDE w:val="0"/>
              <w:autoSpaceDN w:val="0"/>
              <w:adjustRightInd w:val="0"/>
              <w:spacing w:after="0" w:line="400" w:lineRule="atLeast"/>
              <w:jc w:val="left"/>
              <w:rPr>
                <w:szCs w:val="24"/>
              </w:rPr>
            </w:pPr>
          </w:p>
        </w:tc>
        <w:tc>
          <w:tcPr>
            <w:tcW w:w="802" w:type="pct"/>
            <w:gridSpan w:val="2"/>
            <w:tcBorders>
              <w:top w:val="single" w:sz="8" w:space="0" w:color="AEAEAE"/>
              <w:left w:val="nil"/>
              <w:bottom w:val="single" w:sz="8" w:space="0" w:color="152935"/>
              <w:right w:val="nil"/>
            </w:tcBorders>
            <w:shd w:val="clear" w:color="auto" w:fill="auto"/>
          </w:tcPr>
          <w:p w14:paraId="733E6B24"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Total</w:t>
            </w:r>
          </w:p>
        </w:tc>
        <w:tc>
          <w:tcPr>
            <w:tcW w:w="917" w:type="pct"/>
            <w:gridSpan w:val="3"/>
            <w:tcBorders>
              <w:top w:val="single" w:sz="8" w:space="0" w:color="AEAEAE"/>
              <w:left w:val="nil"/>
              <w:bottom w:val="single" w:sz="8" w:space="0" w:color="152935"/>
              <w:right w:val="single" w:sz="8" w:space="0" w:color="E0E0E0"/>
            </w:tcBorders>
            <w:shd w:val="clear" w:color="auto" w:fill="auto"/>
          </w:tcPr>
          <w:p w14:paraId="3CA12E67"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144.100</w:t>
            </w:r>
          </w:p>
        </w:tc>
        <w:tc>
          <w:tcPr>
            <w:tcW w:w="640" w:type="pct"/>
            <w:gridSpan w:val="3"/>
            <w:tcBorders>
              <w:top w:val="single" w:sz="8" w:space="0" w:color="AEAEAE"/>
              <w:left w:val="single" w:sz="8" w:space="0" w:color="E0E0E0"/>
              <w:bottom w:val="single" w:sz="8" w:space="0" w:color="152935"/>
              <w:right w:val="single" w:sz="8" w:space="0" w:color="E0E0E0"/>
            </w:tcBorders>
            <w:shd w:val="clear" w:color="auto" w:fill="F9F9FB"/>
          </w:tcPr>
          <w:p w14:paraId="0E7DF5AB"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249</w:t>
            </w:r>
          </w:p>
        </w:tc>
        <w:tc>
          <w:tcPr>
            <w:tcW w:w="879" w:type="pct"/>
            <w:gridSpan w:val="2"/>
            <w:tcBorders>
              <w:top w:val="single" w:sz="8" w:space="0" w:color="AEAEAE"/>
              <w:left w:val="single" w:sz="8" w:space="0" w:color="E0E0E0"/>
              <w:bottom w:val="single" w:sz="8" w:space="0" w:color="152935"/>
              <w:right w:val="single" w:sz="8" w:space="0" w:color="E0E0E0"/>
            </w:tcBorders>
            <w:shd w:val="clear" w:color="auto" w:fill="F9F9FB"/>
            <w:vAlign w:val="center"/>
          </w:tcPr>
          <w:p w14:paraId="11466935" w14:textId="77777777" w:rsidR="003859C9" w:rsidRPr="00EB11D3" w:rsidRDefault="003859C9" w:rsidP="003859C9">
            <w:pPr>
              <w:autoSpaceDE w:val="0"/>
              <w:autoSpaceDN w:val="0"/>
              <w:adjustRightInd w:val="0"/>
              <w:spacing w:after="0" w:line="400" w:lineRule="atLeast"/>
              <w:jc w:val="left"/>
              <w:rPr>
                <w:szCs w:val="24"/>
              </w:rPr>
            </w:pPr>
          </w:p>
        </w:tc>
        <w:tc>
          <w:tcPr>
            <w:tcW w:w="640" w:type="pct"/>
            <w:gridSpan w:val="4"/>
            <w:tcBorders>
              <w:top w:val="single" w:sz="8" w:space="0" w:color="AEAEAE"/>
              <w:left w:val="single" w:sz="8" w:space="0" w:color="E0E0E0"/>
              <w:bottom w:val="single" w:sz="8" w:space="0" w:color="152935"/>
              <w:right w:val="single" w:sz="8" w:space="0" w:color="E0E0E0"/>
            </w:tcBorders>
            <w:shd w:val="clear" w:color="auto" w:fill="F9F9FB"/>
            <w:vAlign w:val="center"/>
          </w:tcPr>
          <w:p w14:paraId="553EBFB0" w14:textId="77777777" w:rsidR="003859C9" w:rsidRPr="00EB11D3" w:rsidRDefault="003859C9" w:rsidP="003859C9">
            <w:pPr>
              <w:autoSpaceDE w:val="0"/>
              <w:autoSpaceDN w:val="0"/>
              <w:adjustRightInd w:val="0"/>
              <w:spacing w:after="0" w:line="400" w:lineRule="atLeast"/>
              <w:jc w:val="left"/>
              <w:rPr>
                <w:szCs w:val="24"/>
              </w:rPr>
            </w:pPr>
          </w:p>
        </w:tc>
        <w:tc>
          <w:tcPr>
            <w:tcW w:w="642" w:type="pct"/>
            <w:tcBorders>
              <w:top w:val="single" w:sz="8" w:space="0" w:color="AEAEAE"/>
              <w:left w:val="single" w:sz="8" w:space="0" w:color="E0E0E0"/>
              <w:bottom w:val="single" w:sz="8" w:space="0" w:color="152935"/>
              <w:right w:val="nil"/>
            </w:tcBorders>
            <w:shd w:val="clear" w:color="auto" w:fill="F9F9FB"/>
            <w:vAlign w:val="center"/>
          </w:tcPr>
          <w:p w14:paraId="634CADEF" w14:textId="77777777" w:rsidR="003859C9" w:rsidRPr="00EB11D3" w:rsidRDefault="003859C9" w:rsidP="003859C9">
            <w:pPr>
              <w:autoSpaceDE w:val="0"/>
              <w:autoSpaceDN w:val="0"/>
              <w:adjustRightInd w:val="0"/>
              <w:spacing w:after="0" w:line="400" w:lineRule="atLeast"/>
              <w:jc w:val="left"/>
              <w:rPr>
                <w:szCs w:val="24"/>
              </w:rPr>
            </w:pPr>
          </w:p>
        </w:tc>
      </w:tr>
      <w:tr w:rsidR="003859C9" w:rsidRPr="00EB11D3" w14:paraId="207081EC" w14:textId="77777777" w:rsidTr="00373A2C">
        <w:trPr>
          <w:gridAfter w:val="2"/>
          <w:wAfter w:w="23" w:type="pct"/>
          <w:cantSplit/>
          <w:trHeight w:val="391"/>
        </w:trPr>
        <w:tc>
          <w:tcPr>
            <w:tcW w:w="4977" w:type="pct"/>
            <w:gridSpan w:val="17"/>
            <w:tcBorders>
              <w:top w:val="nil"/>
              <w:left w:val="nil"/>
              <w:bottom w:val="nil"/>
              <w:right w:val="nil"/>
            </w:tcBorders>
            <w:shd w:val="clear" w:color="auto" w:fill="FFFFFF"/>
          </w:tcPr>
          <w:p w14:paraId="5D304915"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a. Dependent Variable: Organisational Performance</w:t>
            </w:r>
          </w:p>
        </w:tc>
      </w:tr>
      <w:tr w:rsidR="003859C9" w:rsidRPr="00EB11D3" w14:paraId="682716CF" w14:textId="77777777" w:rsidTr="00373A2C">
        <w:trPr>
          <w:gridAfter w:val="2"/>
          <w:wAfter w:w="23" w:type="pct"/>
          <w:cantSplit/>
          <w:trHeight w:val="391"/>
        </w:trPr>
        <w:tc>
          <w:tcPr>
            <w:tcW w:w="4977" w:type="pct"/>
            <w:gridSpan w:val="17"/>
            <w:tcBorders>
              <w:top w:val="nil"/>
              <w:left w:val="nil"/>
              <w:bottom w:val="nil"/>
              <w:right w:val="nil"/>
            </w:tcBorders>
            <w:shd w:val="clear" w:color="auto" w:fill="FFFFFF"/>
          </w:tcPr>
          <w:p w14:paraId="173505AA"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b. Predictors: (Constant), Corporate Governance</w:t>
            </w:r>
          </w:p>
        </w:tc>
      </w:tr>
      <w:tr w:rsidR="003859C9" w:rsidRPr="00EB11D3" w14:paraId="0B202220" w14:textId="77777777" w:rsidTr="00373A2C">
        <w:trPr>
          <w:gridAfter w:val="1"/>
          <w:wAfter w:w="5" w:type="pct"/>
          <w:cantSplit/>
        </w:trPr>
        <w:tc>
          <w:tcPr>
            <w:tcW w:w="4995" w:type="pct"/>
            <w:gridSpan w:val="18"/>
            <w:tcBorders>
              <w:top w:val="nil"/>
              <w:left w:val="nil"/>
              <w:bottom w:val="single" w:sz="4" w:space="0" w:color="auto"/>
              <w:right w:val="nil"/>
            </w:tcBorders>
            <w:shd w:val="clear" w:color="auto" w:fill="FFFFFF"/>
            <w:vAlign w:val="center"/>
          </w:tcPr>
          <w:p w14:paraId="3EA2EB0D" w14:textId="77777777" w:rsidR="003859C9" w:rsidRPr="00EB11D3" w:rsidRDefault="003859C9" w:rsidP="00823CEA">
            <w:pPr>
              <w:autoSpaceDE w:val="0"/>
              <w:autoSpaceDN w:val="0"/>
              <w:adjustRightInd w:val="0"/>
              <w:spacing w:after="0" w:line="400" w:lineRule="atLeast"/>
              <w:jc w:val="center"/>
              <w:rPr>
                <w:szCs w:val="24"/>
              </w:rPr>
            </w:pPr>
            <w:r w:rsidRPr="00EB11D3">
              <w:rPr>
                <w:b/>
                <w:bCs/>
                <w:szCs w:val="24"/>
              </w:rPr>
              <w:t>Coefficients</w:t>
            </w:r>
            <w:r w:rsidRPr="00EB11D3">
              <w:rPr>
                <w:b/>
                <w:bCs/>
                <w:szCs w:val="24"/>
                <w:vertAlign w:val="superscript"/>
              </w:rPr>
              <w:t>a</w:t>
            </w:r>
          </w:p>
        </w:tc>
      </w:tr>
      <w:tr w:rsidR="003859C9" w:rsidRPr="00EB11D3" w14:paraId="3642060D" w14:textId="77777777" w:rsidTr="00373A2C">
        <w:trPr>
          <w:gridAfter w:val="1"/>
          <w:wAfter w:w="5" w:type="pct"/>
          <w:cantSplit/>
        </w:trPr>
        <w:tc>
          <w:tcPr>
            <w:tcW w:w="1559" w:type="pct"/>
            <w:gridSpan w:val="6"/>
            <w:vMerge w:val="restart"/>
            <w:tcBorders>
              <w:top w:val="single" w:sz="4" w:space="0" w:color="auto"/>
              <w:left w:val="nil"/>
              <w:bottom w:val="nil"/>
              <w:right w:val="nil"/>
            </w:tcBorders>
            <w:shd w:val="clear" w:color="auto" w:fill="FFFFFF"/>
            <w:vAlign w:val="bottom"/>
          </w:tcPr>
          <w:p w14:paraId="6AC9D547"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Model</w:t>
            </w:r>
          </w:p>
        </w:tc>
        <w:tc>
          <w:tcPr>
            <w:tcW w:w="1420" w:type="pct"/>
            <w:gridSpan w:val="5"/>
            <w:tcBorders>
              <w:top w:val="single" w:sz="4" w:space="0" w:color="auto"/>
              <w:left w:val="nil"/>
              <w:bottom w:val="nil"/>
              <w:right w:val="single" w:sz="8" w:space="0" w:color="E0E0E0"/>
            </w:tcBorders>
            <w:shd w:val="clear" w:color="auto" w:fill="FFFFFF"/>
            <w:vAlign w:val="bottom"/>
          </w:tcPr>
          <w:p w14:paraId="5C07F2B6"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Unstandardized Coefficients</w:t>
            </w:r>
          </w:p>
        </w:tc>
        <w:tc>
          <w:tcPr>
            <w:tcW w:w="784" w:type="pct"/>
            <w:gridSpan w:val="3"/>
            <w:tcBorders>
              <w:top w:val="single" w:sz="4" w:space="0" w:color="auto"/>
              <w:left w:val="single" w:sz="8" w:space="0" w:color="E0E0E0"/>
              <w:bottom w:val="nil"/>
              <w:right w:val="single" w:sz="8" w:space="0" w:color="E0E0E0"/>
            </w:tcBorders>
            <w:shd w:val="clear" w:color="auto" w:fill="FFFFFF"/>
            <w:vAlign w:val="bottom"/>
          </w:tcPr>
          <w:p w14:paraId="37F71BF1"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Standardized Coefficients</w:t>
            </w:r>
          </w:p>
        </w:tc>
        <w:tc>
          <w:tcPr>
            <w:tcW w:w="546" w:type="pct"/>
            <w:vMerge w:val="restart"/>
            <w:tcBorders>
              <w:top w:val="single" w:sz="4" w:space="0" w:color="auto"/>
              <w:left w:val="single" w:sz="8" w:space="0" w:color="E0E0E0"/>
              <w:bottom w:val="nil"/>
              <w:right w:val="single" w:sz="8" w:space="0" w:color="E0E0E0"/>
            </w:tcBorders>
            <w:shd w:val="clear" w:color="auto" w:fill="FFFFFF"/>
            <w:vAlign w:val="bottom"/>
          </w:tcPr>
          <w:p w14:paraId="1DF7AEA4"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t</w:t>
            </w:r>
          </w:p>
        </w:tc>
        <w:tc>
          <w:tcPr>
            <w:tcW w:w="685" w:type="pct"/>
            <w:gridSpan w:val="3"/>
            <w:vMerge w:val="restart"/>
            <w:tcBorders>
              <w:top w:val="single" w:sz="4" w:space="0" w:color="auto"/>
              <w:left w:val="single" w:sz="8" w:space="0" w:color="E0E0E0"/>
              <w:bottom w:val="nil"/>
              <w:right w:val="nil"/>
            </w:tcBorders>
            <w:shd w:val="clear" w:color="auto" w:fill="FFFFFF"/>
            <w:vAlign w:val="bottom"/>
          </w:tcPr>
          <w:p w14:paraId="41F384FF"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Sig.</w:t>
            </w:r>
          </w:p>
        </w:tc>
      </w:tr>
      <w:tr w:rsidR="003859C9" w:rsidRPr="00EB11D3" w14:paraId="1F51B101" w14:textId="77777777" w:rsidTr="00373A2C">
        <w:trPr>
          <w:gridAfter w:val="1"/>
          <w:wAfter w:w="5" w:type="pct"/>
          <w:cantSplit/>
        </w:trPr>
        <w:tc>
          <w:tcPr>
            <w:tcW w:w="1559" w:type="pct"/>
            <w:gridSpan w:val="6"/>
            <w:vMerge/>
            <w:tcBorders>
              <w:top w:val="nil"/>
              <w:left w:val="nil"/>
              <w:bottom w:val="nil"/>
              <w:right w:val="nil"/>
            </w:tcBorders>
            <w:shd w:val="clear" w:color="auto" w:fill="FFFFFF"/>
            <w:vAlign w:val="bottom"/>
          </w:tcPr>
          <w:p w14:paraId="1DEEEB47" w14:textId="77777777" w:rsidR="003859C9" w:rsidRPr="00EB11D3" w:rsidRDefault="003859C9" w:rsidP="003859C9">
            <w:pPr>
              <w:autoSpaceDE w:val="0"/>
              <w:autoSpaceDN w:val="0"/>
              <w:adjustRightInd w:val="0"/>
              <w:spacing w:after="0" w:line="400" w:lineRule="atLeast"/>
              <w:jc w:val="left"/>
              <w:rPr>
                <w:szCs w:val="24"/>
              </w:rPr>
            </w:pPr>
          </w:p>
        </w:tc>
        <w:tc>
          <w:tcPr>
            <w:tcW w:w="710" w:type="pct"/>
            <w:gridSpan w:val="2"/>
            <w:tcBorders>
              <w:top w:val="nil"/>
              <w:left w:val="nil"/>
              <w:bottom w:val="single" w:sz="8" w:space="0" w:color="152935"/>
              <w:right w:val="single" w:sz="8" w:space="0" w:color="E0E0E0"/>
            </w:tcBorders>
            <w:shd w:val="clear" w:color="auto" w:fill="FFFFFF"/>
            <w:vAlign w:val="bottom"/>
          </w:tcPr>
          <w:p w14:paraId="71C4D25D"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B</w:t>
            </w:r>
          </w:p>
        </w:tc>
        <w:tc>
          <w:tcPr>
            <w:tcW w:w="710" w:type="pct"/>
            <w:gridSpan w:val="3"/>
            <w:tcBorders>
              <w:top w:val="nil"/>
              <w:left w:val="single" w:sz="8" w:space="0" w:color="E0E0E0"/>
              <w:bottom w:val="single" w:sz="8" w:space="0" w:color="152935"/>
              <w:right w:val="single" w:sz="8" w:space="0" w:color="E0E0E0"/>
            </w:tcBorders>
            <w:shd w:val="clear" w:color="auto" w:fill="FFFFFF"/>
            <w:vAlign w:val="bottom"/>
          </w:tcPr>
          <w:p w14:paraId="26C7363E"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Std. Error</w:t>
            </w:r>
          </w:p>
        </w:tc>
        <w:tc>
          <w:tcPr>
            <w:tcW w:w="784" w:type="pct"/>
            <w:gridSpan w:val="3"/>
            <w:tcBorders>
              <w:top w:val="nil"/>
              <w:left w:val="single" w:sz="8" w:space="0" w:color="E0E0E0"/>
              <w:bottom w:val="single" w:sz="8" w:space="0" w:color="152935"/>
              <w:right w:val="single" w:sz="8" w:space="0" w:color="E0E0E0"/>
            </w:tcBorders>
            <w:shd w:val="clear" w:color="auto" w:fill="FFFFFF"/>
            <w:vAlign w:val="bottom"/>
          </w:tcPr>
          <w:p w14:paraId="4378B720"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Beta</w:t>
            </w:r>
          </w:p>
        </w:tc>
        <w:tc>
          <w:tcPr>
            <w:tcW w:w="546" w:type="pct"/>
            <w:vMerge/>
            <w:tcBorders>
              <w:top w:val="nil"/>
              <w:left w:val="single" w:sz="8" w:space="0" w:color="E0E0E0"/>
              <w:bottom w:val="nil"/>
              <w:right w:val="single" w:sz="8" w:space="0" w:color="E0E0E0"/>
            </w:tcBorders>
            <w:shd w:val="clear" w:color="auto" w:fill="FFFFFF"/>
            <w:vAlign w:val="bottom"/>
          </w:tcPr>
          <w:p w14:paraId="09160EDC" w14:textId="77777777" w:rsidR="003859C9" w:rsidRPr="00EB11D3" w:rsidRDefault="003859C9" w:rsidP="003859C9">
            <w:pPr>
              <w:autoSpaceDE w:val="0"/>
              <w:autoSpaceDN w:val="0"/>
              <w:adjustRightInd w:val="0"/>
              <w:spacing w:after="0" w:line="400" w:lineRule="atLeast"/>
              <w:jc w:val="left"/>
              <w:rPr>
                <w:szCs w:val="24"/>
              </w:rPr>
            </w:pPr>
          </w:p>
        </w:tc>
        <w:tc>
          <w:tcPr>
            <w:tcW w:w="685" w:type="pct"/>
            <w:gridSpan w:val="3"/>
            <w:vMerge/>
            <w:tcBorders>
              <w:top w:val="nil"/>
              <w:left w:val="single" w:sz="8" w:space="0" w:color="E0E0E0"/>
              <w:bottom w:val="nil"/>
              <w:right w:val="nil"/>
            </w:tcBorders>
            <w:shd w:val="clear" w:color="auto" w:fill="FFFFFF"/>
            <w:vAlign w:val="bottom"/>
          </w:tcPr>
          <w:p w14:paraId="2E44C54C" w14:textId="77777777" w:rsidR="003859C9" w:rsidRPr="00EB11D3" w:rsidRDefault="003859C9" w:rsidP="003859C9">
            <w:pPr>
              <w:autoSpaceDE w:val="0"/>
              <w:autoSpaceDN w:val="0"/>
              <w:adjustRightInd w:val="0"/>
              <w:spacing w:after="0" w:line="400" w:lineRule="atLeast"/>
              <w:jc w:val="left"/>
              <w:rPr>
                <w:szCs w:val="24"/>
              </w:rPr>
            </w:pPr>
          </w:p>
        </w:tc>
      </w:tr>
      <w:tr w:rsidR="003859C9" w:rsidRPr="00EB11D3" w14:paraId="730CDC33" w14:textId="77777777" w:rsidTr="00373A2C">
        <w:trPr>
          <w:gridAfter w:val="1"/>
          <w:wAfter w:w="5" w:type="pct"/>
          <w:cantSplit/>
        </w:trPr>
        <w:tc>
          <w:tcPr>
            <w:tcW w:w="392" w:type="pct"/>
            <w:vMerge w:val="restart"/>
            <w:tcBorders>
              <w:top w:val="single" w:sz="8" w:space="0" w:color="152935"/>
              <w:left w:val="nil"/>
              <w:bottom w:val="single" w:sz="8" w:space="0" w:color="152935"/>
              <w:right w:val="nil"/>
            </w:tcBorders>
            <w:shd w:val="clear" w:color="auto" w:fill="auto"/>
          </w:tcPr>
          <w:p w14:paraId="1C003647"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1</w:t>
            </w:r>
          </w:p>
        </w:tc>
        <w:tc>
          <w:tcPr>
            <w:tcW w:w="1168" w:type="pct"/>
            <w:gridSpan w:val="5"/>
            <w:tcBorders>
              <w:top w:val="single" w:sz="8" w:space="0" w:color="152935"/>
              <w:left w:val="nil"/>
              <w:bottom w:val="single" w:sz="8" w:space="0" w:color="AEAEAE"/>
              <w:right w:val="nil"/>
            </w:tcBorders>
            <w:shd w:val="clear" w:color="auto" w:fill="auto"/>
          </w:tcPr>
          <w:p w14:paraId="4F2EFD23"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(Constant)</w:t>
            </w:r>
          </w:p>
        </w:tc>
        <w:tc>
          <w:tcPr>
            <w:tcW w:w="710" w:type="pct"/>
            <w:gridSpan w:val="2"/>
            <w:tcBorders>
              <w:top w:val="single" w:sz="8" w:space="0" w:color="152935"/>
              <w:left w:val="nil"/>
              <w:bottom w:val="single" w:sz="8" w:space="0" w:color="AEAEAE"/>
              <w:right w:val="single" w:sz="8" w:space="0" w:color="E0E0E0"/>
            </w:tcBorders>
            <w:shd w:val="clear" w:color="auto" w:fill="auto"/>
          </w:tcPr>
          <w:p w14:paraId="58B1FC28"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1.299</w:t>
            </w:r>
          </w:p>
        </w:tc>
        <w:tc>
          <w:tcPr>
            <w:tcW w:w="710" w:type="pct"/>
            <w:gridSpan w:val="3"/>
            <w:tcBorders>
              <w:top w:val="single" w:sz="8" w:space="0" w:color="152935"/>
              <w:left w:val="single" w:sz="8" w:space="0" w:color="E0E0E0"/>
              <w:bottom w:val="single" w:sz="8" w:space="0" w:color="AEAEAE"/>
              <w:right w:val="single" w:sz="8" w:space="0" w:color="E0E0E0"/>
            </w:tcBorders>
            <w:shd w:val="clear" w:color="auto" w:fill="F9F9FB"/>
          </w:tcPr>
          <w:p w14:paraId="3F237F92"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.095</w:t>
            </w:r>
          </w:p>
        </w:tc>
        <w:tc>
          <w:tcPr>
            <w:tcW w:w="784" w:type="pct"/>
            <w:gridSpan w:val="3"/>
            <w:tcBorders>
              <w:top w:val="single" w:sz="8" w:space="0" w:color="152935"/>
              <w:left w:val="single" w:sz="8" w:space="0" w:color="E0E0E0"/>
              <w:bottom w:val="single" w:sz="8" w:space="0" w:color="AEAEAE"/>
              <w:right w:val="single" w:sz="8" w:space="0" w:color="E0E0E0"/>
            </w:tcBorders>
            <w:shd w:val="clear" w:color="auto" w:fill="F9F9FB"/>
            <w:vAlign w:val="center"/>
          </w:tcPr>
          <w:p w14:paraId="4FE1D33D" w14:textId="77777777" w:rsidR="003859C9" w:rsidRPr="00EB11D3" w:rsidRDefault="003859C9" w:rsidP="003859C9">
            <w:pPr>
              <w:autoSpaceDE w:val="0"/>
              <w:autoSpaceDN w:val="0"/>
              <w:adjustRightInd w:val="0"/>
              <w:spacing w:after="0" w:line="400" w:lineRule="atLeast"/>
              <w:jc w:val="left"/>
              <w:rPr>
                <w:szCs w:val="24"/>
              </w:rPr>
            </w:pPr>
          </w:p>
        </w:tc>
        <w:tc>
          <w:tcPr>
            <w:tcW w:w="546" w:type="pct"/>
            <w:tcBorders>
              <w:top w:val="single" w:sz="8" w:space="0" w:color="152935"/>
              <w:left w:val="single" w:sz="8" w:space="0" w:color="E0E0E0"/>
              <w:bottom w:val="single" w:sz="8" w:space="0" w:color="AEAEAE"/>
              <w:right w:val="single" w:sz="8" w:space="0" w:color="E0E0E0"/>
            </w:tcBorders>
            <w:shd w:val="clear" w:color="auto" w:fill="F9F9FB"/>
          </w:tcPr>
          <w:p w14:paraId="2571A4C7"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13.680</w:t>
            </w:r>
          </w:p>
        </w:tc>
        <w:tc>
          <w:tcPr>
            <w:tcW w:w="685" w:type="pct"/>
            <w:gridSpan w:val="3"/>
            <w:tcBorders>
              <w:top w:val="single" w:sz="8" w:space="0" w:color="152935"/>
              <w:left w:val="single" w:sz="8" w:space="0" w:color="E0E0E0"/>
              <w:bottom w:val="single" w:sz="8" w:space="0" w:color="AEAEAE"/>
              <w:right w:val="nil"/>
            </w:tcBorders>
            <w:shd w:val="clear" w:color="auto" w:fill="F9F9FB"/>
          </w:tcPr>
          <w:p w14:paraId="13CB2310"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.000</w:t>
            </w:r>
          </w:p>
        </w:tc>
      </w:tr>
      <w:tr w:rsidR="003859C9" w:rsidRPr="00EB11D3" w14:paraId="1559ACFA" w14:textId="77777777" w:rsidTr="00373A2C">
        <w:trPr>
          <w:gridAfter w:val="1"/>
          <w:wAfter w:w="5" w:type="pct"/>
          <w:cantSplit/>
        </w:trPr>
        <w:tc>
          <w:tcPr>
            <w:tcW w:w="392" w:type="pct"/>
            <w:vMerge/>
            <w:tcBorders>
              <w:top w:val="single" w:sz="8" w:space="0" w:color="152935"/>
              <w:left w:val="nil"/>
              <w:bottom w:val="single" w:sz="8" w:space="0" w:color="152935"/>
              <w:right w:val="nil"/>
            </w:tcBorders>
            <w:shd w:val="clear" w:color="auto" w:fill="auto"/>
          </w:tcPr>
          <w:p w14:paraId="4F6883FE" w14:textId="77777777" w:rsidR="003859C9" w:rsidRPr="00EB11D3" w:rsidRDefault="003859C9" w:rsidP="003859C9">
            <w:pPr>
              <w:autoSpaceDE w:val="0"/>
              <w:autoSpaceDN w:val="0"/>
              <w:adjustRightInd w:val="0"/>
              <w:spacing w:after="0" w:line="400" w:lineRule="atLeast"/>
              <w:jc w:val="left"/>
              <w:rPr>
                <w:szCs w:val="24"/>
              </w:rPr>
            </w:pPr>
          </w:p>
        </w:tc>
        <w:tc>
          <w:tcPr>
            <w:tcW w:w="1168" w:type="pct"/>
            <w:gridSpan w:val="5"/>
            <w:tcBorders>
              <w:top w:val="single" w:sz="8" w:space="0" w:color="AEAEAE"/>
              <w:left w:val="nil"/>
              <w:bottom w:val="single" w:sz="8" w:space="0" w:color="152935"/>
              <w:right w:val="nil"/>
            </w:tcBorders>
            <w:shd w:val="clear" w:color="auto" w:fill="auto"/>
          </w:tcPr>
          <w:p w14:paraId="779C7DAA"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Corporate Governance</w:t>
            </w:r>
          </w:p>
        </w:tc>
        <w:tc>
          <w:tcPr>
            <w:tcW w:w="710" w:type="pct"/>
            <w:gridSpan w:val="2"/>
            <w:tcBorders>
              <w:top w:val="single" w:sz="8" w:space="0" w:color="AEAEAE"/>
              <w:left w:val="nil"/>
              <w:bottom w:val="single" w:sz="8" w:space="0" w:color="152935"/>
              <w:right w:val="single" w:sz="8" w:space="0" w:color="E0E0E0"/>
            </w:tcBorders>
            <w:shd w:val="clear" w:color="auto" w:fill="auto"/>
          </w:tcPr>
          <w:p w14:paraId="498DCD28"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.646</w:t>
            </w:r>
          </w:p>
        </w:tc>
        <w:tc>
          <w:tcPr>
            <w:tcW w:w="710" w:type="pct"/>
            <w:gridSpan w:val="3"/>
            <w:tcBorders>
              <w:top w:val="single" w:sz="8" w:space="0" w:color="AEAEAE"/>
              <w:left w:val="single" w:sz="8" w:space="0" w:color="E0E0E0"/>
              <w:bottom w:val="single" w:sz="8" w:space="0" w:color="152935"/>
              <w:right w:val="single" w:sz="8" w:space="0" w:color="E0E0E0"/>
            </w:tcBorders>
            <w:shd w:val="clear" w:color="auto" w:fill="F9F9FB"/>
          </w:tcPr>
          <w:p w14:paraId="60044EAC"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.033</w:t>
            </w:r>
          </w:p>
        </w:tc>
        <w:tc>
          <w:tcPr>
            <w:tcW w:w="784" w:type="pct"/>
            <w:gridSpan w:val="3"/>
            <w:tcBorders>
              <w:top w:val="single" w:sz="8" w:space="0" w:color="AEAEAE"/>
              <w:left w:val="single" w:sz="8" w:space="0" w:color="E0E0E0"/>
              <w:bottom w:val="single" w:sz="8" w:space="0" w:color="152935"/>
              <w:right w:val="single" w:sz="8" w:space="0" w:color="E0E0E0"/>
            </w:tcBorders>
            <w:shd w:val="clear" w:color="auto" w:fill="F9F9FB"/>
          </w:tcPr>
          <w:p w14:paraId="204AFFD7"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.783</w:t>
            </w:r>
          </w:p>
        </w:tc>
        <w:tc>
          <w:tcPr>
            <w:tcW w:w="546" w:type="pct"/>
            <w:tcBorders>
              <w:top w:val="single" w:sz="8" w:space="0" w:color="AEAEAE"/>
              <w:left w:val="single" w:sz="8" w:space="0" w:color="E0E0E0"/>
              <w:bottom w:val="single" w:sz="8" w:space="0" w:color="152935"/>
              <w:right w:val="single" w:sz="8" w:space="0" w:color="E0E0E0"/>
            </w:tcBorders>
            <w:shd w:val="clear" w:color="auto" w:fill="F9F9FB"/>
          </w:tcPr>
          <w:p w14:paraId="7845AF66"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19.804</w:t>
            </w:r>
          </w:p>
        </w:tc>
        <w:tc>
          <w:tcPr>
            <w:tcW w:w="685" w:type="pct"/>
            <w:gridSpan w:val="3"/>
            <w:tcBorders>
              <w:top w:val="single" w:sz="8" w:space="0" w:color="AEAEAE"/>
              <w:left w:val="single" w:sz="8" w:space="0" w:color="E0E0E0"/>
              <w:bottom w:val="single" w:sz="8" w:space="0" w:color="152935"/>
              <w:right w:val="nil"/>
            </w:tcBorders>
            <w:shd w:val="clear" w:color="auto" w:fill="F9F9FB"/>
          </w:tcPr>
          <w:p w14:paraId="2466C328"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.000</w:t>
            </w:r>
          </w:p>
        </w:tc>
      </w:tr>
      <w:tr w:rsidR="003859C9" w:rsidRPr="00EB11D3" w14:paraId="39CC24F7" w14:textId="77777777" w:rsidTr="00373A2C">
        <w:trPr>
          <w:gridAfter w:val="1"/>
          <w:wAfter w:w="5" w:type="pct"/>
          <w:cantSplit/>
        </w:trPr>
        <w:tc>
          <w:tcPr>
            <w:tcW w:w="4995" w:type="pct"/>
            <w:gridSpan w:val="18"/>
            <w:tcBorders>
              <w:top w:val="nil"/>
              <w:left w:val="nil"/>
              <w:bottom w:val="nil"/>
              <w:right w:val="nil"/>
            </w:tcBorders>
            <w:shd w:val="clear" w:color="auto" w:fill="FFFFFF"/>
          </w:tcPr>
          <w:p w14:paraId="2C4DA553"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a. Dependent Variable: Organisational Performance</w:t>
            </w:r>
          </w:p>
        </w:tc>
      </w:tr>
    </w:tbl>
    <w:p w14:paraId="67B2D9F7" w14:textId="77777777" w:rsidR="003859C9" w:rsidRPr="00EB11D3" w:rsidRDefault="003859C9" w:rsidP="003859C9">
      <w:pPr>
        <w:autoSpaceDE w:val="0"/>
        <w:autoSpaceDN w:val="0"/>
        <w:adjustRightInd w:val="0"/>
        <w:spacing w:after="0" w:line="400" w:lineRule="atLeast"/>
        <w:jc w:val="left"/>
        <w:rPr>
          <w:szCs w:val="24"/>
        </w:rPr>
      </w:pPr>
    </w:p>
    <w:p w14:paraId="5360C873" w14:textId="77777777" w:rsidR="00373A2C" w:rsidRDefault="00217C9F" w:rsidP="003859C9">
      <w:pPr>
        <w:spacing w:after="0" w:line="360" w:lineRule="auto"/>
        <w:rPr>
          <w:rFonts w:eastAsia="Calibri"/>
          <w:szCs w:val="24"/>
        </w:rPr>
      </w:pPr>
      <w:r w:rsidRPr="00217C9F">
        <w:rPr>
          <w:rFonts w:eastAsia="Calibri"/>
          <w:szCs w:val="24"/>
        </w:rPr>
        <w:t>Table 30 shows that corporate governance and organisational performance have a statistically significant and positive association (R =.783). The coefficient of determination (R</w:t>
      </w:r>
      <w:r w:rsidRPr="006776B1">
        <w:rPr>
          <w:rFonts w:eastAsia="Calibri"/>
          <w:szCs w:val="24"/>
          <w:vertAlign w:val="superscript"/>
        </w:rPr>
        <w:t>2</w:t>
      </w:r>
      <w:r w:rsidRPr="00217C9F">
        <w:rPr>
          <w:rFonts w:eastAsia="Calibri"/>
          <w:szCs w:val="24"/>
        </w:rPr>
        <w:t>=.613) indicates that 61.3 percent of organisational performance can be explained by corporate governance. Therefore, organisational performance stays at 1.299 while corporate governance is maintained. Simultaneously, a 0.646 rise in corporate governance units will result in an improvement in the organisational performance of faith-based hospitals</w:t>
      </w:r>
      <w:r w:rsidR="00290ED4">
        <w:rPr>
          <w:rFonts w:eastAsia="Calibri"/>
          <w:szCs w:val="24"/>
        </w:rPr>
        <w:t xml:space="preserve"> in Kenya</w:t>
      </w:r>
      <w:r w:rsidRPr="00217C9F">
        <w:rPr>
          <w:rFonts w:eastAsia="Calibri"/>
          <w:szCs w:val="24"/>
        </w:rPr>
        <w:t xml:space="preserve">. Given that the p-value is 0.00 and the F-value is 392.200, both of which are below the 0.05 level of significance, the model is statistically significant. The results validated the initial phase of investigating if Service </w:t>
      </w:r>
      <w:r w:rsidR="00682C3E">
        <w:rPr>
          <w:rFonts w:eastAsia="Calibri"/>
          <w:szCs w:val="24"/>
        </w:rPr>
        <w:t>i</w:t>
      </w:r>
      <w:r w:rsidRPr="00217C9F">
        <w:rPr>
          <w:rFonts w:eastAsia="Calibri"/>
          <w:szCs w:val="24"/>
        </w:rPr>
        <w:t xml:space="preserve">nnovation functions as a moderator in the correlation between corporate governance and organisational </w:t>
      </w:r>
      <w:r w:rsidR="009F4C62">
        <w:rPr>
          <w:rFonts w:eastAsia="Calibri"/>
          <w:szCs w:val="24"/>
        </w:rPr>
        <w:t>performance</w:t>
      </w:r>
      <w:r w:rsidRPr="00217C9F">
        <w:rPr>
          <w:rFonts w:eastAsia="Calibri"/>
          <w:szCs w:val="24"/>
        </w:rPr>
        <w:t xml:space="preserve">. </w:t>
      </w:r>
    </w:p>
    <w:p w14:paraId="42F6B6F3" w14:textId="77777777" w:rsidR="00373A2C" w:rsidRDefault="00217C9F" w:rsidP="00373A2C">
      <w:pPr>
        <w:spacing w:line="360" w:lineRule="auto"/>
        <w:rPr>
          <w:rFonts w:eastAsia="Calibri"/>
          <w:szCs w:val="24"/>
        </w:rPr>
      </w:pPr>
      <w:r w:rsidRPr="00217C9F">
        <w:rPr>
          <w:rFonts w:eastAsia="Calibri"/>
          <w:szCs w:val="24"/>
        </w:rPr>
        <w:t xml:space="preserve">Step two of the mediation testing entailed evaluating the impact of corporate governance on service innovation. </w:t>
      </w:r>
      <w:r w:rsidR="003859C9" w:rsidRPr="00EB11D3">
        <w:rPr>
          <w:rFonts w:eastAsia="Calibri"/>
          <w:szCs w:val="24"/>
        </w:rPr>
        <w:t>The results of the tests are presented in table 31.</w:t>
      </w:r>
      <w:bookmarkStart w:id="869" w:name="_Toc424652317"/>
      <w:bookmarkStart w:id="870" w:name="_Toc424652582"/>
      <w:bookmarkStart w:id="871" w:name="_Toc426810836"/>
      <w:bookmarkStart w:id="872" w:name="_Toc427745599"/>
      <w:bookmarkStart w:id="873" w:name="_Toc431313702"/>
      <w:bookmarkStart w:id="874" w:name="_Toc510776693"/>
      <w:bookmarkStart w:id="875" w:name="_Toc520917377"/>
      <w:bookmarkStart w:id="876" w:name="_Toc520995087"/>
      <w:bookmarkStart w:id="877" w:name="_Toc522007573"/>
      <w:bookmarkStart w:id="878" w:name="_Toc525812838"/>
      <w:bookmarkStart w:id="879" w:name="_Toc525812950"/>
      <w:bookmarkStart w:id="880" w:name="_Toc2604499"/>
      <w:bookmarkStart w:id="881" w:name="_Toc2604702"/>
      <w:bookmarkStart w:id="882" w:name="_Toc8905586"/>
      <w:bookmarkStart w:id="883" w:name="_Toc15147924"/>
      <w:bookmarkStart w:id="884" w:name="_Toc16177258"/>
      <w:bookmarkStart w:id="885" w:name="_Toc16177628"/>
      <w:bookmarkStart w:id="886" w:name="_Toc126666766"/>
    </w:p>
    <w:p w14:paraId="0DD55395" w14:textId="77777777" w:rsidR="003859C9" w:rsidRPr="00EB11D3" w:rsidRDefault="003859C9" w:rsidP="00373A2C">
      <w:pPr>
        <w:spacing w:after="0" w:line="360" w:lineRule="auto"/>
        <w:rPr>
          <w:rFonts w:eastAsia="Calibri"/>
          <w:b/>
          <w:iCs/>
          <w:szCs w:val="24"/>
          <w:lang w:val="en-GB"/>
        </w:rPr>
      </w:pPr>
      <w:bookmarkStart w:id="887" w:name="_Toc177387962"/>
      <w:r w:rsidRPr="00EB11D3">
        <w:rPr>
          <w:rFonts w:eastAsia="Calibri"/>
          <w:b/>
          <w:szCs w:val="24"/>
        </w:rPr>
        <w:t xml:space="preserve">Table </w:t>
      </w:r>
      <w:r w:rsidRPr="00EB11D3">
        <w:rPr>
          <w:rFonts w:eastAsia="Calibri"/>
          <w:b/>
          <w:szCs w:val="24"/>
        </w:rPr>
        <w:fldChar w:fldCharType="begin"/>
      </w:r>
      <w:r w:rsidRPr="00EB11D3">
        <w:rPr>
          <w:rFonts w:eastAsia="Calibri"/>
          <w:b/>
          <w:szCs w:val="24"/>
        </w:rPr>
        <w:instrText xml:space="preserve"> SEQ Table \* ARABIC </w:instrText>
      </w:r>
      <w:r w:rsidRPr="00EB11D3">
        <w:rPr>
          <w:rFonts w:eastAsia="Calibri"/>
          <w:b/>
          <w:szCs w:val="24"/>
        </w:rPr>
        <w:fldChar w:fldCharType="separate"/>
      </w:r>
      <w:r w:rsidRPr="00EB11D3">
        <w:rPr>
          <w:rFonts w:eastAsia="Calibri"/>
          <w:b/>
          <w:noProof/>
          <w:szCs w:val="24"/>
        </w:rPr>
        <w:t>31</w:t>
      </w:r>
      <w:r w:rsidRPr="00EB11D3">
        <w:rPr>
          <w:rFonts w:eastAsia="Calibri"/>
          <w:b/>
          <w:noProof/>
          <w:szCs w:val="24"/>
        </w:rPr>
        <w:fldChar w:fldCharType="end"/>
      </w:r>
      <w:r w:rsidRPr="00EB11D3">
        <w:rPr>
          <w:rFonts w:eastAsia="Calibri"/>
          <w:b/>
          <w:iCs/>
          <w:szCs w:val="24"/>
          <w:lang w:val="en-GB"/>
        </w:rPr>
        <w:t xml:space="preserve">: Regression Results from the Test of the Effect </w:t>
      </w:r>
      <w:bookmarkEnd w:id="869"/>
      <w:bookmarkEnd w:id="870"/>
      <w:bookmarkEnd w:id="871"/>
      <w:bookmarkEnd w:id="872"/>
      <w:bookmarkEnd w:id="873"/>
      <w:r w:rsidRPr="00EB11D3">
        <w:rPr>
          <w:rFonts w:eastAsia="Calibri"/>
          <w:b/>
          <w:iCs/>
          <w:szCs w:val="24"/>
          <w:lang w:val="en-GB"/>
        </w:rPr>
        <w:t xml:space="preserve">CG on </w:t>
      </w:r>
      <w:bookmarkEnd w:id="874"/>
      <w:bookmarkEnd w:id="875"/>
      <w:bookmarkEnd w:id="876"/>
      <w:bookmarkEnd w:id="877"/>
      <w:bookmarkEnd w:id="878"/>
      <w:bookmarkEnd w:id="879"/>
      <w:bookmarkEnd w:id="880"/>
      <w:bookmarkEnd w:id="881"/>
      <w:bookmarkEnd w:id="882"/>
      <w:bookmarkEnd w:id="883"/>
      <w:bookmarkEnd w:id="884"/>
      <w:bookmarkEnd w:id="885"/>
      <w:bookmarkEnd w:id="886"/>
      <w:r w:rsidRPr="00EB11D3">
        <w:rPr>
          <w:rFonts w:eastAsia="Calibri"/>
          <w:b/>
          <w:iCs/>
          <w:szCs w:val="24"/>
          <w:lang w:val="en-GB"/>
        </w:rPr>
        <w:t>SI</w:t>
      </w:r>
      <w:bookmarkEnd w:id="887"/>
    </w:p>
    <w:p w14:paraId="4BF443A9" w14:textId="77777777" w:rsidR="003859C9" w:rsidRPr="00EB11D3" w:rsidRDefault="003859C9" w:rsidP="003859C9">
      <w:pPr>
        <w:autoSpaceDE w:val="0"/>
        <w:autoSpaceDN w:val="0"/>
        <w:adjustRightInd w:val="0"/>
        <w:spacing w:after="0" w:line="240" w:lineRule="auto"/>
        <w:jc w:val="left"/>
        <w:rPr>
          <w:szCs w:val="24"/>
        </w:rPr>
      </w:pPr>
    </w:p>
    <w:tbl>
      <w:tblPr>
        <w:tblW w:w="5000" w:type="pct"/>
        <w:tblLayout w:type="fixed"/>
        <w:tblCellMar>
          <w:left w:w="0" w:type="dxa"/>
          <w:right w:w="0" w:type="dxa"/>
        </w:tblCellMar>
        <w:tblLook w:val="0000" w:firstRow="0" w:lastRow="0" w:firstColumn="0" w:lastColumn="0" w:noHBand="0" w:noVBand="0"/>
      </w:tblPr>
      <w:tblGrid>
        <w:gridCol w:w="752"/>
        <w:gridCol w:w="105"/>
        <w:gridCol w:w="413"/>
        <w:gridCol w:w="1094"/>
        <w:gridCol w:w="544"/>
        <w:gridCol w:w="90"/>
        <w:gridCol w:w="1088"/>
        <w:gridCol w:w="279"/>
        <w:gridCol w:w="282"/>
        <w:gridCol w:w="640"/>
        <w:gridCol w:w="445"/>
        <w:gridCol w:w="1204"/>
        <w:gridCol w:w="62"/>
        <w:gridCol w:w="241"/>
        <w:gridCol w:w="898"/>
        <w:gridCol w:w="153"/>
        <w:gridCol w:w="1051"/>
        <w:gridCol w:w="9"/>
      </w:tblGrid>
      <w:tr w:rsidR="003859C9" w:rsidRPr="00EB11D3" w14:paraId="50D770C9" w14:textId="77777777" w:rsidTr="00373A2C">
        <w:trPr>
          <w:cantSplit/>
          <w:trHeight w:val="458"/>
        </w:trPr>
        <w:tc>
          <w:tcPr>
            <w:tcW w:w="679" w:type="pct"/>
            <w:gridSpan w:val="3"/>
            <w:vMerge w:val="restart"/>
            <w:tcBorders>
              <w:top w:val="single" w:sz="4" w:space="0" w:color="auto"/>
              <w:left w:val="nil"/>
              <w:bottom w:val="nil"/>
              <w:right w:val="nil"/>
            </w:tcBorders>
            <w:shd w:val="clear" w:color="auto" w:fill="FFFFFF"/>
            <w:vAlign w:val="bottom"/>
          </w:tcPr>
          <w:p w14:paraId="74D47DA3" w14:textId="77777777" w:rsidR="003859C9" w:rsidRPr="00EB11D3" w:rsidRDefault="003859C9" w:rsidP="003859C9">
            <w:pPr>
              <w:spacing w:after="160" w:line="259" w:lineRule="auto"/>
              <w:jc w:val="left"/>
              <w:rPr>
                <w:szCs w:val="24"/>
              </w:rPr>
            </w:pPr>
            <w:r w:rsidRPr="00EB11D3">
              <w:rPr>
                <w:szCs w:val="24"/>
              </w:rPr>
              <w:t>Model</w:t>
            </w:r>
          </w:p>
        </w:tc>
        <w:tc>
          <w:tcPr>
            <w:tcW w:w="876" w:type="pct"/>
            <w:gridSpan w:val="2"/>
            <w:vMerge w:val="restart"/>
            <w:tcBorders>
              <w:top w:val="single" w:sz="4" w:space="0" w:color="auto"/>
              <w:left w:val="nil"/>
              <w:bottom w:val="nil"/>
              <w:right w:val="single" w:sz="8" w:space="0" w:color="E0E0E0"/>
            </w:tcBorders>
            <w:shd w:val="clear" w:color="auto" w:fill="FFFFFF"/>
            <w:vAlign w:val="bottom"/>
          </w:tcPr>
          <w:p w14:paraId="16E4CEDA" w14:textId="77777777" w:rsidR="003859C9" w:rsidRPr="00EB11D3" w:rsidRDefault="003859C9" w:rsidP="003859C9">
            <w:pPr>
              <w:spacing w:after="160" w:line="259" w:lineRule="auto"/>
              <w:jc w:val="left"/>
              <w:rPr>
                <w:szCs w:val="24"/>
              </w:rPr>
            </w:pPr>
            <w:r w:rsidRPr="00EB11D3">
              <w:rPr>
                <w:szCs w:val="24"/>
              </w:rPr>
              <w:t>R</w:t>
            </w:r>
          </w:p>
        </w:tc>
        <w:tc>
          <w:tcPr>
            <w:tcW w:w="930" w:type="pct"/>
            <w:gridSpan w:val="4"/>
            <w:vMerge w:val="restart"/>
            <w:tcBorders>
              <w:top w:val="single" w:sz="4" w:space="0" w:color="auto"/>
              <w:left w:val="single" w:sz="8" w:space="0" w:color="E0E0E0"/>
              <w:bottom w:val="nil"/>
              <w:right w:val="single" w:sz="8" w:space="0" w:color="E0E0E0"/>
            </w:tcBorders>
            <w:shd w:val="clear" w:color="auto" w:fill="FFFFFF"/>
            <w:vAlign w:val="bottom"/>
          </w:tcPr>
          <w:p w14:paraId="62E0459A" w14:textId="77777777" w:rsidR="003859C9" w:rsidRPr="00EB11D3" w:rsidRDefault="003859C9" w:rsidP="003859C9">
            <w:pPr>
              <w:spacing w:after="160" w:line="259" w:lineRule="auto"/>
              <w:jc w:val="left"/>
              <w:rPr>
                <w:szCs w:val="24"/>
              </w:rPr>
            </w:pPr>
            <w:r w:rsidRPr="00EB11D3">
              <w:rPr>
                <w:szCs w:val="24"/>
              </w:rPr>
              <w:t>R Square</w:t>
            </w:r>
          </w:p>
        </w:tc>
        <w:tc>
          <w:tcPr>
            <w:tcW w:w="1257" w:type="pct"/>
            <w:gridSpan w:val="4"/>
            <w:vMerge w:val="restart"/>
            <w:tcBorders>
              <w:top w:val="single" w:sz="4" w:space="0" w:color="auto"/>
              <w:left w:val="single" w:sz="8" w:space="0" w:color="E0E0E0"/>
              <w:bottom w:val="nil"/>
              <w:right w:val="single" w:sz="8" w:space="0" w:color="E0E0E0"/>
            </w:tcBorders>
            <w:shd w:val="clear" w:color="auto" w:fill="FFFFFF"/>
            <w:vAlign w:val="bottom"/>
          </w:tcPr>
          <w:p w14:paraId="50DB1EEE" w14:textId="77777777" w:rsidR="003859C9" w:rsidRPr="00EB11D3" w:rsidRDefault="003859C9" w:rsidP="003859C9">
            <w:pPr>
              <w:spacing w:after="160" w:line="259" w:lineRule="auto"/>
              <w:jc w:val="left"/>
              <w:rPr>
                <w:szCs w:val="24"/>
              </w:rPr>
            </w:pPr>
            <w:r w:rsidRPr="00EB11D3">
              <w:rPr>
                <w:szCs w:val="24"/>
              </w:rPr>
              <w:t>Adjusted R Square</w:t>
            </w:r>
          </w:p>
        </w:tc>
        <w:tc>
          <w:tcPr>
            <w:tcW w:w="1257" w:type="pct"/>
            <w:gridSpan w:val="5"/>
            <w:vMerge w:val="restart"/>
            <w:tcBorders>
              <w:top w:val="single" w:sz="4" w:space="0" w:color="auto"/>
              <w:left w:val="single" w:sz="8" w:space="0" w:color="E0E0E0"/>
              <w:bottom w:val="nil"/>
              <w:right w:val="single" w:sz="8" w:space="0" w:color="E0E0E0"/>
            </w:tcBorders>
            <w:shd w:val="clear" w:color="auto" w:fill="FFFFFF"/>
            <w:vAlign w:val="bottom"/>
          </w:tcPr>
          <w:p w14:paraId="013E5F37" w14:textId="77777777" w:rsidR="003859C9" w:rsidRPr="00EB11D3" w:rsidRDefault="003859C9" w:rsidP="003859C9">
            <w:pPr>
              <w:spacing w:after="160" w:line="259" w:lineRule="auto"/>
              <w:jc w:val="left"/>
              <w:rPr>
                <w:szCs w:val="24"/>
              </w:rPr>
            </w:pPr>
            <w:r w:rsidRPr="00EB11D3">
              <w:rPr>
                <w:szCs w:val="24"/>
              </w:rPr>
              <w:t>Std. Error of the Estimate</w:t>
            </w:r>
          </w:p>
        </w:tc>
      </w:tr>
      <w:tr w:rsidR="003859C9" w:rsidRPr="00EB11D3" w14:paraId="350021A7" w14:textId="77777777" w:rsidTr="00373A2C">
        <w:trPr>
          <w:cantSplit/>
          <w:trHeight w:val="276"/>
        </w:trPr>
        <w:tc>
          <w:tcPr>
            <w:tcW w:w="679" w:type="pct"/>
            <w:gridSpan w:val="3"/>
            <w:vMerge/>
            <w:tcBorders>
              <w:top w:val="nil"/>
              <w:left w:val="nil"/>
              <w:bottom w:val="nil"/>
              <w:right w:val="nil"/>
            </w:tcBorders>
            <w:shd w:val="clear" w:color="auto" w:fill="FFFFFF"/>
            <w:vAlign w:val="bottom"/>
          </w:tcPr>
          <w:p w14:paraId="740EA483" w14:textId="77777777" w:rsidR="003859C9" w:rsidRPr="00EB11D3" w:rsidRDefault="003859C9" w:rsidP="003859C9">
            <w:pPr>
              <w:autoSpaceDE w:val="0"/>
              <w:autoSpaceDN w:val="0"/>
              <w:adjustRightInd w:val="0"/>
              <w:spacing w:after="0" w:line="240" w:lineRule="auto"/>
              <w:jc w:val="left"/>
              <w:rPr>
                <w:szCs w:val="24"/>
              </w:rPr>
            </w:pPr>
          </w:p>
        </w:tc>
        <w:tc>
          <w:tcPr>
            <w:tcW w:w="876" w:type="pct"/>
            <w:gridSpan w:val="2"/>
            <w:vMerge/>
            <w:tcBorders>
              <w:top w:val="nil"/>
              <w:left w:val="nil"/>
              <w:bottom w:val="nil"/>
              <w:right w:val="single" w:sz="8" w:space="0" w:color="E0E0E0"/>
            </w:tcBorders>
            <w:shd w:val="clear" w:color="auto" w:fill="FFFFFF"/>
            <w:vAlign w:val="bottom"/>
          </w:tcPr>
          <w:p w14:paraId="70CA248E" w14:textId="77777777" w:rsidR="003859C9" w:rsidRPr="00EB11D3" w:rsidRDefault="003859C9" w:rsidP="003859C9">
            <w:pPr>
              <w:autoSpaceDE w:val="0"/>
              <w:autoSpaceDN w:val="0"/>
              <w:adjustRightInd w:val="0"/>
              <w:spacing w:after="0" w:line="240" w:lineRule="auto"/>
              <w:jc w:val="left"/>
              <w:rPr>
                <w:szCs w:val="24"/>
              </w:rPr>
            </w:pPr>
          </w:p>
        </w:tc>
        <w:tc>
          <w:tcPr>
            <w:tcW w:w="930" w:type="pct"/>
            <w:gridSpan w:val="4"/>
            <w:vMerge/>
            <w:tcBorders>
              <w:top w:val="nil"/>
              <w:left w:val="single" w:sz="8" w:space="0" w:color="E0E0E0"/>
              <w:bottom w:val="nil"/>
              <w:right w:val="single" w:sz="8" w:space="0" w:color="E0E0E0"/>
            </w:tcBorders>
            <w:shd w:val="clear" w:color="auto" w:fill="FFFFFF"/>
            <w:vAlign w:val="bottom"/>
          </w:tcPr>
          <w:p w14:paraId="15E95C3E" w14:textId="77777777" w:rsidR="003859C9" w:rsidRPr="00EB11D3" w:rsidRDefault="003859C9" w:rsidP="003859C9">
            <w:pPr>
              <w:autoSpaceDE w:val="0"/>
              <w:autoSpaceDN w:val="0"/>
              <w:adjustRightInd w:val="0"/>
              <w:spacing w:after="0" w:line="240" w:lineRule="auto"/>
              <w:jc w:val="left"/>
              <w:rPr>
                <w:szCs w:val="24"/>
              </w:rPr>
            </w:pPr>
          </w:p>
        </w:tc>
        <w:tc>
          <w:tcPr>
            <w:tcW w:w="1257" w:type="pct"/>
            <w:gridSpan w:val="4"/>
            <w:vMerge/>
            <w:tcBorders>
              <w:top w:val="nil"/>
              <w:left w:val="single" w:sz="8" w:space="0" w:color="E0E0E0"/>
              <w:bottom w:val="nil"/>
              <w:right w:val="single" w:sz="8" w:space="0" w:color="E0E0E0"/>
            </w:tcBorders>
            <w:shd w:val="clear" w:color="auto" w:fill="FFFFFF"/>
            <w:vAlign w:val="bottom"/>
          </w:tcPr>
          <w:p w14:paraId="3484655B" w14:textId="77777777" w:rsidR="003859C9" w:rsidRPr="00EB11D3" w:rsidRDefault="003859C9" w:rsidP="003859C9">
            <w:pPr>
              <w:autoSpaceDE w:val="0"/>
              <w:autoSpaceDN w:val="0"/>
              <w:adjustRightInd w:val="0"/>
              <w:spacing w:after="0" w:line="240" w:lineRule="auto"/>
              <w:jc w:val="left"/>
              <w:rPr>
                <w:szCs w:val="24"/>
              </w:rPr>
            </w:pPr>
          </w:p>
        </w:tc>
        <w:tc>
          <w:tcPr>
            <w:tcW w:w="1257" w:type="pct"/>
            <w:gridSpan w:val="5"/>
            <w:vMerge/>
            <w:tcBorders>
              <w:top w:val="nil"/>
              <w:left w:val="single" w:sz="8" w:space="0" w:color="E0E0E0"/>
              <w:bottom w:val="nil"/>
              <w:right w:val="single" w:sz="8" w:space="0" w:color="E0E0E0"/>
            </w:tcBorders>
            <w:shd w:val="clear" w:color="auto" w:fill="FFFFFF"/>
            <w:vAlign w:val="bottom"/>
          </w:tcPr>
          <w:p w14:paraId="56311BB0" w14:textId="77777777" w:rsidR="003859C9" w:rsidRPr="00EB11D3" w:rsidRDefault="003859C9" w:rsidP="003859C9">
            <w:pPr>
              <w:autoSpaceDE w:val="0"/>
              <w:autoSpaceDN w:val="0"/>
              <w:adjustRightInd w:val="0"/>
              <w:spacing w:after="0" w:line="240" w:lineRule="auto"/>
              <w:jc w:val="left"/>
              <w:rPr>
                <w:szCs w:val="24"/>
              </w:rPr>
            </w:pPr>
          </w:p>
        </w:tc>
      </w:tr>
      <w:tr w:rsidR="003859C9" w:rsidRPr="00EB11D3" w14:paraId="2241C6F6" w14:textId="77777777" w:rsidTr="00373A2C">
        <w:trPr>
          <w:cantSplit/>
        </w:trPr>
        <w:tc>
          <w:tcPr>
            <w:tcW w:w="679" w:type="pct"/>
            <w:gridSpan w:val="3"/>
            <w:tcBorders>
              <w:top w:val="single" w:sz="8" w:space="0" w:color="152935"/>
              <w:left w:val="nil"/>
              <w:bottom w:val="single" w:sz="8" w:space="0" w:color="152935"/>
              <w:right w:val="nil"/>
            </w:tcBorders>
            <w:shd w:val="clear" w:color="auto" w:fill="auto"/>
          </w:tcPr>
          <w:p w14:paraId="6117E107" w14:textId="77777777" w:rsidR="003859C9" w:rsidRPr="00EB11D3" w:rsidRDefault="003859C9" w:rsidP="000D666C">
            <w:pPr>
              <w:spacing w:after="160" w:line="259" w:lineRule="auto"/>
              <w:jc w:val="left"/>
              <w:rPr>
                <w:szCs w:val="24"/>
              </w:rPr>
            </w:pPr>
            <w:r w:rsidRPr="00EB11D3">
              <w:rPr>
                <w:szCs w:val="24"/>
              </w:rPr>
              <w:t>1</w:t>
            </w:r>
          </w:p>
        </w:tc>
        <w:tc>
          <w:tcPr>
            <w:tcW w:w="876" w:type="pct"/>
            <w:gridSpan w:val="2"/>
            <w:tcBorders>
              <w:top w:val="single" w:sz="8" w:space="0" w:color="152935"/>
              <w:left w:val="nil"/>
              <w:bottom w:val="single" w:sz="8" w:space="0" w:color="152935"/>
              <w:right w:val="single" w:sz="8" w:space="0" w:color="E0E0E0"/>
            </w:tcBorders>
            <w:shd w:val="clear" w:color="auto" w:fill="auto"/>
          </w:tcPr>
          <w:p w14:paraId="6C20AFD1" w14:textId="77777777" w:rsidR="003859C9" w:rsidRPr="00EB11D3" w:rsidRDefault="003859C9" w:rsidP="000D666C">
            <w:pPr>
              <w:autoSpaceDE w:val="0"/>
              <w:autoSpaceDN w:val="0"/>
              <w:adjustRightInd w:val="0"/>
              <w:spacing w:after="0" w:line="320" w:lineRule="atLeast"/>
              <w:ind w:left="60" w:right="60"/>
              <w:jc w:val="right"/>
              <w:rPr>
                <w:szCs w:val="24"/>
              </w:rPr>
            </w:pPr>
            <w:r w:rsidRPr="00EB11D3">
              <w:rPr>
                <w:szCs w:val="24"/>
              </w:rPr>
              <w:t>.812</w:t>
            </w:r>
            <w:r w:rsidRPr="00EB11D3">
              <w:rPr>
                <w:szCs w:val="24"/>
                <w:vertAlign w:val="superscript"/>
              </w:rPr>
              <w:t>a</w:t>
            </w:r>
          </w:p>
        </w:tc>
        <w:tc>
          <w:tcPr>
            <w:tcW w:w="930" w:type="pct"/>
            <w:gridSpan w:val="4"/>
            <w:tcBorders>
              <w:top w:val="single" w:sz="8" w:space="0" w:color="152935"/>
              <w:left w:val="single" w:sz="8" w:space="0" w:color="E0E0E0"/>
              <w:bottom w:val="single" w:sz="8" w:space="0" w:color="152935"/>
              <w:right w:val="single" w:sz="8" w:space="0" w:color="E0E0E0"/>
            </w:tcBorders>
            <w:shd w:val="clear" w:color="auto" w:fill="F9F9FB"/>
          </w:tcPr>
          <w:p w14:paraId="3D05E2CE" w14:textId="77777777" w:rsidR="003859C9" w:rsidRPr="00EB11D3" w:rsidRDefault="003859C9" w:rsidP="000D666C">
            <w:pPr>
              <w:autoSpaceDE w:val="0"/>
              <w:autoSpaceDN w:val="0"/>
              <w:adjustRightInd w:val="0"/>
              <w:spacing w:after="0" w:line="320" w:lineRule="atLeast"/>
              <w:ind w:left="60" w:right="60"/>
              <w:jc w:val="right"/>
              <w:rPr>
                <w:szCs w:val="24"/>
              </w:rPr>
            </w:pPr>
            <w:r w:rsidRPr="00EB11D3">
              <w:rPr>
                <w:szCs w:val="24"/>
              </w:rPr>
              <w:t>.659</w:t>
            </w:r>
          </w:p>
        </w:tc>
        <w:tc>
          <w:tcPr>
            <w:tcW w:w="1257" w:type="pct"/>
            <w:gridSpan w:val="4"/>
            <w:tcBorders>
              <w:top w:val="single" w:sz="8" w:space="0" w:color="152935"/>
              <w:left w:val="single" w:sz="8" w:space="0" w:color="E0E0E0"/>
              <w:bottom w:val="single" w:sz="8" w:space="0" w:color="152935"/>
              <w:right w:val="single" w:sz="8" w:space="0" w:color="E0E0E0"/>
            </w:tcBorders>
            <w:shd w:val="clear" w:color="auto" w:fill="F9F9FB"/>
          </w:tcPr>
          <w:p w14:paraId="25DAD8AC" w14:textId="77777777" w:rsidR="003859C9" w:rsidRPr="00EB11D3" w:rsidRDefault="003859C9" w:rsidP="000D666C">
            <w:pPr>
              <w:autoSpaceDE w:val="0"/>
              <w:autoSpaceDN w:val="0"/>
              <w:adjustRightInd w:val="0"/>
              <w:spacing w:after="0" w:line="320" w:lineRule="atLeast"/>
              <w:ind w:left="60" w:right="60"/>
              <w:jc w:val="right"/>
              <w:rPr>
                <w:szCs w:val="24"/>
              </w:rPr>
            </w:pPr>
            <w:r w:rsidRPr="00EB11D3">
              <w:rPr>
                <w:szCs w:val="24"/>
              </w:rPr>
              <w:t>.657</w:t>
            </w:r>
          </w:p>
        </w:tc>
        <w:tc>
          <w:tcPr>
            <w:tcW w:w="1257" w:type="pct"/>
            <w:gridSpan w:val="5"/>
            <w:tcBorders>
              <w:top w:val="single" w:sz="8" w:space="0" w:color="152935"/>
              <w:left w:val="single" w:sz="8" w:space="0" w:color="E0E0E0"/>
              <w:bottom w:val="single" w:sz="8" w:space="0" w:color="152935"/>
              <w:right w:val="single" w:sz="8" w:space="0" w:color="E0E0E0"/>
            </w:tcBorders>
            <w:shd w:val="clear" w:color="auto" w:fill="F9F9FB"/>
          </w:tcPr>
          <w:p w14:paraId="57B6FE2C" w14:textId="77777777" w:rsidR="003859C9" w:rsidRPr="00EB11D3" w:rsidRDefault="003859C9" w:rsidP="000D666C">
            <w:pPr>
              <w:autoSpaceDE w:val="0"/>
              <w:autoSpaceDN w:val="0"/>
              <w:adjustRightInd w:val="0"/>
              <w:spacing w:after="0" w:line="320" w:lineRule="atLeast"/>
              <w:ind w:left="60" w:right="60"/>
              <w:jc w:val="right"/>
              <w:rPr>
                <w:szCs w:val="24"/>
              </w:rPr>
            </w:pPr>
            <w:r w:rsidRPr="00EB11D3">
              <w:rPr>
                <w:szCs w:val="24"/>
              </w:rPr>
              <w:t>.43212</w:t>
            </w:r>
          </w:p>
        </w:tc>
      </w:tr>
      <w:tr w:rsidR="003859C9" w:rsidRPr="00EB11D3" w14:paraId="09213676" w14:textId="77777777" w:rsidTr="00373A2C">
        <w:trPr>
          <w:gridAfter w:val="1"/>
          <w:wAfter w:w="5" w:type="pct"/>
          <w:cantSplit/>
        </w:trPr>
        <w:tc>
          <w:tcPr>
            <w:tcW w:w="4995" w:type="pct"/>
            <w:gridSpan w:val="17"/>
            <w:tcBorders>
              <w:top w:val="nil"/>
              <w:left w:val="nil"/>
              <w:bottom w:val="single" w:sz="4" w:space="0" w:color="auto"/>
              <w:right w:val="nil"/>
            </w:tcBorders>
            <w:shd w:val="clear" w:color="auto" w:fill="FFFFFF"/>
            <w:vAlign w:val="center"/>
          </w:tcPr>
          <w:p w14:paraId="507A9133" w14:textId="77777777" w:rsidR="003859C9" w:rsidRPr="00EB11D3" w:rsidRDefault="003859C9" w:rsidP="000D666C">
            <w:pPr>
              <w:autoSpaceDE w:val="0"/>
              <w:autoSpaceDN w:val="0"/>
              <w:adjustRightInd w:val="0"/>
              <w:spacing w:after="0" w:line="320" w:lineRule="atLeast"/>
              <w:ind w:left="60" w:right="60"/>
              <w:jc w:val="center"/>
              <w:rPr>
                <w:sz w:val="22"/>
              </w:rPr>
            </w:pPr>
            <w:r w:rsidRPr="00EB11D3">
              <w:rPr>
                <w:b/>
                <w:bCs/>
                <w:sz w:val="22"/>
              </w:rPr>
              <w:t>ANOVA</w:t>
            </w:r>
            <w:r w:rsidRPr="00EB11D3">
              <w:rPr>
                <w:b/>
                <w:bCs/>
                <w:sz w:val="22"/>
                <w:vertAlign w:val="superscript"/>
              </w:rPr>
              <w:t>a</w:t>
            </w:r>
          </w:p>
        </w:tc>
      </w:tr>
      <w:tr w:rsidR="003859C9" w:rsidRPr="00EB11D3" w14:paraId="666120A0" w14:textId="77777777" w:rsidTr="00373A2C">
        <w:trPr>
          <w:gridAfter w:val="1"/>
          <w:wAfter w:w="5" w:type="pct"/>
          <w:cantSplit/>
        </w:trPr>
        <w:tc>
          <w:tcPr>
            <w:tcW w:w="1264" w:type="pct"/>
            <w:gridSpan w:val="4"/>
            <w:tcBorders>
              <w:top w:val="single" w:sz="4" w:space="0" w:color="auto"/>
              <w:left w:val="nil"/>
              <w:bottom w:val="single" w:sz="8" w:space="0" w:color="152935"/>
              <w:right w:val="nil"/>
            </w:tcBorders>
            <w:shd w:val="clear" w:color="auto" w:fill="FFFFFF"/>
            <w:vAlign w:val="bottom"/>
          </w:tcPr>
          <w:p w14:paraId="5A32F3AE" w14:textId="77777777" w:rsidR="003859C9" w:rsidRPr="00EB11D3" w:rsidRDefault="003859C9" w:rsidP="000D666C">
            <w:pPr>
              <w:spacing w:after="160" w:line="259" w:lineRule="auto"/>
              <w:jc w:val="left"/>
              <w:rPr>
                <w:szCs w:val="24"/>
              </w:rPr>
            </w:pPr>
            <w:r w:rsidRPr="00EB11D3">
              <w:rPr>
                <w:szCs w:val="24"/>
              </w:rPr>
              <w:t>Model</w:t>
            </w:r>
          </w:p>
        </w:tc>
        <w:tc>
          <w:tcPr>
            <w:tcW w:w="921" w:type="pct"/>
            <w:gridSpan w:val="3"/>
            <w:tcBorders>
              <w:top w:val="single" w:sz="4" w:space="0" w:color="auto"/>
              <w:left w:val="nil"/>
              <w:bottom w:val="single" w:sz="8" w:space="0" w:color="152935"/>
              <w:right w:val="single" w:sz="8" w:space="0" w:color="E0E0E0"/>
            </w:tcBorders>
            <w:shd w:val="clear" w:color="auto" w:fill="FFFFFF"/>
            <w:vAlign w:val="bottom"/>
          </w:tcPr>
          <w:p w14:paraId="6FBB377E" w14:textId="77777777" w:rsidR="003859C9" w:rsidRPr="00EB11D3" w:rsidRDefault="003859C9" w:rsidP="000D666C">
            <w:pPr>
              <w:spacing w:after="160" w:line="259" w:lineRule="auto"/>
              <w:jc w:val="left"/>
              <w:rPr>
                <w:szCs w:val="24"/>
              </w:rPr>
            </w:pPr>
            <w:r w:rsidRPr="00EB11D3">
              <w:rPr>
                <w:szCs w:val="24"/>
              </w:rPr>
              <w:t>Sum of Squares</w:t>
            </w:r>
          </w:p>
        </w:tc>
        <w:tc>
          <w:tcPr>
            <w:tcW w:w="642" w:type="pct"/>
            <w:gridSpan w:val="3"/>
            <w:tcBorders>
              <w:top w:val="single" w:sz="4" w:space="0" w:color="auto"/>
              <w:left w:val="single" w:sz="8" w:space="0" w:color="E0E0E0"/>
              <w:bottom w:val="single" w:sz="8" w:space="0" w:color="152935"/>
              <w:right w:val="single" w:sz="8" w:space="0" w:color="E0E0E0"/>
            </w:tcBorders>
            <w:shd w:val="clear" w:color="auto" w:fill="FFFFFF"/>
            <w:vAlign w:val="bottom"/>
          </w:tcPr>
          <w:p w14:paraId="7C4CE271" w14:textId="77777777" w:rsidR="003859C9" w:rsidRPr="00EB11D3" w:rsidRDefault="003859C9" w:rsidP="000D666C">
            <w:pPr>
              <w:spacing w:after="160" w:line="259" w:lineRule="auto"/>
              <w:jc w:val="center"/>
              <w:rPr>
                <w:szCs w:val="24"/>
              </w:rPr>
            </w:pPr>
            <w:r w:rsidRPr="00EB11D3">
              <w:rPr>
                <w:szCs w:val="24"/>
              </w:rPr>
              <w:t>df</w:t>
            </w:r>
          </w:p>
        </w:tc>
        <w:tc>
          <w:tcPr>
            <w:tcW w:w="882" w:type="pct"/>
            <w:gridSpan w:val="2"/>
            <w:tcBorders>
              <w:top w:val="single" w:sz="4" w:space="0" w:color="auto"/>
              <w:left w:val="single" w:sz="8" w:space="0" w:color="E0E0E0"/>
              <w:bottom w:val="single" w:sz="8" w:space="0" w:color="152935"/>
              <w:right w:val="single" w:sz="8" w:space="0" w:color="E0E0E0"/>
            </w:tcBorders>
            <w:shd w:val="clear" w:color="auto" w:fill="FFFFFF"/>
            <w:vAlign w:val="bottom"/>
          </w:tcPr>
          <w:p w14:paraId="2C980B0E" w14:textId="77777777" w:rsidR="003859C9" w:rsidRPr="00EB11D3" w:rsidRDefault="003859C9" w:rsidP="000D666C">
            <w:pPr>
              <w:spacing w:after="160" w:line="259" w:lineRule="auto"/>
              <w:jc w:val="left"/>
              <w:rPr>
                <w:szCs w:val="24"/>
              </w:rPr>
            </w:pPr>
            <w:r w:rsidRPr="00EB11D3">
              <w:rPr>
                <w:szCs w:val="24"/>
              </w:rPr>
              <w:t>Mean Square</w:t>
            </w:r>
          </w:p>
        </w:tc>
        <w:tc>
          <w:tcPr>
            <w:tcW w:w="642" w:type="pct"/>
            <w:gridSpan w:val="3"/>
            <w:tcBorders>
              <w:top w:val="single" w:sz="4" w:space="0" w:color="auto"/>
              <w:left w:val="single" w:sz="8" w:space="0" w:color="E0E0E0"/>
              <w:bottom w:val="single" w:sz="8" w:space="0" w:color="152935"/>
              <w:right w:val="single" w:sz="8" w:space="0" w:color="E0E0E0"/>
            </w:tcBorders>
            <w:shd w:val="clear" w:color="auto" w:fill="FFFFFF"/>
            <w:vAlign w:val="bottom"/>
          </w:tcPr>
          <w:p w14:paraId="5FECD141" w14:textId="77777777" w:rsidR="003859C9" w:rsidRPr="00EB11D3" w:rsidRDefault="003859C9" w:rsidP="000D666C">
            <w:pPr>
              <w:spacing w:after="160" w:line="259" w:lineRule="auto"/>
              <w:jc w:val="left"/>
              <w:rPr>
                <w:szCs w:val="24"/>
              </w:rPr>
            </w:pPr>
            <w:r w:rsidRPr="00EB11D3">
              <w:rPr>
                <w:szCs w:val="24"/>
              </w:rPr>
              <w:t>F</w:t>
            </w:r>
          </w:p>
        </w:tc>
        <w:tc>
          <w:tcPr>
            <w:tcW w:w="644" w:type="pct"/>
            <w:gridSpan w:val="2"/>
            <w:tcBorders>
              <w:top w:val="single" w:sz="4" w:space="0" w:color="auto"/>
              <w:left w:val="single" w:sz="8" w:space="0" w:color="E0E0E0"/>
              <w:bottom w:val="single" w:sz="8" w:space="0" w:color="152935"/>
              <w:right w:val="nil"/>
            </w:tcBorders>
            <w:shd w:val="clear" w:color="auto" w:fill="FFFFFF"/>
            <w:vAlign w:val="bottom"/>
          </w:tcPr>
          <w:p w14:paraId="1B249B28" w14:textId="77777777" w:rsidR="003859C9" w:rsidRPr="00EB11D3" w:rsidRDefault="003859C9" w:rsidP="000D666C">
            <w:pPr>
              <w:spacing w:after="160" w:line="259" w:lineRule="auto"/>
              <w:jc w:val="left"/>
              <w:rPr>
                <w:szCs w:val="24"/>
              </w:rPr>
            </w:pPr>
            <w:r w:rsidRPr="00EB11D3">
              <w:rPr>
                <w:szCs w:val="24"/>
              </w:rPr>
              <w:t>Sig.</w:t>
            </w:r>
          </w:p>
        </w:tc>
      </w:tr>
      <w:tr w:rsidR="003859C9" w:rsidRPr="00EB11D3" w14:paraId="5C507F67" w14:textId="77777777" w:rsidTr="00373A2C">
        <w:trPr>
          <w:gridAfter w:val="1"/>
          <w:wAfter w:w="5" w:type="pct"/>
          <w:cantSplit/>
        </w:trPr>
        <w:tc>
          <w:tcPr>
            <w:tcW w:w="458" w:type="pct"/>
            <w:gridSpan w:val="2"/>
            <w:vMerge w:val="restart"/>
            <w:tcBorders>
              <w:top w:val="single" w:sz="8" w:space="0" w:color="152935"/>
              <w:left w:val="nil"/>
              <w:bottom w:val="single" w:sz="8" w:space="0" w:color="152935"/>
              <w:right w:val="nil"/>
            </w:tcBorders>
            <w:shd w:val="clear" w:color="auto" w:fill="auto"/>
          </w:tcPr>
          <w:p w14:paraId="372D84D3" w14:textId="77777777" w:rsidR="003859C9" w:rsidRPr="00EB11D3" w:rsidRDefault="003859C9" w:rsidP="000D666C">
            <w:pPr>
              <w:spacing w:after="160" w:line="259" w:lineRule="auto"/>
              <w:jc w:val="left"/>
              <w:rPr>
                <w:szCs w:val="24"/>
              </w:rPr>
            </w:pPr>
            <w:r w:rsidRPr="00EB11D3">
              <w:rPr>
                <w:szCs w:val="24"/>
              </w:rPr>
              <w:t>1</w:t>
            </w:r>
          </w:p>
        </w:tc>
        <w:tc>
          <w:tcPr>
            <w:tcW w:w="805" w:type="pct"/>
            <w:gridSpan w:val="2"/>
            <w:tcBorders>
              <w:top w:val="single" w:sz="8" w:space="0" w:color="152935"/>
              <w:left w:val="nil"/>
              <w:bottom w:val="single" w:sz="8" w:space="0" w:color="AEAEAE"/>
              <w:right w:val="nil"/>
            </w:tcBorders>
            <w:shd w:val="clear" w:color="auto" w:fill="auto"/>
          </w:tcPr>
          <w:p w14:paraId="684D5F4D" w14:textId="77777777" w:rsidR="003859C9" w:rsidRPr="00EB11D3" w:rsidRDefault="003859C9" w:rsidP="000D666C">
            <w:pPr>
              <w:spacing w:after="160" w:line="259" w:lineRule="auto"/>
              <w:jc w:val="left"/>
              <w:rPr>
                <w:szCs w:val="24"/>
              </w:rPr>
            </w:pPr>
            <w:r w:rsidRPr="00EB11D3">
              <w:rPr>
                <w:szCs w:val="24"/>
              </w:rPr>
              <w:t>Regression</w:t>
            </w:r>
          </w:p>
        </w:tc>
        <w:tc>
          <w:tcPr>
            <w:tcW w:w="921" w:type="pct"/>
            <w:gridSpan w:val="3"/>
            <w:tcBorders>
              <w:top w:val="single" w:sz="8" w:space="0" w:color="152935"/>
              <w:left w:val="nil"/>
              <w:bottom w:val="single" w:sz="8" w:space="0" w:color="AEAEAE"/>
              <w:right w:val="single" w:sz="8" w:space="0" w:color="E0E0E0"/>
            </w:tcBorders>
            <w:shd w:val="clear" w:color="auto" w:fill="F9F9FB"/>
          </w:tcPr>
          <w:p w14:paraId="7B4E0634" w14:textId="77777777" w:rsidR="003859C9" w:rsidRPr="00EB11D3" w:rsidRDefault="003859C9" w:rsidP="000D666C">
            <w:pPr>
              <w:spacing w:after="160" w:line="259" w:lineRule="auto"/>
              <w:jc w:val="left"/>
              <w:rPr>
                <w:szCs w:val="24"/>
              </w:rPr>
            </w:pPr>
            <w:r w:rsidRPr="00EB11D3">
              <w:rPr>
                <w:szCs w:val="24"/>
              </w:rPr>
              <w:t>89.359</w:t>
            </w:r>
          </w:p>
        </w:tc>
        <w:tc>
          <w:tcPr>
            <w:tcW w:w="642" w:type="pct"/>
            <w:gridSpan w:val="3"/>
            <w:tcBorders>
              <w:top w:val="single" w:sz="8" w:space="0" w:color="152935"/>
              <w:left w:val="single" w:sz="8" w:space="0" w:color="E0E0E0"/>
              <w:bottom w:val="single" w:sz="8" w:space="0" w:color="AEAEAE"/>
              <w:right w:val="single" w:sz="8" w:space="0" w:color="E0E0E0"/>
            </w:tcBorders>
            <w:shd w:val="clear" w:color="auto" w:fill="F9F9FB"/>
          </w:tcPr>
          <w:p w14:paraId="7B50F50B" w14:textId="77777777" w:rsidR="003859C9" w:rsidRPr="00EB11D3" w:rsidRDefault="003859C9" w:rsidP="000D666C">
            <w:pPr>
              <w:spacing w:after="160" w:line="259" w:lineRule="auto"/>
              <w:jc w:val="left"/>
              <w:rPr>
                <w:szCs w:val="24"/>
              </w:rPr>
            </w:pPr>
            <w:r w:rsidRPr="00EB11D3">
              <w:rPr>
                <w:szCs w:val="24"/>
              </w:rPr>
              <w:t>1</w:t>
            </w:r>
          </w:p>
        </w:tc>
        <w:tc>
          <w:tcPr>
            <w:tcW w:w="882" w:type="pct"/>
            <w:gridSpan w:val="2"/>
            <w:tcBorders>
              <w:top w:val="single" w:sz="8" w:space="0" w:color="152935"/>
              <w:left w:val="single" w:sz="8" w:space="0" w:color="E0E0E0"/>
              <w:bottom w:val="single" w:sz="8" w:space="0" w:color="AEAEAE"/>
              <w:right w:val="single" w:sz="8" w:space="0" w:color="E0E0E0"/>
            </w:tcBorders>
            <w:shd w:val="clear" w:color="auto" w:fill="F9F9FB"/>
          </w:tcPr>
          <w:p w14:paraId="6BD5A672" w14:textId="77777777" w:rsidR="003859C9" w:rsidRPr="00EB11D3" w:rsidRDefault="003859C9" w:rsidP="000D666C">
            <w:pPr>
              <w:spacing w:after="160" w:line="259" w:lineRule="auto"/>
              <w:jc w:val="left"/>
              <w:rPr>
                <w:szCs w:val="24"/>
              </w:rPr>
            </w:pPr>
            <w:r w:rsidRPr="00EB11D3">
              <w:rPr>
                <w:szCs w:val="24"/>
              </w:rPr>
              <w:t>89.359</w:t>
            </w:r>
          </w:p>
        </w:tc>
        <w:tc>
          <w:tcPr>
            <w:tcW w:w="642" w:type="pct"/>
            <w:gridSpan w:val="3"/>
            <w:tcBorders>
              <w:top w:val="single" w:sz="8" w:space="0" w:color="152935"/>
              <w:left w:val="single" w:sz="8" w:space="0" w:color="E0E0E0"/>
              <w:bottom w:val="single" w:sz="8" w:space="0" w:color="AEAEAE"/>
              <w:right w:val="single" w:sz="8" w:space="0" w:color="E0E0E0"/>
            </w:tcBorders>
            <w:shd w:val="clear" w:color="auto" w:fill="F9F9FB"/>
          </w:tcPr>
          <w:p w14:paraId="7E5F6290" w14:textId="77777777" w:rsidR="003859C9" w:rsidRPr="00EB11D3" w:rsidRDefault="003859C9" w:rsidP="000D666C">
            <w:pPr>
              <w:spacing w:after="160" w:line="259" w:lineRule="auto"/>
              <w:jc w:val="left"/>
              <w:rPr>
                <w:szCs w:val="24"/>
              </w:rPr>
            </w:pPr>
            <w:r w:rsidRPr="00EB11D3">
              <w:rPr>
                <w:szCs w:val="24"/>
              </w:rPr>
              <w:t>478.561</w:t>
            </w:r>
          </w:p>
        </w:tc>
        <w:tc>
          <w:tcPr>
            <w:tcW w:w="644" w:type="pct"/>
            <w:gridSpan w:val="2"/>
            <w:tcBorders>
              <w:top w:val="single" w:sz="8" w:space="0" w:color="152935"/>
              <w:left w:val="single" w:sz="8" w:space="0" w:color="E0E0E0"/>
              <w:bottom w:val="single" w:sz="8" w:space="0" w:color="AEAEAE"/>
              <w:right w:val="nil"/>
            </w:tcBorders>
            <w:shd w:val="clear" w:color="auto" w:fill="F9F9FB"/>
          </w:tcPr>
          <w:p w14:paraId="2C5537F5" w14:textId="77777777" w:rsidR="003859C9" w:rsidRPr="00EB11D3" w:rsidRDefault="003859C9" w:rsidP="000D666C">
            <w:pPr>
              <w:spacing w:after="160" w:line="259" w:lineRule="auto"/>
              <w:jc w:val="left"/>
              <w:rPr>
                <w:szCs w:val="24"/>
              </w:rPr>
            </w:pPr>
            <w:r w:rsidRPr="00EB11D3">
              <w:rPr>
                <w:szCs w:val="24"/>
              </w:rPr>
              <w:t>.000</w:t>
            </w:r>
            <w:r w:rsidRPr="00EB11D3">
              <w:rPr>
                <w:szCs w:val="24"/>
                <w:vertAlign w:val="superscript"/>
              </w:rPr>
              <w:t>b</w:t>
            </w:r>
          </w:p>
        </w:tc>
      </w:tr>
      <w:tr w:rsidR="003859C9" w:rsidRPr="00EB11D3" w14:paraId="6C8ED4B2" w14:textId="77777777" w:rsidTr="00373A2C">
        <w:trPr>
          <w:gridAfter w:val="1"/>
          <w:wAfter w:w="5" w:type="pct"/>
          <w:cantSplit/>
        </w:trPr>
        <w:tc>
          <w:tcPr>
            <w:tcW w:w="458" w:type="pct"/>
            <w:gridSpan w:val="2"/>
            <w:vMerge/>
            <w:tcBorders>
              <w:top w:val="single" w:sz="8" w:space="0" w:color="152935"/>
              <w:left w:val="nil"/>
              <w:bottom w:val="single" w:sz="8" w:space="0" w:color="152935"/>
              <w:right w:val="nil"/>
            </w:tcBorders>
            <w:shd w:val="clear" w:color="auto" w:fill="auto"/>
          </w:tcPr>
          <w:p w14:paraId="1734849D" w14:textId="77777777" w:rsidR="003859C9" w:rsidRPr="00EB11D3" w:rsidRDefault="003859C9" w:rsidP="000D666C">
            <w:pPr>
              <w:spacing w:after="160" w:line="259" w:lineRule="auto"/>
              <w:jc w:val="left"/>
              <w:rPr>
                <w:szCs w:val="24"/>
              </w:rPr>
            </w:pPr>
          </w:p>
        </w:tc>
        <w:tc>
          <w:tcPr>
            <w:tcW w:w="805" w:type="pct"/>
            <w:gridSpan w:val="2"/>
            <w:tcBorders>
              <w:top w:val="single" w:sz="8" w:space="0" w:color="AEAEAE"/>
              <w:left w:val="nil"/>
              <w:bottom w:val="single" w:sz="8" w:space="0" w:color="AEAEAE"/>
              <w:right w:val="nil"/>
            </w:tcBorders>
            <w:shd w:val="clear" w:color="auto" w:fill="auto"/>
          </w:tcPr>
          <w:p w14:paraId="54D0279E" w14:textId="77777777" w:rsidR="003859C9" w:rsidRPr="00EB11D3" w:rsidRDefault="003859C9" w:rsidP="000D666C">
            <w:pPr>
              <w:spacing w:after="160" w:line="259" w:lineRule="auto"/>
              <w:jc w:val="left"/>
              <w:rPr>
                <w:szCs w:val="24"/>
              </w:rPr>
            </w:pPr>
            <w:r w:rsidRPr="00EB11D3">
              <w:rPr>
                <w:szCs w:val="24"/>
              </w:rPr>
              <w:t>Residual</w:t>
            </w:r>
          </w:p>
        </w:tc>
        <w:tc>
          <w:tcPr>
            <w:tcW w:w="921" w:type="pct"/>
            <w:gridSpan w:val="3"/>
            <w:tcBorders>
              <w:top w:val="single" w:sz="8" w:space="0" w:color="AEAEAE"/>
              <w:left w:val="nil"/>
              <w:bottom w:val="single" w:sz="8" w:space="0" w:color="AEAEAE"/>
              <w:right w:val="single" w:sz="8" w:space="0" w:color="E0E0E0"/>
            </w:tcBorders>
            <w:shd w:val="clear" w:color="auto" w:fill="F9F9FB"/>
          </w:tcPr>
          <w:p w14:paraId="508CB529" w14:textId="77777777" w:rsidR="003859C9" w:rsidRPr="00EB11D3" w:rsidRDefault="003859C9" w:rsidP="000D666C">
            <w:pPr>
              <w:spacing w:after="160" w:line="259" w:lineRule="auto"/>
              <w:jc w:val="left"/>
              <w:rPr>
                <w:szCs w:val="24"/>
              </w:rPr>
            </w:pPr>
            <w:r w:rsidRPr="00EB11D3">
              <w:rPr>
                <w:szCs w:val="24"/>
              </w:rPr>
              <w:t>46.308</w:t>
            </w:r>
          </w:p>
        </w:tc>
        <w:tc>
          <w:tcPr>
            <w:tcW w:w="642" w:type="pct"/>
            <w:gridSpan w:val="3"/>
            <w:tcBorders>
              <w:top w:val="single" w:sz="8" w:space="0" w:color="AEAEAE"/>
              <w:left w:val="single" w:sz="8" w:space="0" w:color="E0E0E0"/>
              <w:bottom w:val="single" w:sz="8" w:space="0" w:color="AEAEAE"/>
              <w:right w:val="single" w:sz="8" w:space="0" w:color="E0E0E0"/>
            </w:tcBorders>
            <w:shd w:val="clear" w:color="auto" w:fill="F9F9FB"/>
          </w:tcPr>
          <w:p w14:paraId="410EBACA" w14:textId="77777777" w:rsidR="003859C9" w:rsidRPr="00EB11D3" w:rsidRDefault="003859C9" w:rsidP="000D666C">
            <w:pPr>
              <w:spacing w:after="160" w:line="259" w:lineRule="auto"/>
              <w:jc w:val="left"/>
              <w:rPr>
                <w:szCs w:val="24"/>
              </w:rPr>
            </w:pPr>
            <w:r w:rsidRPr="00EB11D3">
              <w:rPr>
                <w:szCs w:val="24"/>
              </w:rPr>
              <w:t>248</w:t>
            </w:r>
          </w:p>
        </w:tc>
        <w:tc>
          <w:tcPr>
            <w:tcW w:w="882" w:type="pct"/>
            <w:gridSpan w:val="2"/>
            <w:tcBorders>
              <w:top w:val="single" w:sz="8" w:space="0" w:color="AEAEAE"/>
              <w:left w:val="single" w:sz="8" w:space="0" w:color="E0E0E0"/>
              <w:bottom w:val="single" w:sz="8" w:space="0" w:color="AEAEAE"/>
              <w:right w:val="single" w:sz="8" w:space="0" w:color="E0E0E0"/>
            </w:tcBorders>
            <w:shd w:val="clear" w:color="auto" w:fill="F9F9FB"/>
          </w:tcPr>
          <w:p w14:paraId="6D20A980" w14:textId="77777777" w:rsidR="003859C9" w:rsidRPr="00EB11D3" w:rsidRDefault="003859C9" w:rsidP="000D666C">
            <w:pPr>
              <w:spacing w:after="160" w:line="259" w:lineRule="auto"/>
              <w:jc w:val="left"/>
              <w:rPr>
                <w:szCs w:val="24"/>
              </w:rPr>
            </w:pPr>
            <w:r w:rsidRPr="00EB11D3">
              <w:rPr>
                <w:szCs w:val="24"/>
              </w:rPr>
              <w:t>.187</w:t>
            </w:r>
          </w:p>
        </w:tc>
        <w:tc>
          <w:tcPr>
            <w:tcW w:w="642" w:type="pct"/>
            <w:gridSpan w:val="3"/>
            <w:tcBorders>
              <w:top w:val="single" w:sz="8" w:space="0" w:color="AEAEAE"/>
              <w:left w:val="single" w:sz="8" w:space="0" w:color="E0E0E0"/>
              <w:bottom w:val="single" w:sz="8" w:space="0" w:color="AEAEAE"/>
              <w:right w:val="single" w:sz="8" w:space="0" w:color="E0E0E0"/>
            </w:tcBorders>
            <w:shd w:val="clear" w:color="auto" w:fill="F9F9FB"/>
            <w:vAlign w:val="center"/>
          </w:tcPr>
          <w:p w14:paraId="191396B4" w14:textId="77777777" w:rsidR="003859C9" w:rsidRPr="00EB11D3" w:rsidRDefault="003859C9" w:rsidP="000D666C">
            <w:pPr>
              <w:spacing w:after="160" w:line="259" w:lineRule="auto"/>
              <w:jc w:val="left"/>
              <w:rPr>
                <w:szCs w:val="24"/>
              </w:rPr>
            </w:pPr>
          </w:p>
        </w:tc>
        <w:tc>
          <w:tcPr>
            <w:tcW w:w="644" w:type="pct"/>
            <w:gridSpan w:val="2"/>
            <w:tcBorders>
              <w:top w:val="single" w:sz="8" w:space="0" w:color="AEAEAE"/>
              <w:left w:val="single" w:sz="8" w:space="0" w:color="E0E0E0"/>
              <w:bottom w:val="single" w:sz="8" w:space="0" w:color="AEAEAE"/>
              <w:right w:val="nil"/>
            </w:tcBorders>
            <w:shd w:val="clear" w:color="auto" w:fill="F9F9FB"/>
            <w:vAlign w:val="center"/>
          </w:tcPr>
          <w:p w14:paraId="1F892CF7" w14:textId="77777777" w:rsidR="003859C9" w:rsidRPr="00EB11D3" w:rsidRDefault="003859C9" w:rsidP="000D666C">
            <w:pPr>
              <w:spacing w:after="160" w:line="259" w:lineRule="auto"/>
              <w:jc w:val="left"/>
              <w:rPr>
                <w:szCs w:val="24"/>
              </w:rPr>
            </w:pPr>
          </w:p>
        </w:tc>
      </w:tr>
      <w:tr w:rsidR="003859C9" w:rsidRPr="00EB11D3" w14:paraId="58B5308A" w14:textId="77777777" w:rsidTr="00373A2C">
        <w:trPr>
          <w:gridAfter w:val="1"/>
          <w:wAfter w:w="5" w:type="pct"/>
          <w:cantSplit/>
        </w:trPr>
        <w:tc>
          <w:tcPr>
            <w:tcW w:w="458" w:type="pct"/>
            <w:gridSpan w:val="2"/>
            <w:vMerge/>
            <w:tcBorders>
              <w:top w:val="single" w:sz="8" w:space="0" w:color="152935"/>
              <w:left w:val="nil"/>
              <w:bottom w:val="single" w:sz="8" w:space="0" w:color="152935"/>
              <w:right w:val="nil"/>
            </w:tcBorders>
            <w:shd w:val="clear" w:color="auto" w:fill="auto"/>
          </w:tcPr>
          <w:p w14:paraId="3E82B01E" w14:textId="77777777" w:rsidR="003859C9" w:rsidRPr="00EB11D3" w:rsidRDefault="003859C9" w:rsidP="000D666C">
            <w:pPr>
              <w:spacing w:after="160" w:line="259" w:lineRule="auto"/>
              <w:jc w:val="left"/>
              <w:rPr>
                <w:szCs w:val="24"/>
              </w:rPr>
            </w:pPr>
          </w:p>
        </w:tc>
        <w:tc>
          <w:tcPr>
            <w:tcW w:w="805" w:type="pct"/>
            <w:gridSpan w:val="2"/>
            <w:tcBorders>
              <w:top w:val="single" w:sz="8" w:space="0" w:color="AEAEAE"/>
              <w:left w:val="nil"/>
              <w:bottom w:val="single" w:sz="8" w:space="0" w:color="152935"/>
              <w:right w:val="nil"/>
            </w:tcBorders>
            <w:shd w:val="clear" w:color="auto" w:fill="auto"/>
          </w:tcPr>
          <w:p w14:paraId="36AB47B0" w14:textId="77777777" w:rsidR="003859C9" w:rsidRPr="00EB11D3" w:rsidRDefault="003859C9" w:rsidP="000D666C">
            <w:pPr>
              <w:spacing w:after="160" w:line="259" w:lineRule="auto"/>
              <w:jc w:val="left"/>
              <w:rPr>
                <w:szCs w:val="24"/>
              </w:rPr>
            </w:pPr>
            <w:r w:rsidRPr="00EB11D3">
              <w:rPr>
                <w:szCs w:val="24"/>
              </w:rPr>
              <w:t>Total</w:t>
            </w:r>
          </w:p>
        </w:tc>
        <w:tc>
          <w:tcPr>
            <w:tcW w:w="921" w:type="pct"/>
            <w:gridSpan w:val="3"/>
            <w:tcBorders>
              <w:top w:val="single" w:sz="8" w:space="0" w:color="AEAEAE"/>
              <w:left w:val="nil"/>
              <w:bottom w:val="single" w:sz="8" w:space="0" w:color="152935"/>
              <w:right w:val="single" w:sz="8" w:space="0" w:color="E0E0E0"/>
            </w:tcBorders>
            <w:shd w:val="clear" w:color="auto" w:fill="F9F9FB"/>
          </w:tcPr>
          <w:p w14:paraId="63EA0E24" w14:textId="77777777" w:rsidR="003859C9" w:rsidRPr="00EB11D3" w:rsidRDefault="003859C9" w:rsidP="000D666C">
            <w:pPr>
              <w:spacing w:after="160" w:line="259" w:lineRule="auto"/>
              <w:jc w:val="left"/>
              <w:rPr>
                <w:szCs w:val="24"/>
              </w:rPr>
            </w:pPr>
            <w:r w:rsidRPr="00EB11D3">
              <w:rPr>
                <w:szCs w:val="24"/>
              </w:rPr>
              <w:t>135.666</w:t>
            </w:r>
          </w:p>
        </w:tc>
        <w:tc>
          <w:tcPr>
            <w:tcW w:w="642" w:type="pct"/>
            <w:gridSpan w:val="3"/>
            <w:tcBorders>
              <w:top w:val="single" w:sz="8" w:space="0" w:color="AEAEAE"/>
              <w:left w:val="single" w:sz="8" w:space="0" w:color="E0E0E0"/>
              <w:bottom w:val="single" w:sz="8" w:space="0" w:color="152935"/>
              <w:right w:val="single" w:sz="8" w:space="0" w:color="E0E0E0"/>
            </w:tcBorders>
            <w:shd w:val="clear" w:color="auto" w:fill="F9F9FB"/>
          </w:tcPr>
          <w:p w14:paraId="252D67CD" w14:textId="77777777" w:rsidR="003859C9" w:rsidRPr="00EB11D3" w:rsidRDefault="003859C9" w:rsidP="000D666C">
            <w:pPr>
              <w:spacing w:after="160" w:line="259" w:lineRule="auto"/>
              <w:jc w:val="left"/>
              <w:rPr>
                <w:szCs w:val="24"/>
              </w:rPr>
            </w:pPr>
            <w:r w:rsidRPr="00EB11D3">
              <w:rPr>
                <w:szCs w:val="24"/>
              </w:rPr>
              <w:t>249</w:t>
            </w:r>
          </w:p>
        </w:tc>
        <w:tc>
          <w:tcPr>
            <w:tcW w:w="882" w:type="pct"/>
            <w:gridSpan w:val="2"/>
            <w:tcBorders>
              <w:top w:val="single" w:sz="8" w:space="0" w:color="AEAEAE"/>
              <w:left w:val="single" w:sz="8" w:space="0" w:color="E0E0E0"/>
              <w:bottom w:val="single" w:sz="8" w:space="0" w:color="152935"/>
              <w:right w:val="single" w:sz="8" w:space="0" w:color="E0E0E0"/>
            </w:tcBorders>
            <w:shd w:val="clear" w:color="auto" w:fill="F9F9FB"/>
            <w:vAlign w:val="center"/>
          </w:tcPr>
          <w:p w14:paraId="59F3EC74" w14:textId="77777777" w:rsidR="003859C9" w:rsidRPr="00EB11D3" w:rsidRDefault="003859C9" w:rsidP="000D666C">
            <w:pPr>
              <w:spacing w:after="160" w:line="259" w:lineRule="auto"/>
              <w:jc w:val="left"/>
              <w:rPr>
                <w:szCs w:val="24"/>
              </w:rPr>
            </w:pPr>
          </w:p>
        </w:tc>
        <w:tc>
          <w:tcPr>
            <w:tcW w:w="642" w:type="pct"/>
            <w:gridSpan w:val="3"/>
            <w:tcBorders>
              <w:top w:val="single" w:sz="8" w:space="0" w:color="AEAEAE"/>
              <w:left w:val="single" w:sz="8" w:space="0" w:color="E0E0E0"/>
              <w:bottom w:val="single" w:sz="8" w:space="0" w:color="152935"/>
              <w:right w:val="single" w:sz="8" w:space="0" w:color="E0E0E0"/>
            </w:tcBorders>
            <w:shd w:val="clear" w:color="auto" w:fill="F9F9FB"/>
            <w:vAlign w:val="center"/>
          </w:tcPr>
          <w:p w14:paraId="7DC2F4D4" w14:textId="77777777" w:rsidR="003859C9" w:rsidRPr="00EB11D3" w:rsidRDefault="003859C9" w:rsidP="000D666C">
            <w:pPr>
              <w:spacing w:after="160" w:line="259" w:lineRule="auto"/>
              <w:jc w:val="left"/>
              <w:rPr>
                <w:szCs w:val="24"/>
              </w:rPr>
            </w:pPr>
          </w:p>
        </w:tc>
        <w:tc>
          <w:tcPr>
            <w:tcW w:w="644" w:type="pct"/>
            <w:gridSpan w:val="2"/>
            <w:tcBorders>
              <w:top w:val="single" w:sz="8" w:space="0" w:color="AEAEAE"/>
              <w:left w:val="single" w:sz="8" w:space="0" w:color="E0E0E0"/>
              <w:bottom w:val="single" w:sz="8" w:space="0" w:color="152935"/>
              <w:right w:val="nil"/>
            </w:tcBorders>
            <w:shd w:val="clear" w:color="auto" w:fill="F9F9FB"/>
            <w:vAlign w:val="center"/>
          </w:tcPr>
          <w:p w14:paraId="3B376F4A" w14:textId="77777777" w:rsidR="003859C9" w:rsidRPr="00EB11D3" w:rsidRDefault="003859C9" w:rsidP="000D666C">
            <w:pPr>
              <w:spacing w:after="160" w:line="259" w:lineRule="auto"/>
              <w:jc w:val="left"/>
              <w:rPr>
                <w:szCs w:val="24"/>
              </w:rPr>
            </w:pPr>
          </w:p>
        </w:tc>
      </w:tr>
      <w:tr w:rsidR="003859C9" w:rsidRPr="00EB11D3" w14:paraId="2CC36A1F" w14:textId="77777777" w:rsidTr="00373A2C">
        <w:trPr>
          <w:gridAfter w:val="1"/>
          <w:wAfter w:w="5" w:type="pct"/>
          <w:cantSplit/>
        </w:trPr>
        <w:tc>
          <w:tcPr>
            <w:tcW w:w="4995" w:type="pct"/>
            <w:gridSpan w:val="17"/>
            <w:tcBorders>
              <w:top w:val="nil"/>
              <w:left w:val="nil"/>
              <w:bottom w:val="nil"/>
              <w:right w:val="nil"/>
            </w:tcBorders>
            <w:shd w:val="clear" w:color="auto" w:fill="FFFFFF"/>
          </w:tcPr>
          <w:p w14:paraId="3A1402FD" w14:textId="77777777" w:rsidR="003859C9" w:rsidRPr="00EB11D3" w:rsidRDefault="003859C9" w:rsidP="000D666C">
            <w:pPr>
              <w:autoSpaceDE w:val="0"/>
              <w:autoSpaceDN w:val="0"/>
              <w:adjustRightInd w:val="0"/>
              <w:spacing w:after="0" w:line="320" w:lineRule="atLeast"/>
              <w:ind w:left="60" w:right="60"/>
              <w:jc w:val="left"/>
              <w:rPr>
                <w:szCs w:val="24"/>
              </w:rPr>
            </w:pPr>
            <w:r w:rsidRPr="00EB11D3">
              <w:rPr>
                <w:szCs w:val="24"/>
              </w:rPr>
              <w:t>a. Dependent Variable: Service Innovation</w:t>
            </w:r>
          </w:p>
        </w:tc>
      </w:tr>
      <w:tr w:rsidR="003859C9" w:rsidRPr="00EB11D3" w14:paraId="0558A946" w14:textId="77777777" w:rsidTr="00373A2C">
        <w:trPr>
          <w:gridAfter w:val="1"/>
          <w:wAfter w:w="5" w:type="pct"/>
          <w:cantSplit/>
        </w:trPr>
        <w:tc>
          <w:tcPr>
            <w:tcW w:w="4995" w:type="pct"/>
            <w:gridSpan w:val="17"/>
            <w:tcBorders>
              <w:top w:val="nil"/>
              <w:left w:val="nil"/>
              <w:bottom w:val="nil"/>
              <w:right w:val="nil"/>
            </w:tcBorders>
            <w:shd w:val="clear" w:color="auto" w:fill="FFFFFF"/>
          </w:tcPr>
          <w:p w14:paraId="5FCAE24E" w14:textId="77777777" w:rsidR="003859C9" w:rsidRPr="00EB11D3" w:rsidRDefault="003859C9" w:rsidP="000D666C">
            <w:pPr>
              <w:autoSpaceDE w:val="0"/>
              <w:autoSpaceDN w:val="0"/>
              <w:adjustRightInd w:val="0"/>
              <w:spacing w:after="0" w:line="320" w:lineRule="atLeast"/>
              <w:ind w:left="60" w:right="60"/>
              <w:jc w:val="left"/>
              <w:rPr>
                <w:szCs w:val="24"/>
              </w:rPr>
            </w:pPr>
            <w:r w:rsidRPr="00EB11D3">
              <w:rPr>
                <w:szCs w:val="24"/>
              </w:rPr>
              <w:t>b. Predictors: (Constant), Corporate Governance</w:t>
            </w:r>
          </w:p>
        </w:tc>
      </w:tr>
      <w:tr w:rsidR="003859C9" w:rsidRPr="00EB11D3" w14:paraId="22E9CDC6" w14:textId="77777777" w:rsidTr="00373A2C">
        <w:trPr>
          <w:gridAfter w:val="1"/>
          <w:wAfter w:w="5" w:type="pct"/>
          <w:cantSplit/>
        </w:trPr>
        <w:tc>
          <w:tcPr>
            <w:tcW w:w="4995" w:type="pct"/>
            <w:gridSpan w:val="17"/>
            <w:tcBorders>
              <w:top w:val="nil"/>
              <w:left w:val="nil"/>
              <w:bottom w:val="single" w:sz="4" w:space="0" w:color="auto"/>
              <w:right w:val="nil"/>
            </w:tcBorders>
            <w:shd w:val="clear" w:color="auto" w:fill="FFFFFF"/>
            <w:vAlign w:val="center"/>
          </w:tcPr>
          <w:p w14:paraId="35629B3A" w14:textId="77777777" w:rsidR="003859C9" w:rsidRPr="00EB11D3" w:rsidRDefault="003859C9" w:rsidP="000D666C">
            <w:pPr>
              <w:autoSpaceDE w:val="0"/>
              <w:autoSpaceDN w:val="0"/>
              <w:adjustRightInd w:val="0"/>
              <w:spacing w:after="0" w:line="320" w:lineRule="atLeast"/>
              <w:ind w:left="60" w:right="60"/>
              <w:jc w:val="center"/>
              <w:rPr>
                <w:szCs w:val="24"/>
              </w:rPr>
            </w:pPr>
            <w:r w:rsidRPr="00EB11D3">
              <w:rPr>
                <w:b/>
                <w:bCs/>
                <w:szCs w:val="24"/>
              </w:rPr>
              <w:t>Coefficients</w:t>
            </w:r>
            <w:r w:rsidRPr="00EB11D3">
              <w:rPr>
                <w:b/>
                <w:bCs/>
                <w:szCs w:val="24"/>
                <w:vertAlign w:val="superscript"/>
              </w:rPr>
              <w:t>a</w:t>
            </w:r>
          </w:p>
        </w:tc>
      </w:tr>
      <w:tr w:rsidR="003859C9" w:rsidRPr="00EB11D3" w14:paraId="17EE572F" w14:textId="77777777" w:rsidTr="00373A2C">
        <w:trPr>
          <w:gridAfter w:val="1"/>
          <w:wAfter w:w="5" w:type="pct"/>
          <w:cantSplit/>
        </w:trPr>
        <w:tc>
          <w:tcPr>
            <w:tcW w:w="1603" w:type="pct"/>
            <w:gridSpan w:val="6"/>
            <w:vMerge w:val="restart"/>
            <w:tcBorders>
              <w:top w:val="single" w:sz="4" w:space="0" w:color="auto"/>
              <w:left w:val="nil"/>
              <w:bottom w:val="single" w:sz="4" w:space="0" w:color="auto"/>
              <w:right w:val="nil"/>
            </w:tcBorders>
            <w:shd w:val="clear" w:color="auto" w:fill="FFFFFF"/>
            <w:vAlign w:val="bottom"/>
          </w:tcPr>
          <w:p w14:paraId="7E87E643" w14:textId="77777777" w:rsidR="003859C9" w:rsidRPr="00EB11D3" w:rsidRDefault="003859C9" w:rsidP="000D666C">
            <w:pPr>
              <w:spacing w:after="160" w:line="259" w:lineRule="auto"/>
              <w:jc w:val="left"/>
              <w:rPr>
                <w:szCs w:val="24"/>
              </w:rPr>
            </w:pPr>
            <w:r w:rsidRPr="00EB11D3">
              <w:rPr>
                <w:szCs w:val="24"/>
              </w:rPr>
              <w:t>Model</w:t>
            </w:r>
          </w:p>
        </w:tc>
        <w:tc>
          <w:tcPr>
            <w:tcW w:w="1461" w:type="pct"/>
            <w:gridSpan w:val="5"/>
            <w:tcBorders>
              <w:top w:val="single" w:sz="4" w:space="0" w:color="auto"/>
              <w:left w:val="nil"/>
              <w:bottom w:val="single" w:sz="4" w:space="0" w:color="auto"/>
              <w:right w:val="single" w:sz="8" w:space="0" w:color="E0E0E0"/>
            </w:tcBorders>
            <w:shd w:val="clear" w:color="auto" w:fill="FFFFFF"/>
            <w:vAlign w:val="bottom"/>
          </w:tcPr>
          <w:p w14:paraId="3E99A787" w14:textId="77777777" w:rsidR="003859C9" w:rsidRPr="00EB11D3" w:rsidRDefault="003859C9" w:rsidP="000D666C">
            <w:pPr>
              <w:spacing w:after="160" w:line="259" w:lineRule="auto"/>
              <w:jc w:val="left"/>
              <w:rPr>
                <w:szCs w:val="24"/>
              </w:rPr>
            </w:pPr>
            <w:r w:rsidRPr="00EB11D3">
              <w:rPr>
                <w:szCs w:val="24"/>
              </w:rPr>
              <w:t>Unstandardized Coefficients</w:t>
            </w:r>
          </w:p>
        </w:tc>
        <w:tc>
          <w:tcPr>
            <w:tcW w:w="806" w:type="pct"/>
            <w:gridSpan w:val="3"/>
            <w:tcBorders>
              <w:top w:val="single" w:sz="4" w:space="0" w:color="auto"/>
              <w:left w:val="single" w:sz="8" w:space="0" w:color="E0E0E0"/>
              <w:bottom w:val="single" w:sz="4" w:space="0" w:color="auto"/>
              <w:right w:val="single" w:sz="8" w:space="0" w:color="E0E0E0"/>
            </w:tcBorders>
            <w:shd w:val="clear" w:color="auto" w:fill="FFFFFF"/>
            <w:vAlign w:val="bottom"/>
          </w:tcPr>
          <w:p w14:paraId="27BCC461" w14:textId="77777777" w:rsidR="003859C9" w:rsidRPr="00EB11D3" w:rsidRDefault="003859C9" w:rsidP="000D666C">
            <w:pPr>
              <w:spacing w:after="160" w:line="259" w:lineRule="auto"/>
              <w:jc w:val="left"/>
              <w:rPr>
                <w:szCs w:val="24"/>
              </w:rPr>
            </w:pPr>
            <w:r w:rsidRPr="00EB11D3">
              <w:rPr>
                <w:szCs w:val="24"/>
              </w:rPr>
              <w:t>Standardized Coefficients</w:t>
            </w:r>
          </w:p>
        </w:tc>
        <w:tc>
          <w:tcPr>
            <w:tcW w:w="562" w:type="pct"/>
            <w:gridSpan w:val="2"/>
            <w:vMerge w:val="restart"/>
            <w:tcBorders>
              <w:top w:val="single" w:sz="4" w:space="0" w:color="auto"/>
              <w:left w:val="single" w:sz="8" w:space="0" w:color="E0E0E0"/>
              <w:bottom w:val="single" w:sz="4" w:space="0" w:color="auto"/>
              <w:right w:val="single" w:sz="8" w:space="0" w:color="E0E0E0"/>
            </w:tcBorders>
            <w:shd w:val="clear" w:color="auto" w:fill="FFFFFF"/>
            <w:vAlign w:val="bottom"/>
          </w:tcPr>
          <w:p w14:paraId="0FC68B04" w14:textId="77777777" w:rsidR="003859C9" w:rsidRPr="00EB11D3" w:rsidRDefault="00BB7ED2" w:rsidP="000D666C">
            <w:pPr>
              <w:spacing w:after="160" w:line="259" w:lineRule="auto"/>
              <w:jc w:val="left"/>
              <w:rPr>
                <w:szCs w:val="24"/>
              </w:rPr>
            </w:pPr>
            <w:r w:rsidRPr="00EB11D3">
              <w:rPr>
                <w:szCs w:val="24"/>
              </w:rPr>
              <w:t>T</w:t>
            </w:r>
          </w:p>
        </w:tc>
        <w:tc>
          <w:tcPr>
            <w:tcW w:w="562" w:type="pct"/>
            <w:vMerge w:val="restart"/>
            <w:tcBorders>
              <w:top w:val="single" w:sz="4" w:space="0" w:color="auto"/>
              <w:left w:val="single" w:sz="8" w:space="0" w:color="E0E0E0"/>
              <w:bottom w:val="single" w:sz="4" w:space="0" w:color="auto"/>
              <w:right w:val="nil"/>
            </w:tcBorders>
            <w:shd w:val="clear" w:color="auto" w:fill="FFFFFF"/>
            <w:vAlign w:val="bottom"/>
          </w:tcPr>
          <w:p w14:paraId="4ECFE0C2" w14:textId="77777777" w:rsidR="003859C9" w:rsidRPr="00EB11D3" w:rsidRDefault="003859C9" w:rsidP="000D666C">
            <w:pPr>
              <w:spacing w:after="160" w:line="259" w:lineRule="auto"/>
              <w:jc w:val="left"/>
              <w:rPr>
                <w:szCs w:val="24"/>
              </w:rPr>
            </w:pPr>
            <w:r w:rsidRPr="00EB11D3">
              <w:rPr>
                <w:szCs w:val="24"/>
              </w:rPr>
              <w:t>Sig.</w:t>
            </w:r>
          </w:p>
        </w:tc>
      </w:tr>
      <w:tr w:rsidR="003859C9" w:rsidRPr="00EB11D3" w14:paraId="7F6A60E6" w14:textId="77777777" w:rsidTr="00373A2C">
        <w:trPr>
          <w:gridAfter w:val="1"/>
          <w:wAfter w:w="5" w:type="pct"/>
          <w:cantSplit/>
        </w:trPr>
        <w:tc>
          <w:tcPr>
            <w:tcW w:w="1603" w:type="pct"/>
            <w:gridSpan w:val="6"/>
            <w:vMerge/>
            <w:tcBorders>
              <w:top w:val="single" w:sz="4" w:space="0" w:color="auto"/>
              <w:left w:val="nil"/>
              <w:bottom w:val="nil"/>
              <w:right w:val="nil"/>
            </w:tcBorders>
            <w:shd w:val="clear" w:color="auto" w:fill="FFFFFF"/>
            <w:vAlign w:val="bottom"/>
          </w:tcPr>
          <w:p w14:paraId="2D935E59" w14:textId="77777777" w:rsidR="003859C9" w:rsidRPr="00EB11D3" w:rsidRDefault="003859C9" w:rsidP="000D666C">
            <w:pPr>
              <w:spacing w:after="160" w:line="259" w:lineRule="auto"/>
              <w:jc w:val="left"/>
              <w:rPr>
                <w:szCs w:val="24"/>
              </w:rPr>
            </w:pPr>
          </w:p>
        </w:tc>
        <w:tc>
          <w:tcPr>
            <w:tcW w:w="731" w:type="pct"/>
            <w:gridSpan w:val="2"/>
            <w:tcBorders>
              <w:top w:val="single" w:sz="4" w:space="0" w:color="auto"/>
              <w:left w:val="nil"/>
              <w:bottom w:val="single" w:sz="8" w:space="0" w:color="152935"/>
              <w:right w:val="single" w:sz="8" w:space="0" w:color="E0E0E0"/>
            </w:tcBorders>
            <w:shd w:val="clear" w:color="auto" w:fill="FFFFFF"/>
            <w:vAlign w:val="bottom"/>
          </w:tcPr>
          <w:p w14:paraId="09973F9F" w14:textId="77777777" w:rsidR="003859C9" w:rsidRPr="00EB11D3" w:rsidRDefault="003859C9" w:rsidP="000D666C">
            <w:pPr>
              <w:spacing w:after="160" w:line="259" w:lineRule="auto"/>
              <w:jc w:val="left"/>
              <w:rPr>
                <w:szCs w:val="24"/>
              </w:rPr>
            </w:pPr>
            <w:r w:rsidRPr="00EB11D3">
              <w:rPr>
                <w:szCs w:val="24"/>
              </w:rPr>
              <w:t>B</w:t>
            </w:r>
          </w:p>
        </w:tc>
        <w:tc>
          <w:tcPr>
            <w:tcW w:w="731" w:type="pct"/>
            <w:gridSpan w:val="3"/>
            <w:tcBorders>
              <w:top w:val="single" w:sz="4" w:space="0" w:color="auto"/>
              <w:left w:val="single" w:sz="8" w:space="0" w:color="E0E0E0"/>
              <w:bottom w:val="single" w:sz="8" w:space="0" w:color="152935"/>
              <w:right w:val="single" w:sz="8" w:space="0" w:color="E0E0E0"/>
            </w:tcBorders>
            <w:shd w:val="clear" w:color="auto" w:fill="FFFFFF"/>
            <w:vAlign w:val="bottom"/>
          </w:tcPr>
          <w:p w14:paraId="0A706E96" w14:textId="77777777" w:rsidR="003859C9" w:rsidRPr="00EB11D3" w:rsidRDefault="003859C9" w:rsidP="000D666C">
            <w:pPr>
              <w:spacing w:after="160" w:line="259" w:lineRule="auto"/>
              <w:jc w:val="left"/>
              <w:rPr>
                <w:szCs w:val="24"/>
              </w:rPr>
            </w:pPr>
            <w:r w:rsidRPr="00EB11D3">
              <w:rPr>
                <w:szCs w:val="24"/>
              </w:rPr>
              <w:t>Std. Error</w:t>
            </w:r>
          </w:p>
        </w:tc>
        <w:tc>
          <w:tcPr>
            <w:tcW w:w="806" w:type="pct"/>
            <w:gridSpan w:val="3"/>
            <w:tcBorders>
              <w:top w:val="single" w:sz="4" w:space="0" w:color="auto"/>
              <w:left w:val="single" w:sz="8" w:space="0" w:color="E0E0E0"/>
              <w:bottom w:val="single" w:sz="8" w:space="0" w:color="152935"/>
              <w:right w:val="single" w:sz="8" w:space="0" w:color="E0E0E0"/>
            </w:tcBorders>
            <w:shd w:val="clear" w:color="auto" w:fill="FFFFFF"/>
            <w:vAlign w:val="bottom"/>
          </w:tcPr>
          <w:p w14:paraId="164F3055" w14:textId="77777777" w:rsidR="003859C9" w:rsidRPr="00EB11D3" w:rsidRDefault="003859C9" w:rsidP="000D666C">
            <w:pPr>
              <w:spacing w:after="160" w:line="259" w:lineRule="auto"/>
              <w:jc w:val="left"/>
              <w:rPr>
                <w:szCs w:val="24"/>
              </w:rPr>
            </w:pPr>
            <w:r w:rsidRPr="00EB11D3">
              <w:rPr>
                <w:szCs w:val="24"/>
              </w:rPr>
              <w:t>Beta</w:t>
            </w:r>
          </w:p>
        </w:tc>
        <w:tc>
          <w:tcPr>
            <w:tcW w:w="562" w:type="pct"/>
            <w:gridSpan w:val="2"/>
            <w:vMerge/>
            <w:tcBorders>
              <w:top w:val="single" w:sz="4" w:space="0" w:color="auto"/>
              <w:left w:val="single" w:sz="8" w:space="0" w:color="E0E0E0"/>
              <w:bottom w:val="nil"/>
              <w:right w:val="single" w:sz="8" w:space="0" w:color="E0E0E0"/>
            </w:tcBorders>
            <w:shd w:val="clear" w:color="auto" w:fill="FFFFFF"/>
            <w:vAlign w:val="bottom"/>
          </w:tcPr>
          <w:p w14:paraId="76FDFD6C" w14:textId="77777777" w:rsidR="003859C9" w:rsidRPr="00EB11D3" w:rsidRDefault="003859C9" w:rsidP="000D666C">
            <w:pPr>
              <w:spacing w:after="160" w:line="259" w:lineRule="auto"/>
              <w:jc w:val="left"/>
              <w:rPr>
                <w:szCs w:val="24"/>
              </w:rPr>
            </w:pPr>
          </w:p>
        </w:tc>
        <w:tc>
          <w:tcPr>
            <w:tcW w:w="562" w:type="pct"/>
            <w:vMerge/>
            <w:tcBorders>
              <w:top w:val="single" w:sz="4" w:space="0" w:color="auto"/>
              <w:left w:val="single" w:sz="8" w:space="0" w:color="E0E0E0"/>
              <w:bottom w:val="nil"/>
              <w:right w:val="nil"/>
            </w:tcBorders>
            <w:shd w:val="clear" w:color="auto" w:fill="FFFFFF"/>
            <w:vAlign w:val="bottom"/>
          </w:tcPr>
          <w:p w14:paraId="08F0228E" w14:textId="77777777" w:rsidR="003859C9" w:rsidRPr="00EB11D3" w:rsidRDefault="003859C9" w:rsidP="000D666C">
            <w:pPr>
              <w:spacing w:after="160" w:line="259" w:lineRule="auto"/>
              <w:jc w:val="left"/>
              <w:rPr>
                <w:szCs w:val="24"/>
              </w:rPr>
            </w:pPr>
          </w:p>
        </w:tc>
      </w:tr>
      <w:tr w:rsidR="003859C9" w:rsidRPr="00EB11D3" w14:paraId="5398776A" w14:textId="77777777" w:rsidTr="00373A2C">
        <w:trPr>
          <w:gridAfter w:val="1"/>
          <w:wAfter w:w="5" w:type="pct"/>
          <w:cantSplit/>
        </w:trPr>
        <w:tc>
          <w:tcPr>
            <w:tcW w:w="402" w:type="pct"/>
            <w:vMerge w:val="restart"/>
            <w:tcBorders>
              <w:top w:val="single" w:sz="8" w:space="0" w:color="152935"/>
              <w:left w:val="nil"/>
              <w:bottom w:val="single" w:sz="8" w:space="0" w:color="152935"/>
              <w:right w:val="nil"/>
            </w:tcBorders>
            <w:shd w:val="clear" w:color="auto" w:fill="auto"/>
          </w:tcPr>
          <w:p w14:paraId="2F14440D" w14:textId="77777777" w:rsidR="003859C9" w:rsidRPr="00EB11D3" w:rsidRDefault="003859C9" w:rsidP="000D666C">
            <w:pPr>
              <w:spacing w:after="160" w:line="259" w:lineRule="auto"/>
              <w:jc w:val="left"/>
              <w:rPr>
                <w:szCs w:val="24"/>
              </w:rPr>
            </w:pPr>
            <w:r w:rsidRPr="00EB11D3">
              <w:rPr>
                <w:szCs w:val="24"/>
              </w:rPr>
              <w:t>1</w:t>
            </w:r>
          </w:p>
        </w:tc>
        <w:tc>
          <w:tcPr>
            <w:tcW w:w="1201" w:type="pct"/>
            <w:gridSpan w:val="5"/>
            <w:tcBorders>
              <w:top w:val="single" w:sz="8" w:space="0" w:color="152935"/>
              <w:left w:val="nil"/>
              <w:bottom w:val="single" w:sz="8" w:space="0" w:color="AEAEAE"/>
              <w:right w:val="nil"/>
            </w:tcBorders>
            <w:shd w:val="clear" w:color="auto" w:fill="auto"/>
          </w:tcPr>
          <w:p w14:paraId="37838129" w14:textId="77777777" w:rsidR="003859C9" w:rsidRPr="00EB11D3" w:rsidRDefault="003859C9" w:rsidP="000D666C">
            <w:pPr>
              <w:spacing w:after="160" w:line="259" w:lineRule="auto"/>
              <w:jc w:val="left"/>
              <w:rPr>
                <w:szCs w:val="24"/>
              </w:rPr>
            </w:pPr>
            <w:r w:rsidRPr="00EB11D3">
              <w:rPr>
                <w:szCs w:val="24"/>
              </w:rPr>
              <w:t>(Constant)</w:t>
            </w:r>
          </w:p>
        </w:tc>
        <w:tc>
          <w:tcPr>
            <w:tcW w:w="731" w:type="pct"/>
            <w:gridSpan w:val="2"/>
            <w:tcBorders>
              <w:top w:val="single" w:sz="8" w:space="0" w:color="152935"/>
              <w:left w:val="nil"/>
              <w:bottom w:val="single" w:sz="8" w:space="0" w:color="AEAEAE"/>
              <w:right w:val="single" w:sz="8" w:space="0" w:color="E0E0E0"/>
            </w:tcBorders>
            <w:shd w:val="clear" w:color="auto" w:fill="F9F9FB"/>
          </w:tcPr>
          <w:p w14:paraId="4AFEE4F3" w14:textId="77777777" w:rsidR="003859C9" w:rsidRPr="00EB11D3" w:rsidRDefault="003859C9" w:rsidP="000D666C">
            <w:pPr>
              <w:spacing w:after="160" w:line="259" w:lineRule="auto"/>
              <w:jc w:val="left"/>
              <w:rPr>
                <w:szCs w:val="24"/>
              </w:rPr>
            </w:pPr>
            <w:r w:rsidRPr="00EB11D3">
              <w:rPr>
                <w:szCs w:val="24"/>
              </w:rPr>
              <w:t>1.242</w:t>
            </w:r>
          </w:p>
        </w:tc>
        <w:tc>
          <w:tcPr>
            <w:tcW w:w="731" w:type="pct"/>
            <w:gridSpan w:val="3"/>
            <w:tcBorders>
              <w:top w:val="single" w:sz="8" w:space="0" w:color="152935"/>
              <w:left w:val="single" w:sz="8" w:space="0" w:color="E0E0E0"/>
              <w:bottom w:val="single" w:sz="8" w:space="0" w:color="AEAEAE"/>
              <w:right w:val="single" w:sz="8" w:space="0" w:color="E0E0E0"/>
            </w:tcBorders>
            <w:shd w:val="clear" w:color="auto" w:fill="F9F9FB"/>
          </w:tcPr>
          <w:p w14:paraId="2FA21D10" w14:textId="77777777" w:rsidR="003859C9" w:rsidRPr="00EB11D3" w:rsidRDefault="003859C9" w:rsidP="000D666C">
            <w:pPr>
              <w:spacing w:after="160" w:line="259" w:lineRule="auto"/>
              <w:jc w:val="left"/>
              <w:rPr>
                <w:szCs w:val="24"/>
              </w:rPr>
            </w:pPr>
            <w:r w:rsidRPr="00EB11D3">
              <w:rPr>
                <w:szCs w:val="24"/>
              </w:rPr>
              <w:t>.086</w:t>
            </w:r>
          </w:p>
        </w:tc>
        <w:tc>
          <w:tcPr>
            <w:tcW w:w="806" w:type="pct"/>
            <w:gridSpan w:val="3"/>
            <w:tcBorders>
              <w:top w:val="single" w:sz="8" w:space="0" w:color="152935"/>
              <w:left w:val="single" w:sz="8" w:space="0" w:color="E0E0E0"/>
              <w:bottom w:val="single" w:sz="8" w:space="0" w:color="AEAEAE"/>
              <w:right w:val="single" w:sz="8" w:space="0" w:color="E0E0E0"/>
            </w:tcBorders>
            <w:shd w:val="clear" w:color="auto" w:fill="F9F9FB"/>
            <w:vAlign w:val="center"/>
          </w:tcPr>
          <w:p w14:paraId="7941C008" w14:textId="77777777" w:rsidR="003859C9" w:rsidRPr="00EB11D3" w:rsidRDefault="003859C9" w:rsidP="000D666C">
            <w:pPr>
              <w:spacing w:after="160" w:line="259" w:lineRule="auto"/>
              <w:jc w:val="left"/>
              <w:rPr>
                <w:szCs w:val="24"/>
              </w:rPr>
            </w:pPr>
          </w:p>
        </w:tc>
        <w:tc>
          <w:tcPr>
            <w:tcW w:w="562" w:type="pct"/>
            <w:gridSpan w:val="2"/>
            <w:tcBorders>
              <w:top w:val="single" w:sz="8" w:space="0" w:color="152935"/>
              <w:left w:val="single" w:sz="8" w:space="0" w:color="E0E0E0"/>
              <w:bottom w:val="single" w:sz="8" w:space="0" w:color="AEAEAE"/>
              <w:right w:val="single" w:sz="8" w:space="0" w:color="E0E0E0"/>
            </w:tcBorders>
            <w:shd w:val="clear" w:color="auto" w:fill="F9F9FB"/>
          </w:tcPr>
          <w:p w14:paraId="6A70EF36" w14:textId="77777777" w:rsidR="003859C9" w:rsidRPr="00EB11D3" w:rsidRDefault="003859C9" w:rsidP="000D666C">
            <w:pPr>
              <w:spacing w:after="160" w:line="259" w:lineRule="auto"/>
              <w:jc w:val="left"/>
              <w:rPr>
                <w:szCs w:val="24"/>
              </w:rPr>
            </w:pPr>
            <w:r w:rsidRPr="00EB11D3">
              <w:rPr>
                <w:szCs w:val="24"/>
              </w:rPr>
              <w:t>14.371</w:t>
            </w:r>
          </w:p>
        </w:tc>
        <w:tc>
          <w:tcPr>
            <w:tcW w:w="562" w:type="pct"/>
            <w:tcBorders>
              <w:top w:val="single" w:sz="8" w:space="0" w:color="152935"/>
              <w:left w:val="single" w:sz="8" w:space="0" w:color="E0E0E0"/>
              <w:bottom w:val="single" w:sz="8" w:space="0" w:color="AEAEAE"/>
              <w:right w:val="nil"/>
            </w:tcBorders>
            <w:shd w:val="clear" w:color="auto" w:fill="F9F9FB"/>
          </w:tcPr>
          <w:p w14:paraId="0995D1A6" w14:textId="77777777" w:rsidR="003859C9" w:rsidRPr="00EB11D3" w:rsidRDefault="003859C9" w:rsidP="000D666C">
            <w:pPr>
              <w:spacing w:after="160" w:line="259" w:lineRule="auto"/>
              <w:jc w:val="left"/>
              <w:rPr>
                <w:szCs w:val="24"/>
              </w:rPr>
            </w:pPr>
            <w:r w:rsidRPr="00EB11D3">
              <w:rPr>
                <w:szCs w:val="24"/>
              </w:rPr>
              <w:t>.000</w:t>
            </w:r>
          </w:p>
        </w:tc>
      </w:tr>
      <w:tr w:rsidR="003859C9" w:rsidRPr="00EB11D3" w14:paraId="45C84D8D" w14:textId="77777777" w:rsidTr="00373A2C">
        <w:trPr>
          <w:gridAfter w:val="1"/>
          <w:wAfter w:w="5" w:type="pct"/>
          <w:cantSplit/>
        </w:trPr>
        <w:tc>
          <w:tcPr>
            <w:tcW w:w="402" w:type="pct"/>
            <w:vMerge/>
            <w:tcBorders>
              <w:top w:val="single" w:sz="8" w:space="0" w:color="152935"/>
              <w:left w:val="nil"/>
              <w:bottom w:val="single" w:sz="8" w:space="0" w:color="152935"/>
              <w:right w:val="nil"/>
            </w:tcBorders>
            <w:shd w:val="clear" w:color="auto" w:fill="auto"/>
          </w:tcPr>
          <w:p w14:paraId="1B29FA7F" w14:textId="77777777" w:rsidR="003859C9" w:rsidRPr="00EB11D3" w:rsidRDefault="003859C9" w:rsidP="000D666C">
            <w:pPr>
              <w:spacing w:after="160" w:line="259" w:lineRule="auto"/>
              <w:jc w:val="left"/>
              <w:rPr>
                <w:szCs w:val="24"/>
              </w:rPr>
            </w:pPr>
          </w:p>
        </w:tc>
        <w:tc>
          <w:tcPr>
            <w:tcW w:w="1201" w:type="pct"/>
            <w:gridSpan w:val="5"/>
            <w:tcBorders>
              <w:top w:val="single" w:sz="8" w:space="0" w:color="AEAEAE"/>
              <w:left w:val="nil"/>
              <w:bottom w:val="single" w:sz="8" w:space="0" w:color="152935"/>
              <w:right w:val="nil"/>
            </w:tcBorders>
            <w:shd w:val="clear" w:color="auto" w:fill="auto"/>
          </w:tcPr>
          <w:p w14:paraId="347B9D93" w14:textId="77777777" w:rsidR="003859C9" w:rsidRPr="00EB11D3" w:rsidRDefault="003859C9" w:rsidP="000D666C">
            <w:pPr>
              <w:spacing w:after="160" w:line="259" w:lineRule="auto"/>
              <w:jc w:val="left"/>
              <w:rPr>
                <w:szCs w:val="24"/>
              </w:rPr>
            </w:pPr>
            <w:r w:rsidRPr="00EB11D3">
              <w:rPr>
                <w:szCs w:val="24"/>
              </w:rPr>
              <w:t>Corporate Governance</w:t>
            </w:r>
          </w:p>
        </w:tc>
        <w:tc>
          <w:tcPr>
            <w:tcW w:w="731" w:type="pct"/>
            <w:gridSpan w:val="2"/>
            <w:tcBorders>
              <w:top w:val="single" w:sz="8" w:space="0" w:color="AEAEAE"/>
              <w:left w:val="nil"/>
              <w:bottom w:val="single" w:sz="8" w:space="0" w:color="152935"/>
              <w:right w:val="single" w:sz="8" w:space="0" w:color="E0E0E0"/>
            </w:tcBorders>
            <w:shd w:val="clear" w:color="auto" w:fill="F9F9FB"/>
          </w:tcPr>
          <w:p w14:paraId="0558D62A" w14:textId="77777777" w:rsidR="003859C9" w:rsidRPr="00EB11D3" w:rsidRDefault="003859C9" w:rsidP="000D666C">
            <w:pPr>
              <w:spacing w:after="160" w:line="259" w:lineRule="auto"/>
              <w:jc w:val="left"/>
              <w:rPr>
                <w:szCs w:val="24"/>
              </w:rPr>
            </w:pPr>
            <w:r w:rsidRPr="00EB11D3">
              <w:rPr>
                <w:szCs w:val="24"/>
              </w:rPr>
              <w:t>.650</w:t>
            </w:r>
          </w:p>
        </w:tc>
        <w:tc>
          <w:tcPr>
            <w:tcW w:w="731" w:type="pct"/>
            <w:gridSpan w:val="3"/>
            <w:tcBorders>
              <w:top w:val="single" w:sz="8" w:space="0" w:color="AEAEAE"/>
              <w:left w:val="single" w:sz="8" w:space="0" w:color="E0E0E0"/>
              <w:bottom w:val="single" w:sz="8" w:space="0" w:color="152935"/>
              <w:right w:val="single" w:sz="8" w:space="0" w:color="E0E0E0"/>
            </w:tcBorders>
            <w:shd w:val="clear" w:color="auto" w:fill="F9F9FB"/>
          </w:tcPr>
          <w:p w14:paraId="3C1CC0DB" w14:textId="77777777" w:rsidR="003859C9" w:rsidRPr="00EB11D3" w:rsidRDefault="003859C9" w:rsidP="000D666C">
            <w:pPr>
              <w:spacing w:after="160" w:line="259" w:lineRule="auto"/>
              <w:jc w:val="left"/>
              <w:rPr>
                <w:szCs w:val="24"/>
              </w:rPr>
            </w:pPr>
            <w:r w:rsidRPr="00EB11D3">
              <w:rPr>
                <w:szCs w:val="24"/>
              </w:rPr>
              <w:t>.030</w:t>
            </w:r>
          </w:p>
        </w:tc>
        <w:tc>
          <w:tcPr>
            <w:tcW w:w="806" w:type="pct"/>
            <w:gridSpan w:val="3"/>
            <w:tcBorders>
              <w:top w:val="single" w:sz="8" w:space="0" w:color="AEAEAE"/>
              <w:left w:val="single" w:sz="8" w:space="0" w:color="E0E0E0"/>
              <w:bottom w:val="single" w:sz="8" w:space="0" w:color="152935"/>
              <w:right w:val="single" w:sz="8" w:space="0" w:color="E0E0E0"/>
            </w:tcBorders>
            <w:shd w:val="clear" w:color="auto" w:fill="F9F9FB"/>
          </w:tcPr>
          <w:p w14:paraId="361F62DB" w14:textId="77777777" w:rsidR="003859C9" w:rsidRPr="00EB11D3" w:rsidRDefault="003859C9" w:rsidP="000D666C">
            <w:pPr>
              <w:spacing w:after="160" w:line="259" w:lineRule="auto"/>
              <w:jc w:val="left"/>
              <w:rPr>
                <w:szCs w:val="24"/>
              </w:rPr>
            </w:pPr>
            <w:r w:rsidRPr="00EB11D3">
              <w:rPr>
                <w:szCs w:val="24"/>
              </w:rPr>
              <w:t>.812</w:t>
            </w:r>
          </w:p>
        </w:tc>
        <w:tc>
          <w:tcPr>
            <w:tcW w:w="562" w:type="pct"/>
            <w:gridSpan w:val="2"/>
            <w:tcBorders>
              <w:top w:val="single" w:sz="8" w:space="0" w:color="AEAEAE"/>
              <w:left w:val="single" w:sz="8" w:space="0" w:color="E0E0E0"/>
              <w:bottom w:val="single" w:sz="8" w:space="0" w:color="152935"/>
              <w:right w:val="single" w:sz="8" w:space="0" w:color="E0E0E0"/>
            </w:tcBorders>
            <w:shd w:val="clear" w:color="auto" w:fill="F9F9FB"/>
          </w:tcPr>
          <w:p w14:paraId="6D204878" w14:textId="77777777" w:rsidR="003859C9" w:rsidRPr="00EB11D3" w:rsidRDefault="003859C9" w:rsidP="000D666C">
            <w:pPr>
              <w:spacing w:after="160" w:line="259" w:lineRule="auto"/>
              <w:jc w:val="left"/>
              <w:rPr>
                <w:szCs w:val="24"/>
              </w:rPr>
            </w:pPr>
            <w:r w:rsidRPr="00EB11D3">
              <w:rPr>
                <w:szCs w:val="24"/>
              </w:rPr>
              <w:t>21.876</w:t>
            </w:r>
          </w:p>
        </w:tc>
        <w:tc>
          <w:tcPr>
            <w:tcW w:w="562" w:type="pct"/>
            <w:tcBorders>
              <w:top w:val="single" w:sz="8" w:space="0" w:color="AEAEAE"/>
              <w:left w:val="single" w:sz="8" w:space="0" w:color="E0E0E0"/>
              <w:bottom w:val="single" w:sz="8" w:space="0" w:color="152935"/>
              <w:right w:val="nil"/>
            </w:tcBorders>
            <w:shd w:val="clear" w:color="auto" w:fill="F9F9FB"/>
          </w:tcPr>
          <w:p w14:paraId="0A89066E" w14:textId="77777777" w:rsidR="003859C9" w:rsidRPr="00EB11D3" w:rsidRDefault="003859C9" w:rsidP="000D666C">
            <w:pPr>
              <w:spacing w:after="160" w:line="259" w:lineRule="auto"/>
              <w:jc w:val="left"/>
              <w:rPr>
                <w:szCs w:val="24"/>
              </w:rPr>
            </w:pPr>
            <w:r w:rsidRPr="00EB11D3">
              <w:rPr>
                <w:szCs w:val="24"/>
              </w:rPr>
              <w:t>.000</w:t>
            </w:r>
          </w:p>
        </w:tc>
      </w:tr>
      <w:tr w:rsidR="003859C9" w:rsidRPr="00EB11D3" w14:paraId="2161E8FE" w14:textId="77777777" w:rsidTr="00373A2C">
        <w:trPr>
          <w:gridAfter w:val="1"/>
          <w:wAfter w:w="5" w:type="pct"/>
          <w:cantSplit/>
        </w:trPr>
        <w:tc>
          <w:tcPr>
            <w:tcW w:w="4995" w:type="pct"/>
            <w:gridSpan w:val="17"/>
            <w:tcBorders>
              <w:top w:val="nil"/>
              <w:left w:val="nil"/>
              <w:bottom w:val="nil"/>
              <w:right w:val="nil"/>
            </w:tcBorders>
            <w:shd w:val="clear" w:color="auto" w:fill="FFFFFF"/>
          </w:tcPr>
          <w:p w14:paraId="3053FEC7" w14:textId="77777777" w:rsidR="003859C9" w:rsidRPr="00EB11D3" w:rsidRDefault="003859C9" w:rsidP="003859C9">
            <w:pPr>
              <w:autoSpaceDE w:val="0"/>
              <w:autoSpaceDN w:val="0"/>
              <w:adjustRightInd w:val="0"/>
              <w:spacing w:after="0" w:line="320" w:lineRule="atLeast"/>
              <w:ind w:left="60" w:right="60"/>
              <w:jc w:val="left"/>
              <w:rPr>
                <w:szCs w:val="24"/>
              </w:rPr>
            </w:pPr>
            <w:r w:rsidRPr="00EB11D3">
              <w:rPr>
                <w:szCs w:val="24"/>
              </w:rPr>
              <w:t>a. Dependent Variable: Service Innovation</w:t>
            </w:r>
          </w:p>
        </w:tc>
      </w:tr>
    </w:tbl>
    <w:p w14:paraId="443423CD" w14:textId="77777777" w:rsidR="003859C9" w:rsidRPr="00EB11D3" w:rsidRDefault="003859C9" w:rsidP="003859C9">
      <w:pPr>
        <w:autoSpaceDE w:val="0"/>
        <w:autoSpaceDN w:val="0"/>
        <w:adjustRightInd w:val="0"/>
        <w:spacing w:after="0" w:line="400" w:lineRule="atLeast"/>
        <w:jc w:val="left"/>
        <w:rPr>
          <w:szCs w:val="24"/>
        </w:rPr>
      </w:pPr>
    </w:p>
    <w:p w14:paraId="1F4E4CE9" w14:textId="77777777" w:rsidR="00373A2C" w:rsidRDefault="00943384" w:rsidP="003859C9">
      <w:pPr>
        <w:spacing w:after="160" w:line="360" w:lineRule="auto"/>
        <w:rPr>
          <w:rFonts w:eastAsia="Calibri"/>
          <w:szCs w:val="24"/>
        </w:rPr>
      </w:pPr>
      <w:r>
        <w:rPr>
          <w:rFonts w:eastAsia="Calibri"/>
          <w:szCs w:val="24"/>
        </w:rPr>
        <w:t xml:space="preserve">The results in </w:t>
      </w:r>
      <w:r w:rsidRPr="00943384">
        <w:rPr>
          <w:rFonts w:eastAsia="Calibri"/>
          <w:szCs w:val="24"/>
        </w:rPr>
        <w:t>Table 31</w:t>
      </w:r>
      <w:r>
        <w:rPr>
          <w:rFonts w:eastAsia="Calibri"/>
          <w:szCs w:val="24"/>
        </w:rPr>
        <w:t xml:space="preserve"> </w:t>
      </w:r>
      <w:r w:rsidRPr="00943384">
        <w:rPr>
          <w:rFonts w:eastAsia="Calibri"/>
          <w:szCs w:val="24"/>
        </w:rPr>
        <w:t xml:space="preserve">demonstrate that corporate </w:t>
      </w:r>
      <w:r w:rsidR="00896662">
        <w:rPr>
          <w:rFonts w:eastAsia="Calibri"/>
          <w:szCs w:val="24"/>
        </w:rPr>
        <w:t xml:space="preserve">governance </w:t>
      </w:r>
      <w:r w:rsidRPr="00943384">
        <w:rPr>
          <w:rFonts w:eastAsia="Calibri"/>
          <w:szCs w:val="24"/>
        </w:rPr>
        <w:t>and service innovation are positively and statistically significantly correlated (R =.812). Moreover, the coefficient of variation (R</w:t>
      </w:r>
      <w:r w:rsidRPr="006776B1">
        <w:rPr>
          <w:rFonts w:eastAsia="Calibri"/>
          <w:szCs w:val="24"/>
          <w:vertAlign w:val="superscript"/>
        </w:rPr>
        <w:t>2</w:t>
      </w:r>
      <w:r w:rsidRPr="00943384">
        <w:rPr>
          <w:rFonts w:eastAsia="Calibri"/>
          <w:szCs w:val="24"/>
        </w:rPr>
        <w:t xml:space="preserve"> =.659) showed that 65.9% of service innovation can be explained by corporate governance. Under these conditions, organisational performance stays at 1.242 while service innovation is held constant. Simultaneously, a 0.650 rise in service innovation units will result in an increase in the organisational performance of faith-based hospitals</w:t>
      </w:r>
      <w:r>
        <w:rPr>
          <w:rFonts w:eastAsia="Calibri"/>
          <w:szCs w:val="24"/>
        </w:rPr>
        <w:t xml:space="preserve"> in Kenya</w:t>
      </w:r>
      <w:r w:rsidRPr="00943384">
        <w:rPr>
          <w:rFonts w:eastAsia="Calibri"/>
          <w:szCs w:val="24"/>
        </w:rPr>
        <w:t>.  Furthermore, a P-value of</w:t>
      </w:r>
      <w:r>
        <w:rPr>
          <w:rFonts w:eastAsia="Calibri"/>
          <w:szCs w:val="24"/>
        </w:rPr>
        <w:t xml:space="preserve"> </w:t>
      </w:r>
      <w:r w:rsidRPr="00943384">
        <w:rPr>
          <w:rFonts w:eastAsia="Calibri"/>
          <w:szCs w:val="24"/>
        </w:rPr>
        <w:t xml:space="preserve">.00 and an F-value of 478.561 show that the model is statistically significant. </w:t>
      </w:r>
    </w:p>
    <w:p w14:paraId="19E94D88" w14:textId="77777777" w:rsidR="003859C9" w:rsidRPr="00EB11D3" w:rsidRDefault="00943384" w:rsidP="003859C9">
      <w:pPr>
        <w:spacing w:after="160" w:line="360" w:lineRule="auto"/>
        <w:rPr>
          <w:rFonts w:eastAsia="Calibri"/>
          <w:szCs w:val="24"/>
        </w:rPr>
      </w:pPr>
      <w:r w:rsidRPr="00943384">
        <w:rPr>
          <w:rFonts w:eastAsia="Calibri"/>
          <w:szCs w:val="24"/>
        </w:rPr>
        <w:t>The results suggest that, in order to go on to step 3, the technique of assessing the mediating impact must be validated in the second testing phase. In Step Three, service innovation was regressed against organisational performance.</w:t>
      </w:r>
      <w:r w:rsidR="003859C9" w:rsidRPr="00EB11D3">
        <w:rPr>
          <w:rFonts w:eastAsia="Calibri"/>
          <w:szCs w:val="24"/>
        </w:rPr>
        <w:t xml:space="preserve"> The results for the step 3 are presented in Table 32.</w:t>
      </w:r>
    </w:p>
    <w:p w14:paraId="26500771" w14:textId="77777777" w:rsidR="003859C9" w:rsidRPr="00EB11D3" w:rsidRDefault="003859C9" w:rsidP="00823CEA">
      <w:pPr>
        <w:spacing w:after="160" w:line="259" w:lineRule="auto"/>
        <w:jc w:val="left"/>
        <w:rPr>
          <w:rFonts w:eastAsia="Times New Roman"/>
          <w:b/>
          <w:bCs/>
          <w:iCs/>
          <w:szCs w:val="24"/>
          <w:lang w:val="en-GB"/>
        </w:rPr>
      </w:pPr>
      <w:bookmarkStart w:id="888" w:name="_Toc520995088"/>
      <w:bookmarkStart w:id="889" w:name="_Toc522007574"/>
      <w:bookmarkStart w:id="890" w:name="_Toc525812839"/>
      <w:bookmarkStart w:id="891" w:name="_Toc525812951"/>
      <w:bookmarkStart w:id="892" w:name="_Toc2604500"/>
      <w:bookmarkStart w:id="893" w:name="_Toc2604703"/>
      <w:bookmarkStart w:id="894" w:name="_Toc8905587"/>
      <w:bookmarkStart w:id="895" w:name="_Toc15147925"/>
      <w:bookmarkStart w:id="896" w:name="_Toc16177259"/>
      <w:bookmarkStart w:id="897" w:name="_Toc16177629"/>
      <w:bookmarkStart w:id="898" w:name="_Toc126666767"/>
      <w:bookmarkStart w:id="899" w:name="_Toc177387963"/>
      <w:r w:rsidRPr="00EB11D3">
        <w:rPr>
          <w:rFonts w:eastAsia="Times New Roman"/>
          <w:b/>
          <w:bCs/>
          <w:szCs w:val="24"/>
        </w:rPr>
        <w:t xml:space="preserve">Table </w:t>
      </w:r>
      <w:r w:rsidRPr="00EB11D3">
        <w:rPr>
          <w:rFonts w:eastAsia="Times New Roman"/>
          <w:b/>
          <w:bCs/>
          <w:szCs w:val="24"/>
        </w:rPr>
        <w:fldChar w:fldCharType="begin"/>
      </w:r>
      <w:r w:rsidRPr="00EB11D3">
        <w:rPr>
          <w:rFonts w:eastAsia="Times New Roman"/>
          <w:b/>
          <w:bCs/>
          <w:szCs w:val="24"/>
        </w:rPr>
        <w:instrText xml:space="preserve"> SEQ Table \* ARABIC </w:instrText>
      </w:r>
      <w:r w:rsidRPr="00EB11D3">
        <w:rPr>
          <w:rFonts w:eastAsia="Times New Roman"/>
          <w:b/>
          <w:bCs/>
          <w:szCs w:val="24"/>
        </w:rPr>
        <w:fldChar w:fldCharType="separate"/>
      </w:r>
      <w:r w:rsidRPr="00EB11D3">
        <w:rPr>
          <w:rFonts w:eastAsia="Times New Roman"/>
          <w:b/>
          <w:bCs/>
          <w:noProof/>
          <w:szCs w:val="24"/>
        </w:rPr>
        <w:t>32</w:t>
      </w:r>
      <w:r w:rsidRPr="00EB11D3">
        <w:rPr>
          <w:rFonts w:eastAsia="Times New Roman"/>
          <w:b/>
          <w:bCs/>
          <w:szCs w:val="24"/>
        </w:rPr>
        <w:fldChar w:fldCharType="end"/>
      </w:r>
      <w:r w:rsidRPr="00EB11D3">
        <w:rPr>
          <w:rFonts w:eastAsia="Times New Roman"/>
          <w:b/>
          <w:bCs/>
          <w:iCs/>
          <w:szCs w:val="24"/>
          <w:lang w:val="en-GB"/>
        </w:rPr>
        <w:t xml:space="preserve">: Regression Results from the Test of the Effect of SI on </w:t>
      </w:r>
      <w:bookmarkEnd w:id="888"/>
      <w:bookmarkEnd w:id="889"/>
      <w:bookmarkEnd w:id="890"/>
      <w:bookmarkEnd w:id="891"/>
      <w:bookmarkEnd w:id="892"/>
      <w:bookmarkEnd w:id="893"/>
      <w:bookmarkEnd w:id="894"/>
      <w:bookmarkEnd w:id="895"/>
      <w:bookmarkEnd w:id="896"/>
      <w:bookmarkEnd w:id="897"/>
      <w:r w:rsidRPr="00EB11D3">
        <w:rPr>
          <w:rFonts w:eastAsia="Times New Roman"/>
          <w:b/>
          <w:bCs/>
          <w:iCs/>
          <w:szCs w:val="24"/>
          <w:lang w:val="en-GB"/>
        </w:rPr>
        <w:t>OP</w:t>
      </w:r>
      <w:bookmarkEnd w:id="898"/>
      <w:bookmarkEnd w:id="899"/>
    </w:p>
    <w:tbl>
      <w:tblPr>
        <w:tblW w:w="5000" w:type="pct"/>
        <w:tblLayout w:type="fixed"/>
        <w:tblCellMar>
          <w:left w:w="0" w:type="dxa"/>
          <w:right w:w="0" w:type="dxa"/>
        </w:tblCellMar>
        <w:tblLook w:val="0000" w:firstRow="0" w:lastRow="0" w:firstColumn="0" w:lastColumn="0" w:noHBand="0" w:noVBand="0"/>
      </w:tblPr>
      <w:tblGrid>
        <w:gridCol w:w="1271"/>
        <w:gridCol w:w="1638"/>
        <w:gridCol w:w="1739"/>
        <w:gridCol w:w="2351"/>
        <w:gridCol w:w="2351"/>
      </w:tblGrid>
      <w:tr w:rsidR="003859C9" w:rsidRPr="00EB11D3" w14:paraId="6A5D7608" w14:textId="77777777" w:rsidTr="009B15E6">
        <w:trPr>
          <w:cantSplit/>
          <w:trHeight w:val="400"/>
        </w:trPr>
        <w:tc>
          <w:tcPr>
            <w:tcW w:w="679" w:type="pct"/>
            <w:vMerge w:val="restart"/>
            <w:tcBorders>
              <w:top w:val="single" w:sz="4" w:space="0" w:color="auto"/>
              <w:left w:val="nil"/>
              <w:bottom w:val="nil"/>
              <w:right w:val="nil"/>
            </w:tcBorders>
            <w:shd w:val="clear" w:color="auto" w:fill="FFFFFF"/>
            <w:vAlign w:val="bottom"/>
          </w:tcPr>
          <w:p w14:paraId="673A33E5"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Model</w:t>
            </w:r>
          </w:p>
        </w:tc>
        <w:tc>
          <w:tcPr>
            <w:tcW w:w="876" w:type="pct"/>
            <w:vMerge w:val="restart"/>
            <w:tcBorders>
              <w:top w:val="single" w:sz="4" w:space="0" w:color="auto"/>
              <w:left w:val="nil"/>
              <w:bottom w:val="nil"/>
              <w:right w:val="single" w:sz="8" w:space="0" w:color="E0E0E0"/>
            </w:tcBorders>
            <w:shd w:val="clear" w:color="auto" w:fill="FFFFFF"/>
            <w:vAlign w:val="bottom"/>
          </w:tcPr>
          <w:p w14:paraId="3EE5BAB9"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R</w:t>
            </w:r>
          </w:p>
        </w:tc>
        <w:tc>
          <w:tcPr>
            <w:tcW w:w="930" w:type="pct"/>
            <w:vMerge w:val="restart"/>
            <w:tcBorders>
              <w:top w:val="single" w:sz="4" w:space="0" w:color="auto"/>
              <w:left w:val="single" w:sz="8" w:space="0" w:color="E0E0E0"/>
              <w:bottom w:val="nil"/>
              <w:right w:val="single" w:sz="8" w:space="0" w:color="E0E0E0"/>
            </w:tcBorders>
            <w:shd w:val="clear" w:color="auto" w:fill="FFFFFF"/>
            <w:vAlign w:val="bottom"/>
          </w:tcPr>
          <w:p w14:paraId="0E391F94"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R Square</w:t>
            </w:r>
          </w:p>
        </w:tc>
        <w:tc>
          <w:tcPr>
            <w:tcW w:w="1257" w:type="pct"/>
            <w:vMerge w:val="restart"/>
            <w:tcBorders>
              <w:top w:val="single" w:sz="4" w:space="0" w:color="auto"/>
              <w:left w:val="single" w:sz="8" w:space="0" w:color="E0E0E0"/>
              <w:bottom w:val="nil"/>
              <w:right w:val="single" w:sz="8" w:space="0" w:color="E0E0E0"/>
            </w:tcBorders>
            <w:shd w:val="clear" w:color="auto" w:fill="FFFFFF"/>
            <w:vAlign w:val="bottom"/>
          </w:tcPr>
          <w:p w14:paraId="407D3879"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Adjusted R Square</w:t>
            </w:r>
          </w:p>
        </w:tc>
        <w:tc>
          <w:tcPr>
            <w:tcW w:w="1257" w:type="pct"/>
            <w:vMerge w:val="restart"/>
            <w:tcBorders>
              <w:top w:val="single" w:sz="4" w:space="0" w:color="auto"/>
              <w:left w:val="single" w:sz="8" w:space="0" w:color="E0E0E0"/>
              <w:bottom w:val="nil"/>
              <w:right w:val="single" w:sz="8" w:space="0" w:color="E0E0E0"/>
            </w:tcBorders>
            <w:shd w:val="clear" w:color="auto" w:fill="FFFFFF"/>
            <w:vAlign w:val="bottom"/>
          </w:tcPr>
          <w:p w14:paraId="1EEC4D48"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Std. Error of the Estimate</w:t>
            </w:r>
          </w:p>
        </w:tc>
      </w:tr>
      <w:tr w:rsidR="003859C9" w:rsidRPr="00EB11D3" w14:paraId="60DB3CD4" w14:textId="77777777" w:rsidTr="009B15E6">
        <w:trPr>
          <w:cantSplit/>
          <w:trHeight w:val="400"/>
        </w:trPr>
        <w:tc>
          <w:tcPr>
            <w:tcW w:w="679" w:type="pct"/>
            <w:vMerge/>
            <w:tcBorders>
              <w:top w:val="nil"/>
              <w:left w:val="nil"/>
              <w:bottom w:val="nil"/>
              <w:right w:val="nil"/>
            </w:tcBorders>
            <w:shd w:val="clear" w:color="auto" w:fill="FFFFFF"/>
            <w:vAlign w:val="bottom"/>
          </w:tcPr>
          <w:p w14:paraId="1E85F78F" w14:textId="77777777" w:rsidR="003859C9" w:rsidRPr="00EB11D3" w:rsidRDefault="003859C9" w:rsidP="003859C9">
            <w:pPr>
              <w:autoSpaceDE w:val="0"/>
              <w:autoSpaceDN w:val="0"/>
              <w:adjustRightInd w:val="0"/>
              <w:spacing w:after="0" w:line="400" w:lineRule="atLeast"/>
              <w:jc w:val="left"/>
              <w:rPr>
                <w:szCs w:val="24"/>
              </w:rPr>
            </w:pPr>
          </w:p>
        </w:tc>
        <w:tc>
          <w:tcPr>
            <w:tcW w:w="876" w:type="pct"/>
            <w:vMerge/>
            <w:tcBorders>
              <w:top w:val="nil"/>
              <w:left w:val="nil"/>
              <w:bottom w:val="nil"/>
              <w:right w:val="single" w:sz="8" w:space="0" w:color="E0E0E0"/>
            </w:tcBorders>
            <w:shd w:val="clear" w:color="auto" w:fill="FFFFFF"/>
            <w:vAlign w:val="bottom"/>
          </w:tcPr>
          <w:p w14:paraId="1476FCF2" w14:textId="77777777" w:rsidR="003859C9" w:rsidRPr="00EB11D3" w:rsidRDefault="003859C9" w:rsidP="003859C9">
            <w:pPr>
              <w:autoSpaceDE w:val="0"/>
              <w:autoSpaceDN w:val="0"/>
              <w:adjustRightInd w:val="0"/>
              <w:spacing w:after="0" w:line="400" w:lineRule="atLeast"/>
              <w:jc w:val="left"/>
              <w:rPr>
                <w:szCs w:val="24"/>
              </w:rPr>
            </w:pPr>
          </w:p>
        </w:tc>
        <w:tc>
          <w:tcPr>
            <w:tcW w:w="930" w:type="pct"/>
            <w:vMerge/>
            <w:tcBorders>
              <w:top w:val="nil"/>
              <w:left w:val="single" w:sz="8" w:space="0" w:color="E0E0E0"/>
              <w:bottom w:val="nil"/>
              <w:right w:val="single" w:sz="8" w:space="0" w:color="E0E0E0"/>
            </w:tcBorders>
            <w:shd w:val="clear" w:color="auto" w:fill="FFFFFF"/>
            <w:vAlign w:val="bottom"/>
          </w:tcPr>
          <w:p w14:paraId="33D29B25" w14:textId="77777777" w:rsidR="003859C9" w:rsidRPr="00EB11D3" w:rsidRDefault="003859C9" w:rsidP="003859C9">
            <w:pPr>
              <w:autoSpaceDE w:val="0"/>
              <w:autoSpaceDN w:val="0"/>
              <w:adjustRightInd w:val="0"/>
              <w:spacing w:after="0" w:line="400" w:lineRule="atLeast"/>
              <w:jc w:val="left"/>
              <w:rPr>
                <w:szCs w:val="24"/>
              </w:rPr>
            </w:pPr>
          </w:p>
        </w:tc>
        <w:tc>
          <w:tcPr>
            <w:tcW w:w="1257" w:type="pct"/>
            <w:vMerge/>
            <w:tcBorders>
              <w:top w:val="nil"/>
              <w:left w:val="single" w:sz="8" w:space="0" w:color="E0E0E0"/>
              <w:bottom w:val="nil"/>
              <w:right w:val="single" w:sz="8" w:space="0" w:color="E0E0E0"/>
            </w:tcBorders>
            <w:shd w:val="clear" w:color="auto" w:fill="FFFFFF"/>
            <w:vAlign w:val="bottom"/>
          </w:tcPr>
          <w:p w14:paraId="31969C01" w14:textId="77777777" w:rsidR="003859C9" w:rsidRPr="00EB11D3" w:rsidRDefault="003859C9" w:rsidP="003859C9">
            <w:pPr>
              <w:autoSpaceDE w:val="0"/>
              <w:autoSpaceDN w:val="0"/>
              <w:adjustRightInd w:val="0"/>
              <w:spacing w:after="0" w:line="400" w:lineRule="atLeast"/>
              <w:jc w:val="left"/>
              <w:rPr>
                <w:szCs w:val="24"/>
              </w:rPr>
            </w:pPr>
          </w:p>
        </w:tc>
        <w:tc>
          <w:tcPr>
            <w:tcW w:w="1257" w:type="pct"/>
            <w:vMerge/>
            <w:tcBorders>
              <w:top w:val="nil"/>
              <w:left w:val="single" w:sz="8" w:space="0" w:color="E0E0E0"/>
              <w:bottom w:val="nil"/>
              <w:right w:val="single" w:sz="8" w:space="0" w:color="E0E0E0"/>
            </w:tcBorders>
            <w:shd w:val="clear" w:color="auto" w:fill="FFFFFF"/>
            <w:vAlign w:val="bottom"/>
          </w:tcPr>
          <w:p w14:paraId="79EBA9BA" w14:textId="77777777" w:rsidR="003859C9" w:rsidRPr="00EB11D3" w:rsidRDefault="003859C9" w:rsidP="003859C9">
            <w:pPr>
              <w:autoSpaceDE w:val="0"/>
              <w:autoSpaceDN w:val="0"/>
              <w:adjustRightInd w:val="0"/>
              <w:spacing w:after="0" w:line="400" w:lineRule="atLeast"/>
              <w:jc w:val="left"/>
              <w:rPr>
                <w:szCs w:val="24"/>
              </w:rPr>
            </w:pPr>
          </w:p>
        </w:tc>
      </w:tr>
      <w:tr w:rsidR="003859C9" w:rsidRPr="00EB11D3" w14:paraId="1DCA521E" w14:textId="77777777" w:rsidTr="009B15E6">
        <w:trPr>
          <w:cantSplit/>
        </w:trPr>
        <w:tc>
          <w:tcPr>
            <w:tcW w:w="679" w:type="pct"/>
            <w:tcBorders>
              <w:top w:val="single" w:sz="8" w:space="0" w:color="152935"/>
              <w:left w:val="nil"/>
              <w:bottom w:val="single" w:sz="8" w:space="0" w:color="152935"/>
              <w:right w:val="nil"/>
            </w:tcBorders>
            <w:shd w:val="clear" w:color="auto" w:fill="auto"/>
          </w:tcPr>
          <w:p w14:paraId="55B97F62"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1</w:t>
            </w:r>
          </w:p>
        </w:tc>
        <w:tc>
          <w:tcPr>
            <w:tcW w:w="876" w:type="pct"/>
            <w:tcBorders>
              <w:top w:val="single" w:sz="8" w:space="0" w:color="152935"/>
              <w:left w:val="nil"/>
              <w:bottom w:val="single" w:sz="8" w:space="0" w:color="152935"/>
              <w:right w:val="single" w:sz="8" w:space="0" w:color="E0E0E0"/>
            </w:tcBorders>
            <w:shd w:val="clear" w:color="auto" w:fill="auto"/>
          </w:tcPr>
          <w:p w14:paraId="4858C1CC"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.891</w:t>
            </w:r>
            <w:r w:rsidRPr="00EB11D3">
              <w:rPr>
                <w:szCs w:val="24"/>
                <w:vertAlign w:val="superscript"/>
              </w:rPr>
              <w:t>a</w:t>
            </w:r>
          </w:p>
        </w:tc>
        <w:tc>
          <w:tcPr>
            <w:tcW w:w="930" w:type="pct"/>
            <w:tcBorders>
              <w:top w:val="single" w:sz="8" w:space="0" w:color="152935"/>
              <w:left w:val="single" w:sz="8" w:space="0" w:color="E0E0E0"/>
              <w:bottom w:val="single" w:sz="8" w:space="0" w:color="152935"/>
              <w:right w:val="single" w:sz="8" w:space="0" w:color="E0E0E0"/>
            </w:tcBorders>
            <w:shd w:val="clear" w:color="auto" w:fill="F9F9FB"/>
          </w:tcPr>
          <w:p w14:paraId="100F77DE"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.794</w:t>
            </w:r>
          </w:p>
        </w:tc>
        <w:tc>
          <w:tcPr>
            <w:tcW w:w="1257" w:type="pct"/>
            <w:tcBorders>
              <w:top w:val="single" w:sz="8" w:space="0" w:color="152935"/>
              <w:left w:val="single" w:sz="8" w:space="0" w:color="E0E0E0"/>
              <w:bottom w:val="single" w:sz="8" w:space="0" w:color="152935"/>
              <w:right w:val="single" w:sz="8" w:space="0" w:color="E0E0E0"/>
            </w:tcBorders>
            <w:shd w:val="clear" w:color="auto" w:fill="F9F9FB"/>
          </w:tcPr>
          <w:p w14:paraId="3C764170"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.793</w:t>
            </w:r>
          </w:p>
        </w:tc>
        <w:tc>
          <w:tcPr>
            <w:tcW w:w="1257" w:type="pct"/>
            <w:tcBorders>
              <w:top w:val="single" w:sz="8" w:space="0" w:color="152935"/>
              <w:left w:val="single" w:sz="8" w:space="0" w:color="E0E0E0"/>
              <w:bottom w:val="single" w:sz="8" w:space="0" w:color="152935"/>
              <w:right w:val="single" w:sz="8" w:space="0" w:color="E0E0E0"/>
            </w:tcBorders>
            <w:shd w:val="clear" w:color="auto" w:fill="F9F9FB"/>
          </w:tcPr>
          <w:p w14:paraId="1FB92B99" w14:textId="77777777" w:rsidR="003859C9" w:rsidRPr="00EB11D3" w:rsidRDefault="003859C9" w:rsidP="003859C9">
            <w:pPr>
              <w:autoSpaceDE w:val="0"/>
              <w:autoSpaceDN w:val="0"/>
              <w:adjustRightInd w:val="0"/>
              <w:spacing w:after="0" w:line="400" w:lineRule="atLeast"/>
              <w:jc w:val="left"/>
              <w:rPr>
                <w:szCs w:val="24"/>
              </w:rPr>
            </w:pPr>
            <w:r w:rsidRPr="00EB11D3">
              <w:rPr>
                <w:szCs w:val="24"/>
              </w:rPr>
              <w:t>.34634</w:t>
            </w:r>
          </w:p>
        </w:tc>
      </w:tr>
    </w:tbl>
    <w:p w14:paraId="75BD11F3" w14:textId="77777777" w:rsidR="003859C9" w:rsidRPr="00EB11D3" w:rsidRDefault="003859C9" w:rsidP="003859C9">
      <w:pPr>
        <w:autoSpaceDE w:val="0"/>
        <w:autoSpaceDN w:val="0"/>
        <w:adjustRightInd w:val="0"/>
        <w:spacing w:after="0" w:line="400" w:lineRule="atLeast"/>
        <w:jc w:val="left"/>
        <w:rPr>
          <w:szCs w:val="24"/>
        </w:rPr>
      </w:pPr>
    </w:p>
    <w:tbl>
      <w:tblPr>
        <w:tblW w:w="5000" w:type="pct"/>
        <w:tblLayout w:type="fixed"/>
        <w:tblCellMar>
          <w:left w:w="0" w:type="dxa"/>
          <w:right w:w="0" w:type="dxa"/>
        </w:tblCellMar>
        <w:tblLook w:val="0000" w:firstRow="0" w:lastRow="0" w:firstColumn="0" w:lastColumn="0" w:noHBand="0" w:noVBand="0"/>
      </w:tblPr>
      <w:tblGrid>
        <w:gridCol w:w="858"/>
        <w:gridCol w:w="1509"/>
        <w:gridCol w:w="1726"/>
        <w:gridCol w:w="1204"/>
        <w:gridCol w:w="1653"/>
        <w:gridCol w:w="1204"/>
        <w:gridCol w:w="1206"/>
      </w:tblGrid>
      <w:tr w:rsidR="003859C9" w:rsidRPr="00EB11D3" w14:paraId="0860B4C3" w14:textId="77777777" w:rsidTr="00823CEA">
        <w:trPr>
          <w:cantSplit/>
        </w:trPr>
        <w:tc>
          <w:tcPr>
            <w:tcW w:w="5000" w:type="pct"/>
            <w:gridSpan w:val="7"/>
            <w:tcBorders>
              <w:top w:val="nil"/>
              <w:left w:val="nil"/>
              <w:bottom w:val="single" w:sz="4" w:space="0" w:color="auto"/>
              <w:right w:val="nil"/>
            </w:tcBorders>
            <w:shd w:val="clear" w:color="auto" w:fill="FFFFFF"/>
            <w:vAlign w:val="center"/>
          </w:tcPr>
          <w:p w14:paraId="71669B4C" w14:textId="77777777" w:rsidR="003859C9" w:rsidRPr="00EB11D3" w:rsidRDefault="003859C9" w:rsidP="003859C9">
            <w:pPr>
              <w:autoSpaceDE w:val="0"/>
              <w:autoSpaceDN w:val="0"/>
              <w:adjustRightInd w:val="0"/>
              <w:spacing w:after="0" w:line="320" w:lineRule="atLeast"/>
              <w:ind w:left="60" w:right="60"/>
              <w:jc w:val="center"/>
              <w:rPr>
                <w:szCs w:val="24"/>
              </w:rPr>
            </w:pPr>
            <w:r w:rsidRPr="00EB11D3">
              <w:rPr>
                <w:b/>
                <w:bCs/>
                <w:szCs w:val="24"/>
              </w:rPr>
              <w:t>ANOVA</w:t>
            </w:r>
            <w:r w:rsidRPr="00EB11D3">
              <w:rPr>
                <w:b/>
                <w:bCs/>
                <w:szCs w:val="24"/>
                <w:vertAlign w:val="superscript"/>
              </w:rPr>
              <w:t>a</w:t>
            </w:r>
          </w:p>
        </w:tc>
      </w:tr>
      <w:tr w:rsidR="003859C9" w:rsidRPr="00EB11D3" w14:paraId="1A9BB18A" w14:textId="77777777" w:rsidTr="00373A2C">
        <w:trPr>
          <w:cantSplit/>
        </w:trPr>
        <w:tc>
          <w:tcPr>
            <w:tcW w:w="1265" w:type="pct"/>
            <w:gridSpan w:val="2"/>
            <w:tcBorders>
              <w:top w:val="single" w:sz="4" w:space="0" w:color="auto"/>
              <w:left w:val="nil"/>
              <w:bottom w:val="single" w:sz="8" w:space="0" w:color="152935"/>
              <w:right w:val="nil"/>
            </w:tcBorders>
            <w:shd w:val="clear" w:color="auto" w:fill="FFFFFF"/>
            <w:vAlign w:val="bottom"/>
          </w:tcPr>
          <w:p w14:paraId="010363F3" w14:textId="77777777" w:rsidR="003859C9" w:rsidRPr="00EB11D3" w:rsidRDefault="003859C9" w:rsidP="003859C9">
            <w:pPr>
              <w:spacing w:after="160" w:line="259" w:lineRule="auto"/>
              <w:jc w:val="left"/>
              <w:rPr>
                <w:szCs w:val="24"/>
              </w:rPr>
            </w:pPr>
            <w:r w:rsidRPr="00EB11D3">
              <w:rPr>
                <w:szCs w:val="24"/>
              </w:rPr>
              <w:t>Model</w:t>
            </w:r>
          </w:p>
        </w:tc>
        <w:tc>
          <w:tcPr>
            <w:tcW w:w="922" w:type="pct"/>
            <w:tcBorders>
              <w:top w:val="single" w:sz="4" w:space="0" w:color="auto"/>
              <w:left w:val="nil"/>
              <w:bottom w:val="single" w:sz="8" w:space="0" w:color="152935"/>
              <w:right w:val="single" w:sz="8" w:space="0" w:color="E0E0E0"/>
            </w:tcBorders>
            <w:shd w:val="clear" w:color="auto" w:fill="FFFFFF"/>
            <w:vAlign w:val="bottom"/>
          </w:tcPr>
          <w:p w14:paraId="7A1E2336" w14:textId="77777777" w:rsidR="003859C9" w:rsidRPr="00EB11D3" w:rsidRDefault="003859C9" w:rsidP="003859C9">
            <w:pPr>
              <w:spacing w:after="160" w:line="259" w:lineRule="auto"/>
              <w:jc w:val="left"/>
              <w:rPr>
                <w:szCs w:val="24"/>
              </w:rPr>
            </w:pPr>
            <w:r w:rsidRPr="00EB11D3">
              <w:rPr>
                <w:szCs w:val="24"/>
              </w:rPr>
              <w:t>Sum of Squares</w:t>
            </w:r>
          </w:p>
        </w:tc>
        <w:tc>
          <w:tcPr>
            <w:tcW w:w="643" w:type="pct"/>
            <w:tcBorders>
              <w:top w:val="single" w:sz="4" w:space="0" w:color="auto"/>
              <w:left w:val="single" w:sz="8" w:space="0" w:color="E0E0E0"/>
              <w:bottom w:val="single" w:sz="8" w:space="0" w:color="152935"/>
              <w:right w:val="single" w:sz="8" w:space="0" w:color="E0E0E0"/>
            </w:tcBorders>
            <w:shd w:val="clear" w:color="auto" w:fill="FFFFFF"/>
            <w:vAlign w:val="bottom"/>
          </w:tcPr>
          <w:p w14:paraId="7139C8D3" w14:textId="77777777" w:rsidR="003859C9" w:rsidRPr="00EB11D3" w:rsidRDefault="003859C9" w:rsidP="003859C9">
            <w:pPr>
              <w:spacing w:after="160" w:line="259" w:lineRule="auto"/>
              <w:jc w:val="left"/>
              <w:rPr>
                <w:szCs w:val="24"/>
              </w:rPr>
            </w:pPr>
            <w:r w:rsidRPr="00EB11D3">
              <w:rPr>
                <w:szCs w:val="24"/>
              </w:rPr>
              <w:t>df</w:t>
            </w:r>
          </w:p>
        </w:tc>
        <w:tc>
          <w:tcPr>
            <w:tcW w:w="883" w:type="pct"/>
            <w:tcBorders>
              <w:top w:val="single" w:sz="4" w:space="0" w:color="auto"/>
              <w:left w:val="single" w:sz="8" w:space="0" w:color="E0E0E0"/>
              <w:bottom w:val="single" w:sz="8" w:space="0" w:color="152935"/>
              <w:right w:val="single" w:sz="8" w:space="0" w:color="E0E0E0"/>
            </w:tcBorders>
            <w:shd w:val="clear" w:color="auto" w:fill="FFFFFF"/>
            <w:vAlign w:val="bottom"/>
          </w:tcPr>
          <w:p w14:paraId="50DA35C5" w14:textId="77777777" w:rsidR="003859C9" w:rsidRPr="00EB11D3" w:rsidRDefault="003859C9" w:rsidP="003859C9">
            <w:pPr>
              <w:spacing w:after="160" w:line="259" w:lineRule="auto"/>
              <w:jc w:val="left"/>
              <w:rPr>
                <w:szCs w:val="24"/>
              </w:rPr>
            </w:pPr>
            <w:r w:rsidRPr="00EB11D3">
              <w:rPr>
                <w:szCs w:val="24"/>
              </w:rPr>
              <w:t>Mean Square</w:t>
            </w:r>
          </w:p>
        </w:tc>
        <w:tc>
          <w:tcPr>
            <w:tcW w:w="643" w:type="pct"/>
            <w:tcBorders>
              <w:top w:val="single" w:sz="4" w:space="0" w:color="auto"/>
              <w:left w:val="single" w:sz="8" w:space="0" w:color="E0E0E0"/>
              <w:bottom w:val="single" w:sz="8" w:space="0" w:color="152935"/>
              <w:right w:val="single" w:sz="8" w:space="0" w:color="E0E0E0"/>
            </w:tcBorders>
            <w:shd w:val="clear" w:color="auto" w:fill="FFFFFF"/>
            <w:vAlign w:val="bottom"/>
          </w:tcPr>
          <w:p w14:paraId="5E4DAECA" w14:textId="77777777" w:rsidR="003859C9" w:rsidRPr="00EB11D3" w:rsidRDefault="003859C9" w:rsidP="003859C9">
            <w:pPr>
              <w:spacing w:after="160" w:line="259" w:lineRule="auto"/>
              <w:jc w:val="left"/>
              <w:rPr>
                <w:szCs w:val="24"/>
              </w:rPr>
            </w:pPr>
            <w:r w:rsidRPr="00EB11D3">
              <w:rPr>
                <w:szCs w:val="24"/>
              </w:rPr>
              <w:t>F</w:t>
            </w:r>
          </w:p>
        </w:tc>
        <w:tc>
          <w:tcPr>
            <w:tcW w:w="643" w:type="pct"/>
            <w:tcBorders>
              <w:top w:val="single" w:sz="4" w:space="0" w:color="auto"/>
              <w:left w:val="single" w:sz="8" w:space="0" w:color="E0E0E0"/>
              <w:bottom w:val="single" w:sz="8" w:space="0" w:color="152935"/>
              <w:right w:val="nil"/>
            </w:tcBorders>
            <w:shd w:val="clear" w:color="auto" w:fill="FFFFFF"/>
            <w:vAlign w:val="bottom"/>
          </w:tcPr>
          <w:p w14:paraId="65376E9F" w14:textId="77777777" w:rsidR="003859C9" w:rsidRPr="00EB11D3" w:rsidRDefault="003859C9" w:rsidP="003859C9">
            <w:pPr>
              <w:spacing w:after="160" w:line="259" w:lineRule="auto"/>
              <w:jc w:val="left"/>
              <w:rPr>
                <w:szCs w:val="24"/>
              </w:rPr>
            </w:pPr>
            <w:r w:rsidRPr="00EB11D3">
              <w:rPr>
                <w:szCs w:val="24"/>
              </w:rPr>
              <w:t>Sig.</w:t>
            </w:r>
          </w:p>
        </w:tc>
      </w:tr>
      <w:tr w:rsidR="003859C9" w:rsidRPr="00EB11D3" w14:paraId="35FF8EAC" w14:textId="77777777" w:rsidTr="00373A2C">
        <w:trPr>
          <w:cantSplit/>
        </w:trPr>
        <w:tc>
          <w:tcPr>
            <w:tcW w:w="459" w:type="pct"/>
            <w:vMerge w:val="restart"/>
            <w:tcBorders>
              <w:top w:val="single" w:sz="8" w:space="0" w:color="152935"/>
              <w:left w:val="nil"/>
              <w:bottom w:val="single" w:sz="8" w:space="0" w:color="152935"/>
              <w:right w:val="nil"/>
            </w:tcBorders>
            <w:shd w:val="clear" w:color="auto" w:fill="auto"/>
          </w:tcPr>
          <w:p w14:paraId="61F6C490" w14:textId="77777777" w:rsidR="003859C9" w:rsidRPr="00EB11D3" w:rsidRDefault="003859C9" w:rsidP="003859C9">
            <w:pPr>
              <w:spacing w:after="160" w:line="259" w:lineRule="auto"/>
              <w:jc w:val="left"/>
              <w:rPr>
                <w:szCs w:val="24"/>
              </w:rPr>
            </w:pPr>
            <w:r w:rsidRPr="00EB11D3">
              <w:rPr>
                <w:szCs w:val="24"/>
              </w:rPr>
              <w:t>1</w:t>
            </w:r>
          </w:p>
        </w:tc>
        <w:tc>
          <w:tcPr>
            <w:tcW w:w="806" w:type="pct"/>
            <w:tcBorders>
              <w:top w:val="single" w:sz="8" w:space="0" w:color="152935"/>
              <w:left w:val="nil"/>
              <w:bottom w:val="single" w:sz="8" w:space="0" w:color="AEAEAE"/>
              <w:right w:val="nil"/>
            </w:tcBorders>
            <w:shd w:val="clear" w:color="auto" w:fill="auto"/>
          </w:tcPr>
          <w:p w14:paraId="52DFA273" w14:textId="77777777" w:rsidR="003859C9" w:rsidRPr="00EB11D3" w:rsidRDefault="003859C9" w:rsidP="003859C9">
            <w:pPr>
              <w:spacing w:after="160" w:line="259" w:lineRule="auto"/>
              <w:jc w:val="left"/>
              <w:rPr>
                <w:szCs w:val="24"/>
              </w:rPr>
            </w:pPr>
            <w:r w:rsidRPr="00EB11D3">
              <w:rPr>
                <w:szCs w:val="24"/>
              </w:rPr>
              <w:t>Regression</w:t>
            </w:r>
          </w:p>
        </w:tc>
        <w:tc>
          <w:tcPr>
            <w:tcW w:w="922" w:type="pct"/>
            <w:tcBorders>
              <w:top w:val="single" w:sz="8" w:space="0" w:color="152935"/>
              <w:left w:val="nil"/>
              <w:bottom w:val="single" w:sz="8" w:space="0" w:color="AEAEAE"/>
              <w:right w:val="single" w:sz="8" w:space="0" w:color="E0E0E0"/>
            </w:tcBorders>
            <w:shd w:val="clear" w:color="auto" w:fill="F9F9FB"/>
          </w:tcPr>
          <w:p w14:paraId="68680352" w14:textId="77777777" w:rsidR="003859C9" w:rsidRPr="00EB11D3" w:rsidRDefault="003859C9" w:rsidP="003859C9">
            <w:pPr>
              <w:spacing w:after="160" w:line="259" w:lineRule="auto"/>
              <w:jc w:val="left"/>
              <w:rPr>
                <w:szCs w:val="24"/>
              </w:rPr>
            </w:pPr>
            <w:r w:rsidRPr="00EB11D3">
              <w:rPr>
                <w:szCs w:val="24"/>
              </w:rPr>
              <w:t>114.352</w:t>
            </w:r>
          </w:p>
        </w:tc>
        <w:tc>
          <w:tcPr>
            <w:tcW w:w="643" w:type="pct"/>
            <w:tcBorders>
              <w:top w:val="single" w:sz="8" w:space="0" w:color="152935"/>
              <w:left w:val="single" w:sz="8" w:space="0" w:color="E0E0E0"/>
              <w:bottom w:val="single" w:sz="8" w:space="0" w:color="AEAEAE"/>
              <w:right w:val="single" w:sz="8" w:space="0" w:color="E0E0E0"/>
            </w:tcBorders>
            <w:shd w:val="clear" w:color="auto" w:fill="F9F9FB"/>
          </w:tcPr>
          <w:p w14:paraId="7954500E" w14:textId="77777777" w:rsidR="003859C9" w:rsidRPr="00EB11D3" w:rsidRDefault="003859C9" w:rsidP="003859C9">
            <w:pPr>
              <w:spacing w:after="160" w:line="259" w:lineRule="auto"/>
              <w:jc w:val="left"/>
              <w:rPr>
                <w:szCs w:val="24"/>
              </w:rPr>
            </w:pPr>
            <w:r w:rsidRPr="00EB11D3">
              <w:rPr>
                <w:szCs w:val="24"/>
              </w:rPr>
              <w:t>1</w:t>
            </w:r>
          </w:p>
        </w:tc>
        <w:tc>
          <w:tcPr>
            <w:tcW w:w="883" w:type="pct"/>
            <w:tcBorders>
              <w:top w:val="single" w:sz="8" w:space="0" w:color="152935"/>
              <w:left w:val="single" w:sz="8" w:space="0" w:color="E0E0E0"/>
              <w:bottom w:val="single" w:sz="8" w:space="0" w:color="AEAEAE"/>
              <w:right w:val="single" w:sz="8" w:space="0" w:color="E0E0E0"/>
            </w:tcBorders>
            <w:shd w:val="clear" w:color="auto" w:fill="F9F9FB"/>
          </w:tcPr>
          <w:p w14:paraId="32901F2D" w14:textId="77777777" w:rsidR="003859C9" w:rsidRPr="00EB11D3" w:rsidRDefault="003859C9" w:rsidP="003859C9">
            <w:pPr>
              <w:spacing w:after="160" w:line="259" w:lineRule="auto"/>
              <w:jc w:val="left"/>
              <w:rPr>
                <w:szCs w:val="24"/>
              </w:rPr>
            </w:pPr>
            <w:r w:rsidRPr="00EB11D3">
              <w:rPr>
                <w:szCs w:val="24"/>
              </w:rPr>
              <w:t>114.352</w:t>
            </w:r>
          </w:p>
        </w:tc>
        <w:tc>
          <w:tcPr>
            <w:tcW w:w="643" w:type="pct"/>
            <w:tcBorders>
              <w:top w:val="single" w:sz="8" w:space="0" w:color="152935"/>
              <w:left w:val="single" w:sz="8" w:space="0" w:color="E0E0E0"/>
              <w:bottom w:val="single" w:sz="8" w:space="0" w:color="AEAEAE"/>
              <w:right w:val="single" w:sz="8" w:space="0" w:color="E0E0E0"/>
            </w:tcBorders>
            <w:shd w:val="clear" w:color="auto" w:fill="F9F9FB"/>
          </w:tcPr>
          <w:p w14:paraId="5E08BF03" w14:textId="77777777" w:rsidR="003859C9" w:rsidRPr="00EB11D3" w:rsidRDefault="003859C9" w:rsidP="003859C9">
            <w:pPr>
              <w:spacing w:after="160" w:line="259" w:lineRule="auto"/>
              <w:jc w:val="left"/>
              <w:rPr>
                <w:szCs w:val="24"/>
              </w:rPr>
            </w:pPr>
            <w:r w:rsidRPr="00EB11D3">
              <w:rPr>
                <w:szCs w:val="24"/>
              </w:rPr>
              <w:t>953.326</w:t>
            </w:r>
          </w:p>
        </w:tc>
        <w:tc>
          <w:tcPr>
            <w:tcW w:w="643" w:type="pct"/>
            <w:tcBorders>
              <w:top w:val="single" w:sz="8" w:space="0" w:color="152935"/>
              <w:left w:val="single" w:sz="8" w:space="0" w:color="E0E0E0"/>
              <w:bottom w:val="single" w:sz="8" w:space="0" w:color="AEAEAE"/>
              <w:right w:val="nil"/>
            </w:tcBorders>
            <w:shd w:val="clear" w:color="auto" w:fill="F9F9FB"/>
          </w:tcPr>
          <w:p w14:paraId="1094C2BD" w14:textId="77777777" w:rsidR="003859C9" w:rsidRPr="00EB11D3" w:rsidRDefault="003859C9" w:rsidP="003859C9">
            <w:pPr>
              <w:spacing w:after="160" w:line="259" w:lineRule="auto"/>
              <w:jc w:val="left"/>
              <w:rPr>
                <w:szCs w:val="24"/>
              </w:rPr>
            </w:pPr>
            <w:r w:rsidRPr="00EB11D3">
              <w:rPr>
                <w:szCs w:val="24"/>
              </w:rPr>
              <w:t>.000</w:t>
            </w:r>
            <w:r w:rsidRPr="00EB11D3">
              <w:rPr>
                <w:szCs w:val="24"/>
                <w:vertAlign w:val="superscript"/>
              </w:rPr>
              <w:t>b</w:t>
            </w:r>
          </w:p>
        </w:tc>
      </w:tr>
      <w:tr w:rsidR="003859C9" w:rsidRPr="00EB11D3" w14:paraId="37690737" w14:textId="77777777" w:rsidTr="00373A2C">
        <w:trPr>
          <w:cantSplit/>
        </w:trPr>
        <w:tc>
          <w:tcPr>
            <w:tcW w:w="459" w:type="pct"/>
            <w:vMerge/>
            <w:tcBorders>
              <w:top w:val="single" w:sz="8" w:space="0" w:color="152935"/>
              <w:left w:val="nil"/>
              <w:bottom w:val="single" w:sz="8" w:space="0" w:color="152935"/>
              <w:right w:val="nil"/>
            </w:tcBorders>
            <w:shd w:val="clear" w:color="auto" w:fill="auto"/>
          </w:tcPr>
          <w:p w14:paraId="2811374D" w14:textId="77777777" w:rsidR="003859C9" w:rsidRPr="00EB11D3" w:rsidRDefault="003859C9" w:rsidP="003859C9">
            <w:pPr>
              <w:spacing w:after="160" w:line="259" w:lineRule="auto"/>
              <w:jc w:val="left"/>
              <w:rPr>
                <w:szCs w:val="24"/>
              </w:rPr>
            </w:pPr>
          </w:p>
        </w:tc>
        <w:tc>
          <w:tcPr>
            <w:tcW w:w="806" w:type="pct"/>
            <w:tcBorders>
              <w:top w:val="single" w:sz="8" w:space="0" w:color="AEAEAE"/>
              <w:left w:val="nil"/>
              <w:bottom w:val="single" w:sz="8" w:space="0" w:color="AEAEAE"/>
              <w:right w:val="nil"/>
            </w:tcBorders>
            <w:shd w:val="clear" w:color="auto" w:fill="auto"/>
          </w:tcPr>
          <w:p w14:paraId="37833E25" w14:textId="77777777" w:rsidR="003859C9" w:rsidRPr="00EB11D3" w:rsidRDefault="003859C9" w:rsidP="003859C9">
            <w:pPr>
              <w:spacing w:after="160" w:line="259" w:lineRule="auto"/>
              <w:jc w:val="left"/>
              <w:rPr>
                <w:szCs w:val="24"/>
              </w:rPr>
            </w:pPr>
            <w:r w:rsidRPr="00EB11D3">
              <w:rPr>
                <w:szCs w:val="24"/>
              </w:rPr>
              <w:t>Residual</w:t>
            </w:r>
          </w:p>
        </w:tc>
        <w:tc>
          <w:tcPr>
            <w:tcW w:w="922" w:type="pct"/>
            <w:tcBorders>
              <w:top w:val="single" w:sz="8" w:space="0" w:color="AEAEAE"/>
              <w:left w:val="nil"/>
              <w:bottom w:val="single" w:sz="8" w:space="0" w:color="AEAEAE"/>
              <w:right w:val="single" w:sz="8" w:space="0" w:color="E0E0E0"/>
            </w:tcBorders>
            <w:shd w:val="clear" w:color="auto" w:fill="F9F9FB"/>
          </w:tcPr>
          <w:p w14:paraId="40F3DB9F" w14:textId="77777777" w:rsidR="003859C9" w:rsidRPr="00EB11D3" w:rsidRDefault="003859C9" w:rsidP="003859C9">
            <w:pPr>
              <w:spacing w:after="160" w:line="259" w:lineRule="auto"/>
              <w:jc w:val="left"/>
              <w:rPr>
                <w:szCs w:val="24"/>
              </w:rPr>
            </w:pPr>
            <w:r w:rsidRPr="00EB11D3">
              <w:rPr>
                <w:szCs w:val="24"/>
              </w:rPr>
              <w:t>29.748</w:t>
            </w:r>
          </w:p>
        </w:tc>
        <w:tc>
          <w:tcPr>
            <w:tcW w:w="643" w:type="pct"/>
            <w:tcBorders>
              <w:top w:val="single" w:sz="8" w:space="0" w:color="AEAEAE"/>
              <w:left w:val="single" w:sz="8" w:space="0" w:color="E0E0E0"/>
              <w:bottom w:val="single" w:sz="8" w:space="0" w:color="AEAEAE"/>
              <w:right w:val="single" w:sz="8" w:space="0" w:color="E0E0E0"/>
            </w:tcBorders>
            <w:shd w:val="clear" w:color="auto" w:fill="F9F9FB"/>
          </w:tcPr>
          <w:p w14:paraId="663D35DB" w14:textId="77777777" w:rsidR="003859C9" w:rsidRPr="00EB11D3" w:rsidRDefault="003859C9" w:rsidP="003859C9">
            <w:pPr>
              <w:spacing w:after="160" w:line="259" w:lineRule="auto"/>
              <w:jc w:val="left"/>
              <w:rPr>
                <w:szCs w:val="24"/>
              </w:rPr>
            </w:pPr>
            <w:r w:rsidRPr="00EB11D3">
              <w:rPr>
                <w:szCs w:val="24"/>
              </w:rPr>
              <w:t>248</w:t>
            </w:r>
          </w:p>
        </w:tc>
        <w:tc>
          <w:tcPr>
            <w:tcW w:w="883" w:type="pct"/>
            <w:tcBorders>
              <w:top w:val="single" w:sz="8" w:space="0" w:color="AEAEAE"/>
              <w:left w:val="single" w:sz="8" w:space="0" w:color="E0E0E0"/>
              <w:bottom w:val="single" w:sz="8" w:space="0" w:color="AEAEAE"/>
              <w:right w:val="single" w:sz="8" w:space="0" w:color="E0E0E0"/>
            </w:tcBorders>
            <w:shd w:val="clear" w:color="auto" w:fill="F9F9FB"/>
          </w:tcPr>
          <w:p w14:paraId="5547FD41" w14:textId="77777777" w:rsidR="003859C9" w:rsidRPr="00EB11D3" w:rsidRDefault="003859C9" w:rsidP="003859C9">
            <w:pPr>
              <w:spacing w:after="160" w:line="259" w:lineRule="auto"/>
              <w:jc w:val="left"/>
              <w:rPr>
                <w:szCs w:val="24"/>
              </w:rPr>
            </w:pPr>
            <w:r w:rsidRPr="00EB11D3">
              <w:rPr>
                <w:szCs w:val="24"/>
              </w:rPr>
              <w:t>.120</w:t>
            </w:r>
          </w:p>
        </w:tc>
        <w:tc>
          <w:tcPr>
            <w:tcW w:w="643" w:type="pct"/>
            <w:tcBorders>
              <w:top w:val="single" w:sz="8" w:space="0" w:color="AEAEAE"/>
              <w:left w:val="single" w:sz="8" w:space="0" w:color="E0E0E0"/>
              <w:bottom w:val="single" w:sz="8" w:space="0" w:color="AEAEAE"/>
              <w:right w:val="single" w:sz="8" w:space="0" w:color="E0E0E0"/>
            </w:tcBorders>
            <w:shd w:val="clear" w:color="auto" w:fill="F9F9FB"/>
            <w:vAlign w:val="center"/>
          </w:tcPr>
          <w:p w14:paraId="45CB99A1" w14:textId="77777777" w:rsidR="003859C9" w:rsidRPr="00EB11D3" w:rsidRDefault="003859C9" w:rsidP="003859C9">
            <w:pPr>
              <w:spacing w:after="160" w:line="259" w:lineRule="auto"/>
              <w:jc w:val="left"/>
              <w:rPr>
                <w:szCs w:val="24"/>
              </w:rPr>
            </w:pPr>
          </w:p>
        </w:tc>
        <w:tc>
          <w:tcPr>
            <w:tcW w:w="643" w:type="pct"/>
            <w:tcBorders>
              <w:top w:val="single" w:sz="8" w:space="0" w:color="AEAEAE"/>
              <w:left w:val="single" w:sz="8" w:space="0" w:color="E0E0E0"/>
              <w:bottom w:val="single" w:sz="8" w:space="0" w:color="AEAEAE"/>
              <w:right w:val="nil"/>
            </w:tcBorders>
            <w:shd w:val="clear" w:color="auto" w:fill="F9F9FB"/>
            <w:vAlign w:val="center"/>
          </w:tcPr>
          <w:p w14:paraId="2ED1885C" w14:textId="77777777" w:rsidR="003859C9" w:rsidRPr="00EB11D3" w:rsidRDefault="003859C9" w:rsidP="003859C9">
            <w:pPr>
              <w:spacing w:after="160" w:line="259" w:lineRule="auto"/>
              <w:jc w:val="left"/>
              <w:rPr>
                <w:szCs w:val="24"/>
              </w:rPr>
            </w:pPr>
          </w:p>
        </w:tc>
      </w:tr>
      <w:tr w:rsidR="003859C9" w:rsidRPr="00EB11D3" w14:paraId="4C4DE87A" w14:textId="77777777" w:rsidTr="00373A2C">
        <w:trPr>
          <w:cantSplit/>
        </w:trPr>
        <w:tc>
          <w:tcPr>
            <w:tcW w:w="459" w:type="pct"/>
            <w:vMerge/>
            <w:tcBorders>
              <w:top w:val="single" w:sz="8" w:space="0" w:color="152935"/>
              <w:left w:val="nil"/>
              <w:bottom w:val="single" w:sz="8" w:space="0" w:color="152935"/>
              <w:right w:val="nil"/>
            </w:tcBorders>
            <w:shd w:val="clear" w:color="auto" w:fill="auto"/>
          </w:tcPr>
          <w:p w14:paraId="5346A1FF" w14:textId="77777777" w:rsidR="003859C9" w:rsidRPr="00EB11D3" w:rsidRDefault="003859C9" w:rsidP="003859C9">
            <w:pPr>
              <w:spacing w:after="160" w:line="259" w:lineRule="auto"/>
              <w:jc w:val="left"/>
              <w:rPr>
                <w:szCs w:val="24"/>
              </w:rPr>
            </w:pPr>
          </w:p>
        </w:tc>
        <w:tc>
          <w:tcPr>
            <w:tcW w:w="806" w:type="pct"/>
            <w:tcBorders>
              <w:top w:val="single" w:sz="8" w:space="0" w:color="AEAEAE"/>
              <w:left w:val="nil"/>
              <w:bottom w:val="single" w:sz="8" w:space="0" w:color="152935"/>
              <w:right w:val="nil"/>
            </w:tcBorders>
            <w:shd w:val="clear" w:color="auto" w:fill="auto"/>
          </w:tcPr>
          <w:p w14:paraId="57C18562" w14:textId="77777777" w:rsidR="003859C9" w:rsidRPr="00EB11D3" w:rsidRDefault="003859C9" w:rsidP="003859C9">
            <w:pPr>
              <w:spacing w:after="160" w:line="259" w:lineRule="auto"/>
              <w:jc w:val="left"/>
              <w:rPr>
                <w:szCs w:val="24"/>
              </w:rPr>
            </w:pPr>
            <w:r w:rsidRPr="00EB11D3">
              <w:rPr>
                <w:szCs w:val="24"/>
              </w:rPr>
              <w:t>Total</w:t>
            </w:r>
          </w:p>
        </w:tc>
        <w:tc>
          <w:tcPr>
            <w:tcW w:w="922" w:type="pct"/>
            <w:tcBorders>
              <w:top w:val="single" w:sz="8" w:space="0" w:color="AEAEAE"/>
              <w:left w:val="nil"/>
              <w:bottom w:val="single" w:sz="8" w:space="0" w:color="152935"/>
              <w:right w:val="single" w:sz="8" w:space="0" w:color="E0E0E0"/>
            </w:tcBorders>
            <w:shd w:val="clear" w:color="auto" w:fill="F9F9FB"/>
          </w:tcPr>
          <w:p w14:paraId="3626E0F6" w14:textId="77777777" w:rsidR="003859C9" w:rsidRPr="00EB11D3" w:rsidRDefault="003859C9" w:rsidP="003859C9">
            <w:pPr>
              <w:spacing w:after="160" w:line="259" w:lineRule="auto"/>
              <w:jc w:val="left"/>
              <w:rPr>
                <w:szCs w:val="24"/>
              </w:rPr>
            </w:pPr>
            <w:r w:rsidRPr="00EB11D3">
              <w:rPr>
                <w:szCs w:val="24"/>
              </w:rPr>
              <w:t>144.100</w:t>
            </w:r>
          </w:p>
        </w:tc>
        <w:tc>
          <w:tcPr>
            <w:tcW w:w="643" w:type="pct"/>
            <w:tcBorders>
              <w:top w:val="single" w:sz="8" w:space="0" w:color="AEAEAE"/>
              <w:left w:val="single" w:sz="8" w:space="0" w:color="E0E0E0"/>
              <w:bottom w:val="single" w:sz="8" w:space="0" w:color="152935"/>
              <w:right w:val="single" w:sz="8" w:space="0" w:color="E0E0E0"/>
            </w:tcBorders>
            <w:shd w:val="clear" w:color="auto" w:fill="F9F9FB"/>
          </w:tcPr>
          <w:p w14:paraId="0C91077A" w14:textId="77777777" w:rsidR="003859C9" w:rsidRPr="00EB11D3" w:rsidRDefault="003859C9" w:rsidP="003859C9">
            <w:pPr>
              <w:spacing w:after="160" w:line="259" w:lineRule="auto"/>
              <w:jc w:val="left"/>
              <w:rPr>
                <w:szCs w:val="24"/>
              </w:rPr>
            </w:pPr>
            <w:r w:rsidRPr="00EB11D3">
              <w:rPr>
                <w:szCs w:val="24"/>
              </w:rPr>
              <w:t>249</w:t>
            </w:r>
          </w:p>
        </w:tc>
        <w:tc>
          <w:tcPr>
            <w:tcW w:w="883" w:type="pct"/>
            <w:tcBorders>
              <w:top w:val="single" w:sz="8" w:space="0" w:color="AEAEAE"/>
              <w:left w:val="single" w:sz="8" w:space="0" w:color="E0E0E0"/>
              <w:bottom w:val="single" w:sz="8" w:space="0" w:color="152935"/>
              <w:right w:val="single" w:sz="8" w:space="0" w:color="E0E0E0"/>
            </w:tcBorders>
            <w:shd w:val="clear" w:color="auto" w:fill="F9F9FB"/>
            <w:vAlign w:val="center"/>
          </w:tcPr>
          <w:p w14:paraId="32D87916" w14:textId="77777777" w:rsidR="003859C9" w:rsidRPr="00EB11D3" w:rsidRDefault="003859C9" w:rsidP="003859C9">
            <w:pPr>
              <w:spacing w:after="160" w:line="259" w:lineRule="auto"/>
              <w:jc w:val="left"/>
              <w:rPr>
                <w:szCs w:val="24"/>
              </w:rPr>
            </w:pPr>
          </w:p>
        </w:tc>
        <w:tc>
          <w:tcPr>
            <w:tcW w:w="643" w:type="pct"/>
            <w:tcBorders>
              <w:top w:val="single" w:sz="8" w:space="0" w:color="AEAEAE"/>
              <w:left w:val="single" w:sz="8" w:space="0" w:color="E0E0E0"/>
              <w:bottom w:val="single" w:sz="8" w:space="0" w:color="152935"/>
              <w:right w:val="single" w:sz="8" w:space="0" w:color="E0E0E0"/>
            </w:tcBorders>
            <w:shd w:val="clear" w:color="auto" w:fill="F9F9FB"/>
            <w:vAlign w:val="center"/>
          </w:tcPr>
          <w:p w14:paraId="35AA0973" w14:textId="77777777" w:rsidR="003859C9" w:rsidRPr="00EB11D3" w:rsidRDefault="003859C9" w:rsidP="003859C9">
            <w:pPr>
              <w:spacing w:after="160" w:line="259" w:lineRule="auto"/>
              <w:jc w:val="left"/>
              <w:rPr>
                <w:szCs w:val="24"/>
              </w:rPr>
            </w:pPr>
          </w:p>
        </w:tc>
        <w:tc>
          <w:tcPr>
            <w:tcW w:w="643" w:type="pct"/>
            <w:tcBorders>
              <w:top w:val="single" w:sz="8" w:space="0" w:color="AEAEAE"/>
              <w:left w:val="single" w:sz="8" w:space="0" w:color="E0E0E0"/>
              <w:bottom w:val="single" w:sz="8" w:space="0" w:color="152935"/>
              <w:right w:val="nil"/>
            </w:tcBorders>
            <w:shd w:val="clear" w:color="auto" w:fill="F9F9FB"/>
            <w:vAlign w:val="center"/>
          </w:tcPr>
          <w:p w14:paraId="57394D0E" w14:textId="77777777" w:rsidR="003859C9" w:rsidRPr="00EB11D3" w:rsidRDefault="003859C9" w:rsidP="003859C9">
            <w:pPr>
              <w:spacing w:after="160" w:line="259" w:lineRule="auto"/>
              <w:jc w:val="left"/>
              <w:rPr>
                <w:szCs w:val="24"/>
              </w:rPr>
            </w:pPr>
          </w:p>
        </w:tc>
      </w:tr>
      <w:tr w:rsidR="003859C9" w:rsidRPr="00EB11D3" w14:paraId="1C5CBBFD" w14:textId="77777777" w:rsidTr="00007E09">
        <w:trPr>
          <w:cantSplit/>
        </w:trPr>
        <w:tc>
          <w:tcPr>
            <w:tcW w:w="5000" w:type="pct"/>
            <w:gridSpan w:val="7"/>
            <w:tcBorders>
              <w:top w:val="nil"/>
              <w:left w:val="nil"/>
              <w:bottom w:val="nil"/>
              <w:right w:val="nil"/>
            </w:tcBorders>
            <w:shd w:val="clear" w:color="auto" w:fill="FFFFFF"/>
          </w:tcPr>
          <w:p w14:paraId="63DC7AB7" w14:textId="77777777" w:rsidR="003859C9" w:rsidRPr="00EB11D3" w:rsidRDefault="003859C9" w:rsidP="003859C9">
            <w:pPr>
              <w:autoSpaceDE w:val="0"/>
              <w:autoSpaceDN w:val="0"/>
              <w:adjustRightInd w:val="0"/>
              <w:spacing w:after="0" w:line="320" w:lineRule="atLeast"/>
              <w:ind w:left="60" w:right="60"/>
              <w:jc w:val="left"/>
              <w:rPr>
                <w:szCs w:val="24"/>
              </w:rPr>
            </w:pPr>
            <w:r w:rsidRPr="00EB11D3">
              <w:rPr>
                <w:szCs w:val="24"/>
              </w:rPr>
              <w:t>a. Dependent Variable: Organisational Performance</w:t>
            </w:r>
          </w:p>
        </w:tc>
      </w:tr>
      <w:tr w:rsidR="003859C9" w:rsidRPr="00EB11D3" w14:paraId="41179336" w14:textId="77777777" w:rsidTr="00007E09">
        <w:trPr>
          <w:cantSplit/>
        </w:trPr>
        <w:tc>
          <w:tcPr>
            <w:tcW w:w="5000" w:type="pct"/>
            <w:gridSpan w:val="7"/>
            <w:tcBorders>
              <w:top w:val="nil"/>
              <w:left w:val="nil"/>
              <w:bottom w:val="nil"/>
              <w:right w:val="nil"/>
            </w:tcBorders>
            <w:shd w:val="clear" w:color="auto" w:fill="FFFFFF"/>
          </w:tcPr>
          <w:p w14:paraId="2CA495E7" w14:textId="77777777" w:rsidR="003859C9" w:rsidRPr="00EB11D3" w:rsidRDefault="003859C9" w:rsidP="003859C9">
            <w:pPr>
              <w:autoSpaceDE w:val="0"/>
              <w:autoSpaceDN w:val="0"/>
              <w:adjustRightInd w:val="0"/>
              <w:spacing w:after="0" w:line="320" w:lineRule="atLeast"/>
              <w:ind w:left="60" w:right="60"/>
              <w:jc w:val="left"/>
              <w:rPr>
                <w:szCs w:val="24"/>
              </w:rPr>
            </w:pPr>
            <w:r w:rsidRPr="00EB11D3">
              <w:rPr>
                <w:szCs w:val="24"/>
              </w:rPr>
              <w:t>b. Predictors: (Constant), Service Innovation</w:t>
            </w:r>
          </w:p>
        </w:tc>
      </w:tr>
    </w:tbl>
    <w:p w14:paraId="407765B8" w14:textId="77777777" w:rsidR="003859C9" w:rsidRPr="00EB11D3" w:rsidRDefault="003859C9" w:rsidP="003859C9">
      <w:pPr>
        <w:autoSpaceDE w:val="0"/>
        <w:autoSpaceDN w:val="0"/>
        <w:adjustRightInd w:val="0"/>
        <w:spacing w:after="0" w:line="240" w:lineRule="auto"/>
        <w:jc w:val="left"/>
        <w:rPr>
          <w:szCs w:val="24"/>
        </w:rPr>
      </w:pPr>
    </w:p>
    <w:tbl>
      <w:tblPr>
        <w:tblW w:w="5000" w:type="pct"/>
        <w:tblLayout w:type="fixed"/>
        <w:tblCellMar>
          <w:left w:w="0" w:type="dxa"/>
          <w:right w:w="0" w:type="dxa"/>
        </w:tblCellMar>
        <w:tblLook w:val="0000" w:firstRow="0" w:lastRow="0" w:firstColumn="0" w:lastColumn="0" w:noHBand="0" w:noVBand="0"/>
      </w:tblPr>
      <w:tblGrid>
        <w:gridCol w:w="786"/>
        <w:gridCol w:w="1938"/>
        <w:gridCol w:w="1428"/>
        <w:gridCol w:w="1430"/>
        <w:gridCol w:w="1576"/>
        <w:gridCol w:w="1101"/>
        <w:gridCol w:w="1101"/>
      </w:tblGrid>
      <w:tr w:rsidR="003859C9" w:rsidRPr="00EB11D3" w14:paraId="16D19863" w14:textId="77777777" w:rsidTr="00823CEA">
        <w:trPr>
          <w:cantSplit/>
        </w:trPr>
        <w:tc>
          <w:tcPr>
            <w:tcW w:w="5000" w:type="pct"/>
            <w:gridSpan w:val="7"/>
            <w:tcBorders>
              <w:top w:val="nil"/>
              <w:left w:val="nil"/>
              <w:bottom w:val="single" w:sz="4" w:space="0" w:color="auto"/>
              <w:right w:val="nil"/>
            </w:tcBorders>
            <w:shd w:val="clear" w:color="auto" w:fill="FFFFFF"/>
            <w:vAlign w:val="center"/>
          </w:tcPr>
          <w:p w14:paraId="3F861B49" w14:textId="77777777" w:rsidR="003859C9" w:rsidRPr="00EB11D3" w:rsidRDefault="003859C9" w:rsidP="003859C9">
            <w:pPr>
              <w:autoSpaceDE w:val="0"/>
              <w:autoSpaceDN w:val="0"/>
              <w:adjustRightInd w:val="0"/>
              <w:spacing w:after="0" w:line="320" w:lineRule="atLeast"/>
              <w:ind w:left="60" w:right="60"/>
              <w:jc w:val="center"/>
              <w:rPr>
                <w:szCs w:val="24"/>
              </w:rPr>
            </w:pPr>
            <w:r w:rsidRPr="00EB11D3">
              <w:rPr>
                <w:b/>
                <w:bCs/>
                <w:szCs w:val="24"/>
              </w:rPr>
              <w:t>Coefficients</w:t>
            </w:r>
            <w:r w:rsidRPr="00EB11D3">
              <w:rPr>
                <w:b/>
                <w:bCs/>
                <w:szCs w:val="24"/>
                <w:vertAlign w:val="superscript"/>
              </w:rPr>
              <w:t>a</w:t>
            </w:r>
          </w:p>
        </w:tc>
      </w:tr>
      <w:tr w:rsidR="003859C9" w:rsidRPr="00EB11D3" w14:paraId="2E14FCA8" w14:textId="77777777" w:rsidTr="00823CEA">
        <w:trPr>
          <w:cantSplit/>
        </w:trPr>
        <w:tc>
          <w:tcPr>
            <w:tcW w:w="1455" w:type="pct"/>
            <w:gridSpan w:val="2"/>
            <w:vMerge w:val="restart"/>
            <w:tcBorders>
              <w:top w:val="single" w:sz="4" w:space="0" w:color="auto"/>
              <w:left w:val="nil"/>
              <w:bottom w:val="nil"/>
              <w:right w:val="nil"/>
            </w:tcBorders>
            <w:shd w:val="clear" w:color="auto" w:fill="FFFFFF"/>
            <w:vAlign w:val="bottom"/>
          </w:tcPr>
          <w:p w14:paraId="01CFD1C7" w14:textId="77777777" w:rsidR="003859C9" w:rsidRPr="00EB11D3" w:rsidRDefault="003859C9" w:rsidP="003859C9">
            <w:pPr>
              <w:spacing w:after="160" w:line="259" w:lineRule="auto"/>
              <w:jc w:val="left"/>
              <w:rPr>
                <w:szCs w:val="24"/>
              </w:rPr>
            </w:pPr>
            <w:r w:rsidRPr="00EB11D3">
              <w:rPr>
                <w:szCs w:val="24"/>
              </w:rPr>
              <w:t>Model</w:t>
            </w:r>
          </w:p>
        </w:tc>
        <w:tc>
          <w:tcPr>
            <w:tcW w:w="1527" w:type="pct"/>
            <w:gridSpan w:val="2"/>
            <w:tcBorders>
              <w:top w:val="single" w:sz="4" w:space="0" w:color="auto"/>
              <w:left w:val="nil"/>
              <w:bottom w:val="nil"/>
              <w:right w:val="single" w:sz="8" w:space="0" w:color="E0E0E0"/>
            </w:tcBorders>
            <w:shd w:val="clear" w:color="auto" w:fill="FFFFFF"/>
            <w:vAlign w:val="bottom"/>
          </w:tcPr>
          <w:p w14:paraId="1CAF8188" w14:textId="77777777" w:rsidR="003859C9" w:rsidRPr="00EB11D3" w:rsidRDefault="003859C9" w:rsidP="003859C9">
            <w:pPr>
              <w:spacing w:after="160" w:line="259" w:lineRule="auto"/>
              <w:jc w:val="left"/>
              <w:rPr>
                <w:szCs w:val="24"/>
              </w:rPr>
            </w:pPr>
            <w:r w:rsidRPr="00EB11D3">
              <w:rPr>
                <w:szCs w:val="24"/>
              </w:rPr>
              <w:t>Unstandardized Coefficients</w:t>
            </w:r>
          </w:p>
        </w:tc>
        <w:tc>
          <w:tcPr>
            <w:tcW w:w="842" w:type="pct"/>
            <w:tcBorders>
              <w:top w:val="single" w:sz="4" w:space="0" w:color="auto"/>
              <w:left w:val="single" w:sz="8" w:space="0" w:color="E0E0E0"/>
              <w:bottom w:val="nil"/>
              <w:right w:val="single" w:sz="8" w:space="0" w:color="E0E0E0"/>
            </w:tcBorders>
            <w:shd w:val="clear" w:color="auto" w:fill="FFFFFF"/>
            <w:vAlign w:val="bottom"/>
          </w:tcPr>
          <w:p w14:paraId="140907C4" w14:textId="77777777" w:rsidR="003859C9" w:rsidRPr="00EB11D3" w:rsidRDefault="003859C9" w:rsidP="003859C9">
            <w:pPr>
              <w:spacing w:after="160" w:line="259" w:lineRule="auto"/>
              <w:jc w:val="left"/>
              <w:rPr>
                <w:szCs w:val="24"/>
              </w:rPr>
            </w:pPr>
            <w:r w:rsidRPr="00EB11D3">
              <w:rPr>
                <w:szCs w:val="24"/>
              </w:rPr>
              <w:t>Standardized Coefficients</w:t>
            </w:r>
          </w:p>
        </w:tc>
        <w:tc>
          <w:tcPr>
            <w:tcW w:w="588" w:type="pct"/>
            <w:vMerge w:val="restart"/>
            <w:tcBorders>
              <w:top w:val="single" w:sz="4" w:space="0" w:color="auto"/>
              <w:left w:val="single" w:sz="8" w:space="0" w:color="E0E0E0"/>
              <w:bottom w:val="nil"/>
              <w:right w:val="single" w:sz="8" w:space="0" w:color="E0E0E0"/>
            </w:tcBorders>
            <w:shd w:val="clear" w:color="auto" w:fill="FFFFFF"/>
            <w:vAlign w:val="bottom"/>
          </w:tcPr>
          <w:p w14:paraId="397BAE04" w14:textId="77777777" w:rsidR="003859C9" w:rsidRPr="00EB11D3" w:rsidRDefault="00213ED9" w:rsidP="003859C9">
            <w:pPr>
              <w:spacing w:after="160" w:line="259" w:lineRule="auto"/>
              <w:jc w:val="left"/>
              <w:rPr>
                <w:szCs w:val="24"/>
              </w:rPr>
            </w:pPr>
            <w:r w:rsidRPr="00EB11D3">
              <w:rPr>
                <w:szCs w:val="24"/>
              </w:rPr>
              <w:t>T</w:t>
            </w:r>
          </w:p>
        </w:tc>
        <w:tc>
          <w:tcPr>
            <w:tcW w:w="588" w:type="pct"/>
            <w:vMerge w:val="restart"/>
            <w:tcBorders>
              <w:top w:val="single" w:sz="4" w:space="0" w:color="auto"/>
              <w:left w:val="single" w:sz="8" w:space="0" w:color="E0E0E0"/>
              <w:bottom w:val="nil"/>
              <w:right w:val="nil"/>
            </w:tcBorders>
            <w:shd w:val="clear" w:color="auto" w:fill="FFFFFF"/>
            <w:vAlign w:val="bottom"/>
          </w:tcPr>
          <w:p w14:paraId="58CF91B0" w14:textId="77777777" w:rsidR="003859C9" w:rsidRPr="00EB11D3" w:rsidRDefault="003859C9" w:rsidP="003859C9">
            <w:pPr>
              <w:spacing w:after="160" w:line="259" w:lineRule="auto"/>
              <w:jc w:val="left"/>
              <w:rPr>
                <w:szCs w:val="24"/>
              </w:rPr>
            </w:pPr>
            <w:r w:rsidRPr="00EB11D3">
              <w:rPr>
                <w:szCs w:val="24"/>
              </w:rPr>
              <w:t>Sig.</w:t>
            </w:r>
          </w:p>
        </w:tc>
      </w:tr>
      <w:tr w:rsidR="003859C9" w:rsidRPr="00EB11D3" w14:paraId="7BE099A4" w14:textId="77777777" w:rsidTr="00007E09">
        <w:trPr>
          <w:cantSplit/>
        </w:trPr>
        <w:tc>
          <w:tcPr>
            <w:tcW w:w="1455" w:type="pct"/>
            <w:gridSpan w:val="2"/>
            <w:vMerge/>
            <w:tcBorders>
              <w:top w:val="nil"/>
              <w:left w:val="nil"/>
              <w:bottom w:val="nil"/>
              <w:right w:val="nil"/>
            </w:tcBorders>
            <w:shd w:val="clear" w:color="auto" w:fill="FFFFFF"/>
            <w:vAlign w:val="bottom"/>
          </w:tcPr>
          <w:p w14:paraId="762D8C33" w14:textId="77777777" w:rsidR="003859C9" w:rsidRPr="00EB11D3" w:rsidRDefault="003859C9" w:rsidP="003859C9">
            <w:pPr>
              <w:spacing w:after="160" w:line="259" w:lineRule="auto"/>
              <w:jc w:val="left"/>
              <w:rPr>
                <w:szCs w:val="24"/>
              </w:rPr>
            </w:pPr>
          </w:p>
        </w:tc>
        <w:tc>
          <w:tcPr>
            <w:tcW w:w="763" w:type="pct"/>
            <w:tcBorders>
              <w:top w:val="nil"/>
              <w:left w:val="nil"/>
              <w:bottom w:val="single" w:sz="8" w:space="0" w:color="152935"/>
              <w:right w:val="single" w:sz="8" w:space="0" w:color="E0E0E0"/>
            </w:tcBorders>
            <w:shd w:val="clear" w:color="auto" w:fill="FFFFFF"/>
            <w:vAlign w:val="bottom"/>
          </w:tcPr>
          <w:p w14:paraId="4C687231" w14:textId="77777777" w:rsidR="003859C9" w:rsidRPr="00EB11D3" w:rsidRDefault="003859C9" w:rsidP="003859C9">
            <w:pPr>
              <w:spacing w:after="160" w:line="259" w:lineRule="auto"/>
              <w:jc w:val="left"/>
              <w:rPr>
                <w:szCs w:val="24"/>
              </w:rPr>
            </w:pPr>
            <w:r w:rsidRPr="00EB11D3">
              <w:rPr>
                <w:szCs w:val="24"/>
              </w:rPr>
              <w:t>B</w:t>
            </w:r>
          </w:p>
        </w:tc>
        <w:tc>
          <w:tcPr>
            <w:tcW w:w="764" w:type="pct"/>
            <w:tcBorders>
              <w:top w:val="nil"/>
              <w:left w:val="single" w:sz="8" w:space="0" w:color="E0E0E0"/>
              <w:bottom w:val="single" w:sz="8" w:space="0" w:color="152935"/>
              <w:right w:val="single" w:sz="8" w:space="0" w:color="E0E0E0"/>
            </w:tcBorders>
            <w:shd w:val="clear" w:color="auto" w:fill="FFFFFF"/>
            <w:vAlign w:val="bottom"/>
          </w:tcPr>
          <w:p w14:paraId="5DF1B0C5" w14:textId="77777777" w:rsidR="003859C9" w:rsidRPr="00EB11D3" w:rsidRDefault="003859C9" w:rsidP="003859C9">
            <w:pPr>
              <w:spacing w:after="160" w:line="259" w:lineRule="auto"/>
              <w:jc w:val="left"/>
              <w:rPr>
                <w:szCs w:val="24"/>
              </w:rPr>
            </w:pPr>
            <w:r w:rsidRPr="00EB11D3">
              <w:rPr>
                <w:szCs w:val="24"/>
              </w:rPr>
              <w:t>Std. Error</w:t>
            </w:r>
          </w:p>
        </w:tc>
        <w:tc>
          <w:tcPr>
            <w:tcW w:w="842" w:type="pct"/>
            <w:tcBorders>
              <w:top w:val="nil"/>
              <w:left w:val="single" w:sz="8" w:space="0" w:color="E0E0E0"/>
              <w:bottom w:val="single" w:sz="8" w:space="0" w:color="152935"/>
              <w:right w:val="single" w:sz="8" w:space="0" w:color="E0E0E0"/>
            </w:tcBorders>
            <w:shd w:val="clear" w:color="auto" w:fill="FFFFFF"/>
            <w:vAlign w:val="bottom"/>
          </w:tcPr>
          <w:p w14:paraId="1C174FC8" w14:textId="77777777" w:rsidR="003859C9" w:rsidRPr="00EB11D3" w:rsidRDefault="003859C9" w:rsidP="003859C9">
            <w:pPr>
              <w:spacing w:after="160" w:line="259" w:lineRule="auto"/>
              <w:jc w:val="left"/>
              <w:rPr>
                <w:szCs w:val="24"/>
              </w:rPr>
            </w:pPr>
            <w:r w:rsidRPr="00EB11D3">
              <w:rPr>
                <w:szCs w:val="24"/>
              </w:rPr>
              <w:t>Beta</w:t>
            </w:r>
          </w:p>
        </w:tc>
        <w:tc>
          <w:tcPr>
            <w:tcW w:w="588" w:type="pct"/>
            <w:vMerge/>
            <w:tcBorders>
              <w:top w:val="nil"/>
              <w:left w:val="single" w:sz="8" w:space="0" w:color="E0E0E0"/>
              <w:bottom w:val="nil"/>
              <w:right w:val="single" w:sz="8" w:space="0" w:color="E0E0E0"/>
            </w:tcBorders>
            <w:shd w:val="clear" w:color="auto" w:fill="FFFFFF"/>
            <w:vAlign w:val="bottom"/>
          </w:tcPr>
          <w:p w14:paraId="455C79CE" w14:textId="77777777" w:rsidR="003859C9" w:rsidRPr="00EB11D3" w:rsidRDefault="003859C9" w:rsidP="003859C9">
            <w:pPr>
              <w:spacing w:after="160" w:line="259" w:lineRule="auto"/>
              <w:jc w:val="left"/>
              <w:rPr>
                <w:szCs w:val="24"/>
              </w:rPr>
            </w:pPr>
          </w:p>
        </w:tc>
        <w:tc>
          <w:tcPr>
            <w:tcW w:w="588" w:type="pct"/>
            <w:vMerge/>
            <w:tcBorders>
              <w:top w:val="nil"/>
              <w:left w:val="single" w:sz="8" w:space="0" w:color="E0E0E0"/>
              <w:bottom w:val="nil"/>
              <w:right w:val="nil"/>
            </w:tcBorders>
            <w:shd w:val="clear" w:color="auto" w:fill="FFFFFF"/>
            <w:vAlign w:val="bottom"/>
          </w:tcPr>
          <w:p w14:paraId="07B9BEFD" w14:textId="77777777" w:rsidR="003859C9" w:rsidRPr="00EB11D3" w:rsidRDefault="003859C9" w:rsidP="003859C9">
            <w:pPr>
              <w:spacing w:after="160" w:line="259" w:lineRule="auto"/>
              <w:jc w:val="left"/>
              <w:rPr>
                <w:szCs w:val="24"/>
              </w:rPr>
            </w:pPr>
          </w:p>
        </w:tc>
      </w:tr>
      <w:tr w:rsidR="003859C9" w:rsidRPr="00EB11D3" w14:paraId="13D19EE1" w14:textId="77777777" w:rsidTr="00823CEA">
        <w:trPr>
          <w:cantSplit/>
        </w:trPr>
        <w:tc>
          <w:tcPr>
            <w:tcW w:w="420" w:type="pct"/>
            <w:vMerge w:val="restart"/>
            <w:tcBorders>
              <w:top w:val="single" w:sz="8" w:space="0" w:color="152935"/>
              <w:left w:val="nil"/>
              <w:bottom w:val="single" w:sz="8" w:space="0" w:color="152935"/>
              <w:right w:val="nil"/>
            </w:tcBorders>
            <w:shd w:val="clear" w:color="auto" w:fill="auto"/>
          </w:tcPr>
          <w:p w14:paraId="72732F72" w14:textId="77777777" w:rsidR="003859C9" w:rsidRPr="00EB11D3" w:rsidRDefault="003859C9" w:rsidP="003859C9">
            <w:pPr>
              <w:spacing w:after="160" w:line="259" w:lineRule="auto"/>
              <w:jc w:val="left"/>
              <w:rPr>
                <w:szCs w:val="24"/>
              </w:rPr>
            </w:pPr>
            <w:r w:rsidRPr="00EB11D3">
              <w:rPr>
                <w:szCs w:val="24"/>
              </w:rPr>
              <w:t>1</w:t>
            </w:r>
          </w:p>
        </w:tc>
        <w:tc>
          <w:tcPr>
            <w:tcW w:w="1035" w:type="pct"/>
            <w:tcBorders>
              <w:top w:val="single" w:sz="8" w:space="0" w:color="152935"/>
              <w:left w:val="nil"/>
              <w:bottom w:val="single" w:sz="8" w:space="0" w:color="AEAEAE"/>
              <w:right w:val="nil"/>
            </w:tcBorders>
            <w:shd w:val="clear" w:color="auto" w:fill="auto"/>
          </w:tcPr>
          <w:p w14:paraId="47F026D1" w14:textId="77777777" w:rsidR="003859C9" w:rsidRPr="00EB11D3" w:rsidRDefault="003859C9" w:rsidP="003859C9">
            <w:pPr>
              <w:spacing w:after="160" w:line="259" w:lineRule="auto"/>
              <w:jc w:val="left"/>
              <w:rPr>
                <w:szCs w:val="24"/>
              </w:rPr>
            </w:pPr>
            <w:r w:rsidRPr="00EB11D3">
              <w:rPr>
                <w:szCs w:val="24"/>
              </w:rPr>
              <w:t>(Constant)</w:t>
            </w:r>
          </w:p>
        </w:tc>
        <w:tc>
          <w:tcPr>
            <w:tcW w:w="763" w:type="pct"/>
            <w:tcBorders>
              <w:top w:val="single" w:sz="8" w:space="0" w:color="152935"/>
              <w:left w:val="nil"/>
              <w:bottom w:val="single" w:sz="8" w:space="0" w:color="AEAEAE"/>
              <w:right w:val="single" w:sz="8" w:space="0" w:color="E0E0E0"/>
            </w:tcBorders>
            <w:shd w:val="clear" w:color="auto" w:fill="auto"/>
          </w:tcPr>
          <w:p w14:paraId="630E0A3F" w14:textId="77777777" w:rsidR="003859C9" w:rsidRPr="00EB11D3" w:rsidRDefault="003859C9" w:rsidP="003859C9">
            <w:pPr>
              <w:spacing w:after="160" w:line="259" w:lineRule="auto"/>
              <w:jc w:val="left"/>
              <w:rPr>
                <w:szCs w:val="24"/>
              </w:rPr>
            </w:pPr>
            <w:r w:rsidRPr="00EB11D3">
              <w:rPr>
                <w:szCs w:val="24"/>
              </w:rPr>
              <w:t>.294</w:t>
            </w:r>
          </w:p>
        </w:tc>
        <w:tc>
          <w:tcPr>
            <w:tcW w:w="764" w:type="pct"/>
            <w:tcBorders>
              <w:top w:val="single" w:sz="8" w:space="0" w:color="152935"/>
              <w:left w:val="single" w:sz="8" w:space="0" w:color="E0E0E0"/>
              <w:bottom w:val="single" w:sz="8" w:space="0" w:color="AEAEAE"/>
              <w:right w:val="single" w:sz="8" w:space="0" w:color="E0E0E0"/>
            </w:tcBorders>
            <w:shd w:val="clear" w:color="auto" w:fill="F9F9FB"/>
          </w:tcPr>
          <w:p w14:paraId="2CAC096D" w14:textId="77777777" w:rsidR="003859C9" w:rsidRPr="00EB11D3" w:rsidRDefault="003859C9" w:rsidP="003859C9">
            <w:pPr>
              <w:spacing w:after="160" w:line="259" w:lineRule="auto"/>
              <w:jc w:val="left"/>
              <w:rPr>
                <w:szCs w:val="24"/>
              </w:rPr>
            </w:pPr>
            <w:r w:rsidRPr="00EB11D3">
              <w:rPr>
                <w:szCs w:val="24"/>
              </w:rPr>
              <w:t>.093</w:t>
            </w:r>
          </w:p>
        </w:tc>
        <w:tc>
          <w:tcPr>
            <w:tcW w:w="842" w:type="pct"/>
            <w:tcBorders>
              <w:top w:val="single" w:sz="8" w:space="0" w:color="152935"/>
              <w:left w:val="single" w:sz="8" w:space="0" w:color="E0E0E0"/>
              <w:bottom w:val="single" w:sz="8" w:space="0" w:color="AEAEAE"/>
              <w:right w:val="single" w:sz="8" w:space="0" w:color="E0E0E0"/>
            </w:tcBorders>
            <w:shd w:val="clear" w:color="auto" w:fill="F9F9FB"/>
            <w:vAlign w:val="center"/>
          </w:tcPr>
          <w:p w14:paraId="5EF25BB5" w14:textId="77777777" w:rsidR="003859C9" w:rsidRPr="00EB11D3" w:rsidRDefault="003859C9" w:rsidP="003859C9">
            <w:pPr>
              <w:spacing w:after="160" w:line="259" w:lineRule="auto"/>
              <w:jc w:val="left"/>
              <w:rPr>
                <w:szCs w:val="24"/>
              </w:rPr>
            </w:pPr>
          </w:p>
        </w:tc>
        <w:tc>
          <w:tcPr>
            <w:tcW w:w="588" w:type="pct"/>
            <w:tcBorders>
              <w:top w:val="single" w:sz="8" w:space="0" w:color="152935"/>
              <w:left w:val="single" w:sz="8" w:space="0" w:color="E0E0E0"/>
              <w:bottom w:val="single" w:sz="8" w:space="0" w:color="AEAEAE"/>
              <w:right w:val="single" w:sz="8" w:space="0" w:color="E0E0E0"/>
            </w:tcBorders>
            <w:shd w:val="clear" w:color="auto" w:fill="F9F9FB"/>
          </w:tcPr>
          <w:p w14:paraId="12B5290A" w14:textId="77777777" w:rsidR="003859C9" w:rsidRPr="00EB11D3" w:rsidRDefault="003859C9" w:rsidP="003859C9">
            <w:pPr>
              <w:spacing w:after="160" w:line="259" w:lineRule="auto"/>
              <w:jc w:val="left"/>
              <w:rPr>
                <w:szCs w:val="24"/>
              </w:rPr>
            </w:pPr>
            <w:r w:rsidRPr="00EB11D3">
              <w:rPr>
                <w:szCs w:val="24"/>
              </w:rPr>
              <w:t>3.164</w:t>
            </w:r>
          </w:p>
        </w:tc>
        <w:tc>
          <w:tcPr>
            <w:tcW w:w="588" w:type="pct"/>
            <w:tcBorders>
              <w:top w:val="single" w:sz="8" w:space="0" w:color="152935"/>
              <w:left w:val="single" w:sz="8" w:space="0" w:color="E0E0E0"/>
              <w:bottom w:val="single" w:sz="8" w:space="0" w:color="AEAEAE"/>
              <w:right w:val="nil"/>
            </w:tcBorders>
            <w:shd w:val="clear" w:color="auto" w:fill="F9F9FB"/>
          </w:tcPr>
          <w:p w14:paraId="4AF428E4" w14:textId="77777777" w:rsidR="003859C9" w:rsidRPr="00EB11D3" w:rsidRDefault="003859C9" w:rsidP="003859C9">
            <w:pPr>
              <w:spacing w:after="160" w:line="259" w:lineRule="auto"/>
              <w:jc w:val="left"/>
              <w:rPr>
                <w:szCs w:val="24"/>
              </w:rPr>
            </w:pPr>
            <w:r w:rsidRPr="00EB11D3">
              <w:rPr>
                <w:szCs w:val="24"/>
              </w:rPr>
              <w:t>.002</w:t>
            </w:r>
          </w:p>
        </w:tc>
      </w:tr>
      <w:tr w:rsidR="003859C9" w:rsidRPr="00EB11D3" w14:paraId="7025A4D6" w14:textId="77777777" w:rsidTr="00823CEA">
        <w:trPr>
          <w:cantSplit/>
        </w:trPr>
        <w:tc>
          <w:tcPr>
            <w:tcW w:w="420" w:type="pct"/>
            <w:vMerge/>
            <w:tcBorders>
              <w:top w:val="single" w:sz="8" w:space="0" w:color="152935"/>
              <w:left w:val="nil"/>
              <w:bottom w:val="single" w:sz="8" w:space="0" w:color="152935"/>
              <w:right w:val="nil"/>
            </w:tcBorders>
            <w:shd w:val="clear" w:color="auto" w:fill="auto"/>
          </w:tcPr>
          <w:p w14:paraId="6BC8CE5D" w14:textId="77777777" w:rsidR="003859C9" w:rsidRPr="00EB11D3" w:rsidRDefault="003859C9" w:rsidP="003859C9">
            <w:pPr>
              <w:spacing w:after="160" w:line="259" w:lineRule="auto"/>
              <w:jc w:val="left"/>
              <w:rPr>
                <w:szCs w:val="24"/>
              </w:rPr>
            </w:pPr>
          </w:p>
        </w:tc>
        <w:tc>
          <w:tcPr>
            <w:tcW w:w="1035" w:type="pct"/>
            <w:tcBorders>
              <w:top w:val="single" w:sz="8" w:space="0" w:color="AEAEAE"/>
              <w:left w:val="nil"/>
              <w:bottom w:val="single" w:sz="8" w:space="0" w:color="152935"/>
              <w:right w:val="nil"/>
            </w:tcBorders>
            <w:shd w:val="clear" w:color="auto" w:fill="auto"/>
          </w:tcPr>
          <w:p w14:paraId="11A1C192" w14:textId="77777777" w:rsidR="003859C9" w:rsidRPr="00EB11D3" w:rsidRDefault="003859C9" w:rsidP="003859C9">
            <w:pPr>
              <w:spacing w:after="160" w:line="259" w:lineRule="auto"/>
              <w:jc w:val="left"/>
              <w:rPr>
                <w:szCs w:val="24"/>
              </w:rPr>
            </w:pPr>
            <w:r w:rsidRPr="00EB11D3">
              <w:rPr>
                <w:szCs w:val="24"/>
              </w:rPr>
              <w:t>Service Innovation</w:t>
            </w:r>
          </w:p>
        </w:tc>
        <w:tc>
          <w:tcPr>
            <w:tcW w:w="763" w:type="pct"/>
            <w:tcBorders>
              <w:top w:val="single" w:sz="8" w:space="0" w:color="AEAEAE"/>
              <w:left w:val="nil"/>
              <w:bottom w:val="single" w:sz="8" w:space="0" w:color="152935"/>
              <w:right w:val="single" w:sz="8" w:space="0" w:color="E0E0E0"/>
            </w:tcBorders>
            <w:shd w:val="clear" w:color="auto" w:fill="auto"/>
          </w:tcPr>
          <w:p w14:paraId="058BB437" w14:textId="77777777" w:rsidR="003859C9" w:rsidRPr="00EB11D3" w:rsidRDefault="003859C9" w:rsidP="003859C9">
            <w:pPr>
              <w:spacing w:after="160" w:line="259" w:lineRule="auto"/>
              <w:jc w:val="left"/>
              <w:rPr>
                <w:szCs w:val="24"/>
              </w:rPr>
            </w:pPr>
            <w:r w:rsidRPr="00EB11D3">
              <w:rPr>
                <w:szCs w:val="24"/>
              </w:rPr>
              <w:t>.918</w:t>
            </w:r>
          </w:p>
        </w:tc>
        <w:tc>
          <w:tcPr>
            <w:tcW w:w="764" w:type="pct"/>
            <w:tcBorders>
              <w:top w:val="single" w:sz="8" w:space="0" w:color="AEAEAE"/>
              <w:left w:val="single" w:sz="8" w:space="0" w:color="E0E0E0"/>
              <w:bottom w:val="single" w:sz="8" w:space="0" w:color="152935"/>
              <w:right w:val="single" w:sz="8" w:space="0" w:color="E0E0E0"/>
            </w:tcBorders>
            <w:shd w:val="clear" w:color="auto" w:fill="F9F9FB"/>
          </w:tcPr>
          <w:p w14:paraId="5B8D61F8" w14:textId="77777777" w:rsidR="003859C9" w:rsidRPr="00EB11D3" w:rsidRDefault="003859C9" w:rsidP="003859C9">
            <w:pPr>
              <w:spacing w:after="160" w:line="259" w:lineRule="auto"/>
              <w:jc w:val="left"/>
              <w:rPr>
                <w:szCs w:val="24"/>
              </w:rPr>
            </w:pPr>
            <w:r w:rsidRPr="00EB11D3">
              <w:rPr>
                <w:szCs w:val="24"/>
              </w:rPr>
              <w:t>.030</w:t>
            </w:r>
          </w:p>
        </w:tc>
        <w:tc>
          <w:tcPr>
            <w:tcW w:w="842" w:type="pct"/>
            <w:tcBorders>
              <w:top w:val="single" w:sz="8" w:space="0" w:color="AEAEAE"/>
              <w:left w:val="single" w:sz="8" w:space="0" w:color="E0E0E0"/>
              <w:bottom w:val="single" w:sz="8" w:space="0" w:color="152935"/>
              <w:right w:val="single" w:sz="8" w:space="0" w:color="E0E0E0"/>
            </w:tcBorders>
            <w:shd w:val="clear" w:color="auto" w:fill="F9F9FB"/>
          </w:tcPr>
          <w:p w14:paraId="59F44594" w14:textId="77777777" w:rsidR="003859C9" w:rsidRPr="00EB11D3" w:rsidRDefault="003859C9" w:rsidP="003859C9">
            <w:pPr>
              <w:spacing w:after="160" w:line="259" w:lineRule="auto"/>
              <w:jc w:val="left"/>
              <w:rPr>
                <w:szCs w:val="24"/>
              </w:rPr>
            </w:pPr>
            <w:r w:rsidRPr="00EB11D3">
              <w:rPr>
                <w:szCs w:val="24"/>
              </w:rPr>
              <w:t>.891</w:t>
            </w:r>
          </w:p>
        </w:tc>
        <w:tc>
          <w:tcPr>
            <w:tcW w:w="588" w:type="pct"/>
            <w:tcBorders>
              <w:top w:val="single" w:sz="8" w:space="0" w:color="AEAEAE"/>
              <w:left w:val="single" w:sz="8" w:space="0" w:color="E0E0E0"/>
              <w:bottom w:val="single" w:sz="8" w:space="0" w:color="152935"/>
              <w:right w:val="single" w:sz="8" w:space="0" w:color="E0E0E0"/>
            </w:tcBorders>
            <w:shd w:val="clear" w:color="auto" w:fill="F9F9FB"/>
          </w:tcPr>
          <w:p w14:paraId="0B1E1A7B" w14:textId="77777777" w:rsidR="003859C9" w:rsidRPr="00EB11D3" w:rsidRDefault="003859C9" w:rsidP="003859C9">
            <w:pPr>
              <w:spacing w:after="160" w:line="259" w:lineRule="auto"/>
              <w:jc w:val="left"/>
              <w:rPr>
                <w:szCs w:val="24"/>
              </w:rPr>
            </w:pPr>
            <w:r w:rsidRPr="00EB11D3">
              <w:rPr>
                <w:szCs w:val="24"/>
              </w:rPr>
              <w:t>30.876</w:t>
            </w:r>
          </w:p>
        </w:tc>
        <w:tc>
          <w:tcPr>
            <w:tcW w:w="588" w:type="pct"/>
            <w:tcBorders>
              <w:top w:val="single" w:sz="8" w:space="0" w:color="AEAEAE"/>
              <w:left w:val="single" w:sz="8" w:space="0" w:color="E0E0E0"/>
              <w:bottom w:val="single" w:sz="8" w:space="0" w:color="152935"/>
              <w:right w:val="nil"/>
            </w:tcBorders>
            <w:shd w:val="clear" w:color="auto" w:fill="F9F9FB"/>
          </w:tcPr>
          <w:p w14:paraId="1CEAA0C0" w14:textId="77777777" w:rsidR="003859C9" w:rsidRPr="00EB11D3" w:rsidRDefault="003859C9" w:rsidP="003859C9">
            <w:pPr>
              <w:spacing w:after="160" w:line="259" w:lineRule="auto"/>
              <w:jc w:val="left"/>
              <w:rPr>
                <w:szCs w:val="24"/>
              </w:rPr>
            </w:pPr>
            <w:r w:rsidRPr="00EB11D3">
              <w:rPr>
                <w:szCs w:val="24"/>
              </w:rPr>
              <w:t>.000</w:t>
            </w:r>
          </w:p>
        </w:tc>
      </w:tr>
      <w:tr w:rsidR="003859C9" w:rsidRPr="00EB11D3" w14:paraId="5E61CA8A" w14:textId="77777777" w:rsidTr="00007E09">
        <w:trPr>
          <w:cantSplit/>
        </w:trPr>
        <w:tc>
          <w:tcPr>
            <w:tcW w:w="5000" w:type="pct"/>
            <w:gridSpan w:val="7"/>
            <w:tcBorders>
              <w:top w:val="nil"/>
              <w:left w:val="nil"/>
              <w:bottom w:val="nil"/>
              <w:right w:val="nil"/>
            </w:tcBorders>
            <w:shd w:val="clear" w:color="auto" w:fill="FFFFFF"/>
          </w:tcPr>
          <w:p w14:paraId="6F31A3B2" w14:textId="77777777" w:rsidR="003859C9" w:rsidRPr="00EB11D3" w:rsidRDefault="003859C9" w:rsidP="003859C9">
            <w:pPr>
              <w:autoSpaceDE w:val="0"/>
              <w:autoSpaceDN w:val="0"/>
              <w:adjustRightInd w:val="0"/>
              <w:spacing w:after="0" w:line="320" w:lineRule="atLeast"/>
              <w:ind w:left="60" w:right="60"/>
              <w:jc w:val="left"/>
              <w:rPr>
                <w:szCs w:val="24"/>
              </w:rPr>
            </w:pPr>
            <w:r w:rsidRPr="00EB11D3">
              <w:rPr>
                <w:szCs w:val="24"/>
              </w:rPr>
              <w:t>a. Dependent Variable: Organisational Performance</w:t>
            </w:r>
          </w:p>
        </w:tc>
      </w:tr>
    </w:tbl>
    <w:p w14:paraId="68A3F91B" w14:textId="77777777" w:rsidR="003859C9" w:rsidRPr="00EB11D3" w:rsidRDefault="003859C9" w:rsidP="003859C9">
      <w:pPr>
        <w:autoSpaceDE w:val="0"/>
        <w:autoSpaceDN w:val="0"/>
        <w:adjustRightInd w:val="0"/>
        <w:spacing w:after="0" w:line="400" w:lineRule="atLeast"/>
        <w:jc w:val="left"/>
        <w:rPr>
          <w:szCs w:val="24"/>
        </w:rPr>
      </w:pPr>
    </w:p>
    <w:p w14:paraId="75986D01" w14:textId="77777777" w:rsidR="00373A2C" w:rsidRDefault="000E0003" w:rsidP="000E0003">
      <w:pPr>
        <w:autoSpaceDE w:val="0"/>
        <w:autoSpaceDN w:val="0"/>
        <w:spacing w:after="160" w:line="360" w:lineRule="auto"/>
        <w:rPr>
          <w:rFonts w:eastAsia="Calibri"/>
          <w:szCs w:val="24"/>
        </w:rPr>
      </w:pPr>
      <w:r w:rsidRPr="000E0003">
        <w:rPr>
          <w:rFonts w:eastAsia="Calibri"/>
          <w:szCs w:val="24"/>
        </w:rPr>
        <w:t xml:space="preserve">According to Table 32, there is a strong correlation between service innovation and organisational </w:t>
      </w:r>
      <w:r w:rsidR="00FB0B30">
        <w:rPr>
          <w:rFonts w:eastAsia="Calibri"/>
          <w:szCs w:val="24"/>
        </w:rPr>
        <w:t>performance</w:t>
      </w:r>
      <w:r w:rsidRPr="000E0003">
        <w:rPr>
          <w:rFonts w:eastAsia="Calibri"/>
          <w:szCs w:val="24"/>
        </w:rPr>
        <w:t xml:space="preserve"> (R =.891). Service innovation accounts for 79.4% of organisational performance (R</w:t>
      </w:r>
      <w:r w:rsidRPr="006776B1">
        <w:rPr>
          <w:rFonts w:eastAsia="Calibri"/>
          <w:szCs w:val="24"/>
          <w:vertAlign w:val="subscript"/>
        </w:rPr>
        <w:t>2</w:t>
      </w:r>
      <w:r w:rsidRPr="000E0003">
        <w:rPr>
          <w:rFonts w:eastAsia="Calibri"/>
          <w:szCs w:val="24"/>
        </w:rPr>
        <w:t xml:space="preserve"> =.794), with the remaining percentage being explained by factors not included in the model. Organisational performance therefore stays at.294 while service innovation is maintained constant. Concurrently, a.918 growth in service innovation units would boost the organisational performance of faith-based hospitals</w:t>
      </w:r>
      <w:r w:rsidR="00F865BE">
        <w:rPr>
          <w:rFonts w:eastAsia="Calibri"/>
          <w:szCs w:val="24"/>
        </w:rPr>
        <w:t xml:space="preserve"> in Kenya</w:t>
      </w:r>
      <w:r w:rsidRPr="000E0003">
        <w:rPr>
          <w:rFonts w:eastAsia="Calibri"/>
          <w:szCs w:val="24"/>
        </w:rPr>
        <w:t xml:space="preserve">. </w:t>
      </w:r>
    </w:p>
    <w:p w14:paraId="739AA44A" w14:textId="77777777" w:rsidR="000E0003" w:rsidRPr="000E0003" w:rsidRDefault="000E0003" w:rsidP="000E0003">
      <w:pPr>
        <w:autoSpaceDE w:val="0"/>
        <w:autoSpaceDN w:val="0"/>
        <w:spacing w:after="160" w:line="360" w:lineRule="auto"/>
        <w:rPr>
          <w:rFonts w:eastAsia="Calibri"/>
          <w:szCs w:val="24"/>
        </w:rPr>
      </w:pPr>
      <w:r w:rsidRPr="000E0003">
        <w:rPr>
          <w:rFonts w:eastAsia="Calibri"/>
          <w:szCs w:val="24"/>
        </w:rPr>
        <w:t>An F-value of 953.326 and a P-value of 0.00, both less than the 0.05 level of significance, were obtained from the model's analysis, demonstrating the statistical significance of the model. The third round of testing for a mediating effect was therefore completed, meeting the requirements, and testing moved on to step 4.</w:t>
      </w:r>
    </w:p>
    <w:p w14:paraId="0E9D9E80" w14:textId="77777777" w:rsidR="003859C9" w:rsidRPr="00EB11D3" w:rsidRDefault="000E0003" w:rsidP="000E0003">
      <w:pPr>
        <w:autoSpaceDE w:val="0"/>
        <w:autoSpaceDN w:val="0"/>
        <w:spacing w:after="160" w:line="360" w:lineRule="auto"/>
        <w:rPr>
          <w:rFonts w:eastAsia="Calibri"/>
          <w:szCs w:val="24"/>
        </w:rPr>
      </w:pPr>
      <w:r w:rsidRPr="000E0003">
        <w:rPr>
          <w:rFonts w:eastAsia="Calibri"/>
          <w:szCs w:val="24"/>
        </w:rPr>
        <w:t xml:space="preserve">Finally, step four looked at the effect of corporate governance on organisational performance while taking into account the effect of service innovation. These tests were carried out using a basic linear regression analysis. </w:t>
      </w:r>
      <w:r w:rsidR="00043B2E">
        <w:rPr>
          <w:rFonts w:eastAsia="Calibri"/>
          <w:szCs w:val="24"/>
        </w:rPr>
        <w:t>Full</w:t>
      </w:r>
      <w:r w:rsidRPr="000E0003">
        <w:rPr>
          <w:rFonts w:eastAsia="Calibri"/>
          <w:szCs w:val="24"/>
        </w:rPr>
        <w:t xml:space="preserve"> mediation occurs when CG is not significant when SI is controlled; partial mediation occurs when CG and SI both significantly predict OP</w:t>
      </w:r>
      <w:r w:rsidR="009B15E6" w:rsidRPr="009B15E6">
        <w:rPr>
          <w:rFonts w:eastAsia="Calibri"/>
          <w:szCs w:val="24"/>
        </w:rPr>
        <w:t>.</w:t>
      </w:r>
      <w:r w:rsidR="003859C9" w:rsidRPr="00EB11D3">
        <w:rPr>
          <w:rFonts w:eastAsia="Calibri"/>
          <w:szCs w:val="24"/>
        </w:rPr>
        <w:t xml:space="preserve"> The relevant results are summarised in Table 33.</w:t>
      </w:r>
    </w:p>
    <w:p w14:paraId="4FD65277" w14:textId="77777777" w:rsidR="003859C9" w:rsidRPr="00EB11D3" w:rsidRDefault="003859C9" w:rsidP="003859C9">
      <w:pPr>
        <w:spacing w:after="0" w:line="360" w:lineRule="auto"/>
        <w:rPr>
          <w:rFonts w:eastAsia="Times New Roman"/>
          <w:b/>
          <w:bCs/>
          <w:szCs w:val="24"/>
          <w:lang w:val="en-GB"/>
        </w:rPr>
      </w:pPr>
      <w:bookmarkStart w:id="900" w:name="_Toc510776695"/>
      <w:bookmarkStart w:id="901" w:name="_Toc520917379"/>
      <w:bookmarkStart w:id="902" w:name="_Toc520995089"/>
      <w:bookmarkStart w:id="903" w:name="_Toc522007575"/>
      <w:bookmarkStart w:id="904" w:name="_Toc525812840"/>
      <w:bookmarkStart w:id="905" w:name="_Toc525812952"/>
      <w:bookmarkStart w:id="906" w:name="_Toc2604501"/>
      <w:bookmarkStart w:id="907" w:name="_Toc2604704"/>
      <w:bookmarkStart w:id="908" w:name="_Toc8905588"/>
      <w:bookmarkStart w:id="909" w:name="_Toc15147926"/>
      <w:bookmarkStart w:id="910" w:name="_Toc16177260"/>
      <w:bookmarkStart w:id="911" w:name="_Toc16177630"/>
      <w:bookmarkStart w:id="912" w:name="_Toc126666768"/>
      <w:bookmarkStart w:id="913" w:name="_Toc177387964"/>
      <w:r w:rsidRPr="00EB11D3">
        <w:rPr>
          <w:rFonts w:eastAsia="Times New Roman"/>
          <w:b/>
          <w:bCs/>
          <w:szCs w:val="24"/>
        </w:rPr>
        <w:t xml:space="preserve">Table </w:t>
      </w:r>
      <w:r w:rsidRPr="00EB11D3">
        <w:rPr>
          <w:rFonts w:eastAsia="Times New Roman"/>
          <w:b/>
          <w:bCs/>
          <w:szCs w:val="24"/>
        </w:rPr>
        <w:fldChar w:fldCharType="begin"/>
      </w:r>
      <w:r w:rsidRPr="00EB11D3">
        <w:rPr>
          <w:rFonts w:eastAsia="Times New Roman"/>
          <w:b/>
          <w:bCs/>
          <w:szCs w:val="24"/>
        </w:rPr>
        <w:instrText xml:space="preserve"> SEQ Table \* ARABIC </w:instrText>
      </w:r>
      <w:r w:rsidRPr="00EB11D3">
        <w:rPr>
          <w:rFonts w:eastAsia="Times New Roman"/>
          <w:b/>
          <w:bCs/>
          <w:szCs w:val="24"/>
        </w:rPr>
        <w:fldChar w:fldCharType="separate"/>
      </w:r>
      <w:r w:rsidRPr="00EB11D3">
        <w:rPr>
          <w:rFonts w:eastAsia="Times New Roman"/>
          <w:b/>
          <w:bCs/>
          <w:noProof/>
          <w:szCs w:val="24"/>
        </w:rPr>
        <w:t>33</w:t>
      </w:r>
      <w:r w:rsidRPr="00EB11D3">
        <w:rPr>
          <w:rFonts w:eastAsia="Times New Roman"/>
          <w:b/>
          <w:bCs/>
          <w:szCs w:val="24"/>
        </w:rPr>
        <w:fldChar w:fldCharType="end"/>
      </w:r>
      <w:r w:rsidRPr="00EB11D3">
        <w:rPr>
          <w:rFonts w:eastAsia="Times New Roman"/>
          <w:b/>
          <w:bCs/>
          <w:szCs w:val="24"/>
          <w:lang w:val="en-GB"/>
        </w:rPr>
        <w:t xml:space="preserve">:  Regression Results Depicting Mediating Effect of </w:t>
      </w:r>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r w:rsidR="00510CE8">
        <w:rPr>
          <w:rFonts w:eastAsia="Times New Roman"/>
          <w:b/>
          <w:bCs/>
          <w:szCs w:val="24"/>
          <w:lang w:val="en-GB"/>
        </w:rPr>
        <w:t>SI on CG and OP</w:t>
      </w:r>
    </w:p>
    <w:p w14:paraId="6C268162" w14:textId="77777777" w:rsidR="003859C9" w:rsidRPr="00EB11D3" w:rsidRDefault="003859C9" w:rsidP="003859C9">
      <w:pPr>
        <w:autoSpaceDE w:val="0"/>
        <w:autoSpaceDN w:val="0"/>
        <w:adjustRightInd w:val="0"/>
        <w:spacing w:after="0" w:line="240" w:lineRule="auto"/>
        <w:jc w:val="left"/>
        <w:rPr>
          <w:szCs w:val="24"/>
        </w:rPr>
      </w:pPr>
    </w:p>
    <w:tbl>
      <w:tblPr>
        <w:tblW w:w="5000" w:type="pct"/>
        <w:tblCellMar>
          <w:left w:w="0" w:type="dxa"/>
          <w:right w:w="0" w:type="dxa"/>
        </w:tblCellMar>
        <w:tblLook w:val="0000" w:firstRow="0" w:lastRow="0" w:firstColumn="0" w:lastColumn="0" w:noHBand="0" w:noVBand="0"/>
      </w:tblPr>
      <w:tblGrid>
        <w:gridCol w:w="1273"/>
        <w:gridCol w:w="1640"/>
        <w:gridCol w:w="1739"/>
        <w:gridCol w:w="2353"/>
        <w:gridCol w:w="2355"/>
      </w:tblGrid>
      <w:tr w:rsidR="003859C9" w:rsidRPr="00EB11D3" w14:paraId="2661CFF2" w14:textId="77777777" w:rsidTr="00007E09">
        <w:trPr>
          <w:cantSplit/>
        </w:trPr>
        <w:tc>
          <w:tcPr>
            <w:tcW w:w="5000" w:type="pct"/>
            <w:gridSpan w:val="5"/>
            <w:tcBorders>
              <w:top w:val="single" w:sz="4" w:space="0" w:color="auto"/>
              <w:left w:val="nil"/>
              <w:bottom w:val="single" w:sz="4" w:space="0" w:color="auto"/>
              <w:right w:val="nil"/>
            </w:tcBorders>
            <w:shd w:val="clear" w:color="auto" w:fill="auto"/>
            <w:vAlign w:val="center"/>
          </w:tcPr>
          <w:p w14:paraId="1C3E8ADC" w14:textId="77777777" w:rsidR="003859C9" w:rsidRPr="00EB11D3" w:rsidRDefault="003859C9" w:rsidP="003859C9">
            <w:pPr>
              <w:autoSpaceDE w:val="0"/>
              <w:autoSpaceDN w:val="0"/>
              <w:adjustRightInd w:val="0"/>
              <w:spacing w:after="0" w:line="320" w:lineRule="atLeast"/>
              <w:ind w:left="60" w:right="60"/>
              <w:jc w:val="center"/>
              <w:rPr>
                <w:szCs w:val="24"/>
              </w:rPr>
            </w:pPr>
            <w:r w:rsidRPr="00EB11D3">
              <w:rPr>
                <w:b/>
                <w:bCs/>
                <w:szCs w:val="24"/>
              </w:rPr>
              <w:t>Model Summary</w:t>
            </w:r>
          </w:p>
        </w:tc>
      </w:tr>
      <w:tr w:rsidR="003859C9" w:rsidRPr="00EB11D3" w14:paraId="39029376" w14:textId="77777777" w:rsidTr="00007E09">
        <w:trPr>
          <w:cantSplit/>
        </w:trPr>
        <w:tc>
          <w:tcPr>
            <w:tcW w:w="680" w:type="pct"/>
            <w:tcBorders>
              <w:top w:val="single" w:sz="4" w:space="0" w:color="auto"/>
              <w:left w:val="nil"/>
              <w:bottom w:val="single" w:sz="8" w:space="0" w:color="152935"/>
              <w:right w:val="nil"/>
            </w:tcBorders>
            <w:shd w:val="clear" w:color="auto" w:fill="auto"/>
            <w:vAlign w:val="bottom"/>
          </w:tcPr>
          <w:p w14:paraId="11734F55" w14:textId="77777777" w:rsidR="003859C9" w:rsidRPr="00EB11D3" w:rsidRDefault="003859C9" w:rsidP="003859C9">
            <w:pPr>
              <w:spacing w:after="160" w:line="259" w:lineRule="auto"/>
              <w:jc w:val="left"/>
              <w:rPr>
                <w:szCs w:val="24"/>
              </w:rPr>
            </w:pPr>
            <w:r w:rsidRPr="00EB11D3">
              <w:rPr>
                <w:szCs w:val="24"/>
              </w:rPr>
              <w:t>Model</w:t>
            </w:r>
          </w:p>
        </w:tc>
        <w:tc>
          <w:tcPr>
            <w:tcW w:w="876" w:type="pct"/>
            <w:tcBorders>
              <w:top w:val="single" w:sz="4" w:space="0" w:color="auto"/>
              <w:left w:val="nil"/>
              <w:bottom w:val="single" w:sz="8" w:space="0" w:color="152935"/>
              <w:right w:val="single" w:sz="8" w:space="0" w:color="E0E0E0"/>
            </w:tcBorders>
            <w:shd w:val="clear" w:color="auto" w:fill="auto"/>
            <w:vAlign w:val="bottom"/>
          </w:tcPr>
          <w:p w14:paraId="0FB7303F" w14:textId="77777777" w:rsidR="003859C9" w:rsidRPr="00EB11D3" w:rsidRDefault="003859C9" w:rsidP="003859C9">
            <w:pPr>
              <w:spacing w:after="160" w:line="259" w:lineRule="auto"/>
              <w:jc w:val="left"/>
              <w:rPr>
                <w:szCs w:val="24"/>
              </w:rPr>
            </w:pPr>
            <w:r w:rsidRPr="00EB11D3">
              <w:rPr>
                <w:szCs w:val="24"/>
              </w:rPr>
              <w:t>R</w:t>
            </w:r>
          </w:p>
        </w:tc>
        <w:tc>
          <w:tcPr>
            <w:tcW w:w="929" w:type="pct"/>
            <w:tcBorders>
              <w:top w:val="single" w:sz="4" w:space="0" w:color="auto"/>
              <w:left w:val="single" w:sz="8" w:space="0" w:color="E0E0E0"/>
              <w:bottom w:val="single" w:sz="8" w:space="0" w:color="152935"/>
              <w:right w:val="single" w:sz="8" w:space="0" w:color="E0E0E0"/>
            </w:tcBorders>
            <w:shd w:val="clear" w:color="auto" w:fill="auto"/>
            <w:vAlign w:val="bottom"/>
          </w:tcPr>
          <w:p w14:paraId="01C2957E" w14:textId="77777777" w:rsidR="003859C9" w:rsidRPr="00EB11D3" w:rsidRDefault="003859C9" w:rsidP="003859C9">
            <w:pPr>
              <w:spacing w:after="160" w:line="259" w:lineRule="auto"/>
              <w:jc w:val="left"/>
              <w:rPr>
                <w:szCs w:val="24"/>
              </w:rPr>
            </w:pPr>
            <w:r w:rsidRPr="00EB11D3">
              <w:rPr>
                <w:szCs w:val="24"/>
              </w:rPr>
              <w:t>R Square</w:t>
            </w:r>
          </w:p>
        </w:tc>
        <w:tc>
          <w:tcPr>
            <w:tcW w:w="1257" w:type="pct"/>
            <w:tcBorders>
              <w:top w:val="single" w:sz="4" w:space="0" w:color="auto"/>
              <w:left w:val="single" w:sz="8" w:space="0" w:color="E0E0E0"/>
              <w:bottom w:val="single" w:sz="8" w:space="0" w:color="152935"/>
              <w:right w:val="single" w:sz="8" w:space="0" w:color="E0E0E0"/>
            </w:tcBorders>
            <w:shd w:val="clear" w:color="auto" w:fill="auto"/>
            <w:vAlign w:val="bottom"/>
          </w:tcPr>
          <w:p w14:paraId="20EDA385" w14:textId="77777777" w:rsidR="003859C9" w:rsidRPr="00EB11D3" w:rsidRDefault="003859C9" w:rsidP="003859C9">
            <w:pPr>
              <w:spacing w:after="160" w:line="259" w:lineRule="auto"/>
              <w:jc w:val="left"/>
              <w:rPr>
                <w:szCs w:val="24"/>
              </w:rPr>
            </w:pPr>
            <w:r w:rsidRPr="00EB11D3">
              <w:rPr>
                <w:szCs w:val="24"/>
              </w:rPr>
              <w:t>Adjusted R Square</w:t>
            </w:r>
          </w:p>
        </w:tc>
        <w:tc>
          <w:tcPr>
            <w:tcW w:w="1258" w:type="pct"/>
            <w:tcBorders>
              <w:top w:val="single" w:sz="4" w:space="0" w:color="auto"/>
              <w:left w:val="single" w:sz="8" w:space="0" w:color="E0E0E0"/>
              <w:bottom w:val="single" w:sz="8" w:space="0" w:color="152935"/>
              <w:right w:val="nil"/>
            </w:tcBorders>
            <w:shd w:val="clear" w:color="auto" w:fill="auto"/>
            <w:vAlign w:val="bottom"/>
          </w:tcPr>
          <w:p w14:paraId="57A6E741" w14:textId="77777777" w:rsidR="003859C9" w:rsidRPr="00EB11D3" w:rsidRDefault="003859C9" w:rsidP="003859C9">
            <w:pPr>
              <w:spacing w:after="160" w:line="259" w:lineRule="auto"/>
              <w:jc w:val="left"/>
              <w:rPr>
                <w:szCs w:val="24"/>
              </w:rPr>
            </w:pPr>
            <w:r w:rsidRPr="00EB11D3">
              <w:rPr>
                <w:szCs w:val="24"/>
              </w:rPr>
              <w:t>Std. Error of the Estimate</w:t>
            </w:r>
          </w:p>
        </w:tc>
      </w:tr>
      <w:tr w:rsidR="003859C9" w:rsidRPr="00EB11D3" w14:paraId="20BA68B6" w14:textId="77777777" w:rsidTr="00007E09">
        <w:trPr>
          <w:cantSplit/>
        </w:trPr>
        <w:tc>
          <w:tcPr>
            <w:tcW w:w="680" w:type="pct"/>
            <w:tcBorders>
              <w:top w:val="single" w:sz="8" w:space="0" w:color="152935"/>
              <w:left w:val="nil"/>
              <w:bottom w:val="single" w:sz="8" w:space="0" w:color="AEAEAE"/>
              <w:right w:val="nil"/>
            </w:tcBorders>
            <w:shd w:val="clear" w:color="auto" w:fill="auto"/>
          </w:tcPr>
          <w:p w14:paraId="32DFF075" w14:textId="77777777" w:rsidR="003859C9" w:rsidRPr="00EB11D3" w:rsidRDefault="003859C9" w:rsidP="003859C9">
            <w:pPr>
              <w:spacing w:after="160" w:line="259" w:lineRule="auto"/>
              <w:jc w:val="left"/>
              <w:rPr>
                <w:szCs w:val="24"/>
              </w:rPr>
            </w:pPr>
            <w:r w:rsidRPr="00EB11D3">
              <w:rPr>
                <w:szCs w:val="24"/>
              </w:rPr>
              <w:t>1</w:t>
            </w:r>
          </w:p>
        </w:tc>
        <w:tc>
          <w:tcPr>
            <w:tcW w:w="876" w:type="pct"/>
            <w:tcBorders>
              <w:top w:val="single" w:sz="8" w:space="0" w:color="152935"/>
              <w:left w:val="nil"/>
              <w:bottom w:val="single" w:sz="8" w:space="0" w:color="AEAEAE"/>
              <w:right w:val="single" w:sz="8" w:space="0" w:color="E0E0E0"/>
            </w:tcBorders>
            <w:shd w:val="clear" w:color="auto" w:fill="auto"/>
          </w:tcPr>
          <w:p w14:paraId="54188322"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.783</w:t>
            </w:r>
            <w:r w:rsidRPr="00EB11D3">
              <w:rPr>
                <w:szCs w:val="24"/>
                <w:vertAlign w:val="superscript"/>
              </w:rPr>
              <w:t>a</w:t>
            </w:r>
          </w:p>
        </w:tc>
        <w:tc>
          <w:tcPr>
            <w:tcW w:w="929" w:type="pct"/>
            <w:tcBorders>
              <w:top w:val="single" w:sz="8" w:space="0" w:color="152935"/>
              <w:left w:val="single" w:sz="8" w:space="0" w:color="E0E0E0"/>
              <w:bottom w:val="single" w:sz="8" w:space="0" w:color="AEAEAE"/>
              <w:right w:val="single" w:sz="8" w:space="0" w:color="E0E0E0"/>
            </w:tcBorders>
            <w:shd w:val="clear" w:color="auto" w:fill="auto"/>
          </w:tcPr>
          <w:p w14:paraId="4B6B85E5"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.613</w:t>
            </w:r>
          </w:p>
        </w:tc>
        <w:tc>
          <w:tcPr>
            <w:tcW w:w="1257" w:type="pct"/>
            <w:tcBorders>
              <w:top w:val="single" w:sz="8" w:space="0" w:color="152935"/>
              <w:left w:val="single" w:sz="8" w:space="0" w:color="E0E0E0"/>
              <w:bottom w:val="single" w:sz="8" w:space="0" w:color="AEAEAE"/>
              <w:right w:val="single" w:sz="8" w:space="0" w:color="E0E0E0"/>
            </w:tcBorders>
            <w:shd w:val="clear" w:color="auto" w:fill="auto"/>
          </w:tcPr>
          <w:p w14:paraId="76FC7429"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.611</w:t>
            </w:r>
          </w:p>
        </w:tc>
        <w:tc>
          <w:tcPr>
            <w:tcW w:w="1258" w:type="pct"/>
            <w:tcBorders>
              <w:top w:val="single" w:sz="8" w:space="0" w:color="152935"/>
              <w:left w:val="single" w:sz="8" w:space="0" w:color="E0E0E0"/>
              <w:bottom w:val="single" w:sz="8" w:space="0" w:color="AEAEAE"/>
              <w:right w:val="nil"/>
            </w:tcBorders>
            <w:shd w:val="clear" w:color="auto" w:fill="auto"/>
          </w:tcPr>
          <w:p w14:paraId="4E013E28"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.47443</w:t>
            </w:r>
          </w:p>
        </w:tc>
      </w:tr>
      <w:tr w:rsidR="003859C9" w:rsidRPr="00EB11D3" w14:paraId="5F3E04D6" w14:textId="77777777" w:rsidTr="00007E09">
        <w:trPr>
          <w:cantSplit/>
        </w:trPr>
        <w:tc>
          <w:tcPr>
            <w:tcW w:w="680" w:type="pct"/>
            <w:tcBorders>
              <w:top w:val="single" w:sz="8" w:space="0" w:color="AEAEAE"/>
              <w:left w:val="nil"/>
              <w:bottom w:val="single" w:sz="8" w:space="0" w:color="152935"/>
              <w:right w:val="nil"/>
            </w:tcBorders>
            <w:shd w:val="clear" w:color="auto" w:fill="auto"/>
          </w:tcPr>
          <w:p w14:paraId="2A4FE257" w14:textId="77777777" w:rsidR="003859C9" w:rsidRPr="00EB11D3" w:rsidRDefault="003859C9" w:rsidP="003859C9">
            <w:pPr>
              <w:spacing w:after="160" w:line="259" w:lineRule="auto"/>
              <w:jc w:val="left"/>
              <w:rPr>
                <w:szCs w:val="24"/>
              </w:rPr>
            </w:pPr>
            <w:r w:rsidRPr="00EB11D3">
              <w:rPr>
                <w:szCs w:val="24"/>
              </w:rPr>
              <w:t>2</w:t>
            </w:r>
          </w:p>
        </w:tc>
        <w:tc>
          <w:tcPr>
            <w:tcW w:w="876" w:type="pct"/>
            <w:tcBorders>
              <w:top w:val="single" w:sz="8" w:space="0" w:color="AEAEAE"/>
              <w:left w:val="nil"/>
              <w:bottom w:val="single" w:sz="8" w:space="0" w:color="152935"/>
              <w:right w:val="single" w:sz="8" w:space="0" w:color="E0E0E0"/>
            </w:tcBorders>
            <w:shd w:val="clear" w:color="auto" w:fill="auto"/>
          </w:tcPr>
          <w:p w14:paraId="55AADD60"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.897</w:t>
            </w:r>
            <w:r w:rsidRPr="00EB11D3">
              <w:rPr>
                <w:szCs w:val="24"/>
                <w:vertAlign w:val="superscript"/>
              </w:rPr>
              <w:t>b</w:t>
            </w:r>
          </w:p>
        </w:tc>
        <w:tc>
          <w:tcPr>
            <w:tcW w:w="929" w:type="pct"/>
            <w:tcBorders>
              <w:top w:val="single" w:sz="8" w:space="0" w:color="AEAEAE"/>
              <w:left w:val="single" w:sz="8" w:space="0" w:color="E0E0E0"/>
              <w:bottom w:val="single" w:sz="8" w:space="0" w:color="152935"/>
              <w:right w:val="single" w:sz="8" w:space="0" w:color="E0E0E0"/>
            </w:tcBorders>
            <w:shd w:val="clear" w:color="auto" w:fill="auto"/>
          </w:tcPr>
          <w:p w14:paraId="16FB8771"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.804</w:t>
            </w:r>
          </w:p>
        </w:tc>
        <w:tc>
          <w:tcPr>
            <w:tcW w:w="1257" w:type="pct"/>
            <w:tcBorders>
              <w:top w:val="single" w:sz="8" w:space="0" w:color="AEAEAE"/>
              <w:left w:val="single" w:sz="8" w:space="0" w:color="E0E0E0"/>
              <w:bottom w:val="single" w:sz="8" w:space="0" w:color="152935"/>
              <w:right w:val="single" w:sz="8" w:space="0" w:color="E0E0E0"/>
            </w:tcBorders>
            <w:shd w:val="clear" w:color="auto" w:fill="auto"/>
          </w:tcPr>
          <w:p w14:paraId="4A87AC2D"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.802</w:t>
            </w:r>
          </w:p>
        </w:tc>
        <w:tc>
          <w:tcPr>
            <w:tcW w:w="1258" w:type="pct"/>
            <w:tcBorders>
              <w:top w:val="single" w:sz="8" w:space="0" w:color="AEAEAE"/>
              <w:left w:val="single" w:sz="8" w:space="0" w:color="E0E0E0"/>
              <w:bottom w:val="single" w:sz="8" w:space="0" w:color="152935"/>
              <w:right w:val="nil"/>
            </w:tcBorders>
            <w:shd w:val="clear" w:color="auto" w:fill="auto"/>
          </w:tcPr>
          <w:p w14:paraId="51E5280B"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.33814</w:t>
            </w:r>
          </w:p>
        </w:tc>
      </w:tr>
    </w:tbl>
    <w:p w14:paraId="694C7396" w14:textId="77777777" w:rsidR="003859C9" w:rsidRPr="00EB11D3" w:rsidRDefault="003859C9" w:rsidP="003859C9">
      <w:pPr>
        <w:autoSpaceDE w:val="0"/>
        <w:autoSpaceDN w:val="0"/>
        <w:adjustRightInd w:val="0"/>
        <w:spacing w:after="0" w:line="240" w:lineRule="auto"/>
        <w:jc w:val="left"/>
        <w:rPr>
          <w:szCs w:val="24"/>
        </w:rPr>
      </w:pPr>
    </w:p>
    <w:tbl>
      <w:tblPr>
        <w:tblW w:w="5000" w:type="pct"/>
        <w:tblCellMar>
          <w:left w:w="0" w:type="dxa"/>
          <w:right w:w="0" w:type="dxa"/>
        </w:tblCellMar>
        <w:tblLook w:val="0000" w:firstRow="0" w:lastRow="0" w:firstColumn="0" w:lastColumn="0" w:noHBand="0" w:noVBand="0"/>
      </w:tblPr>
      <w:tblGrid>
        <w:gridCol w:w="860"/>
        <w:gridCol w:w="1509"/>
        <w:gridCol w:w="1726"/>
        <w:gridCol w:w="1204"/>
        <w:gridCol w:w="1653"/>
        <w:gridCol w:w="1204"/>
        <w:gridCol w:w="1204"/>
      </w:tblGrid>
      <w:tr w:rsidR="003859C9" w:rsidRPr="00EB11D3" w14:paraId="21F80AAC" w14:textId="77777777" w:rsidTr="00007E09">
        <w:trPr>
          <w:cantSplit/>
        </w:trPr>
        <w:tc>
          <w:tcPr>
            <w:tcW w:w="5000" w:type="pct"/>
            <w:gridSpan w:val="7"/>
            <w:tcBorders>
              <w:top w:val="nil"/>
              <w:left w:val="nil"/>
              <w:bottom w:val="single" w:sz="4" w:space="0" w:color="auto"/>
              <w:right w:val="nil"/>
            </w:tcBorders>
            <w:shd w:val="clear" w:color="auto" w:fill="auto"/>
            <w:vAlign w:val="center"/>
          </w:tcPr>
          <w:p w14:paraId="34FB2646" w14:textId="77777777" w:rsidR="003859C9" w:rsidRPr="00EB11D3" w:rsidRDefault="003859C9" w:rsidP="003859C9">
            <w:pPr>
              <w:autoSpaceDE w:val="0"/>
              <w:autoSpaceDN w:val="0"/>
              <w:adjustRightInd w:val="0"/>
              <w:spacing w:after="0" w:line="320" w:lineRule="atLeast"/>
              <w:ind w:left="60" w:right="60"/>
              <w:jc w:val="center"/>
              <w:rPr>
                <w:szCs w:val="24"/>
              </w:rPr>
            </w:pPr>
            <w:r w:rsidRPr="00EB11D3">
              <w:rPr>
                <w:b/>
                <w:bCs/>
                <w:szCs w:val="24"/>
              </w:rPr>
              <w:t>ANOVA</w:t>
            </w:r>
            <w:r w:rsidRPr="00EB11D3">
              <w:rPr>
                <w:b/>
                <w:bCs/>
                <w:szCs w:val="24"/>
                <w:vertAlign w:val="superscript"/>
              </w:rPr>
              <w:t>a</w:t>
            </w:r>
          </w:p>
        </w:tc>
      </w:tr>
      <w:tr w:rsidR="003859C9" w:rsidRPr="00EB11D3" w14:paraId="52DB0BA4" w14:textId="77777777" w:rsidTr="00007E09">
        <w:trPr>
          <w:cantSplit/>
        </w:trPr>
        <w:tc>
          <w:tcPr>
            <w:tcW w:w="1266" w:type="pct"/>
            <w:gridSpan w:val="2"/>
            <w:tcBorders>
              <w:top w:val="single" w:sz="4" w:space="0" w:color="auto"/>
              <w:left w:val="nil"/>
              <w:bottom w:val="single" w:sz="8" w:space="0" w:color="152935"/>
              <w:right w:val="nil"/>
            </w:tcBorders>
            <w:shd w:val="clear" w:color="auto" w:fill="auto"/>
            <w:vAlign w:val="bottom"/>
          </w:tcPr>
          <w:p w14:paraId="43BE27A6" w14:textId="77777777" w:rsidR="003859C9" w:rsidRPr="00EB11D3" w:rsidRDefault="003859C9" w:rsidP="003859C9">
            <w:pPr>
              <w:spacing w:after="160" w:line="259" w:lineRule="auto"/>
              <w:jc w:val="left"/>
              <w:rPr>
                <w:szCs w:val="24"/>
              </w:rPr>
            </w:pPr>
            <w:r w:rsidRPr="00EB11D3">
              <w:rPr>
                <w:szCs w:val="24"/>
              </w:rPr>
              <w:t>Model</w:t>
            </w:r>
          </w:p>
        </w:tc>
        <w:tc>
          <w:tcPr>
            <w:tcW w:w="922" w:type="pct"/>
            <w:tcBorders>
              <w:top w:val="single" w:sz="4" w:space="0" w:color="auto"/>
              <w:left w:val="nil"/>
              <w:bottom w:val="single" w:sz="8" w:space="0" w:color="152935"/>
              <w:right w:val="single" w:sz="8" w:space="0" w:color="E0E0E0"/>
            </w:tcBorders>
            <w:shd w:val="clear" w:color="auto" w:fill="auto"/>
            <w:vAlign w:val="bottom"/>
          </w:tcPr>
          <w:p w14:paraId="7103E9DD" w14:textId="77777777" w:rsidR="003859C9" w:rsidRPr="00EB11D3" w:rsidRDefault="003859C9" w:rsidP="003859C9">
            <w:pPr>
              <w:spacing w:after="160" w:line="259" w:lineRule="auto"/>
              <w:jc w:val="left"/>
              <w:rPr>
                <w:szCs w:val="24"/>
              </w:rPr>
            </w:pPr>
            <w:r w:rsidRPr="00EB11D3">
              <w:rPr>
                <w:szCs w:val="24"/>
              </w:rPr>
              <w:t>Sum of Squares</w:t>
            </w:r>
          </w:p>
        </w:tc>
        <w:tc>
          <w:tcPr>
            <w:tcW w:w="643" w:type="pct"/>
            <w:tcBorders>
              <w:top w:val="single" w:sz="4" w:space="0" w:color="auto"/>
              <w:left w:val="single" w:sz="8" w:space="0" w:color="E0E0E0"/>
              <w:bottom w:val="single" w:sz="8" w:space="0" w:color="152935"/>
              <w:right w:val="single" w:sz="8" w:space="0" w:color="E0E0E0"/>
            </w:tcBorders>
            <w:shd w:val="clear" w:color="auto" w:fill="auto"/>
            <w:vAlign w:val="bottom"/>
          </w:tcPr>
          <w:p w14:paraId="3E2FA5F7" w14:textId="77777777" w:rsidR="003859C9" w:rsidRPr="00EB11D3" w:rsidRDefault="003859C9" w:rsidP="003859C9">
            <w:pPr>
              <w:spacing w:after="160" w:line="259" w:lineRule="auto"/>
              <w:jc w:val="left"/>
              <w:rPr>
                <w:szCs w:val="24"/>
              </w:rPr>
            </w:pPr>
            <w:r w:rsidRPr="00EB11D3">
              <w:rPr>
                <w:szCs w:val="24"/>
              </w:rPr>
              <w:t>df</w:t>
            </w:r>
          </w:p>
        </w:tc>
        <w:tc>
          <w:tcPr>
            <w:tcW w:w="883" w:type="pct"/>
            <w:tcBorders>
              <w:top w:val="single" w:sz="4" w:space="0" w:color="auto"/>
              <w:left w:val="single" w:sz="8" w:space="0" w:color="E0E0E0"/>
              <w:bottom w:val="single" w:sz="8" w:space="0" w:color="152935"/>
              <w:right w:val="single" w:sz="8" w:space="0" w:color="E0E0E0"/>
            </w:tcBorders>
            <w:shd w:val="clear" w:color="auto" w:fill="auto"/>
            <w:vAlign w:val="bottom"/>
          </w:tcPr>
          <w:p w14:paraId="44FED71D" w14:textId="77777777" w:rsidR="003859C9" w:rsidRPr="00EB11D3" w:rsidRDefault="003859C9" w:rsidP="003859C9">
            <w:pPr>
              <w:spacing w:after="160" w:line="259" w:lineRule="auto"/>
              <w:jc w:val="left"/>
              <w:rPr>
                <w:szCs w:val="24"/>
              </w:rPr>
            </w:pPr>
            <w:r w:rsidRPr="00EB11D3">
              <w:rPr>
                <w:szCs w:val="24"/>
              </w:rPr>
              <w:t>Mean Square</w:t>
            </w:r>
          </w:p>
        </w:tc>
        <w:tc>
          <w:tcPr>
            <w:tcW w:w="643" w:type="pct"/>
            <w:tcBorders>
              <w:top w:val="single" w:sz="4" w:space="0" w:color="auto"/>
              <w:left w:val="single" w:sz="8" w:space="0" w:color="E0E0E0"/>
              <w:bottom w:val="single" w:sz="8" w:space="0" w:color="152935"/>
              <w:right w:val="single" w:sz="8" w:space="0" w:color="E0E0E0"/>
            </w:tcBorders>
            <w:shd w:val="clear" w:color="auto" w:fill="auto"/>
            <w:vAlign w:val="bottom"/>
          </w:tcPr>
          <w:p w14:paraId="7F8F39F7" w14:textId="77777777" w:rsidR="003859C9" w:rsidRPr="00EB11D3" w:rsidRDefault="003859C9" w:rsidP="003859C9">
            <w:pPr>
              <w:spacing w:after="160" w:line="259" w:lineRule="auto"/>
              <w:jc w:val="left"/>
              <w:rPr>
                <w:szCs w:val="24"/>
              </w:rPr>
            </w:pPr>
            <w:r w:rsidRPr="00EB11D3">
              <w:rPr>
                <w:szCs w:val="24"/>
              </w:rPr>
              <w:t>F</w:t>
            </w:r>
          </w:p>
        </w:tc>
        <w:tc>
          <w:tcPr>
            <w:tcW w:w="643" w:type="pct"/>
            <w:tcBorders>
              <w:top w:val="single" w:sz="4" w:space="0" w:color="auto"/>
              <w:left w:val="single" w:sz="8" w:space="0" w:color="E0E0E0"/>
              <w:bottom w:val="single" w:sz="8" w:space="0" w:color="152935"/>
              <w:right w:val="nil"/>
            </w:tcBorders>
            <w:shd w:val="clear" w:color="auto" w:fill="auto"/>
            <w:vAlign w:val="bottom"/>
          </w:tcPr>
          <w:p w14:paraId="34AFAF0B" w14:textId="77777777" w:rsidR="003859C9" w:rsidRPr="00EB11D3" w:rsidRDefault="003859C9" w:rsidP="003859C9">
            <w:pPr>
              <w:spacing w:after="160" w:line="259" w:lineRule="auto"/>
              <w:jc w:val="left"/>
              <w:rPr>
                <w:szCs w:val="24"/>
              </w:rPr>
            </w:pPr>
            <w:r w:rsidRPr="00EB11D3">
              <w:rPr>
                <w:szCs w:val="24"/>
              </w:rPr>
              <w:t>Sig.</w:t>
            </w:r>
          </w:p>
        </w:tc>
      </w:tr>
      <w:tr w:rsidR="003859C9" w:rsidRPr="00EB11D3" w14:paraId="29CA2EBF" w14:textId="77777777" w:rsidTr="00007E09">
        <w:trPr>
          <w:cantSplit/>
        </w:trPr>
        <w:tc>
          <w:tcPr>
            <w:tcW w:w="460" w:type="pct"/>
            <w:vMerge w:val="restart"/>
            <w:tcBorders>
              <w:top w:val="single" w:sz="8" w:space="0" w:color="152935"/>
              <w:left w:val="nil"/>
              <w:bottom w:val="nil"/>
              <w:right w:val="nil"/>
            </w:tcBorders>
            <w:shd w:val="clear" w:color="auto" w:fill="auto"/>
          </w:tcPr>
          <w:p w14:paraId="385A79D5" w14:textId="77777777" w:rsidR="003859C9" w:rsidRPr="00EB11D3" w:rsidRDefault="003859C9" w:rsidP="003859C9">
            <w:pPr>
              <w:spacing w:after="160" w:line="259" w:lineRule="auto"/>
              <w:jc w:val="left"/>
              <w:rPr>
                <w:szCs w:val="24"/>
              </w:rPr>
            </w:pPr>
            <w:r w:rsidRPr="00EB11D3">
              <w:rPr>
                <w:szCs w:val="24"/>
              </w:rPr>
              <w:t>1</w:t>
            </w:r>
          </w:p>
        </w:tc>
        <w:tc>
          <w:tcPr>
            <w:tcW w:w="806" w:type="pct"/>
            <w:tcBorders>
              <w:top w:val="single" w:sz="8" w:space="0" w:color="152935"/>
              <w:left w:val="nil"/>
              <w:bottom w:val="single" w:sz="8" w:space="0" w:color="AEAEAE"/>
              <w:right w:val="nil"/>
            </w:tcBorders>
            <w:shd w:val="clear" w:color="auto" w:fill="auto"/>
          </w:tcPr>
          <w:p w14:paraId="02009F66" w14:textId="77777777" w:rsidR="003859C9" w:rsidRPr="00EB11D3" w:rsidRDefault="003859C9" w:rsidP="003859C9">
            <w:pPr>
              <w:spacing w:after="160" w:line="259" w:lineRule="auto"/>
              <w:jc w:val="left"/>
              <w:rPr>
                <w:szCs w:val="24"/>
              </w:rPr>
            </w:pPr>
            <w:r w:rsidRPr="00EB11D3">
              <w:rPr>
                <w:szCs w:val="24"/>
              </w:rPr>
              <w:t>Regression</w:t>
            </w:r>
          </w:p>
        </w:tc>
        <w:tc>
          <w:tcPr>
            <w:tcW w:w="922" w:type="pct"/>
            <w:tcBorders>
              <w:top w:val="single" w:sz="8" w:space="0" w:color="152935"/>
              <w:left w:val="nil"/>
              <w:bottom w:val="single" w:sz="8" w:space="0" w:color="AEAEAE"/>
              <w:right w:val="single" w:sz="8" w:space="0" w:color="E0E0E0"/>
            </w:tcBorders>
            <w:shd w:val="clear" w:color="auto" w:fill="auto"/>
          </w:tcPr>
          <w:p w14:paraId="6CEFB650"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88.279</w:t>
            </w:r>
          </w:p>
        </w:tc>
        <w:tc>
          <w:tcPr>
            <w:tcW w:w="643" w:type="pct"/>
            <w:tcBorders>
              <w:top w:val="single" w:sz="8" w:space="0" w:color="152935"/>
              <w:left w:val="single" w:sz="8" w:space="0" w:color="E0E0E0"/>
              <w:bottom w:val="single" w:sz="8" w:space="0" w:color="AEAEAE"/>
              <w:right w:val="single" w:sz="8" w:space="0" w:color="E0E0E0"/>
            </w:tcBorders>
            <w:shd w:val="clear" w:color="auto" w:fill="auto"/>
          </w:tcPr>
          <w:p w14:paraId="433205FD"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1</w:t>
            </w:r>
          </w:p>
        </w:tc>
        <w:tc>
          <w:tcPr>
            <w:tcW w:w="883" w:type="pct"/>
            <w:tcBorders>
              <w:top w:val="single" w:sz="8" w:space="0" w:color="152935"/>
              <w:left w:val="single" w:sz="8" w:space="0" w:color="E0E0E0"/>
              <w:bottom w:val="single" w:sz="8" w:space="0" w:color="AEAEAE"/>
              <w:right w:val="single" w:sz="8" w:space="0" w:color="E0E0E0"/>
            </w:tcBorders>
            <w:shd w:val="clear" w:color="auto" w:fill="auto"/>
          </w:tcPr>
          <w:p w14:paraId="711C8D1B"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88.279</w:t>
            </w:r>
          </w:p>
        </w:tc>
        <w:tc>
          <w:tcPr>
            <w:tcW w:w="643" w:type="pct"/>
            <w:tcBorders>
              <w:top w:val="single" w:sz="8" w:space="0" w:color="152935"/>
              <w:left w:val="single" w:sz="8" w:space="0" w:color="E0E0E0"/>
              <w:bottom w:val="single" w:sz="8" w:space="0" w:color="AEAEAE"/>
              <w:right w:val="single" w:sz="8" w:space="0" w:color="E0E0E0"/>
            </w:tcBorders>
            <w:shd w:val="clear" w:color="auto" w:fill="auto"/>
          </w:tcPr>
          <w:p w14:paraId="6F5E289C"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392.200</w:t>
            </w:r>
          </w:p>
        </w:tc>
        <w:tc>
          <w:tcPr>
            <w:tcW w:w="643" w:type="pct"/>
            <w:tcBorders>
              <w:top w:val="single" w:sz="8" w:space="0" w:color="152935"/>
              <w:left w:val="single" w:sz="8" w:space="0" w:color="E0E0E0"/>
              <w:bottom w:val="single" w:sz="8" w:space="0" w:color="AEAEAE"/>
              <w:right w:val="nil"/>
            </w:tcBorders>
            <w:shd w:val="clear" w:color="auto" w:fill="auto"/>
          </w:tcPr>
          <w:p w14:paraId="0A48E6C8"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.000</w:t>
            </w:r>
            <w:r w:rsidRPr="00EB11D3">
              <w:rPr>
                <w:szCs w:val="24"/>
                <w:vertAlign w:val="superscript"/>
              </w:rPr>
              <w:t>b</w:t>
            </w:r>
          </w:p>
        </w:tc>
      </w:tr>
      <w:tr w:rsidR="003859C9" w:rsidRPr="00EB11D3" w14:paraId="2873C0CA" w14:textId="77777777" w:rsidTr="00007E09">
        <w:trPr>
          <w:cantSplit/>
        </w:trPr>
        <w:tc>
          <w:tcPr>
            <w:tcW w:w="460" w:type="pct"/>
            <w:vMerge/>
            <w:tcBorders>
              <w:top w:val="single" w:sz="8" w:space="0" w:color="152935"/>
              <w:left w:val="nil"/>
              <w:bottom w:val="nil"/>
              <w:right w:val="nil"/>
            </w:tcBorders>
            <w:shd w:val="clear" w:color="auto" w:fill="auto"/>
          </w:tcPr>
          <w:p w14:paraId="4C700FAE" w14:textId="77777777" w:rsidR="003859C9" w:rsidRPr="00EB11D3" w:rsidRDefault="003859C9" w:rsidP="003859C9">
            <w:pPr>
              <w:spacing w:after="160" w:line="259" w:lineRule="auto"/>
              <w:jc w:val="left"/>
              <w:rPr>
                <w:szCs w:val="24"/>
              </w:rPr>
            </w:pPr>
          </w:p>
        </w:tc>
        <w:tc>
          <w:tcPr>
            <w:tcW w:w="806" w:type="pct"/>
            <w:tcBorders>
              <w:top w:val="single" w:sz="8" w:space="0" w:color="AEAEAE"/>
              <w:left w:val="nil"/>
              <w:bottom w:val="single" w:sz="8" w:space="0" w:color="AEAEAE"/>
              <w:right w:val="nil"/>
            </w:tcBorders>
            <w:shd w:val="clear" w:color="auto" w:fill="auto"/>
          </w:tcPr>
          <w:p w14:paraId="02166C31" w14:textId="77777777" w:rsidR="003859C9" w:rsidRPr="00EB11D3" w:rsidRDefault="003859C9" w:rsidP="003859C9">
            <w:pPr>
              <w:spacing w:after="160" w:line="259" w:lineRule="auto"/>
              <w:jc w:val="left"/>
              <w:rPr>
                <w:szCs w:val="24"/>
              </w:rPr>
            </w:pPr>
            <w:r w:rsidRPr="00EB11D3">
              <w:rPr>
                <w:szCs w:val="24"/>
              </w:rPr>
              <w:t>Residual</w:t>
            </w:r>
          </w:p>
        </w:tc>
        <w:tc>
          <w:tcPr>
            <w:tcW w:w="922" w:type="pct"/>
            <w:tcBorders>
              <w:top w:val="single" w:sz="8" w:space="0" w:color="AEAEAE"/>
              <w:left w:val="nil"/>
              <w:bottom w:val="single" w:sz="8" w:space="0" w:color="AEAEAE"/>
              <w:right w:val="single" w:sz="8" w:space="0" w:color="E0E0E0"/>
            </w:tcBorders>
            <w:shd w:val="clear" w:color="auto" w:fill="auto"/>
          </w:tcPr>
          <w:p w14:paraId="31414F72"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55.821</w:t>
            </w:r>
          </w:p>
        </w:tc>
        <w:tc>
          <w:tcPr>
            <w:tcW w:w="643" w:type="pct"/>
            <w:tcBorders>
              <w:top w:val="single" w:sz="8" w:space="0" w:color="AEAEAE"/>
              <w:left w:val="single" w:sz="8" w:space="0" w:color="E0E0E0"/>
              <w:bottom w:val="single" w:sz="8" w:space="0" w:color="AEAEAE"/>
              <w:right w:val="single" w:sz="8" w:space="0" w:color="E0E0E0"/>
            </w:tcBorders>
            <w:shd w:val="clear" w:color="auto" w:fill="auto"/>
          </w:tcPr>
          <w:p w14:paraId="3191925F"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248</w:t>
            </w:r>
          </w:p>
        </w:tc>
        <w:tc>
          <w:tcPr>
            <w:tcW w:w="883" w:type="pct"/>
            <w:tcBorders>
              <w:top w:val="single" w:sz="8" w:space="0" w:color="AEAEAE"/>
              <w:left w:val="single" w:sz="8" w:space="0" w:color="E0E0E0"/>
              <w:bottom w:val="single" w:sz="8" w:space="0" w:color="AEAEAE"/>
              <w:right w:val="single" w:sz="8" w:space="0" w:color="E0E0E0"/>
            </w:tcBorders>
            <w:shd w:val="clear" w:color="auto" w:fill="auto"/>
          </w:tcPr>
          <w:p w14:paraId="38A91BB5"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.225</w:t>
            </w:r>
          </w:p>
        </w:tc>
        <w:tc>
          <w:tcPr>
            <w:tcW w:w="643" w:type="pct"/>
            <w:tcBorders>
              <w:top w:val="single" w:sz="8" w:space="0" w:color="AEAEAE"/>
              <w:left w:val="single" w:sz="8" w:space="0" w:color="E0E0E0"/>
              <w:bottom w:val="single" w:sz="8" w:space="0" w:color="AEAEAE"/>
              <w:right w:val="single" w:sz="8" w:space="0" w:color="E0E0E0"/>
            </w:tcBorders>
            <w:shd w:val="clear" w:color="auto" w:fill="auto"/>
            <w:vAlign w:val="center"/>
          </w:tcPr>
          <w:p w14:paraId="4A98B663" w14:textId="77777777" w:rsidR="003859C9" w:rsidRPr="00EB11D3" w:rsidRDefault="003859C9" w:rsidP="003859C9">
            <w:pPr>
              <w:autoSpaceDE w:val="0"/>
              <w:autoSpaceDN w:val="0"/>
              <w:adjustRightInd w:val="0"/>
              <w:spacing w:after="0" w:line="240" w:lineRule="auto"/>
              <w:jc w:val="left"/>
              <w:rPr>
                <w:szCs w:val="24"/>
              </w:rPr>
            </w:pPr>
          </w:p>
        </w:tc>
        <w:tc>
          <w:tcPr>
            <w:tcW w:w="643" w:type="pct"/>
            <w:tcBorders>
              <w:top w:val="single" w:sz="8" w:space="0" w:color="AEAEAE"/>
              <w:left w:val="single" w:sz="8" w:space="0" w:color="E0E0E0"/>
              <w:bottom w:val="single" w:sz="8" w:space="0" w:color="AEAEAE"/>
              <w:right w:val="nil"/>
            </w:tcBorders>
            <w:shd w:val="clear" w:color="auto" w:fill="auto"/>
            <w:vAlign w:val="center"/>
          </w:tcPr>
          <w:p w14:paraId="5F99C051" w14:textId="77777777" w:rsidR="003859C9" w:rsidRPr="00EB11D3" w:rsidRDefault="003859C9" w:rsidP="003859C9">
            <w:pPr>
              <w:autoSpaceDE w:val="0"/>
              <w:autoSpaceDN w:val="0"/>
              <w:adjustRightInd w:val="0"/>
              <w:spacing w:after="0" w:line="240" w:lineRule="auto"/>
              <w:jc w:val="left"/>
              <w:rPr>
                <w:szCs w:val="24"/>
              </w:rPr>
            </w:pPr>
          </w:p>
        </w:tc>
      </w:tr>
      <w:tr w:rsidR="003859C9" w:rsidRPr="00EB11D3" w14:paraId="083873B2" w14:textId="77777777" w:rsidTr="00007E09">
        <w:trPr>
          <w:cantSplit/>
        </w:trPr>
        <w:tc>
          <w:tcPr>
            <w:tcW w:w="460" w:type="pct"/>
            <w:vMerge/>
            <w:tcBorders>
              <w:top w:val="single" w:sz="8" w:space="0" w:color="152935"/>
              <w:left w:val="nil"/>
              <w:bottom w:val="nil"/>
              <w:right w:val="nil"/>
            </w:tcBorders>
            <w:shd w:val="clear" w:color="auto" w:fill="auto"/>
          </w:tcPr>
          <w:p w14:paraId="7BB7C54B" w14:textId="77777777" w:rsidR="003859C9" w:rsidRPr="00EB11D3" w:rsidRDefault="003859C9" w:rsidP="003859C9">
            <w:pPr>
              <w:spacing w:after="160" w:line="259" w:lineRule="auto"/>
              <w:jc w:val="left"/>
              <w:rPr>
                <w:szCs w:val="24"/>
              </w:rPr>
            </w:pPr>
          </w:p>
        </w:tc>
        <w:tc>
          <w:tcPr>
            <w:tcW w:w="806" w:type="pct"/>
            <w:tcBorders>
              <w:top w:val="single" w:sz="8" w:space="0" w:color="AEAEAE"/>
              <w:left w:val="nil"/>
              <w:bottom w:val="nil"/>
              <w:right w:val="nil"/>
            </w:tcBorders>
            <w:shd w:val="clear" w:color="auto" w:fill="auto"/>
          </w:tcPr>
          <w:p w14:paraId="5418CC20" w14:textId="77777777" w:rsidR="003859C9" w:rsidRPr="00EB11D3" w:rsidRDefault="003859C9" w:rsidP="003859C9">
            <w:pPr>
              <w:spacing w:after="160" w:line="259" w:lineRule="auto"/>
              <w:jc w:val="left"/>
              <w:rPr>
                <w:szCs w:val="24"/>
              </w:rPr>
            </w:pPr>
            <w:r w:rsidRPr="00EB11D3">
              <w:rPr>
                <w:szCs w:val="24"/>
              </w:rPr>
              <w:t>Total</w:t>
            </w:r>
          </w:p>
        </w:tc>
        <w:tc>
          <w:tcPr>
            <w:tcW w:w="922" w:type="pct"/>
            <w:tcBorders>
              <w:top w:val="single" w:sz="8" w:space="0" w:color="AEAEAE"/>
              <w:left w:val="nil"/>
              <w:bottom w:val="nil"/>
              <w:right w:val="single" w:sz="8" w:space="0" w:color="E0E0E0"/>
            </w:tcBorders>
            <w:shd w:val="clear" w:color="auto" w:fill="auto"/>
          </w:tcPr>
          <w:p w14:paraId="565BC775"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144.100</w:t>
            </w:r>
          </w:p>
        </w:tc>
        <w:tc>
          <w:tcPr>
            <w:tcW w:w="643" w:type="pct"/>
            <w:tcBorders>
              <w:top w:val="single" w:sz="8" w:space="0" w:color="AEAEAE"/>
              <w:left w:val="single" w:sz="8" w:space="0" w:color="E0E0E0"/>
              <w:bottom w:val="nil"/>
              <w:right w:val="single" w:sz="8" w:space="0" w:color="E0E0E0"/>
            </w:tcBorders>
            <w:shd w:val="clear" w:color="auto" w:fill="auto"/>
          </w:tcPr>
          <w:p w14:paraId="19FFB98F"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249</w:t>
            </w:r>
          </w:p>
        </w:tc>
        <w:tc>
          <w:tcPr>
            <w:tcW w:w="883" w:type="pct"/>
            <w:tcBorders>
              <w:top w:val="single" w:sz="8" w:space="0" w:color="AEAEAE"/>
              <w:left w:val="single" w:sz="8" w:space="0" w:color="E0E0E0"/>
              <w:bottom w:val="nil"/>
              <w:right w:val="single" w:sz="8" w:space="0" w:color="E0E0E0"/>
            </w:tcBorders>
            <w:shd w:val="clear" w:color="auto" w:fill="auto"/>
            <w:vAlign w:val="center"/>
          </w:tcPr>
          <w:p w14:paraId="027E6591" w14:textId="77777777" w:rsidR="003859C9" w:rsidRPr="00EB11D3" w:rsidRDefault="003859C9" w:rsidP="003859C9">
            <w:pPr>
              <w:autoSpaceDE w:val="0"/>
              <w:autoSpaceDN w:val="0"/>
              <w:adjustRightInd w:val="0"/>
              <w:spacing w:after="0" w:line="240" w:lineRule="auto"/>
              <w:jc w:val="left"/>
              <w:rPr>
                <w:szCs w:val="24"/>
              </w:rPr>
            </w:pPr>
          </w:p>
        </w:tc>
        <w:tc>
          <w:tcPr>
            <w:tcW w:w="643" w:type="pct"/>
            <w:tcBorders>
              <w:top w:val="single" w:sz="8" w:space="0" w:color="AEAEAE"/>
              <w:left w:val="single" w:sz="8" w:space="0" w:color="E0E0E0"/>
              <w:bottom w:val="nil"/>
              <w:right w:val="single" w:sz="8" w:space="0" w:color="E0E0E0"/>
            </w:tcBorders>
            <w:shd w:val="clear" w:color="auto" w:fill="auto"/>
            <w:vAlign w:val="center"/>
          </w:tcPr>
          <w:p w14:paraId="460B0B25" w14:textId="77777777" w:rsidR="003859C9" w:rsidRPr="00EB11D3" w:rsidRDefault="003859C9" w:rsidP="003859C9">
            <w:pPr>
              <w:autoSpaceDE w:val="0"/>
              <w:autoSpaceDN w:val="0"/>
              <w:adjustRightInd w:val="0"/>
              <w:spacing w:after="0" w:line="240" w:lineRule="auto"/>
              <w:jc w:val="left"/>
              <w:rPr>
                <w:szCs w:val="24"/>
              </w:rPr>
            </w:pPr>
          </w:p>
        </w:tc>
        <w:tc>
          <w:tcPr>
            <w:tcW w:w="643" w:type="pct"/>
            <w:tcBorders>
              <w:top w:val="single" w:sz="8" w:space="0" w:color="AEAEAE"/>
              <w:left w:val="single" w:sz="8" w:space="0" w:color="E0E0E0"/>
              <w:bottom w:val="nil"/>
              <w:right w:val="nil"/>
            </w:tcBorders>
            <w:shd w:val="clear" w:color="auto" w:fill="auto"/>
            <w:vAlign w:val="center"/>
          </w:tcPr>
          <w:p w14:paraId="30B76F60" w14:textId="77777777" w:rsidR="003859C9" w:rsidRPr="00EB11D3" w:rsidRDefault="003859C9" w:rsidP="003859C9">
            <w:pPr>
              <w:autoSpaceDE w:val="0"/>
              <w:autoSpaceDN w:val="0"/>
              <w:adjustRightInd w:val="0"/>
              <w:spacing w:after="0" w:line="240" w:lineRule="auto"/>
              <w:jc w:val="left"/>
              <w:rPr>
                <w:szCs w:val="24"/>
              </w:rPr>
            </w:pPr>
          </w:p>
        </w:tc>
      </w:tr>
      <w:tr w:rsidR="003859C9" w:rsidRPr="00EB11D3" w14:paraId="232D1909" w14:textId="77777777" w:rsidTr="00007E09">
        <w:trPr>
          <w:cantSplit/>
        </w:trPr>
        <w:tc>
          <w:tcPr>
            <w:tcW w:w="460" w:type="pct"/>
            <w:vMerge w:val="restart"/>
            <w:tcBorders>
              <w:top w:val="single" w:sz="8" w:space="0" w:color="AEAEAE"/>
              <w:left w:val="nil"/>
              <w:bottom w:val="single" w:sz="8" w:space="0" w:color="152935"/>
              <w:right w:val="nil"/>
            </w:tcBorders>
            <w:shd w:val="clear" w:color="auto" w:fill="auto"/>
          </w:tcPr>
          <w:p w14:paraId="78BB2184" w14:textId="77777777" w:rsidR="003859C9" w:rsidRPr="00EB11D3" w:rsidRDefault="003859C9" w:rsidP="003859C9">
            <w:pPr>
              <w:spacing w:after="160" w:line="259" w:lineRule="auto"/>
              <w:jc w:val="left"/>
              <w:rPr>
                <w:szCs w:val="24"/>
              </w:rPr>
            </w:pPr>
            <w:r w:rsidRPr="00EB11D3">
              <w:rPr>
                <w:szCs w:val="24"/>
              </w:rPr>
              <w:t>2</w:t>
            </w:r>
          </w:p>
        </w:tc>
        <w:tc>
          <w:tcPr>
            <w:tcW w:w="806" w:type="pct"/>
            <w:tcBorders>
              <w:top w:val="single" w:sz="8" w:space="0" w:color="AEAEAE"/>
              <w:left w:val="nil"/>
              <w:bottom w:val="single" w:sz="8" w:space="0" w:color="AEAEAE"/>
              <w:right w:val="nil"/>
            </w:tcBorders>
            <w:shd w:val="clear" w:color="auto" w:fill="auto"/>
          </w:tcPr>
          <w:p w14:paraId="3E01CB73" w14:textId="77777777" w:rsidR="003859C9" w:rsidRPr="00EB11D3" w:rsidRDefault="003859C9" w:rsidP="003859C9">
            <w:pPr>
              <w:spacing w:after="160" w:line="259" w:lineRule="auto"/>
              <w:jc w:val="left"/>
              <w:rPr>
                <w:szCs w:val="24"/>
              </w:rPr>
            </w:pPr>
            <w:r w:rsidRPr="00EB11D3">
              <w:rPr>
                <w:szCs w:val="24"/>
              </w:rPr>
              <w:t>Regression</w:t>
            </w:r>
          </w:p>
        </w:tc>
        <w:tc>
          <w:tcPr>
            <w:tcW w:w="922" w:type="pct"/>
            <w:tcBorders>
              <w:top w:val="single" w:sz="8" w:space="0" w:color="AEAEAE"/>
              <w:left w:val="nil"/>
              <w:bottom w:val="single" w:sz="8" w:space="0" w:color="AEAEAE"/>
              <w:right w:val="single" w:sz="8" w:space="0" w:color="E0E0E0"/>
            </w:tcBorders>
            <w:shd w:val="clear" w:color="auto" w:fill="auto"/>
          </w:tcPr>
          <w:p w14:paraId="65E6D66A"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115.858</w:t>
            </w:r>
          </w:p>
        </w:tc>
        <w:tc>
          <w:tcPr>
            <w:tcW w:w="643" w:type="pct"/>
            <w:tcBorders>
              <w:top w:val="single" w:sz="8" w:space="0" w:color="AEAEAE"/>
              <w:left w:val="single" w:sz="8" w:space="0" w:color="E0E0E0"/>
              <w:bottom w:val="single" w:sz="8" w:space="0" w:color="AEAEAE"/>
              <w:right w:val="single" w:sz="8" w:space="0" w:color="E0E0E0"/>
            </w:tcBorders>
            <w:shd w:val="clear" w:color="auto" w:fill="auto"/>
          </w:tcPr>
          <w:p w14:paraId="63BC7FF7"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2</w:t>
            </w:r>
          </w:p>
        </w:tc>
        <w:tc>
          <w:tcPr>
            <w:tcW w:w="883" w:type="pct"/>
            <w:tcBorders>
              <w:top w:val="single" w:sz="8" w:space="0" w:color="AEAEAE"/>
              <w:left w:val="single" w:sz="8" w:space="0" w:color="E0E0E0"/>
              <w:bottom w:val="single" w:sz="8" w:space="0" w:color="AEAEAE"/>
              <w:right w:val="single" w:sz="8" w:space="0" w:color="E0E0E0"/>
            </w:tcBorders>
            <w:shd w:val="clear" w:color="auto" w:fill="auto"/>
          </w:tcPr>
          <w:p w14:paraId="5186104E"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57.929</w:t>
            </w:r>
          </w:p>
        </w:tc>
        <w:tc>
          <w:tcPr>
            <w:tcW w:w="643" w:type="pct"/>
            <w:tcBorders>
              <w:top w:val="single" w:sz="8" w:space="0" w:color="AEAEAE"/>
              <w:left w:val="single" w:sz="8" w:space="0" w:color="E0E0E0"/>
              <w:bottom w:val="single" w:sz="8" w:space="0" w:color="AEAEAE"/>
              <w:right w:val="single" w:sz="8" w:space="0" w:color="E0E0E0"/>
            </w:tcBorders>
            <w:shd w:val="clear" w:color="auto" w:fill="auto"/>
          </w:tcPr>
          <w:p w14:paraId="1F2C578E"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506.642</w:t>
            </w:r>
          </w:p>
        </w:tc>
        <w:tc>
          <w:tcPr>
            <w:tcW w:w="643" w:type="pct"/>
            <w:tcBorders>
              <w:top w:val="single" w:sz="8" w:space="0" w:color="AEAEAE"/>
              <w:left w:val="single" w:sz="8" w:space="0" w:color="E0E0E0"/>
              <w:bottom w:val="single" w:sz="8" w:space="0" w:color="AEAEAE"/>
              <w:right w:val="nil"/>
            </w:tcBorders>
            <w:shd w:val="clear" w:color="auto" w:fill="auto"/>
          </w:tcPr>
          <w:p w14:paraId="0327A68D"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.000</w:t>
            </w:r>
            <w:r w:rsidRPr="00EB11D3">
              <w:rPr>
                <w:szCs w:val="24"/>
                <w:vertAlign w:val="superscript"/>
              </w:rPr>
              <w:t>c</w:t>
            </w:r>
          </w:p>
        </w:tc>
      </w:tr>
      <w:tr w:rsidR="003859C9" w:rsidRPr="00EB11D3" w14:paraId="33024280" w14:textId="77777777" w:rsidTr="00007E09">
        <w:trPr>
          <w:cantSplit/>
        </w:trPr>
        <w:tc>
          <w:tcPr>
            <w:tcW w:w="460" w:type="pct"/>
            <w:vMerge/>
            <w:tcBorders>
              <w:top w:val="single" w:sz="8" w:space="0" w:color="AEAEAE"/>
              <w:left w:val="nil"/>
              <w:bottom w:val="single" w:sz="8" w:space="0" w:color="152935"/>
              <w:right w:val="nil"/>
            </w:tcBorders>
            <w:shd w:val="clear" w:color="auto" w:fill="auto"/>
          </w:tcPr>
          <w:p w14:paraId="14262F63" w14:textId="77777777" w:rsidR="003859C9" w:rsidRPr="00EB11D3" w:rsidRDefault="003859C9" w:rsidP="003859C9">
            <w:pPr>
              <w:spacing w:after="160" w:line="259" w:lineRule="auto"/>
              <w:jc w:val="left"/>
              <w:rPr>
                <w:szCs w:val="24"/>
              </w:rPr>
            </w:pPr>
          </w:p>
        </w:tc>
        <w:tc>
          <w:tcPr>
            <w:tcW w:w="806" w:type="pct"/>
            <w:tcBorders>
              <w:top w:val="single" w:sz="8" w:space="0" w:color="AEAEAE"/>
              <w:left w:val="nil"/>
              <w:bottom w:val="single" w:sz="8" w:space="0" w:color="AEAEAE"/>
              <w:right w:val="nil"/>
            </w:tcBorders>
            <w:shd w:val="clear" w:color="auto" w:fill="auto"/>
          </w:tcPr>
          <w:p w14:paraId="17F4AD87" w14:textId="77777777" w:rsidR="003859C9" w:rsidRPr="00EB11D3" w:rsidRDefault="003859C9" w:rsidP="003859C9">
            <w:pPr>
              <w:spacing w:after="160" w:line="259" w:lineRule="auto"/>
              <w:jc w:val="left"/>
              <w:rPr>
                <w:szCs w:val="24"/>
              </w:rPr>
            </w:pPr>
            <w:r w:rsidRPr="00EB11D3">
              <w:rPr>
                <w:szCs w:val="24"/>
              </w:rPr>
              <w:t>Residual</w:t>
            </w:r>
          </w:p>
        </w:tc>
        <w:tc>
          <w:tcPr>
            <w:tcW w:w="922" w:type="pct"/>
            <w:tcBorders>
              <w:top w:val="single" w:sz="8" w:space="0" w:color="AEAEAE"/>
              <w:left w:val="nil"/>
              <w:bottom w:val="single" w:sz="8" w:space="0" w:color="AEAEAE"/>
              <w:right w:val="single" w:sz="8" w:space="0" w:color="E0E0E0"/>
            </w:tcBorders>
            <w:shd w:val="clear" w:color="auto" w:fill="auto"/>
          </w:tcPr>
          <w:p w14:paraId="20B1CF3D"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28.242</w:t>
            </w:r>
          </w:p>
        </w:tc>
        <w:tc>
          <w:tcPr>
            <w:tcW w:w="643" w:type="pct"/>
            <w:tcBorders>
              <w:top w:val="single" w:sz="8" w:space="0" w:color="AEAEAE"/>
              <w:left w:val="single" w:sz="8" w:space="0" w:color="E0E0E0"/>
              <w:bottom w:val="single" w:sz="8" w:space="0" w:color="AEAEAE"/>
              <w:right w:val="single" w:sz="8" w:space="0" w:color="E0E0E0"/>
            </w:tcBorders>
            <w:shd w:val="clear" w:color="auto" w:fill="auto"/>
          </w:tcPr>
          <w:p w14:paraId="60681DAB"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247</w:t>
            </w:r>
          </w:p>
        </w:tc>
        <w:tc>
          <w:tcPr>
            <w:tcW w:w="883" w:type="pct"/>
            <w:tcBorders>
              <w:top w:val="single" w:sz="8" w:space="0" w:color="AEAEAE"/>
              <w:left w:val="single" w:sz="8" w:space="0" w:color="E0E0E0"/>
              <w:bottom w:val="single" w:sz="8" w:space="0" w:color="AEAEAE"/>
              <w:right w:val="single" w:sz="8" w:space="0" w:color="E0E0E0"/>
            </w:tcBorders>
            <w:shd w:val="clear" w:color="auto" w:fill="auto"/>
          </w:tcPr>
          <w:p w14:paraId="1547000A"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.114</w:t>
            </w:r>
          </w:p>
        </w:tc>
        <w:tc>
          <w:tcPr>
            <w:tcW w:w="643" w:type="pct"/>
            <w:tcBorders>
              <w:top w:val="single" w:sz="8" w:space="0" w:color="AEAEAE"/>
              <w:left w:val="single" w:sz="8" w:space="0" w:color="E0E0E0"/>
              <w:bottom w:val="single" w:sz="8" w:space="0" w:color="AEAEAE"/>
              <w:right w:val="single" w:sz="8" w:space="0" w:color="E0E0E0"/>
            </w:tcBorders>
            <w:shd w:val="clear" w:color="auto" w:fill="auto"/>
            <w:vAlign w:val="center"/>
          </w:tcPr>
          <w:p w14:paraId="5FD94E15" w14:textId="77777777" w:rsidR="003859C9" w:rsidRPr="00EB11D3" w:rsidRDefault="003859C9" w:rsidP="003859C9">
            <w:pPr>
              <w:autoSpaceDE w:val="0"/>
              <w:autoSpaceDN w:val="0"/>
              <w:adjustRightInd w:val="0"/>
              <w:spacing w:after="0" w:line="240" w:lineRule="auto"/>
              <w:jc w:val="left"/>
              <w:rPr>
                <w:szCs w:val="24"/>
              </w:rPr>
            </w:pPr>
          </w:p>
        </w:tc>
        <w:tc>
          <w:tcPr>
            <w:tcW w:w="643" w:type="pct"/>
            <w:tcBorders>
              <w:top w:val="single" w:sz="8" w:space="0" w:color="AEAEAE"/>
              <w:left w:val="single" w:sz="8" w:space="0" w:color="E0E0E0"/>
              <w:bottom w:val="single" w:sz="8" w:space="0" w:color="AEAEAE"/>
              <w:right w:val="nil"/>
            </w:tcBorders>
            <w:shd w:val="clear" w:color="auto" w:fill="auto"/>
            <w:vAlign w:val="center"/>
          </w:tcPr>
          <w:p w14:paraId="2E955C4A" w14:textId="77777777" w:rsidR="003859C9" w:rsidRPr="00EB11D3" w:rsidRDefault="003859C9" w:rsidP="003859C9">
            <w:pPr>
              <w:autoSpaceDE w:val="0"/>
              <w:autoSpaceDN w:val="0"/>
              <w:adjustRightInd w:val="0"/>
              <w:spacing w:after="0" w:line="240" w:lineRule="auto"/>
              <w:jc w:val="left"/>
              <w:rPr>
                <w:szCs w:val="24"/>
              </w:rPr>
            </w:pPr>
          </w:p>
        </w:tc>
      </w:tr>
      <w:tr w:rsidR="003859C9" w:rsidRPr="00EB11D3" w14:paraId="0BBEAC55" w14:textId="77777777" w:rsidTr="00007E09">
        <w:trPr>
          <w:cantSplit/>
        </w:trPr>
        <w:tc>
          <w:tcPr>
            <w:tcW w:w="460" w:type="pct"/>
            <w:vMerge/>
            <w:tcBorders>
              <w:top w:val="single" w:sz="8" w:space="0" w:color="AEAEAE"/>
              <w:left w:val="nil"/>
              <w:bottom w:val="single" w:sz="8" w:space="0" w:color="152935"/>
              <w:right w:val="nil"/>
            </w:tcBorders>
            <w:shd w:val="clear" w:color="auto" w:fill="auto"/>
          </w:tcPr>
          <w:p w14:paraId="78BDE424" w14:textId="77777777" w:rsidR="003859C9" w:rsidRPr="00EB11D3" w:rsidRDefault="003859C9" w:rsidP="003859C9">
            <w:pPr>
              <w:spacing w:after="160" w:line="259" w:lineRule="auto"/>
              <w:jc w:val="left"/>
              <w:rPr>
                <w:szCs w:val="24"/>
              </w:rPr>
            </w:pPr>
          </w:p>
        </w:tc>
        <w:tc>
          <w:tcPr>
            <w:tcW w:w="806" w:type="pct"/>
            <w:tcBorders>
              <w:top w:val="single" w:sz="8" w:space="0" w:color="AEAEAE"/>
              <w:left w:val="nil"/>
              <w:bottom w:val="single" w:sz="8" w:space="0" w:color="152935"/>
              <w:right w:val="nil"/>
            </w:tcBorders>
            <w:shd w:val="clear" w:color="auto" w:fill="auto"/>
          </w:tcPr>
          <w:p w14:paraId="27E62966" w14:textId="77777777" w:rsidR="003859C9" w:rsidRPr="00EB11D3" w:rsidRDefault="003859C9" w:rsidP="003859C9">
            <w:pPr>
              <w:spacing w:after="160" w:line="259" w:lineRule="auto"/>
              <w:jc w:val="left"/>
              <w:rPr>
                <w:szCs w:val="24"/>
              </w:rPr>
            </w:pPr>
            <w:r w:rsidRPr="00EB11D3">
              <w:rPr>
                <w:szCs w:val="24"/>
              </w:rPr>
              <w:t>Total</w:t>
            </w:r>
          </w:p>
        </w:tc>
        <w:tc>
          <w:tcPr>
            <w:tcW w:w="922" w:type="pct"/>
            <w:tcBorders>
              <w:top w:val="single" w:sz="8" w:space="0" w:color="AEAEAE"/>
              <w:left w:val="nil"/>
              <w:bottom w:val="single" w:sz="8" w:space="0" w:color="152935"/>
              <w:right w:val="single" w:sz="8" w:space="0" w:color="E0E0E0"/>
            </w:tcBorders>
            <w:shd w:val="clear" w:color="auto" w:fill="auto"/>
          </w:tcPr>
          <w:p w14:paraId="43CEEC52"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144.100</w:t>
            </w:r>
          </w:p>
        </w:tc>
        <w:tc>
          <w:tcPr>
            <w:tcW w:w="643" w:type="pct"/>
            <w:tcBorders>
              <w:top w:val="single" w:sz="8" w:space="0" w:color="AEAEAE"/>
              <w:left w:val="single" w:sz="8" w:space="0" w:color="E0E0E0"/>
              <w:bottom w:val="single" w:sz="8" w:space="0" w:color="152935"/>
              <w:right w:val="single" w:sz="8" w:space="0" w:color="E0E0E0"/>
            </w:tcBorders>
            <w:shd w:val="clear" w:color="auto" w:fill="auto"/>
          </w:tcPr>
          <w:p w14:paraId="744CDD74"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249</w:t>
            </w:r>
          </w:p>
        </w:tc>
        <w:tc>
          <w:tcPr>
            <w:tcW w:w="883" w:type="pct"/>
            <w:tcBorders>
              <w:top w:val="single" w:sz="8" w:space="0" w:color="AEAEAE"/>
              <w:left w:val="single" w:sz="8" w:space="0" w:color="E0E0E0"/>
              <w:bottom w:val="single" w:sz="8" w:space="0" w:color="152935"/>
              <w:right w:val="single" w:sz="8" w:space="0" w:color="E0E0E0"/>
            </w:tcBorders>
            <w:shd w:val="clear" w:color="auto" w:fill="auto"/>
            <w:vAlign w:val="center"/>
          </w:tcPr>
          <w:p w14:paraId="43D898E9" w14:textId="77777777" w:rsidR="003859C9" w:rsidRPr="00EB11D3" w:rsidRDefault="003859C9" w:rsidP="003859C9">
            <w:pPr>
              <w:autoSpaceDE w:val="0"/>
              <w:autoSpaceDN w:val="0"/>
              <w:adjustRightInd w:val="0"/>
              <w:spacing w:after="0" w:line="240" w:lineRule="auto"/>
              <w:jc w:val="left"/>
              <w:rPr>
                <w:szCs w:val="24"/>
              </w:rPr>
            </w:pPr>
          </w:p>
        </w:tc>
        <w:tc>
          <w:tcPr>
            <w:tcW w:w="643" w:type="pct"/>
            <w:tcBorders>
              <w:top w:val="single" w:sz="8" w:space="0" w:color="AEAEAE"/>
              <w:left w:val="single" w:sz="8" w:space="0" w:color="E0E0E0"/>
              <w:bottom w:val="single" w:sz="8" w:space="0" w:color="152935"/>
              <w:right w:val="single" w:sz="8" w:space="0" w:color="E0E0E0"/>
            </w:tcBorders>
            <w:shd w:val="clear" w:color="auto" w:fill="auto"/>
            <w:vAlign w:val="center"/>
          </w:tcPr>
          <w:p w14:paraId="676F0087" w14:textId="77777777" w:rsidR="003859C9" w:rsidRPr="00EB11D3" w:rsidRDefault="003859C9" w:rsidP="003859C9">
            <w:pPr>
              <w:autoSpaceDE w:val="0"/>
              <w:autoSpaceDN w:val="0"/>
              <w:adjustRightInd w:val="0"/>
              <w:spacing w:after="0" w:line="240" w:lineRule="auto"/>
              <w:jc w:val="left"/>
              <w:rPr>
                <w:szCs w:val="24"/>
              </w:rPr>
            </w:pPr>
          </w:p>
        </w:tc>
        <w:tc>
          <w:tcPr>
            <w:tcW w:w="643" w:type="pct"/>
            <w:tcBorders>
              <w:top w:val="single" w:sz="8" w:space="0" w:color="AEAEAE"/>
              <w:left w:val="single" w:sz="8" w:space="0" w:color="E0E0E0"/>
              <w:bottom w:val="single" w:sz="8" w:space="0" w:color="152935"/>
              <w:right w:val="nil"/>
            </w:tcBorders>
            <w:shd w:val="clear" w:color="auto" w:fill="auto"/>
            <w:vAlign w:val="center"/>
          </w:tcPr>
          <w:p w14:paraId="28742BBD" w14:textId="77777777" w:rsidR="003859C9" w:rsidRPr="00EB11D3" w:rsidRDefault="003859C9" w:rsidP="003859C9">
            <w:pPr>
              <w:autoSpaceDE w:val="0"/>
              <w:autoSpaceDN w:val="0"/>
              <w:adjustRightInd w:val="0"/>
              <w:spacing w:after="0" w:line="240" w:lineRule="auto"/>
              <w:jc w:val="left"/>
              <w:rPr>
                <w:szCs w:val="24"/>
              </w:rPr>
            </w:pPr>
          </w:p>
        </w:tc>
      </w:tr>
      <w:tr w:rsidR="003859C9" w:rsidRPr="00EB11D3" w14:paraId="0CF3C1DD" w14:textId="77777777" w:rsidTr="00007E09">
        <w:trPr>
          <w:cantSplit/>
        </w:trPr>
        <w:tc>
          <w:tcPr>
            <w:tcW w:w="5000" w:type="pct"/>
            <w:gridSpan w:val="7"/>
            <w:tcBorders>
              <w:top w:val="nil"/>
              <w:left w:val="nil"/>
              <w:bottom w:val="nil"/>
              <w:right w:val="nil"/>
            </w:tcBorders>
            <w:shd w:val="clear" w:color="auto" w:fill="auto"/>
          </w:tcPr>
          <w:p w14:paraId="2CE5F4F9" w14:textId="77777777" w:rsidR="003859C9" w:rsidRPr="00EB11D3" w:rsidRDefault="003859C9" w:rsidP="003859C9">
            <w:pPr>
              <w:autoSpaceDE w:val="0"/>
              <w:autoSpaceDN w:val="0"/>
              <w:adjustRightInd w:val="0"/>
              <w:spacing w:after="0" w:line="320" w:lineRule="atLeast"/>
              <w:ind w:left="60" w:right="60"/>
              <w:jc w:val="left"/>
              <w:rPr>
                <w:szCs w:val="24"/>
              </w:rPr>
            </w:pPr>
            <w:r w:rsidRPr="00EB11D3">
              <w:rPr>
                <w:szCs w:val="24"/>
              </w:rPr>
              <w:t>a. Predictors: (Constant), Service Innovation, Corporate governance</w:t>
            </w:r>
          </w:p>
        </w:tc>
      </w:tr>
      <w:tr w:rsidR="003859C9" w:rsidRPr="00EB11D3" w14:paraId="659AF8B2" w14:textId="77777777" w:rsidTr="00007E09">
        <w:trPr>
          <w:cantSplit/>
        </w:trPr>
        <w:tc>
          <w:tcPr>
            <w:tcW w:w="5000" w:type="pct"/>
            <w:gridSpan w:val="7"/>
            <w:tcBorders>
              <w:top w:val="nil"/>
              <w:left w:val="nil"/>
              <w:bottom w:val="nil"/>
              <w:right w:val="nil"/>
            </w:tcBorders>
            <w:shd w:val="clear" w:color="auto" w:fill="auto"/>
          </w:tcPr>
          <w:p w14:paraId="7E60E0BF" w14:textId="77777777" w:rsidR="003859C9" w:rsidRPr="00EB11D3" w:rsidRDefault="003859C9" w:rsidP="003859C9">
            <w:pPr>
              <w:autoSpaceDE w:val="0"/>
              <w:autoSpaceDN w:val="0"/>
              <w:adjustRightInd w:val="0"/>
              <w:spacing w:after="0" w:line="320" w:lineRule="atLeast"/>
              <w:ind w:left="60" w:right="60"/>
              <w:jc w:val="left"/>
              <w:rPr>
                <w:szCs w:val="24"/>
              </w:rPr>
            </w:pPr>
            <w:r w:rsidRPr="00EB11D3">
              <w:rPr>
                <w:szCs w:val="24"/>
              </w:rPr>
              <w:t>b. Predictors: (Constant), Service Innovation, Corporate governance</w:t>
            </w:r>
            <w:r w:rsidRPr="00EB11D3">
              <w:rPr>
                <w:rFonts w:eastAsia="Calibri"/>
                <w:b/>
                <w:sz w:val="20"/>
                <w:szCs w:val="20"/>
              </w:rPr>
              <w:t xml:space="preserve">, </w:t>
            </w:r>
            <w:r w:rsidRPr="00EB11D3">
              <w:rPr>
                <w:szCs w:val="24"/>
              </w:rPr>
              <w:t>Service Innovation_ Corporate governance</w:t>
            </w:r>
          </w:p>
        </w:tc>
      </w:tr>
      <w:tr w:rsidR="003859C9" w:rsidRPr="00EB11D3" w14:paraId="0E97875E" w14:textId="77777777" w:rsidTr="00007E09">
        <w:trPr>
          <w:cantSplit/>
        </w:trPr>
        <w:tc>
          <w:tcPr>
            <w:tcW w:w="5000" w:type="pct"/>
            <w:gridSpan w:val="7"/>
            <w:tcBorders>
              <w:top w:val="nil"/>
              <w:left w:val="nil"/>
              <w:bottom w:val="nil"/>
              <w:right w:val="nil"/>
            </w:tcBorders>
            <w:shd w:val="clear" w:color="auto" w:fill="auto"/>
          </w:tcPr>
          <w:p w14:paraId="0543A181" w14:textId="77777777" w:rsidR="003859C9" w:rsidRPr="00EB11D3" w:rsidRDefault="003859C9" w:rsidP="003859C9">
            <w:pPr>
              <w:autoSpaceDE w:val="0"/>
              <w:autoSpaceDN w:val="0"/>
              <w:adjustRightInd w:val="0"/>
              <w:spacing w:after="0" w:line="320" w:lineRule="atLeast"/>
              <w:ind w:left="60" w:right="60"/>
              <w:jc w:val="left"/>
              <w:rPr>
                <w:szCs w:val="24"/>
              </w:rPr>
            </w:pPr>
            <w:r w:rsidRPr="00EB11D3">
              <w:rPr>
                <w:szCs w:val="24"/>
              </w:rPr>
              <w:t>c. Dependent Variable: Organisational Performance</w:t>
            </w:r>
          </w:p>
        </w:tc>
      </w:tr>
    </w:tbl>
    <w:p w14:paraId="6630C8C9" w14:textId="77777777" w:rsidR="003859C9" w:rsidRPr="00EB11D3" w:rsidRDefault="003859C9" w:rsidP="003859C9">
      <w:pPr>
        <w:autoSpaceDE w:val="0"/>
        <w:autoSpaceDN w:val="0"/>
        <w:adjustRightInd w:val="0"/>
        <w:spacing w:after="0" w:line="400" w:lineRule="atLeast"/>
        <w:jc w:val="left"/>
        <w:rPr>
          <w:szCs w:val="24"/>
        </w:rPr>
      </w:pPr>
    </w:p>
    <w:tbl>
      <w:tblPr>
        <w:tblW w:w="5000" w:type="pct"/>
        <w:tblCellMar>
          <w:left w:w="0" w:type="dxa"/>
          <w:right w:w="0" w:type="dxa"/>
        </w:tblCellMar>
        <w:tblLook w:val="0000" w:firstRow="0" w:lastRow="0" w:firstColumn="0" w:lastColumn="0" w:noHBand="0" w:noVBand="0"/>
      </w:tblPr>
      <w:tblGrid>
        <w:gridCol w:w="735"/>
        <w:gridCol w:w="2447"/>
        <w:gridCol w:w="1331"/>
        <w:gridCol w:w="1331"/>
        <w:gridCol w:w="1468"/>
        <w:gridCol w:w="1024"/>
        <w:gridCol w:w="1024"/>
      </w:tblGrid>
      <w:tr w:rsidR="003859C9" w:rsidRPr="00EB11D3" w14:paraId="531043C6" w14:textId="77777777" w:rsidTr="00007E09">
        <w:trPr>
          <w:cantSplit/>
        </w:trPr>
        <w:tc>
          <w:tcPr>
            <w:tcW w:w="5000" w:type="pct"/>
            <w:gridSpan w:val="7"/>
            <w:tcBorders>
              <w:top w:val="nil"/>
              <w:left w:val="nil"/>
              <w:bottom w:val="single" w:sz="4" w:space="0" w:color="auto"/>
              <w:right w:val="nil"/>
            </w:tcBorders>
            <w:shd w:val="clear" w:color="auto" w:fill="auto"/>
            <w:vAlign w:val="center"/>
          </w:tcPr>
          <w:p w14:paraId="7893A43A" w14:textId="77777777" w:rsidR="003859C9" w:rsidRPr="00EB11D3" w:rsidRDefault="003859C9" w:rsidP="003859C9">
            <w:pPr>
              <w:autoSpaceDE w:val="0"/>
              <w:autoSpaceDN w:val="0"/>
              <w:adjustRightInd w:val="0"/>
              <w:spacing w:after="0" w:line="320" w:lineRule="atLeast"/>
              <w:ind w:left="60" w:right="60"/>
              <w:jc w:val="center"/>
              <w:rPr>
                <w:szCs w:val="24"/>
              </w:rPr>
            </w:pPr>
            <w:r w:rsidRPr="00EB11D3">
              <w:rPr>
                <w:b/>
                <w:bCs/>
                <w:szCs w:val="24"/>
              </w:rPr>
              <w:t>Coefficients</w:t>
            </w:r>
            <w:r w:rsidRPr="00EB11D3">
              <w:rPr>
                <w:b/>
                <w:bCs/>
                <w:szCs w:val="24"/>
                <w:vertAlign w:val="superscript"/>
              </w:rPr>
              <w:t>a</w:t>
            </w:r>
          </w:p>
        </w:tc>
      </w:tr>
      <w:tr w:rsidR="003859C9" w:rsidRPr="00EB11D3" w14:paraId="728FB81C" w14:textId="77777777" w:rsidTr="00007E09">
        <w:trPr>
          <w:cantSplit/>
        </w:trPr>
        <w:tc>
          <w:tcPr>
            <w:tcW w:w="1700" w:type="pct"/>
            <w:gridSpan w:val="2"/>
            <w:vMerge w:val="restart"/>
            <w:tcBorders>
              <w:top w:val="single" w:sz="4" w:space="0" w:color="auto"/>
              <w:left w:val="nil"/>
              <w:bottom w:val="nil"/>
              <w:right w:val="nil"/>
            </w:tcBorders>
            <w:shd w:val="clear" w:color="auto" w:fill="auto"/>
            <w:vAlign w:val="bottom"/>
          </w:tcPr>
          <w:p w14:paraId="3204E2C4" w14:textId="77777777" w:rsidR="003859C9" w:rsidRPr="00EB11D3" w:rsidRDefault="003859C9" w:rsidP="003859C9">
            <w:pPr>
              <w:spacing w:after="160" w:line="259" w:lineRule="auto"/>
              <w:jc w:val="left"/>
              <w:rPr>
                <w:szCs w:val="24"/>
              </w:rPr>
            </w:pPr>
            <w:r w:rsidRPr="00EB11D3">
              <w:rPr>
                <w:szCs w:val="24"/>
              </w:rPr>
              <w:t>Model</w:t>
            </w:r>
          </w:p>
        </w:tc>
        <w:tc>
          <w:tcPr>
            <w:tcW w:w="1422" w:type="pct"/>
            <w:gridSpan w:val="2"/>
            <w:tcBorders>
              <w:top w:val="single" w:sz="4" w:space="0" w:color="auto"/>
              <w:left w:val="nil"/>
              <w:bottom w:val="single" w:sz="4" w:space="0" w:color="auto"/>
              <w:right w:val="single" w:sz="8" w:space="0" w:color="E0E0E0"/>
            </w:tcBorders>
            <w:shd w:val="clear" w:color="auto" w:fill="auto"/>
            <w:vAlign w:val="bottom"/>
          </w:tcPr>
          <w:p w14:paraId="007C38E5" w14:textId="77777777" w:rsidR="003859C9" w:rsidRPr="00EB11D3" w:rsidRDefault="003859C9" w:rsidP="003859C9">
            <w:pPr>
              <w:spacing w:after="160" w:line="259" w:lineRule="auto"/>
              <w:jc w:val="left"/>
              <w:rPr>
                <w:szCs w:val="24"/>
              </w:rPr>
            </w:pPr>
            <w:r w:rsidRPr="00EB11D3">
              <w:rPr>
                <w:szCs w:val="24"/>
              </w:rPr>
              <w:t>Unstandardized Coefficients</w:t>
            </w:r>
          </w:p>
        </w:tc>
        <w:tc>
          <w:tcPr>
            <w:tcW w:w="784" w:type="pct"/>
            <w:tcBorders>
              <w:top w:val="single" w:sz="4" w:space="0" w:color="auto"/>
              <w:left w:val="single" w:sz="8" w:space="0" w:color="E0E0E0"/>
              <w:bottom w:val="single" w:sz="4" w:space="0" w:color="auto"/>
              <w:right w:val="single" w:sz="8" w:space="0" w:color="E0E0E0"/>
            </w:tcBorders>
            <w:shd w:val="clear" w:color="auto" w:fill="auto"/>
            <w:vAlign w:val="bottom"/>
          </w:tcPr>
          <w:p w14:paraId="389F6BCE" w14:textId="77777777" w:rsidR="003859C9" w:rsidRPr="00EB11D3" w:rsidRDefault="003859C9" w:rsidP="003859C9">
            <w:pPr>
              <w:spacing w:after="160" w:line="259" w:lineRule="auto"/>
              <w:jc w:val="left"/>
              <w:rPr>
                <w:szCs w:val="24"/>
              </w:rPr>
            </w:pPr>
            <w:r w:rsidRPr="00EB11D3">
              <w:rPr>
                <w:szCs w:val="24"/>
              </w:rPr>
              <w:t>Standardized Coefficients</w:t>
            </w:r>
          </w:p>
        </w:tc>
        <w:tc>
          <w:tcPr>
            <w:tcW w:w="547" w:type="pct"/>
            <w:vMerge w:val="restart"/>
            <w:tcBorders>
              <w:top w:val="single" w:sz="4" w:space="0" w:color="auto"/>
              <w:left w:val="single" w:sz="8" w:space="0" w:color="E0E0E0"/>
              <w:bottom w:val="nil"/>
              <w:right w:val="single" w:sz="8" w:space="0" w:color="E0E0E0"/>
            </w:tcBorders>
            <w:shd w:val="clear" w:color="auto" w:fill="auto"/>
            <w:vAlign w:val="bottom"/>
          </w:tcPr>
          <w:p w14:paraId="56F783AB" w14:textId="77777777" w:rsidR="003859C9" w:rsidRPr="00EB11D3" w:rsidRDefault="003859C9" w:rsidP="003859C9">
            <w:pPr>
              <w:spacing w:after="160" w:line="259" w:lineRule="auto"/>
              <w:jc w:val="left"/>
              <w:rPr>
                <w:szCs w:val="24"/>
              </w:rPr>
            </w:pPr>
            <w:r w:rsidRPr="00EB11D3">
              <w:rPr>
                <w:szCs w:val="24"/>
              </w:rPr>
              <w:t>T</w:t>
            </w:r>
          </w:p>
        </w:tc>
        <w:tc>
          <w:tcPr>
            <w:tcW w:w="547" w:type="pct"/>
            <w:vMerge w:val="restart"/>
            <w:tcBorders>
              <w:top w:val="single" w:sz="4" w:space="0" w:color="auto"/>
              <w:left w:val="single" w:sz="8" w:space="0" w:color="E0E0E0"/>
              <w:bottom w:val="nil"/>
              <w:right w:val="nil"/>
            </w:tcBorders>
            <w:shd w:val="clear" w:color="auto" w:fill="auto"/>
            <w:vAlign w:val="bottom"/>
          </w:tcPr>
          <w:p w14:paraId="70832783" w14:textId="77777777" w:rsidR="003859C9" w:rsidRPr="00EB11D3" w:rsidRDefault="003859C9" w:rsidP="003859C9">
            <w:pPr>
              <w:spacing w:after="160" w:line="259" w:lineRule="auto"/>
              <w:jc w:val="left"/>
              <w:rPr>
                <w:szCs w:val="24"/>
              </w:rPr>
            </w:pPr>
            <w:r w:rsidRPr="00EB11D3">
              <w:rPr>
                <w:szCs w:val="24"/>
              </w:rPr>
              <w:t>Sig.</w:t>
            </w:r>
          </w:p>
        </w:tc>
      </w:tr>
      <w:tr w:rsidR="003859C9" w:rsidRPr="00EB11D3" w14:paraId="5F033357" w14:textId="77777777" w:rsidTr="00007E09">
        <w:trPr>
          <w:cantSplit/>
        </w:trPr>
        <w:tc>
          <w:tcPr>
            <w:tcW w:w="1700" w:type="pct"/>
            <w:gridSpan w:val="2"/>
            <w:vMerge/>
            <w:tcBorders>
              <w:top w:val="single" w:sz="4" w:space="0" w:color="auto"/>
              <w:left w:val="nil"/>
              <w:bottom w:val="nil"/>
              <w:right w:val="nil"/>
            </w:tcBorders>
            <w:shd w:val="clear" w:color="auto" w:fill="auto"/>
            <w:vAlign w:val="bottom"/>
          </w:tcPr>
          <w:p w14:paraId="0E96FD31" w14:textId="77777777" w:rsidR="003859C9" w:rsidRPr="00EB11D3" w:rsidRDefault="003859C9" w:rsidP="003859C9">
            <w:pPr>
              <w:autoSpaceDE w:val="0"/>
              <w:autoSpaceDN w:val="0"/>
              <w:adjustRightInd w:val="0"/>
              <w:spacing w:after="0" w:line="240" w:lineRule="auto"/>
              <w:jc w:val="left"/>
              <w:rPr>
                <w:szCs w:val="24"/>
              </w:rPr>
            </w:pPr>
          </w:p>
        </w:tc>
        <w:tc>
          <w:tcPr>
            <w:tcW w:w="711" w:type="pct"/>
            <w:tcBorders>
              <w:top w:val="single" w:sz="4" w:space="0" w:color="auto"/>
              <w:left w:val="nil"/>
              <w:bottom w:val="single" w:sz="8" w:space="0" w:color="152935"/>
              <w:right w:val="single" w:sz="8" w:space="0" w:color="E0E0E0"/>
            </w:tcBorders>
            <w:shd w:val="clear" w:color="auto" w:fill="auto"/>
            <w:vAlign w:val="bottom"/>
          </w:tcPr>
          <w:p w14:paraId="517BED62" w14:textId="77777777" w:rsidR="003859C9" w:rsidRPr="00EB11D3" w:rsidRDefault="003859C9" w:rsidP="003859C9">
            <w:pPr>
              <w:spacing w:after="160" w:line="259" w:lineRule="auto"/>
              <w:jc w:val="left"/>
              <w:rPr>
                <w:szCs w:val="24"/>
              </w:rPr>
            </w:pPr>
            <w:r w:rsidRPr="00EB11D3">
              <w:rPr>
                <w:szCs w:val="24"/>
              </w:rPr>
              <w:t>B</w:t>
            </w:r>
          </w:p>
        </w:tc>
        <w:tc>
          <w:tcPr>
            <w:tcW w:w="711" w:type="pct"/>
            <w:tcBorders>
              <w:top w:val="single" w:sz="4" w:space="0" w:color="auto"/>
              <w:left w:val="single" w:sz="8" w:space="0" w:color="E0E0E0"/>
              <w:bottom w:val="single" w:sz="8" w:space="0" w:color="152935"/>
              <w:right w:val="single" w:sz="8" w:space="0" w:color="E0E0E0"/>
            </w:tcBorders>
            <w:shd w:val="clear" w:color="auto" w:fill="auto"/>
            <w:vAlign w:val="bottom"/>
          </w:tcPr>
          <w:p w14:paraId="1A4EA55E" w14:textId="77777777" w:rsidR="003859C9" w:rsidRPr="00EB11D3" w:rsidRDefault="003859C9" w:rsidP="003859C9">
            <w:pPr>
              <w:spacing w:after="160" w:line="259" w:lineRule="auto"/>
              <w:jc w:val="left"/>
              <w:rPr>
                <w:szCs w:val="24"/>
              </w:rPr>
            </w:pPr>
            <w:r w:rsidRPr="00EB11D3">
              <w:rPr>
                <w:szCs w:val="24"/>
              </w:rPr>
              <w:t>Std. Error</w:t>
            </w:r>
          </w:p>
        </w:tc>
        <w:tc>
          <w:tcPr>
            <w:tcW w:w="784" w:type="pct"/>
            <w:tcBorders>
              <w:top w:val="single" w:sz="4" w:space="0" w:color="auto"/>
              <w:left w:val="single" w:sz="8" w:space="0" w:color="E0E0E0"/>
              <w:bottom w:val="single" w:sz="8" w:space="0" w:color="152935"/>
              <w:right w:val="single" w:sz="8" w:space="0" w:color="E0E0E0"/>
            </w:tcBorders>
            <w:shd w:val="clear" w:color="auto" w:fill="auto"/>
            <w:vAlign w:val="bottom"/>
          </w:tcPr>
          <w:p w14:paraId="562AB5AE" w14:textId="77777777" w:rsidR="003859C9" w:rsidRPr="00EB11D3" w:rsidRDefault="003859C9" w:rsidP="003859C9">
            <w:pPr>
              <w:spacing w:after="160" w:line="259" w:lineRule="auto"/>
              <w:jc w:val="left"/>
              <w:rPr>
                <w:szCs w:val="24"/>
              </w:rPr>
            </w:pPr>
            <w:r w:rsidRPr="00EB11D3">
              <w:rPr>
                <w:szCs w:val="24"/>
              </w:rPr>
              <w:t>Beta</w:t>
            </w:r>
          </w:p>
        </w:tc>
        <w:tc>
          <w:tcPr>
            <w:tcW w:w="547" w:type="pct"/>
            <w:vMerge/>
            <w:tcBorders>
              <w:top w:val="nil"/>
              <w:left w:val="single" w:sz="8" w:space="0" w:color="E0E0E0"/>
              <w:bottom w:val="nil"/>
              <w:right w:val="single" w:sz="8" w:space="0" w:color="E0E0E0"/>
            </w:tcBorders>
            <w:shd w:val="clear" w:color="auto" w:fill="auto"/>
            <w:vAlign w:val="bottom"/>
          </w:tcPr>
          <w:p w14:paraId="3F88A655" w14:textId="77777777" w:rsidR="003859C9" w:rsidRPr="00EB11D3" w:rsidRDefault="003859C9" w:rsidP="003859C9">
            <w:pPr>
              <w:autoSpaceDE w:val="0"/>
              <w:autoSpaceDN w:val="0"/>
              <w:adjustRightInd w:val="0"/>
              <w:spacing w:after="0" w:line="240" w:lineRule="auto"/>
              <w:jc w:val="left"/>
              <w:rPr>
                <w:szCs w:val="24"/>
              </w:rPr>
            </w:pPr>
          </w:p>
        </w:tc>
        <w:tc>
          <w:tcPr>
            <w:tcW w:w="547" w:type="pct"/>
            <w:vMerge/>
            <w:tcBorders>
              <w:top w:val="nil"/>
              <w:left w:val="single" w:sz="8" w:space="0" w:color="E0E0E0"/>
              <w:bottom w:val="nil"/>
              <w:right w:val="nil"/>
            </w:tcBorders>
            <w:shd w:val="clear" w:color="auto" w:fill="auto"/>
            <w:vAlign w:val="bottom"/>
          </w:tcPr>
          <w:p w14:paraId="7861E7B6" w14:textId="77777777" w:rsidR="003859C9" w:rsidRPr="00EB11D3" w:rsidRDefault="003859C9" w:rsidP="003859C9">
            <w:pPr>
              <w:autoSpaceDE w:val="0"/>
              <w:autoSpaceDN w:val="0"/>
              <w:adjustRightInd w:val="0"/>
              <w:spacing w:after="0" w:line="240" w:lineRule="auto"/>
              <w:jc w:val="left"/>
              <w:rPr>
                <w:szCs w:val="24"/>
              </w:rPr>
            </w:pPr>
          </w:p>
        </w:tc>
      </w:tr>
      <w:tr w:rsidR="003859C9" w:rsidRPr="00EB11D3" w14:paraId="05F8359D" w14:textId="77777777" w:rsidTr="00007E09">
        <w:trPr>
          <w:cantSplit/>
        </w:trPr>
        <w:tc>
          <w:tcPr>
            <w:tcW w:w="393" w:type="pct"/>
            <w:vMerge w:val="restart"/>
            <w:tcBorders>
              <w:top w:val="single" w:sz="8" w:space="0" w:color="152935"/>
              <w:left w:val="nil"/>
              <w:bottom w:val="nil"/>
              <w:right w:val="nil"/>
            </w:tcBorders>
            <w:shd w:val="clear" w:color="auto" w:fill="auto"/>
          </w:tcPr>
          <w:p w14:paraId="18D584F9" w14:textId="77777777" w:rsidR="003859C9" w:rsidRPr="00EB11D3" w:rsidRDefault="003859C9" w:rsidP="003859C9">
            <w:pPr>
              <w:spacing w:after="160" w:line="259" w:lineRule="auto"/>
              <w:jc w:val="left"/>
              <w:rPr>
                <w:szCs w:val="24"/>
              </w:rPr>
            </w:pPr>
            <w:r w:rsidRPr="00EB11D3">
              <w:rPr>
                <w:szCs w:val="24"/>
              </w:rPr>
              <w:t>1</w:t>
            </w:r>
          </w:p>
        </w:tc>
        <w:tc>
          <w:tcPr>
            <w:tcW w:w="1307" w:type="pct"/>
            <w:tcBorders>
              <w:top w:val="single" w:sz="8" w:space="0" w:color="152935"/>
              <w:left w:val="nil"/>
              <w:bottom w:val="single" w:sz="8" w:space="0" w:color="AEAEAE"/>
              <w:right w:val="nil"/>
            </w:tcBorders>
            <w:shd w:val="clear" w:color="auto" w:fill="auto"/>
          </w:tcPr>
          <w:p w14:paraId="525AFB4E" w14:textId="77777777" w:rsidR="003859C9" w:rsidRPr="00EB11D3" w:rsidRDefault="003859C9" w:rsidP="003859C9">
            <w:pPr>
              <w:spacing w:after="160" w:line="259" w:lineRule="auto"/>
              <w:jc w:val="left"/>
              <w:rPr>
                <w:szCs w:val="24"/>
              </w:rPr>
            </w:pPr>
            <w:r w:rsidRPr="00EB11D3">
              <w:rPr>
                <w:szCs w:val="24"/>
              </w:rPr>
              <w:t>(Constant)</w:t>
            </w:r>
          </w:p>
        </w:tc>
        <w:tc>
          <w:tcPr>
            <w:tcW w:w="711" w:type="pct"/>
            <w:tcBorders>
              <w:top w:val="single" w:sz="8" w:space="0" w:color="152935"/>
              <w:left w:val="nil"/>
              <w:bottom w:val="single" w:sz="8" w:space="0" w:color="AEAEAE"/>
              <w:right w:val="single" w:sz="8" w:space="0" w:color="E0E0E0"/>
            </w:tcBorders>
            <w:shd w:val="clear" w:color="auto" w:fill="auto"/>
          </w:tcPr>
          <w:p w14:paraId="0767B7AE"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1.299</w:t>
            </w:r>
          </w:p>
        </w:tc>
        <w:tc>
          <w:tcPr>
            <w:tcW w:w="711" w:type="pct"/>
            <w:tcBorders>
              <w:top w:val="single" w:sz="8" w:space="0" w:color="152935"/>
              <w:left w:val="single" w:sz="8" w:space="0" w:color="E0E0E0"/>
              <w:bottom w:val="single" w:sz="8" w:space="0" w:color="AEAEAE"/>
              <w:right w:val="single" w:sz="8" w:space="0" w:color="E0E0E0"/>
            </w:tcBorders>
            <w:shd w:val="clear" w:color="auto" w:fill="auto"/>
          </w:tcPr>
          <w:p w14:paraId="30FE479B"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.095</w:t>
            </w:r>
          </w:p>
        </w:tc>
        <w:tc>
          <w:tcPr>
            <w:tcW w:w="784" w:type="pct"/>
            <w:tcBorders>
              <w:top w:val="single" w:sz="8" w:space="0" w:color="152935"/>
              <w:left w:val="single" w:sz="8" w:space="0" w:color="E0E0E0"/>
              <w:bottom w:val="single" w:sz="8" w:space="0" w:color="AEAEAE"/>
              <w:right w:val="single" w:sz="8" w:space="0" w:color="E0E0E0"/>
            </w:tcBorders>
            <w:shd w:val="clear" w:color="auto" w:fill="auto"/>
            <w:vAlign w:val="center"/>
          </w:tcPr>
          <w:p w14:paraId="260DE465" w14:textId="77777777" w:rsidR="003859C9" w:rsidRPr="00EB11D3" w:rsidRDefault="003859C9" w:rsidP="003859C9">
            <w:pPr>
              <w:autoSpaceDE w:val="0"/>
              <w:autoSpaceDN w:val="0"/>
              <w:adjustRightInd w:val="0"/>
              <w:spacing w:after="0" w:line="240" w:lineRule="auto"/>
              <w:jc w:val="left"/>
              <w:rPr>
                <w:szCs w:val="24"/>
              </w:rPr>
            </w:pPr>
          </w:p>
        </w:tc>
        <w:tc>
          <w:tcPr>
            <w:tcW w:w="547" w:type="pct"/>
            <w:tcBorders>
              <w:top w:val="single" w:sz="8" w:space="0" w:color="152935"/>
              <w:left w:val="single" w:sz="8" w:space="0" w:color="E0E0E0"/>
              <w:bottom w:val="single" w:sz="8" w:space="0" w:color="AEAEAE"/>
              <w:right w:val="single" w:sz="8" w:space="0" w:color="E0E0E0"/>
            </w:tcBorders>
            <w:shd w:val="clear" w:color="auto" w:fill="auto"/>
          </w:tcPr>
          <w:p w14:paraId="7DFFBD6C"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13.680</w:t>
            </w:r>
          </w:p>
        </w:tc>
        <w:tc>
          <w:tcPr>
            <w:tcW w:w="547" w:type="pct"/>
            <w:tcBorders>
              <w:top w:val="single" w:sz="8" w:space="0" w:color="152935"/>
              <w:left w:val="single" w:sz="8" w:space="0" w:color="E0E0E0"/>
              <w:bottom w:val="single" w:sz="8" w:space="0" w:color="AEAEAE"/>
              <w:right w:val="nil"/>
            </w:tcBorders>
            <w:shd w:val="clear" w:color="auto" w:fill="auto"/>
          </w:tcPr>
          <w:p w14:paraId="5712C40E"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.000</w:t>
            </w:r>
          </w:p>
        </w:tc>
      </w:tr>
      <w:tr w:rsidR="003859C9" w:rsidRPr="00EB11D3" w14:paraId="727827D9" w14:textId="77777777" w:rsidTr="00007E09">
        <w:trPr>
          <w:cantSplit/>
        </w:trPr>
        <w:tc>
          <w:tcPr>
            <w:tcW w:w="393" w:type="pct"/>
            <w:vMerge/>
            <w:tcBorders>
              <w:top w:val="single" w:sz="8" w:space="0" w:color="152935"/>
              <w:left w:val="nil"/>
              <w:bottom w:val="nil"/>
              <w:right w:val="nil"/>
            </w:tcBorders>
            <w:shd w:val="clear" w:color="auto" w:fill="auto"/>
          </w:tcPr>
          <w:p w14:paraId="1E2D8A6D" w14:textId="77777777" w:rsidR="003859C9" w:rsidRPr="00EB11D3" w:rsidRDefault="003859C9" w:rsidP="003859C9">
            <w:pPr>
              <w:spacing w:after="160" w:line="259" w:lineRule="auto"/>
              <w:jc w:val="left"/>
              <w:rPr>
                <w:szCs w:val="24"/>
              </w:rPr>
            </w:pPr>
          </w:p>
        </w:tc>
        <w:tc>
          <w:tcPr>
            <w:tcW w:w="1307" w:type="pct"/>
            <w:tcBorders>
              <w:top w:val="single" w:sz="8" w:space="0" w:color="AEAEAE"/>
              <w:left w:val="nil"/>
              <w:bottom w:val="nil"/>
              <w:right w:val="nil"/>
            </w:tcBorders>
            <w:shd w:val="clear" w:color="auto" w:fill="auto"/>
          </w:tcPr>
          <w:p w14:paraId="54242886" w14:textId="77777777" w:rsidR="003859C9" w:rsidRPr="00EB11D3" w:rsidRDefault="003859C9" w:rsidP="003859C9">
            <w:pPr>
              <w:spacing w:after="160" w:line="259" w:lineRule="auto"/>
              <w:jc w:val="left"/>
              <w:rPr>
                <w:szCs w:val="24"/>
              </w:rPr>
            </w:pPr>
            <w:r w:rsidRPr="00EB11D3">
              <w:rPr>
                <w:szCs w:val="24"/>
              </w:rPr>
              <w:t>Corporate Governance</w:t>
            </w:r>
          </w:p>
        </w:tc>
        <w:tc>
          <w:tcPr>
            <w:tcW w:w="711" w:type="pct"/>
            <w:tcBorders>
              <w:top w:val="single" w:sz="8" w:space="0" w:color="AEAEAE"/>
              <w:left w:val="nil"/>
              <w:bottom w:val="nil"/>
              <w:right w:val="single" w:sz="8" w:space="0" w:color="E0E0E0"/>
            </w:tcBorders>
            <w:shd w:val="clear" w:color="auto" w:fill="auto"/>
          </w:tcPr>
          <w:p w14:paraId="0A338DFA"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.646</w:t>
            </w:r>
          </w:p>
        </w:tc>
        <w:tc>
          <w:tcPr>
            <w:tcW w:w="711" w:type="pct"/>
            <w:tcBorders>
              <w:top w:val="single" w:sz="8" w:space="0" w:color="AEAEAE"/>
              <w:left w:val="single" w:sz="8" w:space="0" w:color="E0E0E0"/>
              <w:bottom w:val="nil"/>
              <w:right w:val="single" w:sz="8" w:space="0" w:color="E0E0E0"/>
            </w:tcBorders>
            <w:shd w:val="clear" w:color="auto" w:fill="auto"/>
          </w:tcPr>
          <w:p w14:paraId="76DA5582"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.033</w:t>
            </w:r>
          </w:p>
        </w:tc>
        <w:tc>
          <w:tcPr>
            <w:tcW w:w="784" w:type="pct"/>
            <w:tcBorders>
              <w:top w:val="single" w:sz="8" w:space="0" w:color="AEAEAE"/>
              <w:left w:val="single" w:sz="8" w:space="0" w:color="E0E0E0"/>
              <w:bottom w:val="nil"/>
              <w:right w:val="single" w:sz="8" w:space="0" w:color="E0E0E0"/>
            </w:tcBorders>
            <w:shd w:val="clear" w:color="auto" w:fill="auto"/>
          </w:tcPr>
          <w:p w14:paraId="310F4414"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.783</w:t>
            </w:r>
          </w:p>
        </w:tc>
        <w:tc>
          <w:tcPr>
            <w:tcW w:w="547" w:type="pct"/>
            <w:tcBorders>
              <w:top w:val="single" w:sz="8" w:space="0" w:color="AEAEAE"/>
              <w:left w:val="single" w:sz="8" w:space="0" w:color="E0E0E0"/>
              <w:bottom w:val="nil"/>
              <w:right w:val="single" w:sz="8" w:space="0" w:color="E0E0E0"/>
            </w:tcBorders>
            <w:shd w:val="clear" w:color="auto" w:fill="auto"/>
          </w:tcPr>
          <w:p w14:paraId="31B383AA"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19.804</w:t>
            </w:r>
          </w:p>
        </w:tc>
        <w:tc>
          <w:tcPr>
            <w:tcW w:w="547" w:type="pct"/>
            <w:tcBorders>
              <w:top w:val="single" w:sz="8" w:space="0" w:color="AEAEAE"/>
              <w:left w:val="single" w:sz="8" w:space="0" w:color="E0E0E0"/>
              <w:bottom w:val="nil"/>
              <w:right w:val="nil"/>
            </w:tcBorders>
            <w:shd w:val="clear" w:color="auto" w:fill="auto"/>
          </w:tcPr>
          <w:p w14:paraId="4ECEE6C6"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.000</w:t>
            </w:r>
          </w:p>
        </w:tc>
      </w:tr>
      <w:tr w:rsidR="003859C9" w:rsidRPr="00EB11D3" w14:paraId="77FAFD22" w14:textId="77777777" w:rsidTr="00007E09">
        <w:trPr>
          <w:cantSplit/>
        </w:trPr>
        <w:tc>
          <w:tcPr>
            <w:tcW w:w="393" w:type="pct"/>
            <w:vMerge w:val="restart"/>
            <w:tcBorders>
              <w:top w:val="single" w:sz="8" w:space="0" w:color="AEAEAE"/>
              <w:left w:val="nil"/>
              <w:bottom w:val="single" w:sz="8" w:space="0" w:color="152935"/>
              <w:right w:val="nil"/>
            </w:tcBorders>
            <w:shd w:val="clear" w:color="auto" w:fill="auto"/>
          </w:tcPr>
          <w:p w14:paraId="069D9B95" w14:textId="77777777" w:rsidR="003859C9" w:rsidRPr="00EB11D3" w:rsidRDefault="003859C9" w:rsidP="003859C9">
            <w:pPr>
              <w:spacing w:after="160" w:line="259" w:lineRule="auto"/>
              <w:jc w:val="left"/>
              <w:rPr>
                <w:szCs w:val="24"/>
              </w:rPr>
            </w:pPr>
            <w:r w:rsidRPr="00EB11D3">
              <w:rPr>
                <w:szCs w:val="24"/>
              </w:rPr>
              <w:t>2</w:t>
            </w:r>
          </w:p>
        </w:tc>
        <w:tc>
          <w:tcPr>
            <w:tcW w:w="1307" w:type="pct"/>
            <w:tcBorders>
              <w:top w:val="single" w:sz="8" w:space="0" w:color="AEAEAE"/>
              <w:left w:val="nil"/>
              <w:bottom w:val="single" w:sz="8" w:space="0" w:color="AEAEAE"/>
              <w:right w:val="nil"/>
            </w:tcBorders>
            <w:shd w:val="clear" w:color="auto" w:fill="auto"/>
          </w:tcPr>
          <w:p w14:paraId="67665E3F" w14:textId="77777777" w:rsidR="003859C9" w:rsidRPr="00EB11D3" w:rsidRDefault="003859C9" w:rsidP="003859C9">
            <w:pPr>
              <w:spacing w:after="160" w:line="259" w:lineRule="auto"/>
              <w:jc w:val="left"/>
              <w:rPr>
                <w:szCs w:val="24"/>
              </w:rPr>
            </w:pPr>
            <w:r w:rsidRPr="00EB11D3">
              <w:rPr>
                <w:szCs w:val="24"/>
              </w:rPr>
              <w:t>(Constant)</w:t>
            </w:r>
          </w:p>
        </w:tc>
        <w:tc>
          <w:tcPr>
            <w:tcW w:w="711" w:type="pct"/>
            <w:tcBorders>
              <w:top w:val="single" w:sz="8" w:space="0" w:color="AEAEAE"/>
              <w:left w:val="nil"/>
              <w:bottom w:val="single" w:sz="8" w:space="0" w:color="AEAEAE"/>
              <w:right w:val="single" w:sz="8" w:space="0" w:color="E0E0E0"/>
            </w:tcBorders>
            <w:shd w:val="clear" w:color="auto" w:fill="auto"/>
          </w:tcPr>
          <w:p w14:paraId="5D3A7CCA"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.340</w:t>
            </w:r>
          </w:p>
        </w:tc>
        <w:tc>
          <w:tcPr>
            <w:tcW w:w="711" w:type="pct"/>
            <w:tcBorders>
              <w:top w:val="single" w:sz="8" w:space="0" w:color="AEAEAE"/>
              <w:left w:val="single" w:sz="8" w:space="0" w:color="E0E0E0"/>
              <w:bottom w:val="single" w:sz="8" w:space="0" w:color="AEAEAE"/>
              <w:right w:val="single" w:sz="8" w:space="0" w:color="E0E0E0"/>
            </w:tcBorders>
            <w:shd w:val="clear" w:color="auto" w:fill="auto"/>
          </w:tcPr>
          <w:p w14:paraId="27D22C6C"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.092</w:t>
            </w:r>
          </w:p>
        </w:tc>
        <w:tc>
          <w:tcPr>
            <w:tcW w:w="784" w:type="pct"/>
            <w:tcBorders>
              <w:top w:val="single" w:sz="8" w:space="0" w:color="AEAEAE"/>
              <w:left w:val="single" w:sz="8" w:space="0" w:color="E0E0E0"/>
              <w:bottom w:val="single" w:sz="8" w:space="0" w:color="AEAEAE"/>
              <w:right w:val="single" w:sz="8" w:space="0" w:color="E0E0E0"/>
            </w:tcBorders>
            <w:shd w:val="clear" w:color="auto" w:fill="auto"/>
            <w:vAlign w:val="center"/>
          </w:tcPr>
          <w:p w14:paraId="44FEF94F" w14:textId="77777777" w:rsidR="003859C9" w:rsidRPr="00EB11D3" w:rsidRDefault="003859C9" w:rsidP="003859C9">
            <w:pPr>
              <w:autoSpaceDE w:val="0"/>
              <w:autoSpaceDN w:val="0"/>
              <w:adjustRightInd w:val="0"/>
              <w:spacing w:after="0" w:line="240" w:lineRule="auto"/>
              <w:jc w:val="left"/>
              <w:rPr>
                <w:szCs w:val="24"/>
              </w:rPr>
            </w:pPr>
          </w:p>
        </w:tc>
        <w:tc>
          <w:tcPr>
            <w:tcW w:w="547" w:type="pct"/>
            <w:tcBorders>
              <w:top w:val="single" w:sz="8" w:space="0" w:color="AEAEAE"/>
              <w:left w:val="single" w:sz="8" w:space="0" w:color="E0E0E0"/>
              <w:bottom w:val="single" w:sz="8" w:space="0" w:color="AEAEAE"/>
              <w:right w:val="single" w:sz="8" w:space="0" w:color="E0E0E0"/>
            </w:tcBorders>
            <w:shd w:val="clear" w:color="auto" w:fill="auto"/>
          </w:tcPr>
          <w:p w14:paraId="04AF2FE2"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3.709</w:t>
            </w:r>
          </w:p>
        </w:tc>
        <w:tc>
          <w:tcPr>
            <w:tcW w:w="547" w:type="pct"/>
            <w:tcBorders>
              <w:top w:val="single" w:sz="8" w:space="0" w:color="AEAEAE"/>
              <w:left w:val="single" w:sz="8" w:space="0" w:color="E0E0E0"/>
              <w:bottom w:val="single" w:sz="8" w:space="0" w:color="AEAEAE"/>
              <w:right w:val="nil"/>
            </w:tcBorders>
            <w:shd w:val="clear" w:color="auto" w:fill="auto"/>
          </w:tcPr>
          <w:p w14:paraId="4FCC9EF5"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.000</w:t>
            </w:r>
          </w:p>
        </w:tc>
      </w:tr>
      <w:tr w:rsidR="003859C9" w:rsidRPr="00EB11D3" w14:paraId="631FEC31" w14:textId="77777777" w:rsidTr="00007E09">
        <w:trPr>
          <w:cantSplit/>
        </w:trPr>
        <w:tc>
          <w:tcPr>
            <w:tcW w:w="393" w:type="pct"/>
            <w:vMerge/>
            <w:tcBorders>
              <w:top w:val="single" w:sz="8" w:space="0" w:color="AEAEAE"/>
              <w:left w:val="nil"/>
              <w:bottom w:val="single" w:sz="8" w:space="0" w:color="152935"/>
              <w:right w:val="nil"/>
            </w:tcBorders>
            <w:shd w:val="clear" w:color="auto" w:fill="auto"/>
          </w:tcPr>
          <w:p w14:paraId="72CE0346" w14:textId="77777777" w:rsidR="003859C9" w:rsidRPr="00EB11D3" w:rsidRDefault="003859C9" w:rsidP="003859C9">
            <w:pPr>
              <w:spacing w:after="160" w:line="259" w:lineRule="auto"/>
              <w:jc w:val="left"/>
              <w:rPr>
                <w:szCs w:val="24"/>
              </w:rPr>
            </w:pPr>
          </w:p>
        </w:tc>
        <w:tc>
          <w:tcPr>
            <w:tcW w:w="1307" w:type="pct"/>
            <w:tcBorders>
              <w:top w:val="single" w:sz="8" w:space="0" w:color="AEAEAE"/>
              <w:left w:val="nil"/>
              <w:bottom w:val="single" w:sz="8" w:space="0" w:color="AEAEAE"/>
              <w:right w:val="nil"/>
            </w:tcBorders>
            <w:shd w:val="clear" w:color="auto" w:fill="auto"/>
          </w:tcPr>
          <w:p w14:paraId="64609348" w14:textId="77777777" w:rsidR="003859C9" w:rsidRPr="00EB11D3" w:rsidRDefault="003859C9" w:rsidP="003859C9">
            <w:pPr>
              <w:spacing w:after="160" w:line="259" w:lineRule="auto"/>
              <w:jc w:val="left"/>
              <w:rPr>
                <w:szCs w:val="24"/>
              </w:rPr>
            </w:pPr>
            <w:r w:rsidRPr="00EB11D3">
              <w:rPr>
                <w:szCs w:val="24"/>
              </w:rPr>
              <w:t>Corporate governance</w:t>
            </w:r>
          </w:p>
        </w:tc>
        <w:tc>
          <w:tcPr>
            <w:tcW w:w="711" w:type="pct"/>
            <w:tcBorders>
              <w:top w:val="single" w:sz="8" w:space="0" w:color="AEAEAE"/>
              <w:left w:val="nil"/>
              <w:bottom w:val="single" w:sz="8" w:space="0" w:color="AEAEAE"/>
              <w:right w:val="single" w:sz="8" w:space="0" w:color="E0E0E0"/>
            </w:tcBorders>
            <w:shd w:val="clear" w:color="auto" w:fill="auto"/>
          </w:tcPr>
          <w:p w14:paraId="67FF1EED"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.144</w:t>
            </w:r>
          </w:p>
        </w:tc>
        <w:tc>
          <w:tcPr>
            <w:tcW w:w="711" w:type="pct"/>
            <w:tcBorders>
              <w:top w:val="single" w:sz="8" w:space="0" w:color="AEAEAE"/>
              <w:left w:val="single" w:sz="8" w:space="0" w:color="E0E0E0"/>
              <w:bottom w:val="single" w:sz="8" w:space="0" w:color="AEAEAE"/>
              <w:right w:val="single" w:sz="8" w:space="0" w:color="E0E0E0"/>
            </w:tcBorders>
            <w:shd w:val="clear" w:color="auto" w:fill="auto"/>
          </w:tcPr>
          <w:p w14:paraId="415247E8"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.040</w:t>
            </w:r>
          </w:p>
        </w:tc>
        <w:tc>
          <w:tcPr>
            <w:tcW w:w="784" w:type="pct"/>
            <w:tcBorders>
              <w:top w:val="single" w:sz="8" w:space="0" w:color="AEAEAE"/>
              <w:left w:val="single" w:sz="8" w:space="0" w:color="E0E0E0"/>
              <w:bottom w:val="single" w:sz="8" w:space="0" w:color="AEAEAE"/>
              <w:right w:val="single" w:sz="8" w:space="0" w:color="E0E0E0"/>
            </w:tcBorders>
            <w:shd w:val="clear" w:color="auto" w:fill="auto"/>
          </w:tcPr>
          <w:p w14:paraId="0C9D7902"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.175</w:t>
            </w:r>
          </w:p>
        </w:tc>
        <w:tc>
          <w:tcPr>
            <w:tcW w:w="547" w:type="pct"/>
            <w:tcBorders>
              <w:top w:val="single" w:sz="8" w:space="0" w:color="AEAEAE"/>
              <w:left w:val="single" w:sz="8" w:space="0" w:color="E0E0E0"/>
              <w:bottom w:val="single" w:sz="8" w:space="0" w:color="AEAEAE"/>
              <w:right w:val="single" w:sz="8" w:space="0" w:color="E0E0E0"/>
            </w:tcBorders>
            <w:shd w:val="clear" w:color="auto" w:fill="auto"/>
          </w:tcPr>
          <w:p w14:paraId="10380085"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3.629</w:t>
            </w:r>
          </w:p>
        </w:tc>
        <w:tc>
          <w:tcPr>
            <w:tcW w:w="547" w:type="pct"/>
            <w:tcBorders>
              <w:top w:val="single" w:sz="8" w:space="0" w:color="AEAEAE"/>
              <w:left w:val="single" w:sz="8" w:space="0" w:color="E0E0E0"/>
              <w:bottom w:val="single" w:sz="8" w:space="0" w:color="AEAEAE"/>
              <w:right w:val="nil"/>
            </w:tcBorders>
            <w:shd w:val="clear" w:color="auto" w:fill="auto"/>
          </w:tcPr>
          <w:p w14:paraId="4F78AA09"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.000</w:t>
            </w:r>
          </w:p>
        </w:tc>
      </w:tr>
      <w:tr w:rsidR="003859C9" w:rsidRPr="00EB11D3" w14:paraId="0A219077" w14:textId="77777777" w:rsidTr="00007E09">
        <w:trPr>
          <w:cantSplit/>
        </w:trPr>
        <w:tc>
          <w:tcPr>
            <w:tcW w:w="393" w:type="pct"/>
            <w:vMerge/>
            <w:tcBorders>
              <w:top w:val="single" w:sz="8" w:space="0" w:color="AEAEAE"/>
              <w:left w:val="nil"/>
              <w:bottom w:val="single" w:sz="8" w:space="0" w:color="152935"/>
              <w:right w:val="nil"/>
            </w:tcBorders>
            <w:shd w:val="clear" w:color="auto" w:fill="auto"/>
          </w:tcPr>
          <w:p w14:paraId="5AB4F43B" w14:textId="77777777" w:rsidR="003859C9" w:rsidRPr="00EB11D3" w:rsidRDefault="003859C9" w:rsidP="003859C9">
            <w:pPr>
              <w:spacing w:after="160" w:line="259" w:lineRule="auto"/>
              <w:jc w:val="left"/>
              <w:rPr>
                <w:szCs w:val="24"/>
              </w:rPr>
            </w:pPr>
          </w:p>
        </w:tc>
        <w:tc>
          <w:tcPr>
            <w:tcW w:w="1307" w:type="pct"/>
            <w:tcBorders>
              <w:top w:val="single" w:sz="8" w:space="0" w:color="AEAEAE"/>
              <w:left w:val="nil"/>
              <w:bottom w:val="single" w:sz="8" w:space="0" w:color="152935"/>
              <w:right w:val="nil"/>
            </w:tcBorders>
            <w:shd w:val="clear" w:color="auto" w:fill="auto"/>
          </w:tcPr>
          <w:p w14:paraId="6B0A72DE" w14:textId="77777777" w:rsidR="003859C9" w:rsidRPr="00EB11D3" w:rsidRDefault="003859C9" w:rsidP="003859C9">
            <w:pPr>
              <w:spacing w:after="160" w:line="259" w:lineRule="auto"/>
              <w:jc w:val="left"/>
              <w:rPr>
                <w:szCs w:val="24"/>
              </w:rPr>
            </w:pPr>
            <w:r w:rsidRPr="00EB11D3">
              <w:rPr>
                <w:szCs w:val="24"/>
              </w:rPr>
              <w:t>Service Innovation</w:t>
            </w:r>
          </w:p>
        </w:tc>
        <w:tc>
          <w:tcPr>
            <w:tcW w:w="711" w:type="pct"/>
            <w:tcBorders>
              <w:top w:val="single" w:sz="8" w:space="0" w:color="AEAEAE"/>
              <w:left w:val="nil"/>
              <w:bottom w:val="single" w:sz="8" w:space="0" w:color="152935"/>
              <w:right w:val="single" w:sz="8" w:space="0" w:color="E0E0E0"/>
            </w:tcBorders>
            <w:shd w:val="clear" w:color="auto" w:fill="auto"/>
          </w:tcPr>
          <w:p w14:paraId="0AE59D05"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.772</w:t>
            </w:r>
          </w:p>
        </w:tc>
        <w:tc>
          <w:tcPr>
            <w:tcW w:w="711" w:type="pct"/>
            <w:tcBorders>
              <w:top w:val="single" w:sz="8" w:space="0" w:color="AEAEAE"/>
              <w:left w:val="single" w:sz="8" w:space="0" w:color="E0E0E0"/>
              <w:bottom w:val="single" w:sz="8" w:space="0" w:color="152935"/>
              <w:right w:val="single" w:sz="8" w:space="0" w:color="E0E0E0"/>
            </w:tcBorders>
            <w:shd w:val="clear" w:color="auto" w:fill="auto"/>
          </w:tcPr>
          <w:p w14:paraId="25C591B9"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.050</w:t>
            </w:r>
          </w:p>
        </w:tc>
        <w:tc>
          <w:tcPr>
            <w:tcW w:w="784" w:type="pct"/>
            <w:tcBorders>
              <w:top w:val="single" w:sz="8" w:space="0" w:color="AEAEAE"/>
              <w:left w:val="single" w:sz="8" w:space="0" w:color="E0E0E0"/>
              <w:bottom w:val="single" w:sz="8" w:space="0" w:color="152935"/>
              <w:right w:val="single" w:sz="8" w:space="0" w:color="E0E0E0"/>
            </w:tcBorders>
            <w:shd w:val="clear" w:color="auto" w:fill="auto"/>
          </w:tcPr>
          <w:p w14:paraId="277435EF"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.749</w:t>
            </w:r>
          </w:p>
        </w:tc>
        <w:tc>
          <w:tcPr>
            <w:tcW w:w="547" w:type="pct"/>
            <w:tcBorders>
              <w:top w:val="single" w:sz="8" w:space="0" w:color="AEAEAE"/>
              <w:left w:val="single" w:sz="8" w:space="0" w:color="E0E0E0"/>
              <w:bottom w:val="single" w:sz="8" w:space="0" w:color="152935"/>
              <w:right w:val="single" w:sz="8" w:space="0" w:color="E0E0E0"/>
            </w:tcBorders>
            <w:shd w:val="clear" w:color="auto" w:fill="auto"/>
          </w:tcPr>
          <w:p w14:paraId="3045CF7E"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15.531</w:t>
            </w:r>
          </w:p>
        </w:tc>
        <w:tc>
          <w:tcPr>
            <w:tcW w:w="547" w:type="pct"/>
            <w:tcBorders>
              <w:top w:val="single" w:sz="8" w:space="0" w:color="AEAEAE"/>
              <w:left w:val="single" w:sz="8" w:space="0" w:color="E0E0E0"/>
              <w:bottom w:val="single" w:sz="8" w:space="0" w:color="152935"/>
              <w:right w:val="nil"/>
            </w:tcBorders>
            <w:shd w:val="clear" w:color="auto" w:fill="auto"/>
          </w:tcPr>
          <w:p w14:paraId="0135DB0F" w14:textId="77777777" w:rsidR="003859C9" w:rsidRPr="00EB11D3" w:rsidRDefault="003859C9" w:rsidP="003859C9">
            <w:pPr>
              <w:autoSpaceDE w:val="0"/>
              <w:autoSpaceDN w:val="0"/>
              <w:adjustRightInd w:val="0"/>
              <w:spacing w:after="0" w:line="320" w:lineRule="atLeast"/>
              <w:ind w:left="60" w:right="60"/>
              <w:jc w:val="right"/>
              <w:rPr>
                <w:szCs w:val="24"/>
              </w:rPr>
            </w:pPr>
            <w:r w:rsidRPr="00EB11D3">
              <w:rPr>
                <w:szCs w:val="24"/>
              </w:rPr>
              <w:t>.000</w:t>
            </w:r>
          </w:p>
        </w:tc>
      </w:tr>
      <w:tr w:rsidR="003859C9" w:rsidRPr="00EB11D3" w14:paraId="293ED33F" w14:textId="77777777" w:rsidTr="00007E09">
        <w:trPr>
          <w:cantSplit/>
        </w:trPr>
        <w:tc>
          <w:tcPr>
            <w:tcW w:w="5000" w:type="pct"/>
            <w:gridSpan w:val="7"/>
            <w:tcBorders>
              <w:top w:val="nil"/>
              <w:left w:val="nil"/>
              <w:bottom w:val="nil"/>
              <w:right w:val="nil"/>
            </w:tcBorders>
            <w:shd w:val="clear" w:color="auto" w:fill="auto"/>
          </w:tcPr>
          <w:p w14:paraId="44AFD9AE" w14:textId="77777777" w:rsidR="003859C9" w:rsidRPr="00EB11D3" w:rsidRDefault="003859C9" w:rsidP="003859C9">
            <w:pPr>
              <w:autoSpaceDE w:val="0"/>
              <w:autoSpaceDN w:val="0"/>
              <w:adjustRightInd w:val="0"/>
              <w:spacing w:after="0" w:line="320" w:lineRule="atLeast"/>
              <w:ind w:left="60" w:right="60"/>
              <w:jc w:val="left"/>
              <w:rPr>
                <w:szCs w:val="24"/>
              </w:rPr>
            </w:pPr>
            <w:r w:rsidRPr="00EB11D3">
              <w:rPr>
                <w:szCs w:val="24"/>
              </w:rPr>
              <w:t>a. Dependent Variable: Organisational Performance</w:t>
            </w:r>
          </w:p>
        </w:tc>
      </w:tr>
    </w:tbl>
    <w:p w14:paraId="6A3AF0C0" w14:textId="77777777" w:rsidR="003859C9" w:rsidRPr="00EB11D3" w:rsidRDefault="003859C9" w:rsidP="003859C9">
      <w:pPr>
        <w:autoSpaceDE w:val="0"/>
        <w:autoSpaceDN w:val="0"/>
        <w:adjustRightInd w:val="0"/>
        <w:spacing w:after="0" w:line="400" w:lineRule="atLeast"/>
        <w:jc w:val="left"/>
        <w:rPr>
          <w:szCs w:val="24"/>
        </w:rPr>
      </w:pPr>
    </w:p>
    <w:p w14:paraId="7232DFEC" w14:textId="77777777" w:rsidR="003859C9" w:rsidRPr="00EB11D3" w:rsidRDefault="003859C9" w:rsidP="003859C9">
      <w:pPr>
        <w:spacing w:after="100" w:afterAutospacing="1" w:line="360" w:lineRule="auto"/>
        <w:rPr>
          <w:rFonts w:eastAsia="Calibri"/>
          <w:szCs w:val="24"/>
        </w:rPr>
      </w:pPr>
      <w:r w:rsidRPr="00EB11D3">
        <w:rPr>
          <w:rFonts w:eastAsia="Calibri"/>
          <w:szCs w:val="24"/>
        </w:rPr>
        <w:t xml:space="preserve">The results in Table 33 shows </w:t>
      </w:r>
      <w:r w:rsidR="001E286C">
        <w:rPr>
          <w:rFonts w:eastAsia="Calibri"/>
          <w:szCs w:val="24"/>
        </w:rPr>
        <w:t>that</w:t>
      </w:r>
      <w:r w:rsidR="001E286C" w:rsidRPr="001E286C">
        <w:rPr>
          <w:rFonts w:eastAsia="Calibri"/>
          <w:szCs w:val="24"/>
        </w:rPr>
        <w:t xml:space="preserve"> corporate governance is statistically significant when service innovation is control</w:t>
      </w:r>
      <w:r w:rsidR="001E286C">
        <w:rPr>
          <w:rFonts w:eastAsia="Calibri"/>
          <w:szCs w:val="24"/>
        </w:rPr>
        <w:t>led</w:t>
      </w:r>
      <w:r w:rsidR="001E286C" w:rsidRPr="001E286C">
        <w:rPr>
          <w:rFonts w:eastAsia="Calibri"/>
          <w:szCs w:val="24"/>
        </w:rPr>
        <w:t xml:space="preserve"> (p-value=0.000, or less than the 0.05 threshold at a 95% confidence level). According to model 2, where the variation rose from a coefficient of 0.613 to 0.804 and the p-value was.000, service innovation contributes considerably to the organisational performance. The results also show that service innovation accounts for a large portion of the variation, with the significance rising from F=392.200 in the first model to F=506.642 in the second. Due to the partial mediation effect seen, the study rejected the null hypothesis and accepted the alternative hypothesis, which states that service innovation mediates the association between corporate governance and organisational </w:t>
      </w:r>
      <w:r w:rsidR="001E286C">
        <w:rPr>
          <w:rFonts w:eastAsia="Calibri"/>
          <w:szCs w:val="24"/>
        </w:rPr>
        <w:t>performance.</w:t>
      </w:r>
      <w:r w:rsidR="0063789B" w:rsidRPr="00EB11D3">
        <w:rPr>
          <w:rFonts w:eastAsia="Calibri"/>
          <w:szCs w:val="24"/>
        </w:rPr>
        <w:t xml:space="preserve"> </w:t>
      </w:r>
    </w:p>
    <w:p w14:paraId="24C54956" w14:textId="77777777" w:rsidR="003859C9" w:rsidRPr="00EB11D3" w:rsidRDefault="003859C9" w:rsidP="003859C9">
      <w:pPr>
        <w:spacing w:after="160" w:line="259" w:lineRule="auto"/>
        <w:jc w:val="left"/>
        <w:rPr>
          <w:rFonts w:eastAsia="Calibri"/>
          <w:szCs w:val="24"/>
          <w:lang w:val="fr-FR"/>
        </w:rPr>
      </w:pPr>
      <w:bookmarkStart w:id="914" w:name="_Toc8905589"/>
      <w:bookmarkStart w:id="915" w:name="_Toc15147096"/>
      <w:bookmarkStart w:id="916" w:name="_Toc16177063"/>
      <w:bookmarkStart w:id="917" w:name="_Toc126071146"/>
      <w:r w:rsidRPr="00EB11D3">
        <w:rPr>
          <w:rFonts w:eastAsia="Calibri"/>
          <w:szCs w:val="24"/>
        </w:rPr>
        <w:t xml:space="preserve">This objective was guided by the following model; </w:t>
      </w:r>
      <w:r w:rsidRPr="00EB11D3">
        <w:rPr>
          <w:rFonts w:eastAsia="Calibri"/>
          <w:szCs w:val="24"/>
          <w:lang w:val="fr-FR"/>
        </w:rPr>
        <w:t xml:space="preserve">OP= </w:t>
      </w:r>
      <w:r w:rsidRPr="00EB11D3">
        <w:rPr>
          <w:rFonts w:eastAsia="Calibri"/>
          <w:szCs w:val="24"/>
        </w:rPr>
        <w:t>α</w:t>
      </w:r>
      <w:r w:rsidRPr="00EB11D3">
        <w:rPr>
          <w:rFonts w:eastAsia="Calibri"/>
          <w:szCs w:val="24"/>
          <w:lang w:val="fr-FR"/>
        </w:rPr>
        <w:t xml:space="preserve">+ </w:t>
      </w:r>
      <w:r w:rsidRPr="00EB11D3">
        <w:rPr>
          <w:rFonts w:eastAsia="Calibri"/>
          <w:szCs w:val="24"/>
        </w:rPr>
        <w:t>β</w:t>
      </w:r>
      <w:r w:rsidRPr="00EB11D3">
        <w:rPr>
          <w:rFonts w:eastAsia="Calibri"/>
          <w:szCs w:val="24"/>
          <w:vertAlign w:val="subscript"/>
          <w:lang w:val="fr-FR"/>
        </w:rPr>
        <w:t>1</w:t>
      </w:r>
      <w:r w:rsidRPr="00EB11D3">
        <w:rPr>
          <w:rFonts w:eastAsia="Calibri"/>
          <w:szCs w:val="24"/>
          <w:lang w:val="fr-FR"/>
        </w:rPr>
        <w:t xml:space="preserve">CG+ </w:t>
      </w:r>
      <w:r w:rsidRPr="00EB11D3">
        <w:rPr>
          <w:rFonts w:eastAsia="Calibri"/>
          <w:szCs w:val="24"/>
        </w:rPr>
        <w:t>β</w:t>
      </w:r>
      <w:r w:rsidRPr="00EB11D3">
        <w:rPr>
          <w:rFonts w:eastAsia="Calibri"/>
          <w:szCs w:val="24"/>
          <w:vertAlign w:val="subscript"/>
          <w:lang w:val="fr-FR"/>
        </w:rPr>
        <w:t>2</w:t>
      </w:r>
      <w:r w:rsidRPr="00EB11D3">
        <w:rPr>
          <w:rFonts w:eastAsia="Calibri"/>
          <w:szCs w:val="24"/>
          <w:lang w:val="fr-FR"/>
        </w:rPr>
        <w:t>SI</w:t>
      </w:r>
      <w:bookmarkEnd w:id="914"/>
      <w:bookmarkEnd w:id="915"/>
      <w:bookmarkEnd w:id="916"/>
      <w:bookmarkEnd w:id="917"/>
    </w:p>
    <w:p w14:paraId="3F9B3199" w14:textId="77777777" w:rsidR="003859C9" w:rsidRPr="00EB11D3" w:rsidRDefault="003859C9" w:rsidP="003859C9">
      <w:pPr>
        <w:spacing w:after="0" w:line="360" w:lineRule="auto"/>
        <w:rPr>
          <w:rFonts w:eastAsia="Calibri"/>
          <w:szCs w:val="24"/>
        </w:rPr>
      </w:pPr>
      <w:r w:rsidRPr="00EB11D3">
        <w:rPr>
          <w:rFonts w:eastAsia="Calibri"/>
          <w:szCs w:val="24"/>
        </w:rPr>
        <w:t>Where-; OP</w:t>
      </w:r>
      <w:r w:rsidRPr="00EB11D3">
        <w:rPr>
          <w:rFonts w:eastAsia="Calibri"/>
          <w:szCs w:val="24"/>
          <w:vertAlign w:val="subscript"/>
        </w:rPr>
        <w:t xml:space="preserve"> </w:t>
      </w:r>
      <w:r w:rsidRPr="00EB11D3">
        <w:rPr>
          <w:rFonts w:eastAsia="Calibri"/>
          <w:szCs w:val="24"/>
        </w:rPr>
        <w:t xml:space="preserve">= Organisational performance  </w:t>
      </w:r>
    </w:p>
    <w:p w14:paraId="3FCA8DC1" w14:textId="77777777" w:rsidR="003859C9" w:rsidRPr="00EB11D3" w:rsidRDefault="003859C9" w:rsidP="003859C9">
      <w:pPr>
        <w:spacing w:after="0" w:line="360" w:lineRule="auto"/>
        <w:rPr>
          <w:rFonts w:eastAsia="Calibri"/>
          <w:szCs w:val="24"/>
        </w:rPr>
      </w:pPr>
      <w:r w:rsidRPr="00EB11D3">
        <w:rPr>
          <w:rFonts w:eastAsia="Calibri"/>
          <w:szCs w:val="24"/>
        </w:rPr>
        <w:t xml:space="preserve">              CG= Corporate governance</w:t>
      </w:r>
    </w:p>
    <w:p w14:paraId="58ACF06A" w14:textId="77777777" w:rsidR="003859C9" w:rsidRPr="00EB11D3" w:rsidRDefault="003859C9" w:rsidP="003859C9">
      <w:pPr>
        <w:spacing w:after="0" w:line="360" w:lineRule="auto"/>
        <w:rPr>
          <w:rFonts w:eastAsia="Calibri"/>
          <w:szCs w:val="24"/>
        </w:rPr>
      </w:pPr>
      <w:r w:rsidRPr="00EB11D3">
        <w:rPr>
          <w:rFonts w:eastAsia="Calibri"/>
          <w:szCs w:val="24"/>
        </w:rPr>
        <w:t xml:space="preserve">              SI = Service Innovation (Meditator variable controlled)</w:t>
      </w:r>
    </w:p>
    <w:p w14:paraId="7D900166" w14:textId="77777777" w:rsidR="003859C9" w:rsidRPr="00EB11D3" w:rsidRDefault="003859C9" w:rsidP="003859C9">
      <w:pPr>
        <w:spacing w:after="0" w:line="360" w:lineRule="auto"/>
        <w:ind w:firstLine="720"/>
        <w:rPr>
          <w:rFonts w:eastAsia="Calibri"/>
          <w:szCs w:val="24"/>
        </w:rPr>
      </w:pPr>
      <w:r w:rsidRPr="00EB11D3">
        <w:rPr>
          <w:rFonts w:eastAsia="Calibri"/>
          <w:b/>
          <w:bCs/>
          <w:szCs w:val="24"/>
        </w:rPr>
        <w:t xml:space="preserve">  - </w:t>
      </w:r>
      <w:r w:rsidRPr="00EB11D3">
        <w:rPr>
          <w:rFonts w:eastAsia="Calibri"/>
          <w:b/>
          <w:bCs/>
          <w:szCs w:val="24"/>
        </w:rPr>
        <w:sym w:font="Symbol" w:char="F065"/>
      </w:r>
      <w:r w:rsidRPr="00EB11D3">
        <w:rPr>
          <w:rFonts w:eastAsia="Calibri"/>
          <w:b/>
          <w:bCs/>
          <w:szCs w:val="24"/>
          <w:vertAlign w:val="subscript"/>
        </w:rPr>
        <w:t>_</w:t>
      </w:r>
      <w:r w:rsidRPr="00EB11D3">
        <w:rPr>
          <w:rFonts w:eastAsia="Calibri"/>
          <w:b/>
          <w:bCs/>
          <w:szCs w:val="24"/>
        </w:rPr>
        <w:t xml:space="preserve"> </w:t>
      </w:r>
      <w:r w:rsidRPr="00EB11D3">
        <w:rPr>
          <w:rFonts w:eastAsia="Calibri"/>
          <w:szCs w:val="24"/>
        </w:rPr>
        <w:t xml:space="preserve">= Error term </w:t>
      </w:r>
    </w:p>
    <w:p w14:paraId="18929FAB" w14:textId="77777777" w:rsidR="003859C9" w:rsidRPr="00EB11D3" w:rsidRDefault="003859C9" w:rsidP="003859C9">
      <w:pPr>
        <w:spacing w:after="0" w:line="360" w:lineRule="auto"/>
        <w:rPr>
          <w:rFonts w:eastAsia="Calibri"/>
          <w:szCs w:val="24"/>
        </w:rPr>
      </w:pPr>
      <w:r w:rsidRPr="00EB11D3">
        <w:rPr>
          <w:rFonts w:eastAsia="Calibri"/>
          <w:szCs w:val="24"/>
        </w:rPr>
        <w:t xml:space="preserve">               β = the beta coefficients of independent variables</w:t>
      </w:r>
    </w:p>
    <w:p w14:paraId="4C040F1B" w14:textId="77777777" w:rsidR="003859C9" w:rsidRPr="00EB11D3" w:rsidRDefault="003859C9" w:rsidP="003859C9">
      <w:pPr>
        <w:autoSpaceDE w:val="0"/>
        <w:autoSpaceDN w:val="0"/>
        <w:spacing w:after="160" w:line="360" w:lineRule="auto"/>
        <w:rPr>
          <w:rFonts w:eastAsia="Calibri"/>
          <w:bCs/>
          <w:szCs w:val="24"/>
        </w:rPr>
      </w:pPr>
      <w:r w:rsidRPr="00EB11D3">
        <w:rPr>
          <w:rFonts w:eastAsia="Calibri"/>
          <w:szCs w:val="24"/>
        </w:rPr>
        <w:t xml:space="preserve">After the regression analysis the model became </w:t>
      </w:r>
      <w:r w:rsidRPr="00EB11D3">
        <w:rPr>
          <w:rFonts w:eastAsia="Calibri"/>
          <w:bCs/>
          <w:szCs w:val="24"/>
        </w:rPr>
        <w:t>Y= .340 +.144CG+ .</w:t>
      </w:r>
      <w:r w:rsidRPr="00EB11D3">
        <w:rPr>
          <w:rFonts w:eastAsia="Calibri"/>
          <w:szCs w:val="24"/>
        </w:rPr>
        <w:t>772SI</w:t>
      </w:r>
    </w:p>
    <w:p w14:paraId="52C44A30" w14:textId="77777777" w:rsidR="003859C9" w:rsidRPr="00EB11D3" w:rsidRDefault="003859C9" w:rsidP="00823CEA">
      <w:pPr>
        <w:pStyle w:val="Heading3"/>
      </w:pPr>
      <w:bookmarkStart w:id="918" w:name="_Toc124240255"/>
      <w:bookmarkStart w:id="919" w:name="_Toc126071147"/>
      <w:bookmarkStart w:id="920" w:name="_Toc164151269"/>
      <w:bookmarkStart w:id="921" w:name="_Toc168673461"/>
      <w:bookmarkStart w:id="922" w:name="_Toc168737903"/>
      <w:bookmarkStart w:id="923" w:name="_Toc171602656"/>
      <w:bookmarkStart w:id="924" w:name="_Toc171603483"/>
      <w:bookmarkStart w:id="925" w:name="_Toc177387888"/>
      <w:r w:rsidRPr="00EB11D3">
        <w:t>4.</w:t>
      </w:r>
      <w:r w:rsidR="004373D8">
        <w:t>6</w:t>
      </w:r>
      <w:r w:rsidRPr="00EB11D3">
        <w:t xml:space="preserve">.3 Moderating Effect of </w:t>
      </w:r>
      <w:bookmarkEnd w:id="918"/>
      <w:bookmarkEnd w:id="919"/>
      <w:r w:rsidRPr="00EB11D3">
        <w:t>Government Regulations</w:t>
      </w:r>
      <w:bookmarkEnd w:id="920"/>
      <w:bookmarkEnd w:id="921"/>
      <w:bookmarkEnd w:id="922"/>
      <w:bookmarkEnd w:id="923"/>
      <w:bookmarkEnd w:id="924"/>
      <w:bookmarkEnd w:id="925"/>
    </w:p>
    <w:p w14:paraId="4F5EE2F0" w14:textId="77777777" w:rsidR="003859C9" w:rsidRPr="00EB11D3" w:rsidRDefault="003859C9" w:rsidP="003859C9">
      <w:pPr>
        <w:spacing w:after="0" w:line="240" w:lineRule="auto"/>
        <w:jc w:val="left"/>
        <w:rPr>
          <w:rFonts w:eastAsia="Times New Roman"/>
          <w:b/>
          <w:bCs/>
          <w:szCs w:val="24"/>
          <w:lang w:val="en-GB" w:eastAsia="en-GB"/>
        </w:rPr>
      </w:pPr>
    </w:p>
    <w:p w14:paraId="0634E051" w14:textId="77777777" w:rsidR="003859C9" w:rsidRPr="00EB11D3" w:rsidRDefault="003859C9" w:rsidP="003859C9">
      <w:pPr>
        <w:autoSpaceDE w:val="0"/>
        <w:autoSpaceDN w:val="0"/>
        <w:adjustRightInd w:val="0"/>
        <w:spacing w:after="0" w:line="400" w:lineRule="atLeast"/>
        <w:rPr>
          <w:szCs w:val="24"/>
        </w:rPr>
      </w:pPr>
      <w:r w:rsidRPr="00EB11D3">
        <w:rPr>
          <w:szCs w:val="24"/>
        </w:rPr>
        <w:t xml:space="preserve">The third objective of the study was to determine the moderating effect of government regulations on the relationship between corporate governance and </w:t>
      </w:r>
      <w:r w:rsidR="006D5C62" w:rsidRPr="00EB11D3">
        <w:rPr>
          <w:szCs w:val="24"/>
        </w:rPr>
        <w:t>organisational performance of Faith-Based Hospitals</w:t>
      </w:r>
      <w:r w:rsidRPr="00EB11D3">
        <w:rPr>
          <w:szCs w:val="24"/>
        </w:rPr>
        <w:t xml:space="preserve"> in Kenya. Stepwise regression analysis was </w:t>
      </w:r>
      <w:bookmarkStart w:id="926" w:name="_Toc41089955"/>
      <w:bookmarkStart w:id="927" w:name="_Toc41090137"/>
      <w:bookmarkStart w:id="928" w:name="_Toc41582583"/>
      <w:bookmarkStart w:id="929" w:name="_Toc41582964"/>
      <w:bookmarkStart w:id="930" w:name="_Toc42047976"/>
      <w:bookmarkStart w:id="931" w:name="_Toc46323304"/>
      <w:bookmarkStart w:id="932" w:name="_Toc46323478"/>
      <w:bookmarkStart w:id="933" w:name="_Toc46323569"/>
      <w:r w:rsidR="004D6A34">
        <w:rPr>
          <w:szCs w:val="24"/>
        </w:rPr>
        <w:t xml:space="preserve">used to test the third </w:t>
      </w:r>
      <w:r w:rsidR="004D6A34" w:rsidRPr="004D6A34">
        <w:rPr>
          <w:szCs w:val="24"/>
        </w:rPr>
        <w:t xml:space="preserve">hypothesis, which claimed that government </w:t>
      </w:r>
      <w:r w:rsidR="004D6A34">
        <w:rPr>
          <w:szCs w:val="24"/>
        </w:rPr>
        <w:t xml:space="preserve">regulations has </w:t>
      </w:r>
      <w:r w:rsidR="004D6A34" w:rsidRPr="004D6A34">
        <w:rPr>
          <w:szCs w:val="24"/>
        </w:rPr>
        <w:t xml:space="preserve">no </w:t>
      </w:r>
      <w:r w:rsidR="004D6A34">
        <w:rPr>
          <w:szCs w:val="24"/>
        </w:rPr>
        <w:t>significant</w:t>
      </w:r>
      <w:r w:rsidR="004D6A34" w:rsidRPr="004D6A34">
        <w:rPr>
          <w:szCs w:val="24"/>
        </w:rPr>
        <w:t xml:space="preserve"> moderating influence on the association between corporate governance and organisational performance of faith-based hospitals in Kenya, was expressed in null form. The three-step moderation models developed by Baron and Kenny (1986) were used to test the hypothesis. Corporate governance (CG) is the independent variable (X), government regulations (GR) is the moderator (Z), and organisational performance (OP) is the dependent variable (Y) in the following graphical illustration of a basic moderation model.</w:t>
      </w:r>
    </w:p>
    <w:p w14:paraId="358E2FB6" w14:textId="77777777" w:rsidR="003859C9" w:rsidRPr="00EB11D3" w:rsidRDefault="003859C9" w:rsidP="003859C9">
      <w:pPr>
        <w:autoSpaceDE w:val="0"/>
        <w:autoSpaceDN w:val="0"/>
        <w:adjustRightInd w:val="0"/>
        <w:spacing w:after="0" w:line="400" w:lineRule="atLeast"/>
        <w:rPr>
          <w:szCs w:val="24"/>
        </w:rPr>
      </w:pPr>
    </w:p>
    <w:p w14:paraId="2AC91A02" w14:textId="77777777" w:rsidR="003859C9" w:rsidRPr="00EB11D3" w:rsidRDefault="003859C9" w:rsidP="003859C9">
      <w:pPr>
        <w:spacing w:after="0" w:line="240" w:lineRule="auto"/>
        <w:rPr>
          <w:rFonts w:eastAsia="Times New Roman"/>
          <w:b/>
          <w:bCs/>
          <w:iCs/>
          <w:szCs w:val="24"/>
          <w:lang w:val="en-GB"/>
        </w:rPr>
      </w:pPr>
      <w:bookmarkStart w:id="934" w:name="_Toc126666779"/>
      <w:bookmarkStart w:id="935" w:name="_Toc177387975"/>
      <w:r w:rsidRPr="00EB11D3">
        <w:rPr>
          <w:rFonts w:eastAsia="Times New Roman"/>
          <w:b/>
          <w:bCs/>
          <w:szCs w:val="24"/>
        </w:rPr>
        <w:t xml:space="preserve">Figure </w:t>
      </w:r>
      <w:r w:rsidRPr="00EB11D3">
        <w:rPr>
          <w:rFonts w:eastAsia="Times New Roman"/>
          <w:b/>
          <w:bCs/>
          <w:szCs w:val="24"/>
        </w:rPr>
        <w:fldChar w:fldCharType="begin"/>
      </w:r>
      <w:r w:rsidRPr="00EB11D3">
        <w:rPr>
          <w:rFonts w:eastAsia="Times New Roman"/>
          <w:b/>
          <w:bCs/>
          <w:szCs w:val="24"/>
        </w:rPr>
        <w:instrText xml:space="preserve"> SEQ Figure \* ARABIC </w:instrText>
      </w:r>
      <w:r w:rsidRPr="00EB11D3">
        <w:rPr>
          <w:rFonts w:eastAsia="Times New Roman"/>
          <w:b/>
          <w:bCs/>
          <w:szCs w:val="24"/>
        </w:rPr>
        <w:fldChar w:fldCharType="separate"/>
      </w:r>
      <w:r w:rsidRPr="00EB11D3">
        <w:rPr>
          <w:rFonts w:eastAsia="Times New Roman"/>
          <w:b/>
          <w:bCs/>
          <w:noProof/>
          <w:szCs w:val="24"/>
        </w:rPr>
        <w:t>3</w:t>
      </w:r>
      <w:r w:rsidRPr="00EB11D3">
        <w:rPr>
          <w:rFonts w:eastAsia="Times New Roman"/>
          <w:b/>
          <w:bCs/>
          <w:szCs w:val="24"/>
        </w:rPr>
        <w:fldChar w:fldCharType="end"/>
      </w:r>
      <w:r w:rsidRPr="00EB11D3">
        <w:rPr>
          <w:rFonts w:eastAsia="Times New Roman"/>
          <w:b/>
          <w:bCs/>
          <w:iCs/>
          <w:szCs w:val="24"/>
          <w:lang w:val="en-GB"/>
        </w:rPr>
        <w:t>: Simple Moderation Model for CG, GR and OP</w:t>
      </w:r>
      <w:bookmarkEnd w:id="926"/>
      <w:bookmarkEnd w:id="927"/>
      <w:bookmarkEnd w:id="928"/>
      <w:bookmarkEnd w:id="929"/>
      <w:bookmarkEnd w:id="930"/>
      <w:bookmarkEnd w:id="931"/>
      <w:bookmarkEnd w:id="932"/>
      <w:bookmarkEnd w:id="933"/>
      <w:bookmarkEnd w:id="934"/>
      <w:bookmarkEnd w:id="935"/>
    </w:p>
    <w:p w14:paraId="7FF77DBD" w14:textId="77777777" w:rsidR="003859C9" w:rsidRPr="00EB11D3" w:rsidRDefault="003859C9" w:rsidP="003859C9">
      <w:pPr>
        <w:spacing w:after="160" w:line="259" w:lineRule="auto"/>
        <w:jc w:val="left"/>
        <w:rPr>
          <w:rFonts w:eastAsia="Calibri"/>
          <w:szCs w:val="24"/>
          <w:lang w:val="en-GB"/>
        </w:rPr>
      </w:pPr>
    </w:p>
    <w:p w14:paraId="549FB2A5" w14:textId="77777777" w:rsidR="003859C9" w:rsidRPr="00EB11D3" w:rsidRDefault="00FD30BB" w:rsidP="003859C9">
      <w:pPr>
        <w:spacing w:after="120" w:line="360" w:lineRule="auto"/>
        <w:rPr>
          <w:rFonts w:eastAsia="Times New Roman"/>
          <w:szCs w:val="24"/>
          <w:lang w:val="en-GB"/>
        </w:rPr>
      </w:pPr>
      <w:r w:rsidRPr="00C962F7">
        <w:rPr>
          <w:rFonts w:eastAsia="Times New Roman"/>
          <w:noProof/>
          <w:szCs w:val="24"/>
        </w:rPr>
        <w:drawing>
          <wp:inline distT="0" distB="0" distL="0" distR="0" wp14:anchorId="53E8E1F4" wp14:editId="28313E8F">
            <wp:extent cx="5870575" cy="1652270"/>
            <wp:effectExtent l="0" t="0" r="0" b="0"/>
            <wp:docPr id="27"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870575" cy="1652270"/>
                    </a:xfrm>
                    <a:prstGeom prst="rect">
                      <a:avLst/>
                    </a:prstGeom>
                    <a:noFill/>
                    <a:ln>
                      <a:noFill/>
                    </a:ln>
                  </pic:spPr>
                </pic:pic>
              </a:graphicData>
            </a:graphic>
          </wp:inline>
        </w:drawing>
      </w:r>
    </w:p>
    <w:p w14:paraId="0D954EDE" w14:textId="77777777" w:rsidR="003859C9" w:rsidRPr="00EB11D3" w:rsidRDefault="003859C9" w:rsidP="003859C9">
      <w:pPr>
        <w:autoSpaceDE w:val="0"/>
        <w:autoSpaceDN w:val="0"/>
        <w:adjustRightInd w:val="0"/>
        <w:spacing w:line="360" w:lineRule="auto"/>
        <w:rPr>
          <w:rFonts w:eastAsia="Calibri"/>
          <w:bCs/>
          <w:szCs w:val="24"/>
        </w:rPr>
      </w:pPr>
      <w:r w:rsidRPr="00EB11D3">
        <w:rPr>
          <w:rFonts w:eastAsia="Calibri"/>
          <w:bCs/>
          <w:szCs w:val="24"/>
        </w:rPr>
        <w:t>Where-;</w:t>
      </w:r>
    </w:p>
    <w:p w14:paraId="33FF55D8" w14:textId="77777777" w:rsidR="003859C9" w:rsidRPr="00EB11D3" w:rsidRDefault="003859C9" w:rsidP="003859C9">
      <w:pPr>
        <w:autoSpaceDE w:val="0"/>
        <w:autoSpaceDN w:val="0"/>
        <w:adjustRightInd w:val="0"/>
        <w:spacing w:line="360" w:lineRule="auto"/>
        <w:rPr>
          <w:rFonts w:eastAsia="Calibri"/>
          <w:szCs w:val="24"/>
        </w:rPr>
      </w:pPr>
      <w:r w:rsidRPr="00EB11D3">
        <w:rPr>
          <w:rFonts w:eastAsia="Calibri"/>
          <w:bCs/>
          <w:szCs w:val="24"/>
        </w:rPr>
        <w:t>H</w:t>
      </w:r>
      <w:r w:rsidRPr="00EB11D3">
        <w:rPr>
          <w:rFonts w:eastAsia="Calibri"/>
          <w:bCs/>
          <w:szCs w:val="24"/>
          <w:vertAlign w:val="subscript"/>
        </w:rPr>
        <w:t>2</w:t>
      </w:r>
      <w:r w:rsidRPr="00EB11D3">
        <w:rPr>
          <w:rFonts w:eastAsia="Calibri"/>
          <w:bCs/>
          <w:szCs w:val="24"/>
        </w:rPr>
        <w:t xml:space="preserve"> = Cross-level moderation effect</w:t>
      </w:r>
      <w:r w:rsidRPr="00EB11D3">
        <w:rPr>
          <w:rFonts w:eastAsia="Calibri"/>
          <w:szCs w:val="24"/>
        </w:rPr>
        <w:t>.</w:t>
      </w:r>
    </w:p>
    <w:p w14:paraId="658D05F9" w14:textId="77777777" w:rsidR="003859C9" w:rsidRPr="00EB11D3" w:rsidRDefault="00407AAA" w:rsidP="003859C9">
      <w:pPr>
        <w:autoSpaceDE w:val="0"/>
        <w:autoSpaceDN w:val="0"/>
        <w:adjustRightInd w:val="0"/>
        <w:spacing w:line="360" w:lineRule="auto"/>
        <w:rPr>
          <w:rFonts w:eastAsia="Calibri"/>
          <w:szCs w:val="24"/>
        </w:rPr>
      </w:pPr>
      <w:r w:rsidRPr="00407AAA">
        <w:rPr>
          <w:rFonts w:eastAsia="Calibri"/>
          <w:szCs w:val="24"/>
        </w:rPr>
        <w:t xml:space="preserve">The first </w:t>
      </w:r>
      <w:r>
        <w:rPr>
          <w:rFonts w:eastAsia="Calibri"/>
          <w:szCs w:val="24"/>
        </w:rPr>
        <w:t>step</w:t>
      </w:r>
      <w:r w:rsidRPr="00407AAA">
        <w:rPr>
          <w:rFonts w:eastAsia="Calibri"/>
          <w:szCs w:val="24"/>
        </w:rPr>
        <w:t xml:space="preserve"> included regressing corporate governance </w:t>
      </w:r>
      <w:r>
        <w:rPr>
          <w:rFonts w:eastAsia="Calibri"/>
          <w:szCs w:val="24"/>
        </w:rPr>
        <w:t>against</w:t>
      </w:r>
      <w:r w:rsidRPr="00407AAA">
        <w:rPr>
          <w:rFonts w:eastAsia="Calibri"/>
          <w:szCs w:val="24"/>
        </w:rPr>
        <w:t xml:space="preserve"> organisational performance. Step two involved regressing government r</w:t>
      </w:r>
      <w:r>
        <w:rPr>
          <w:rFonts w:eastAsia="Calibri"/>
          <w:szCs w:val="24"/>
        </w:rPr>
        <w:t>egulations</w:t>
      </w:r>
      <w:r w:rsidRPr="00407AAA">
        <w:rPr>
          <w:rFonts w:eastAsia="Calibri"/>
          <w:szCs w:val="24"/>
        </w:rPr>
        <w:t xml:space="preserve"> </w:t>
      </w:r>
      <w:r>
        <w:rPr>
          <w:rFonts w:eastAsia="Calibri"/>
          <w:szCs w:val="24"/>
        </w:rPr>
        <w:t xml:space="preserve">against </w:t>
      </w:r>
      <w:r w:rsidRPr="00407AAA">
        <w:rPr>
          <w:rFonts w:eastAsia="Calibri"/>
          <w:szCs w:val="24"/>
        </w:rPr>
        <w:t xml:space="preserve">corporate governance </w:t>
      </w:r>
      <w:r>
        <w:rPr>
          <w:rFonts w:eastAsia="Calibri"/>
          <w:szCs w:val="24"/>
        </w:rPr>
        <w:t>and</w:t>
      </w:r>
      <w:r w:rsidRPr="00407AAA">
        <w:rPr>
          <w:rFonts w:eastAsia="Calibri"/>
          <w:szCs w:val="24"/>
        </w:rPr>
        <w:t xml:space="preserve"> performance. The third phase established the concept of interaction between government </w:t>
      </w:r>
      <w:r>
        <w:rPr>
          <w:rFonts w:eastAsia="Calibri"/>
          <w:szCs w:val="24"/>
        </w:rPr>
        <w:t>regulations</w:t>
      </w:r>
      <w:r w:rsidRPr="00407AAA">
        <w:rPr>
          <w:rFonts w:eastAsia="Calibri"/>
          <w:szCs w:val="24"/>
        </w:rPr>
        <w:t xml:space="preserve"> and </w:t>
      </w:r>
      <w:r>
        <w:rPr>
          <w:rFonts w:eastAsia="Calibri"/>
          <w:szCs w:val="24"/>
        </w:rPr>
        <w:t>corporate</w:t>
      </w:r>
      <w:r w:rsidRPr="00407AAA">
        <w:rPr>
          <w:rFonts w:eastAsia="Calibri"/>
          <w:szCs w:val="24"/>
        </w:rPr>
        <w:t xml:space="preserve"> governance. When the interaction term's effect is statistically significant, the moderation effect is validated.</w:t>
      </w:r>
      <w:r w:rsidR="003859C9" w:rsidRPr="00EB11D3">
        <w:rPr>
          <w:rFonts w:eastAsia="Calibri"/>
          <w:szCs w:val="24"/>
        </w:rPr>
        <w:t xml:space="preserve"> </w:t>
      </w:r>
      <w:bookmarkStart w:id="936" w:name="_Hlk129541693"/>
    </w:p>
    <w:bookmarkEnd w:id="936"/>
    <w:p w14:paraId="6E2B1EBC" w14:textId="77777777" w:rsidR="003859C9" w:rsidRPr="00EB11D3" w:rsidRDefault="002B4F9D" w:rsidP="003859C9">
      <w:pPr>
        <w:autoSpaceDE w:val="0"/>
        <w:autoSpaceDN w:val="0"/>
        <w:adjustRightInd w:val="0"/>
        <w:spacing w:line="360" w:lineRule="auto"/>
        <w:rPr>
          <w:rFonts w:eastAsia="Calibri"/>
          <w:szCs w:val="24"/>
        </w:rPr>
      </w:pPr>
      <w:r w:rsidRPr="002B4F9D">
        <w:rPr>
          <w:rFonts w:eastAsia="Calibri"/>
          <w:szCs w:val="24"/>
          <w:lang w:val="en-GB" w:eastAsia="en-GB"/>
        </w:rPr>
        <w:t>Regression coefficients, Analysis of Variance (ANOVA), and coefficient of determination (R-Square) were used to evaluate the moderating effect of government regulations and explain the findings. An interaction term - a byproduct of government regulations and corporate governance - was included as an extra predictor in three phases and included in the hierarchical regression analysis.</w:t>
      </w:r>
    </w:p>
    <w:p w14:paraId="0747071D" w14:textId="77777777" w:rsidR="003859C9" w:rsidRPr="00EB11D3" w:rsidRDefault="003859C9" w:rsidP="00823CEA">
      <w:pPr>
        <w:spacing w:after="160" w:line="259" w:lineRule="auto"/>
        <w:jc w:val="left"/>
        <w:rPr>
          <w:rFonts w:eastAsia="Times New Roman"/>
          <w:b/>
          <w:bCs/>
          <w:szCs w:val="24"/>
        </w:rPr>
      </w:pPr>
      <w:bookmarkStart w:id="937" w:name="_Toc126666769"/>
      <w:bookmarkStart w:id="938" w:name="_Toc177387965"/>
      <w:r w:rsidRPr="00EB11D3">
        <w:rPr>
          <w:rFonts w:eastAsia="Times New Roman"/>
          <w:b/>
          <w:bCs/>
          <w:szCs w:val="24"/>
        </w:rPr>
        <w:t xml:space="preserve">Table </w:t>
      </w:r>
      <w:r w:rsidRPr="00EB11D3">
        <w:rPr>
          <w:rFonts w:eastAsia="Times New Roman"/>
          <w:b/>
          <w:bCs/>
          <w:szCs w:val="24"/>
        </w:rPr>
        <w:fldChar w:fldCharType="begin"/>
      </w:r>
      <w:r w:rsidRPr="00EB11D3">
        <w:rPr>
          <w:rFonts w:eastAsia="Times New Roman"/>
          <w:b/>
          <w:bCs/>
          <w:szCs w:val="24"/>
        </w:rPr>
        <w:instrText xml:space="preserve"> SEQ Table \* ARABIC </w:instrText>
      </w:r>
      <w:r w:rsidRPr="00EB11D3">
        <w:rPr>
          <w:rFonts w:eastAsia="Times New Roman"/>
          <w:b/>
          <w:bCs/>
          <w:szCs w:val="24"/>
        </w:rPr>
        <w:fldChar w:fldCharType="separate"/>
      </w:r>
      <w:r w:rsidRPr="00EB11D3">
        <w:rPr>
          <w:rFonts w:eastAsia="Times New Roman"/>
          <w:b/>
          <w:bCs/>
          <w:noProof/>
          <w:szCs w:val="24"/>
        </w:rPr>
        <w:t>34</w:t>
      </w:r>
      <w:r w:rsidRPr="00EB11D3">
        <w:rPr>
          <w:rFonts w:eastAsia="Times New Roman"/>
          <w:b/>
          <w:bCs/>
          <w:szCs w:val="24"/>
        </w:rPr>
        <w:fldChar w:fldCharType="end"/>
      </w:r>
      <w:r w:rsidRPr="00EB11D3">
        <w:rPr>
          <w:rFonts w:eastAsia="Times New Roman"/>
          <w:b/>
          <w:bCs/>
          <w:iCs/>
          <w:szCs w:val="24"/>
          <w:lang w:val="en-GB" w:eastAsia="en-GB"/>
        </w:rPr>
        <w:t xml:space="preserve">: Regression Results for </w:t>
      </w:r>
      <w:r w:rsidRPr="00EB11D3">
        <w:rPr>
          <w:rFonts w:eastAsia="Times New Roman"/>
          <w:b/>
          <w:bCs/>
          <w:szCs w:val="24"/>
          <w:lang w:val="en-GB" w:eastAsia="en-GB"/>
        </w:rPr>
        <w:t xml:space="preserve">Model Summary </w:t>
      </w:r>
      <w:r w:rsidRPr="00EB11D3">
        <w:rPr>
          <w:rFonts w:eastAsia="Times New Roman"/>
          <w:b/>
          <w:bCs/>
          <w:iCs/>
          <w:szCs w:val="24"/>
          <w:lang w:val="en-GB" w:eastAsia="en-GB"/>
        </w:rPr>
        <w:t xml:space="preserve">for </w:t>
      </w:r>
      <w:r w:rsidRPr="00EB11D3">
        <w:rPr>
          <w:rFonts w:eastAsia="Times New Roman"/>
          <w:b/>
          <w:bCs/>
          <w:szCs w:val="24"/>
        </w:rPr>
        <w:t>CG, GR and OP</w:t>
      </w:r>
      <w:bookmarkEnd w:id="937"/>
      <w:bookmarkEnd w:id="938"/>
      <w:r w:rsidRPr="00EB11D3">
        <w:rPr>
          <w:rFonts w:eastAsia="Times New Roman"/>
          <w:b/>
          <w:bCs/>
          <w:szCs w:val="24"/>
        </w:rPr>
        <w:t xml:space="preserve"> </w:t>
      </w:r>
    </w:p>
    <w:tbl>
      <w:tblPr>
        <w:tblW w:w="5000" w:type="pct"/>
        <w:tblCellMar>
          <w:left w:w="0" w:type="dxa"/>
          <w:right w:w="0" w:type="dxa"/>
        </w:tblCellMar>
        <w:tblLook w:val="0000" w:firstRow="0" w:lastRow="0" w:firstColumn="0" w:lastColumn="0" w:noHBand="0" w:noVBand="0"/>
      </w:tblPr>
      <w:tblGrid>
        <w:gridCol w:w="1273"/>
        <w:gridCol w:w="1640"/>
        <w:gridCol w:w="1739"/>
        <w:gridCol w:w="2353"/>
        <w:gridCol w:w="2355"/>
      </w:tblGrid>
      <w:tr w:rsidR="003859C9" w:rsidRPr="00EB11D3" w14:paraId="58FE93DD" w14:textId="77777777" w:rsidTr="00823CEA">
        <w:trPr>
          <w:cantSplit/>
        </w:trPr>
        <w:tc>
          <w:tcPr>
            <w:tcW w:w="5000" w:type="pct"/>
            <w:gridSpan w:val="5"/>
            <w:tcBorders>
              <w:top w:val="nil"/>
              <w:left w:val="nil"/>
              <w:bottom w:val="single" w:sz="4" w:space="0" w:color="auto"/>
              <w:right w:val="nil"/>
            </w:tcBorders>
            <w:shd w:val="clear" w:color="auto" w:fill="FFFFFF"/>
            <w:vAlign w:val="center"/>
          </w:tcPr>
          <w:p w14:paraId="4AE89DE7" w14:textId="77777777" w:rsidR="003859C9" w:rsidRPr="00EB11D3" w:rsidRDefault="003859C9" w:rsidP="00823CEA">
            <w:pPr>
              <w:shd w:val="clear" w:color="auto" w:fill="FFFFFF"/>
              <w:autoSpaceDE w:val="0"/>
              <w:autoSpaceDN w:val="0"/>
              <w:adjustRightInd w:val="0"/>
              <w:spacing w:after="0" w:line="240" w:lineRule="auto"/>
              <w:jc w:val="center"/>
              <w:rPr>
                <w:rFonts w:eastAsia="Calibri"/>
                <w:szCs w:val="24"/>
              </w:rPr>
            </w:pPr>
            <w:r w:rsidRPr="00EB11D3">
              <w:rPr>
                <w:rFonts w:eastAsia="Calibri"/>
                <w:b/>
                <w:bCs/>
                <w:szCs w:val="24"/>
              </w:rPr>
              <w:t>Model Summary</w:t>
            </w:r>
          </w:p>
        </w:tc>
      </w:tr>
      <w:tr w:rsidR="003859C9" w:rsidRPr="00EB11D3" w14:paraId="3BC0A2A7" w14:textId="77777777" w:rsidTr="00823CEA">
        <w:trPr>
          <w:cantSplit/>
        </w:trPr>
        <w:tc>
          <w:tcPr>
            <w:tcW w:w="680" w:type="pct"/>
            <w:tcBorders>
              <w:top w:val="single" w:sz="4" w:space="0" w:color="auto"/>
              <w:left w:val="nil"/>
              <w:bottom w:val="single" w:sz="8" w:space="0" w:color="152935"/>
              <w:right w:val="nil"/>
            </w:tcBorders>
            <w:shd w:val="clear" w:color="auto" w:fill="FFFFFF"/>
            <w:vAlign w:val="bottom"/>
          </w:tcPr>
          <w:p w14:paraId="397B632C"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Model</w:t>
            </w:r>
          </w:p>
        </w:tc>
        <w:tc>
          <w:tcPr>
            <w:tcW w:w="876" w:type="pct"/>
            <w:tcBorders>
              <w:top w:val="single" w:sz="4" w:space="0" w:color="auto"/>
              <w:left w:val="nil"/>
              <w:bottom w:val="single" w:sz="8" w:space="0" w:color="152935"/>
              <w:right w:val="single" w:sz="8" w:space="0" w:color="E0E0E0"/>
            </w:tcBorders>
            <w:shd w:val="clear" w:color="auto" w:fill="FFFFFF"/>
            <w:vAlign w:val="bottom"/>
          </w:tcPr>
          <w:p w14:paraId="4D985950"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R</w:t>
            </w:r>
          </w:p>
        </w:tc>
        <w:tc>
          <w:tcPr>
            <w:tcW w:w="929" w:type="pct"/>
            <w:tcBorders>
              <w:top w:val="single" w:sz="4" w:space="0" w:color="auto"/>
              <w:left w:val="single" w:sz="8" w:space="0" w:color="E0E0E0"/>
              <w:bottom w:val="single" w:sz="8" w:space="0" w:color="152935"/>
              <w:right w:val="single" w:sz="8" w:space="0" w:color="E0E0E0"/>
            </w:tcBorders>
            <w:shd w:val="clear" w:color="auto" w:fill="FFFFFF"/>
            <w:vAlign w:val="bottom"/>
          </w:tcPr>
          <w:p w14:paraId="68A73318"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R Square</w:t>
            </w:r>
          </w:p>
        </w:tc>
        <w:tc>
          <w:tcPr>
            <w:tcW w:w="1257" w:type="pct"/>
            <w:tcBorders>
              <w:top w:val="single" w:sz="4" w:space="0" w:color="auto"/>
              <w:left w:val="single" w:sz="8" w:space="0" w:color="E0E0E0"/>
              <w:bottom w:val="single" w:sz="8" w:space="0" w:color="152935"/>
              <w:right w:val="single" w:sz="8" w:space="0" w:color="E0E0E0"/>
            </w:tcBorders>
            <w:shd w:val="clear" w:color="auto" w:fill="FFFFFF"/>
            <w:vAlign w:val="bottom"/>
          </w:tcPr>
          <w:p w14:paraId="7160022C"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Adjusted R Square</w:t>
            </w:r>
          </w:p>
        </w:tc>
        <w:tc>
          <w:tcPr>
            <w:tcW w:w="1258" w:type="pct"/>
            <w:tcBorders>
              <w:top w:val="single" w:sz="4" w:space="0" w:color="auto"/>
              <w:left w:val="single" w:sz="8" w:space="0" w:color="E0E0E0"/>
              <w:bottom w:val="single" w:sz="8" w:space="0" w:color="152935"/>
              <w:right w:val="nil"/>
            </w:tcBorders>
            <w:shd w:val="clear" w:color="auto" w:fill="FFFFFF"/>
            <w:vAlign w:val="bottom"/>
          </w:tcPr>
          <w:p w14:paraId="0B4045C1"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Std. Error of the Estimate</w:t>
            </w:r>
          </w:p>
        </w:tc>
      </w:tr>
      <w:tr w:rsidR="003859C9" w:rsidRPr="00EB11D3" w14:paraId="367E5A43" w14:textId="77777777" w:rsidTr="00007E09">
        <w:trPr>
          <w:cantSplit/>
        </w:trPr>
        <w:tc>
          <w:tcPr>
            <w:tcW w:w="680" w:type="pct"/>
            <w:tcBorders>
              <w:top w:val="single" w:sz="8" w:space="0" w:color="152935"/>
              <w:left w:val="nil"/>
              <w:bottom w:val="single" w:sz="8" w:space="0" w:color="AEAEAE"/>
              <w:right w:val="nil"/>
            </w:tcBorders>
            <w:shd w:val="clear" w:color="auto" w:fill="E0E0E0"/>
          </w:tcPr>
          <w:p w14:paraId="682CBA94"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1</w:t>
            </w:r>
          </w:p>
        </w:tc>
        <w:tc>
          <w:tcPr>
            <w:tcW w:w="876" w:type="pct"/>
            <w:tcBorders>
              <w:top w:val="single" w:sz="8" w:space="0" w:color="152935"/>
              <w:left w:val="nil"/>
              <w:bottom w:val="single" w:sz="8" w:space="0" w:color="AEAEAE"/>
              <w:right w:val="single" w:sz="8" w:space="0" w:color="E0E0E0"/>
            </w:tcBorders>
            <w:shd w:val="clear" w:color="auto" w:fill="F9F9FB"/>
          </w:tcPr>
          <w:p w14:paraId="16FEBEC6"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.783</w:t>
            </w:r>
            <w:r w:rsidRPr="00EB11D3">
              <w:rPr>
                <w:rFonts w:eastAsia="Calibri"/>
                <w:szCs w:val="24"/>
                <w:vertAlign w:val="superscript"/>
              </w:rPr>
              <w:t>a</w:t>
            </w:r>
          </w:p>
        </w:tc>
        <w:tc>
          <w:tcPr>
            <w:tcW w:w="929" w:type="pct"/>
            <w:tcBorders>
              <w:top w:val="single" w:sz="8" w:space="0" w:color="152935"/>
              <w:left w:val="single" w:sz="8" w:space="0" w:color="E0E0E0"/>
              <w:bottom w:val="single" w:sz="8" w:space="0" w:color="AEAEAE"/>
              <w:right w:val="single" w:sz="8" w:space="0" w:color="E0E0E0"/>
            </w:tcBorders>
            <w:shd w:val="clear" w:color="auto" w:fill="F9F9FB"/>
          </w:tcPr>
          <w:p w14:paraId="45E960D6"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.613</w:t>
            </w:r>
          </w:p>
        </w:tc>
        <w:tc>
          <w:tcPr>
            <w:tcW w:w="1257" w:type="pct"/>
            <w:tcBorders>
              <w:top w:val="single" w:sz="8" w:space="0" w:color="152935"/>
              <w:left w:val="single" w:sz="8" w:space="0" w:color="E0E0E0"/>
              <w:bottom w:val="single" w:sz="8" w:space="0" w:color="AEAEAE"/>
              <w:right w:val="single" w:sz="8" w:space="0" w:color="E0E0E0"/>
            </w:tcBorders>
            <w:shd w:val="clear" w:color="auto" w:fill="F9F9FB"/>
          </w:tcPr>
          <w:p w14:paraId="2534C058"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.611</w:t>
            </w:r>
          </w:p>
        </w:tc>
        <w:tc>
          <w:tcPr>
            <w:tcW w:w="1258" w:type="pct"/>
            <w:tcBorders>
              <w:top w:val="single" w:sz="8" w:space="0" w:color="152935"/>
              <w:left w:val="single" w:sz="8" w:space="0" w:color="E0E0E0"/>
              <w:bottom w:val="single" w:sz="8" w:space="0" w:color="AEAEAE"/>
              <w:right w:val="nil"/>
            </w:tcBorders>
            <w:shd w:val="clear" w:color="auto" w:fill="F9F9FB"/>
          </w:tcPr>
          <w:p w14:paraId="73C3B832"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.47443</w:t>
            </w:r>
          </w:p>
        </w:tc>
      </w:tr>
      <w:tr w:rsidR="003859C9" w:rsidRPr="00EB11D3" w14:paraId="33C9225D" w14:textId="77777777" w:rsidTr="00007E09">
        <w:trPr>
          <w:cantSplit/>
        </w:trPr>
        <w:tc>
          <w:tcPr>
            <w:tcW w:w="680" w:type="pct"/>
            <w:tcBorders>
              <w:top w:val="single" w:sz="8" w:space="0" w:color="AEAEAE"/>
              <w:left w:val="nil"/>
              <w:bottom w:val="single" w:sz="8" w:space="0" w:color="AEAEAE"/>
              <w:right w:val="nil"/>
            </w:tcBorders>
            <w:shd w:val="clear" w:color="auto" w:fill="E0E0E0"/>
          </w:tcPr>
          <w:p w14:paraId="28599F2C"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2</w:t>
            </w:r>
          </w:p>
        </w:tc>
        <w:tc>
          <w:tcPr>
            <w:tcW w:w="876" w:type="pct"/>
            <w:tcBorders>
              <w:top w:val="single" w:sz="8" w:space="0" w:color="AEAEAE"/>
              <w:left w:val="nil"/>
              <w:bottom w:val="single" w:sz="8" w:space="0" w:color="AEAEAE"/>
              <w:right w:val="single" w:sz="8" w:space="0" w:color="E0E0E0"/>
            </w:tcBorders>
            <w:shd w:val="clear" w:color="auto" w:fill="F9F9FB"/>
          </w:tcPr>
          <w:p w14:paraId="113C24DE"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.824</w:t>
            </w:r>
            <w:r w:rsidRPr="00EB11D3">
              <w:rPr>
                <w:rFonts w:eastAsia="Calibri"/>
                <w:szCs w:val="24"/>
                <w:vertAlign w:val="superscript"/>
              </w:rPr>
              <w:t>b</w:t>
            </w:r>
          </w:p>
        </w:tc>
        <w:tc>
          <w:tcPr>
            <w:tcW w:w="929" w:type="pct"/>
            <w:tcBorders>
              <w:top w:val="single" w:sz="8" w:space="0" w:color="AEAEAE"/>
              <w:left w:val="single" w:sz="8" w:space="0" w:color="E0E0E0"/>
              <w:bottom w:val="single" w:sz="8" w:space="0" w:color="AEAEAE"/>
              <w:right w:val="single" w:sz="8" w:space="0" w:color="E0E0E0"/>
            </w:tcBorders>
            <w:shd w:val="clear" w:color="auto" w:fill="F9F9FB"/>
          </w:tcPr>
          <w:p w14:paraId="4B5F0FDF"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.679</w:t>
            </w:r>
          </w:p>
        </w:tc>
        <w:tc>
          <w:tcPr>
            <w:tcW w:w="1257" w:type="pct"/>
            <w:tcBorders>
              <w:top w:val="single" w:sz="8" w:space="0" w:color="AEAEAE"/>
              <w:left w:val="single" w:sz="8" w:space="0" w:color="E0E0E0"/>
              <w:bottom w:val="single" w:sz="8" w:space="0" w:color="AEAEAE"/>
              <w:right w:val="single" w:sz="8" w:space="0" w:color="E0E0E0"/>
            </w:tcBorders>
            <w:shd w:val="clear" w:color="auto" w:fill="F9F9FB"/>
          </w:tcPr>
          <w:p w14:paraId="18F0B2D5"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.676</w:t>
            </w:r>
          </w:p>
        </w:tc>
        <w:tc>
          <w:tcPr>
            <w:tcW w:w="1258" w:type="pct"/>
            <w:tcBorders>
              <w:top w:val="single" w:sz="8" w:space="0" w:color="AEAEAE"/>
              <w:left w:val="single" w:sz="8" w:space="0" w:color="E0E0E0"/>
              <w:bottom w:val="single" w:sz="8" w:space="0" w:color="AEAEAE"/>
              <w:right w:val="nil"/>
            </w:tcBorders>
            <w:shd w:val="clear" w:color="auto" w:fill="F9F9FB"/>
          </w:tcPr>
          <w:p w14:paraId="65096088"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.43298</w:t>
            </w:r>
          </w:p>
        </w:tc>
      </w:tr>
      <w:tr w:rsidR="003859C9" w:rsidRPr="00EB11D3" w14:paraId="174E99F7" w14:textId="77777777" w:rsidTr="00007E09">
        <w:trPr>
          <w:cantSplit/>
        </w:trPr>
        <w:tc>
          <w:tcPr>
            <w:tcW w:w="680" w:type="pct"/>
            <w:tcBorders>
              <w:top w:val="single" w:sz="8" w:space="0" w:color="AEAEAE"/>
              <w:left w:val="nil"/>
              <w:bottom w:val="single" w:sz="8" w:space="0" w:color="152935"/>
              <w:right w:val="nil"/>
            </w:tcBorders>
            <w:shd w:val="clear" w:color="auto" w:fill="E0E0E0"/>
          </w:tcPr>
          <w:p w14:paraId="46382546"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3</w:t>
            </w:r>
          </w:p>
        </w:tc>
        <w:tc>
          <w:tcPr>
            <w:tcW w:w="876" w:type="pct"/>
            <w:tcBorders>
              <w:top w:val="single" w:sz="8" w:space="0" w:color="AEAEAE"/>
              <w:left w:val="nil"/>
              <w:bottom w:val="single" w:sz="8" w:space="0" w:color="152935"/>
              <w:right w:val="single" w:sz="8" w:space="0" w:color="E0E0E0"/>
            </w:tcBorders>
            <w:shd w:val="clear" w:color="auto" w:fill="F9F9FB"/>
          </w:tcPr>
          <w:p w14:paraId="72FABFF3"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w:t>
            </w:r>
            <w:r w:rsidR="00E23A66" w:rsidRPr="00EB11D3">
              <w:rPr>
                <w:rFonts w:eastAsia="Calibri"/>
                <w:szCs w:val="24"/>
              </w:rPr>
              <w:t>917</w:t>
            </w:r>
            <w:r w:rsidRPr="00EB11D3">
              <w:rPr>
                <w:rFonts w:eastAsia="Calibri"/>
                <w:szCs w:val="24"/>
                <w:vertAlign w:val="superscript"/>
              </w:rPr>
              <w:t>c</w:t>
            </w:r>
          </w:p>
        </w:tc>
        <w:tc>
          <w:tcPr>
            <w:tcW w:w="929" w:type="pct"/>
            <w:tcBorders>
              <w:top w:val="single" w:sz="8" w:space="0" w:color="AEAEAE"/>
              <w:left w:val="single" w:sz="8" w:space="0" w:color="E0E0E0"/>
              <w:bottom w:val="single" w:sz="8" w:space="0" w:color="152935"/>
              <w:right w:val="single" w:sz="8" w:space="0" w:color="E0E0E0"/>
            </w:tcBorders>
            <w:shd w:val="clear" w:color="auto" w:fill="F9F9FB"/>
          </w:tcPr>
          <w:p w14:paraId="18A2BF19"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.8</w:t>
            </w:r>
            <w:r w:rsidR="00E23A66" w:rsidRPr="00EB11D3">
              <w:rPr>
                <w:rFonts w:eastAsia="Calibri"/>
                <w:szCs w:val="24"/>
              </w:rPr>
              <w:t>41</w:t>
            </w:r>
          </w:p>
        </w:tc>
        <w:tc>
          <w:tcPr>
            <w:tcW w:w="1257" w:type="pct"/>
            <w:tcBorders>
              <w:top w:val="single" w:sz="8" w:space="0" w:color="AEAEAE"/>
              <w:left w:val="single" w:sz="8" w:space="0" w:color="E0E0E0"/>
              <w:bottom w:val="single" w:sz="8" w:space="0" w:color="152935"/>
              <w:right w:val="single" w:sz="8" w:space="0" w:color="E0E0E0"/>
            </w:tcBorders>
            <w:shd w:val="clear" w:color="auto" w:fill="F9F9FB"/>
          </w:tcPr>
          <w:p w14:paraId="3689D243"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.8</w:t>
            </w:r>
            <w:r w:rsidR="00E23A66" w:rsidRPr="00EB11D3">
              <w:rPr>
                <w:rFonts w:eastAsia="Calibri"/>
                <w:szCs w:val="24"/>
              </w:rPr>
              <w:t>40</w:t>
            </w:r>
          </w:p>
        </w:tc>
        <w:tc>
          <w:tcPr>
            <w:tcW w:w="1258" w:type="pct"/>
            <w:tcBorders>
              <w:top w:val="single" w:sz="8" w:space="0" w:color="AEAEAE"/>
              <w:left w:val="single" w:sz="8" w:space="0" w:color="E0E0E0"/>
              <w:bottom w:val="single" w:sz="8" w:space="0" w:color="152935"/>
              <w:right w:val="nil"/>
            </w:tcBorders>
            <w:shd w:val="clear" w:color="auto" w:fill="F9F9FB"/>
          </w:tcPr>
          <w:p w14:paraId="6054264F"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w:t>
            </w:r>
            <w:r w:rsidR="00A64D6E" w:rsidRPr="00EB11D3">
              <w:rPr>
                <w:rFonts w:eastAsia="Calibri"/>
                <w:szCs w:val="24"/>
              </w:rPr>
              <w:t>29273</w:t>
            </w:r>
          </w:p>
        </w:tc>
      </w:tr>
      <w:tr w:rsidR="003859C9" w:rsidRPr="00EB11D3" w14:paraId="59832D35" w14:textId="77777777" w:rsidTr="00007E09">
        <w:trPr>
          <w:cantSplit/>
        </w:trPr>
        <w:tc>
          <w:tcPr>
            <w:tcW w:w="5000" w:type="pct"/>
            <w:gridSpan w:val="5"/>
            <w:tcBorders>
              <w:top w:val="nil"/>
              <w:left w:val="nil"/>
              <w:bottom w:val="nil"/>
              <w:right w:val="nil"/>
            </w:tcBorders>
            <w:shd w:val="clear" w:color="auto" w:fill="FFFFFF"/>
          </w:tcPr>
          <w:p w14:paraId="3D755679"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a. Predictors: (Constant), Corporate governance</w:t>
            </w:r>
          </w:p>
        </w:tc>
      </w:tr>
      <w:tr w:rsidR="003859C9" w:rsidRPr="00EB11D3" w14:paraId="3C870C6A" w14:textId="77777777" w:rsidTr="00007E09">
        <w:trPr>
          <w:cantSplit/>
        </w:trPr>
        <w:tc>
          <w:tcPr>
            <w:tcW w:w="5000" w:type="pct"/>
            <w:gridSpan w:val="5"/>
            <w:tcBorders>
              <w:top w:val="nil"/>
              <w:left w:val="nil"/>
              <w:bottom w:val="nil"/>
              <w:right w:val="nil"/>
            </w:tcBorders>
            <w:shd w:val="clear" w:color="auto" w:fill="FFFFFF"/>
          </w:tcPr>
          <w:p w14:paraId="186A2E83"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b. Predictors: (Constant), Corporate governance, Government Regulations</w:t>
            </w:r>
          </w:p>
        </w:tc>
      </w:tr>
      <w:tr w:rsidR="003859C9" w:rsidRPr="00EB11D3" w14:paraId="66AA3C40" w14:textId="77777777" w:rsidTr="00007E09">
        <w:trPr>
          <w:cantSplit/>
        </w:trPr>
        <w:tc>
          <w:tcPr>
            <w:tcW w:w="5000" w:type="pct"/>
            <w:gridSpan w:val="5"/>
            <w:tcBorders>
              <w:top w:val="nil"/>
              <w:left w:val="nil"/>
              <w:bottom w:val="nil"/>
              <w:right w:val="nil"/>
            </w:tcBorders>
            <w:shd w:val="clear" w:color="auto" w:fill="FFFFFF"/>
          </w:tcPr>
          <w:p w14:paraId="23F41A86"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c. Predictors: (Constant), Corporate governance, Government Regulations, Corporate governance_ Government Regulations</w:t>
            </w:r>
          </w:p>
        </w:tc>
      </w:tr>
    </w:tbl>
    <w:p w14:paraId="2BD65E95" w14:textId="77777777" w:rsidR="003859C9" w:rsidRPr="00EB11D3" w:rsidRDefault="003859C9" w:rsidP="003859C9">
      <w:pPr>
        <w:shd w:val="clear" w:color="auto" w:fill="FFFFFF"/>
        <w:spacing w:after="160" w:line="360" w:lineRule="auto"/>
        <w:rPr>
          <w:rFonts w:eastAsia="Calibri"/>
          <w:szCs w:val="24"/>
        </w:rPr>
      </w:pPr>
    </w:p>
    <w:p w14:paraId="59F75338" w14:textId="77777777" w:rsidR="008741EC" w:rsidRPr="008741EC" w:rsidRDefault="008741EC" w:rsidP="008741EC">
      <w:pPr>
        <w:shd w:val="clear" w:color="auto" w:fill="FFFFFF"/>
        <w:spacing w:after="160" w:line="360" w:lineRule="auto"/>
        <w:rPr>
          <w:rFonts w:eastAsia="Calibri"/>
          <w:szCs w:val="24"/>
        </w:rPr>
      </w:pPr>
      <w:r w:rsidRPr="008741EC">
        <w:rPr>
          <w:rFonts w:eastAsia="Calibri"/>
          <w:szCs w:val="24"/>
        </w:rPr>
        <w:t xml:space="preserve">Table 34 presents the results of a considerable improvement in the moderating effect's R squared, which increased from 0.613 to 0.841. More precisely, 61.3% of the variance in organisational performance in the first model could be attributed to corporate governance. The results showed that 67.9% of the difference in organisational performance was explained in the second stage, which </w:t>
      </w:r>
      <w:r w:rsidR="004A0094">
        <w:rPr>
          <w:rFonts w:eastAsia="Calibri"/>
          <w:szCs w:val="24"/>
        </w:rPr>
        <w:t>correlated</w:t>
      </w:r>
      <w:r w:rsidRPr="008741EC">
        <w:rPr>
          <w:rFonts w:eastAsia="Calibri"/>
          <w:szCs w:val="24"/>
        </w:rPr>
        <w:t xml:space="preserve"> corporate governance and government regulations against organisational performance. After the introduction of the third step interaction term (CG*GR), the explanatory power rose to 84.1% and an enhancing moderation effect became apparent.</w:t>
      </w:r>
    </w:p>
    <w:p w14:paraId="00406410" w14:textId="77777777" w:rsidR="003859C9" w:rsidRPr="00EB11D3" w:rsidRDefault="008741EC" w:rsidP="008741EC">
      <w:pPr>
        <w:shd w:val="clear" w:color="auto" w:fill="FFFFFF"/>
        <w:spacing w:after="160" w:line="360" w:lineRule="auto"/>
        <w:rPr>
          <w:rFonts w:eastAsia="Calibri"/>
          <w:szCs w:val="24"/>
        </w:rPr>
      </w:pPr>
      <w:r w:rsidRPr="008741EC">
        <w:rPr>
          <w:rFonts w:eastAsia="Calibri"/>
          <w:szCs w:val="24"/>
        </w:rPr>
        <w:t xml:space="preserve">Table 35 displays the ANOVA findings for corporate governance, </w:t>
      </w:r>
      <w:r>
        <w:rPr>
          <w:rFonts w:eastAsia="Calibri"/>
          <w:szCs w:val="24"/>
        </w:rPr>
        <w:t>government regulations</w:t>
      </w:r>
      <w:r w:rsidRPr="008741EC">
        <w:rPr>
          <w:rFonts w:eastAsia="Calibri"/>
          <w:szCs w:val="24"/>
        </w:rPr>
        <w:t>, and organisational performance.</w:t>
      </w:r>
      <w:bookmarkStart w:id="939" w:name="_Toc126666770"/>
    </w:p>
    <w:p w14:paraId="414B6FB0" w14:textId="77777777" w:rsidR="003859C9" w:rsidRPr="00EB11D3" w:rsidRDefault="000D666C" w:rsidP="003859C9">
      <w:pPr>
        <w:shd w:val="clear" w:color="auto" w:fill="FFFFFF"/>
        <w:spacing w:after="160" w:line="360" w:lineRule="auto"/>
        <w:rPr>
          <w:rFonts w:eastAsia="Calibri"/>
          <w:szCs w:val="24"/>
        </w:rPr>
      </w:pPr>
      <w:r w:rsidRPr="00EB11D3">
        <w:rPr>
          <w:rFonts w:eastAsia="Times New Roman"/>
          <w:b/>
          <w:bCs/>
          <w:szCs w:val="24"/>
        </w:rPr>
        <w:br w:type="page"/>
      </w:r>
      <w:bookmarkStart w:id="940" w:name="_Toc177387966"/>
      <w:r w:rsidR="003859C9" w:rsidRPr="00EB11D3">
        <w:rPr>
          <w:rFonts w:eastAsia="Times New Roman"/>
          <w:b/>
          <w:bCs/>
          <w:szCs w:val="24"/>
        </w:rPr>
        <w:t xml:space="preserve">Table </w:t>
      </w:r>
      <w:r w:rsidR="003859C9" w:rsidRPr="00EB11D3">
        <w:rPr>
          <w:rFonts w:eastAsia="Times New Roman"/>
          <w:b/>
          <w:bCs/>
          <w:szCs w:val="24"/>
        </w:rPr>
        <w:fldChar w:fldCharType="begin"/>
      </w:r>
      <w:r w:rsidR="003859C9" w:rsidRPr="00EB11D3">
        <w:rPr>
          <w:rFonts w:eastAsia="Times New Roman"/>
          <w:b/>
          <w:bCs/>
          <w:szCs w:val="24"/>
        </w:rPr>
        <w:instrText xml:space="preserve"> SEQ Table \* ARABIC </w:instrText>
      </w:r>
      <w:r w:rsidR="003859C9" w:rsidRPr="00EB11D3">
        <w:rPr>
          <w:rFonts w:eastAsia="Times New Roman"/>
          <w:b/>
          <w:bCs/>
          <w:szCs w:val="24"/>
        </w:rPr>
        <w:fldChar w:fldCharType="separate"/>
      </w:r>
      <w:r w:rsidR="003859C9" w:rsidRPr="00EB11D3">
        <w:rPr>
          <w:rFonts w:eastAsia="Times New Roman"/>
          <w:b/>
          <w:bCs/>
          <w:noProof/>
          <w:szCs w:val="24"/>
        </w:rPr>
        <w:t>35</w:t>
      </w:r>
      <w:r w:rsidR="003859C9" w:rsidRPr="00EB11D3">
        <w:rPr>
          <w:rFonts w:eastAsia="Times New Roman"/>
          <w:b/>
          <w:bCs/>
          <w:szCs w:val="24"/>
        </w:rPr>
        <w:fldChar w:fldCharType="end"/>
      </w:r>
      <w:r w:rsidR="003859C9" w:rsidRPr="00EB11D3">
        <w:rPr>
          <w:rFonts w:eastAsia="Times New Roman"/>
          <w:b/>
          <w:bCs/>
          <w:szCs w:val="24"/>
        </w:rPr>
        <w:t>: ANOVA</w:t>
      </w:r>
      <w:bookmarkEnd w:id="939"/>
      <w:bookmarkEnd w:id="940"/>
    </w:p>
    <w:tbl>
      <w:tblPr>
        <w:tblW w:w="5000" w:type="pct"/>
        <w:tblCellMar>
          <w:left w:w="0" w:type="dxa"/>
          <w:right w:w="0" w:type="dxa"/>
        </w:tblCellMar>
        <w:tblLook w:val="0000" w:firstRow="0" w:lastRow="0" w:firstColumn="0" w:lastColumn="0" w:noHBand="0" w:noVBand="0"/>
      </w:tblPr>
      <w:tblGrid>
        <w:gridCol w:w="860"/>
        <w:gridCol w:w="1509"/>
        <w:gridCol w:w="1726"/>
        <w:gridCol w:w="1204"/>
        <w:gridCol w:w="1653"/>
        <w:gridCol w:w="1204"/>
        <w:gridCol w:w="1204"/>
      </w:tblGrid>
      <w:tr w:rsidR="003859C9" w:rsidRPr="00EB11D3" w14:paraId="0EC048DE" w14:textId="77777777" w:rsidTr="00823CEA">
        <w:trPr>
          <w:cantSplit/>
        </w:trPr>
        <w:tc>
          <w:tcPr>
            <w:tcW w:w="5000" w:type="pct"/>
            <w:gridSpan w:val="7"/>
            <w:tcBorders>
              <w:top w:val="nil"/>
              <w:left w:val="nil"/>
              <w:bottom w:val="single" w:sz="4" w:space="0" w:color="auto"/>
              <w:right w:val="nil"/>
            </w:tcBorders>
            <w:shd w:val="clear" w:color="auto" w:fill="auto"/>
            <w:vAlign w:val="center"/>
          </w:tcPr>
          <w:p w14:paraId="06087D6C" w14:textId="77777777" w:rsidR="003859C9" w:rsidRPr="00EB11D3" w:rsidRDefault="003859C9" w:rsidP="00823CEA">
            <w:pPr>
              <w:shd w:val="clear" w:color="auto" w:fill="FFFFFF"/>
              <w:autoSpaceDE w:val="0"/>
              <w:autoSpaceDN w:val="0"/>
              <w:adjustRightInd w:val="0"/>
              <w:spacing w:after="0" w:line="240" w:lineRule="auto"/>
              <w:jc w:val="center"/>
              <w:rPr>
                <w:rFonts w:eastAsia="Calibri"/>
                <w:szCs w:val="24"/>
              </w:rPr>
            </w:pPr>
            <w:r w:rsidRPr="00EB11D3">
              <w:rPr>
                <w:rFonts w:eastAsia="Calibri"/>
                <w:b/>
                <w:bCs/>
                <w:szCs w:val="24"/>
              </w:rPr>
              <w:t>ANOVA</w:t>
            </w:r>
            <w:r w:rsidRPr="00EB11D3">
              <w:rPr>
                <w:rFonts w:eastAsia="Calibri"/>
                <w:b/>
                <w:bCs/>
                <w:szCs w:val="24"/>
                <w:vertAlign w:val="superscript"/>
              </w:rPr>
              <w:t>a</w:t>
            </w:r>
          </w:p>
        </w:tc>
      </w:tr>
      <w:tr w:rsidR="003859C9" w:rsidRPr="00EB11D3" w14:paraId="3846F061" w14:textId="77777777" w:rsidTr="00823CEA">
        <w:trPr>
          <w:cantSplit/>
        </w:trPr>
        <w:tc>
          <w:tcPr>
            <w:tcW w:w="1266" w:type="pct"/>
            <w:gridSpan w:val="2"/>
            <w:tcBorders>
              <w:top w:val="single" w:sz="4" w:space="0" w:color="auto"/>
              <w:left w:val="nil"/>
              <w:bottom w:val="single" w:sz="8" w:space="0" w:color="152935"/>
              <w:right w:val="nil"/>
            </w:tcBorders>
            <w:shd w:val="clear" w:color="auto" w:fill="auto"/>
            <w:vAlign w:val="bottom"/>
          </w:tcPr>
          <w:p w14:paraId="01B81BB5"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Model</w:t>
            </w:r>
          </w:p>
        </w:tc>
        <w:tc>
          <w:tcPr>
            <w:tcW w:w="922" w:type="pct"/>
            <w:tcBorders>
              <w:top w:val="single" w:sz="4" w:space="0" w:color="auto"/>
              <w:left w:val="nil"/>
              <w:bottom w:val="single" w:sz="8" w:space="0" w:color="152935"/>
              <w:right w:val="single" w:sz="8" w:space="0" w:color="E0E0E0"/>
            </w:tcBorders>
            <w:shd w:val="clear" w:color="auto" w:fill="auto"/>
            <w:vAlign w:val="bottom"/>
          </w:tcPr>
          <w:p w14:paraId="0F0BA4EE"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Sum of Squares</w:t>
            </w:r>
          </w:p>
        </w:tc>
        <w:tc>
          <w:tcPr>
            <w:tcW w:w="643" w:type="pct"/>
            <w:tcBorders>
              <w:top w:val="single" w:sz="4" w:space="0" w:color="auto"/>
              <w:left w:val="single" w:sz="8" w:space="0" w:color="E0E0E0"/>
              <w:bottom w:val="single" w:sz="8" w:space="0" w:color="152935"/>
              <w:right w:val="single" w:sz="8" w:space="0" w:color="E0E0E0"/>
            </w:tcBorders>
            <w:shd w:val="clear" w:color="auto" w:fill="auto"/>
            <w:vAlign w:val="bottom"/>
          </w:tcPr>
          <w:p w14:paraId="4CC2FE74" w14:textId="77777777" w:rsidR="003859C9" w:rsidRPr="00EB11D3" w:rsidRDefault="003859C9" w:rsidP="002623AE">
            <w:pPr>
              <w:shd w:val="clear" w:color="auto" w:fill="FFFFFF"/>
              <w:autoSpaceDE w:val="0"/>
              <w:autoSpaceDN w:val="0"/>
              <w:adjustRightInd w:val="0"/>
              <w:spacing w:after="0" w:line="240" w:lineRule="auto"/>
              <w:jc w:val="center"/>
              <w:rPr>
                <w:rFonts w:eastAsia="Calibri"/>
                <w:szCs w:val="24"/>
              </w:rPr>
            </w:pPr>
            <w:r w:rsidRPr="00EB11D3">
              <w:rPr>
                <w:rFonts w:eastAsia="Calibri"/>
                <w:szCs w:val="24"/>
              </w:rPr>
              <w:t>Df</w:t>
            </w:r>
          </w:p>
        </w:tc>
        <w:tc>
          <w:tcPr>
            <w:tcW w:w="883" w:type="pct"/>
            <w:tcBorders>
              <w:top w:val="single" w:sz="4" w:space="0" w:color="auto"/>
              <w:left w:val="single" w:sz="8" w:space="0" w:color="E0E0E0"/>
              <w:bottom w:val="single" w:sz="8" w:space="0" w:color="152935"/>
              <w:right w:val="single" w:sz="8" w:space="0" w:color="E0E0E0"/>
            </w:tcBorders>
            <w:shd w:val="clear" w:color="auto" w:fill="auto"/>
            <w:vAlign w:val="bottom"/>
          </w:tcPr>
          <w:p w14:paraId="6FA87743" w14:textId="77777777" w:rsidR="003859C9" w:rsidRPr="00EB11D3" w:rsidRDefault="003859C9" w:rsidP="002623AE">
            <w:pPr>
              <w:shd w:val="clear" w:color="auto" w:fill="FFFFFF"/>
              <w:autoSpaceDE w:val="0"/>
              <w:autoSpaceDN w:val="0"/>
              <w:adjustRightInd w:val="0"/>
              <w:spacing w:after="0" w:line="240" w:lineRule="auto"/>
              <w:jc w:val="center"/>
              <w:rPr>
                <w:rFonts w:eastAsia="Calibri"/>
                <w:szCs w:val="24"/>
              </w:rPr>
            </w:pPr>
            <w:r w:rsidRPr="00EB11D3">
              <w:rPr>
                <w:rFonts w:eastAsia="Calibri"/>
                <w:szCs w:val="24"/>
              </w:rPr>
              <w:t>Mean Square</w:t>
            </w:r>
          </w:p>
        </w:tc>
        <w:tc>
          <w:tcPr>
            <w:tcW w:w="643" w:type="pct"/>
            <w:tcBorders>
              <w:top w:val="single" w:sz="4" w:space="0" w:color="auto"/>
              <w:left w:val="single" w:sz="8" w:space="0" w:color="E0E0E0"/>
              <w:bottom w:val="single" w:sz="8" w:space="0" w:color="152935"/>
              <w:right w:val="single" w:sz="8" w:space="0" w:color="E0E0E0"/>
            </w:tcBorders>
            <w:shd w:val="clear" w:color="auto" w:fill="auto"/>
            <w:vAlign w:val="bottom"/>
          </w:tcPr>
          <w:p w14:paraId="2CF43E5A" w14:textId="77777777" w:rsidR="003859C9" w:rsidRPr="00EB11D3" w:rsidRDefault="003859C9" w:rsidP="002623AE">
            <w:pPr>
              <w:shd w:val="clear" w:color="auto" w:fill="FFFFFF"/>
              <w:autoSpaceDE w:val="0"/>
              <w:autoSpaceDN w:val="0"/>
              <w:adjustRightInd w:val="0"/>
              <w:spacing w:after="0" w:line="240" w:lineRule="auto"/>
              <w:jc w:val="center"/>
              <w:rPr>
                <w:rFonts w:eastAsia="Calibri"/>
                <w:szCs w:val="24"/>
              </w:rPr>
            </w:pPr>
            <w:r w:rsidRPr="00EB11D3">
              <w:rPr>
                <w:rFonts w:eastAsia="Calibri"/>
                <w:szCs w:val="24"/>
              </w:rPr>
              <w:t>F</w:t>
            </w:r>
          </w:p>
        </w:tc>
        <w:tc>
          <w:tcPr>
            <w:tcW w:w="643" w:type="pct"/>
            <w:tcBorders>
              <w:top w:val="single" w:sz="4" w:space="0" w:color="auto"/>
              <w:left w:val="single" w:sz="8" w:space="0" w:color="E0E0E0"/>
              <w:bottom w:val="single" w:sz="8" w:space="0" w:color="152935"/>
              <w:right w:val="nil"/>
            </w:tcBorders>
            <w:shd w:val="clear" w:color="auto" w:fill="auto"/>
            <w:vAlign w:val="bottom"/>
          </w:tcPr>
          <w:p w14:paraId="3108C3A9" w14:textId="77777777" w:rsidR="003859C9" w:rsidRPr="00EB11D3" w:rsidRDefault="003859C9" w:rsidP="002623AE">
            <w:pPr>
              <w:shd w:val="clear" w:color="auto" w:fill="FFFFFF"/>
              <w:autoSpaceDE w:val="0"/>
              <w:autoSpaceDN w:val="0"/>
              <w:adjustRightInd w:val="0"/>
              <w:spacing w:after="0" w:line="240" w:lineRule="auto"/>
              <w:jc w:val="center"/>
              <w:rPr>
                <w:rFonts w:eastAsia="Calibri"/>
                <w:szCs w:val="24"/>
              </w:rPr>
            </w:pPr>
            <w:r w:rsidRPr="00EB11D3">
              <w:rPr>
                <w:rFonts w:eastAsia="Calibri"/>
                <w:szCs w:val="24"/>
              </w:rPr>
              <w:t>Sig.</w:t>
            </w:r>
          </w:p>
        </w:tc>
      </w:tr>
      <w:tr w:rsidR="003859C9" w:rsidRPr="00EB11D3" w14:paraId="42F92DCF" w14:textId="77777777" w:rsidTr="00007E09">
        <w:trPr>
          <w:cantSplit/>
        </w:trPr>
        <w:tc>
          <w:tcPr>
            <w:tcW w:w="460" w:type="pct"/>
            <w:vMerge w:val="restart"/>
            <w:tcBorders>
              <w:top w:val="single" w:sz="8" w:space="0" w:color="152935"/>
              <w:left w:val="nil"/>
              <w:bottom w:val="nil"/>
              <w:right w:val="nil"/>
            </w:tcBorders>
            <w:shd w:val="clear" w:color="auto" w:fill="auto"/>
          </w:tcPr>
          <w:p w14:paraId="148085BE"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1</w:t>
            </w:r>
          </w:p>
        </w:tc>
        <w:tc>
          <w:tcPr>
            <w:tcW w:w="806" w:type="pct"/>
            <w:tcBorders>
              <w:top w:val="single" w:sz="8" w:space="0" w:color="152935"/>
              <w:left w:val="nil"/>
              <w:bottom w:val="single" w:sz="8" w:space="0" w:color="AEAEAE"/>
              <w:right w:val="nil"/>
            </w:tcBorders>
            <w:shd w:val="clear" w:color="auto" w:fill="auto"/>
          </w:tcPr>
          <w:p w14:paraId="21978EF6"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Regression</w:t>
            </w:r>
          </w:p>
        </w:tc>
        <w:tc>
          <w:tcPr>
            <w:tcW w:w="922" w:type="pct"/>
            <w:tcBorders>
              <w:top w:val="single" w:sz="8" w:space="0" w:color="152935"/>
              <w:left w:val="nil"/>
              <w:bottom w:val="single" w:sz="8" w:space="0" w:color="AEAEAE"/>
              <w:right w:val="single" w:sz="8" w:space="0" w:color="E0E0E0"/>
            </w:tcBorders>
            <w:shd w:val="clear" w:color="auto" w:fill="auto"/>
          </w:tcPr>
          <w:p w14:paraId="4E542B0A"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88.279</w:t>
            </w:r>
          </w:p>
        </w:tc>
        <w:tc>
          <w:tcPr>
            <w:tcW w:w="643" w:type="pct"/>
            <w:tcBorders>
              <w:top w:val="single" w:sz="8" w:space="0" w:color="152935"/>
              <w:left w:val="single" w:sz="8" w:space="0" w:color="E0E0E0"/>
              <w:bottom w:val="single" w:sz="8" w:space="0" w:color="AEAEAE"/>
              <w:right w:val="single" w:sz="8" w:space="0" w:color="E0E0E0"/>
            </w:tcBorders>
            <w:shd w:val="clear" w:color="auto" w:fill="auto"/>
          </w:tcPr>
          <w:p w14:paraId="0E03F6E7"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1</w:t>
            </w:r>
          </w:p>
        </w:tc>
        <w:tc>
          <w:tcPr>
            <w:tcW w:w="883" w:type="pct"/>
            <w:tcBorders>
              <w:top w:val="single" w:sz="8" w:space="0" w:color="152935"/>
              <w:left w:val="single" w:sz="8" w:space="0" w:color="E0E0E0"/>
              <w:bottom w:val="single" w:sz="8" w:space="0" w:color="AEAEAE"/>
              <w:right w:val="single" w:sz="8" w:space="0" w:color="E0E0E0"/>
            </w:tcBorders>
            <w:shd w:val="clear" w:color="auto" w:fill="auto"/>
          </w:tcPr>
          <w:p w14:paraId="4923AE58"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88.279</w:t>
            </w:r>
          </w:p>
        </w:tc>
        <w:tc>
          <w:tcPr>
            <w:tcW w:w="643" w:type="pct"/>
            <w:tcBorders>
              <w:top w:val="single" w:sz="8" w:space="0" w:color="152935"/>
              <w:left w:val="single" w:sz="8" w:space="0" w:color="E0E0E0"/>
              <w:bottom w:val="single" w:sz="8" w:space="0" w:color="AEAEAE"/>
              <w:right w:val="single" w:sz="8" w:space="0" w:color="E0E0E0"/>
            </w:tcBorders>
            <w:shd w:val="clear" w:color="auto" w:fill="auto"/>
          </w:tcPr>
          <w:p w14:paraId="78E4492C"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392.200</w:t>
            </w:r>
          </w:p>
        </w:tc>
        <w:tc>
          <w:tcPr>
            <w:tcW w:w="643" w:type="pct"/>
            <w:tcBorders>
              <w:top w:val="single" w:sz="8" w:space="0" w:color="152935"/>
              <w:left w:val="single" w:sz="8" w:space="0" w:color="E0E0E0"/>
              <w:bottom w:val="single" w:sz="8" w:space="0" w:color="AEAEAE"/>
              <w:right w:val="nil"/>
            </w:tcBorders>
            <w:shd w:val="clear" w:color="auto" w:fill="auto"/>
          </w:tcPr>
          <w:p w14:paraId="68D809B4"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.000</w:t>
            </w:r>
            <w:r w:rsidRPr="00EB11D3">
              <w:rPr>
                <w:rFonts w:eastAsia="Calibri"/>
                <w:szCs w:val="24"/>
                <w:vertAlign w:val="superscript"/>
              </w:rPr>
              <w:t>b</w:t>
            </w:r>
          </w:p>
        </w:tc>
      </w:tr>
      <w:tr w:rsidR="003859C9" w:rsidRPr="00EB11D3" w14:paraId="7B909235" w14:textId="77777777" w:rsidTr="00007E09">
        <w:trPr>
          <w:cantSplit/>
        </w:trPr>
        <w:tc>
          <w:tcPr>
            <w:tcW w:w="460" w:type="pct"/>
            <w:vMerge/>
            <w:tcBorders>
              <w:top w:val="single" w:sz="8" w:space="0" w:color="152935"/>
              <w:left w:val="nil"/>
              <w:bottom w:val="nil"/>
              <w:right w:val="nil"/>
            </w:tcBorders>
            <w:shd w:val="clear" w:color="auto" w:fill="auto"/>
          </w:tcPr>
          <w:p w14:paraId="6C5F3BDB"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tc>
        <w:tc>
          <w:tcPr>
            <w:tcW w:w="806" w:type="pct"/>
            <w:tcBorders>
              <w:top w:val="single" w:sz="8" w:space="0" w:color="AEAEAE"/>
              <w:left w:val="nil"/>
              <w:bottom w:val="single" w:sz="8" w:space="0" w:color="AEAEAE"/>
              <w:right w:val="nil"/>
            </w:tcBorders>
            <w:shd w:val="clear" w:color="auto" w:fill="auto"/>
          </w:tcPr>
          <w:p w14:paraId="1C8842B6"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Residual</w:t>
            </w:r>
          </w:p>
        </w:tc>
        <w:tc>
          <w:tcPr>
            <w:tcW w:w="922" w:type="pct"/>
            <w:tcBorders>
              <w:top w:val="single" w:sz="8" w:space="0" w:color="AEAEAE"/>
              <w:left w:val="nil"/>
              <w:bottom w:val="single" w:sz="8" w:space="0" w:color="AEAEAE"/>
              <w:right w:val="single" w:sz="8" w:space="0" w:color="E0E0E0"/>
            </w:tcBorders>
            <w:shd w:val="clear" w:color="auto" w:fill="auto"/>
          </w:tcPr>
          <w:p w14:paraId="3274073A"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55.821</w:t>
            </w:r>
          </w:p>
        </w:tc>
        <w:tc>
          <w:tcPr>
            <w:tcW w:w="643" w:type="pct"/>
            <w:tcBorders>
              <w:top w:val="single" w:sz="8" w:space="0" w:color="AEAEAE"/>
              <w:left w:val="single" w:sz="8" w:space="0" w:color="E0E0E0"/>
              <w:bottom w:val="single" w:sz="8" w:space="0" w:color="AEAEAE"/>
              <w:right w:val="single" w:sz="8" w:space="0" w:color="E0E0E0"/>
            </w:tcBorders>
            <w:shd w:val="clear" w:color="auto" w:fill="auto"/>
          </w:tcPr>
          <w:p w14:paraId="2845FE02"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248</w:t>
            </w:r>
          </w:p>
        </w:tc>
        <w:tc>
          <w:tcPr>
            <w:tcW w:w="883" w:type="pct"/>
            <w:tcBorders>
              <w:top w:val="single" w:sz="8" w:space="0" w:color="AEAEAE"/>
              <w:left w:val="single" w:sz="8" w:space="0" w:color="E0E0E0"/>
              <w:bottom w:val="single" w:sz="8" w:space="0" w:color="AEAEAE"/>
              <w:right w:val="single" w:sz="8" w:space="0" w:color="E0E0E0"/>
            </w:tcBorders>
            <w:shd w:val="clear" w:color="auto" w:fill="auto"/>
          </w:tcPr>
          <w:p w14:paraId="202E6693"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.225</w:t>
            </w:r>
          </w:p>
        </w:tc>
        <w:tc>
          <w:tcPr>
            <w:tcW w:w="643" w:type="pct"/>
            <w:tcBorders>
              <w:top w:val="single" w:sz="8" w:space="0" w:color="AEAEAE"/>
              <w:left w:val="single" w:sz="8" w:space="0" w:color="E0E0E0"/>
              <w:bottom w:val="single" w:sz="8" w:space="0" w:color="AEAEAE"/>
              <w:right w:val="single" w:sz="8" w:space="0" w:color="E0E0E0"/>
            </w:tcBorders>
            <w:shd w:val="clear" w:color="auto" w:fill="auto"/>
            <w:vAlign w:val="center"/>
          </w:tcPr>
          <w:p w14:paraId="2F21D2B2"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tc>
        <w:tc>
          <w:tcPr>
            <w:tcW w:w="643" w:type="pct"/>
            <w:tcBorders>
              <w:top w:val="single" w:sz="8" w:space="0" w:color="AEAEAE"/>
              <w:left w:val="single" w:sz="8" w:space="0" w:color="E0E0E0"/>
              <w:bottom w:val="single" w:sz="8" w:space="0" w:color="AEAEAE"/>
              <w:right w:val="nil"/>
            </w:tcBorders>
            <w:shd w:val="clear" w:color="auto" w:fill="auto"/>
            <w:vAlign w:val="center"/>
          </w:tcPr>
          <w:p w14:paraId="3F9CC078"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tc>
      </w:tr>
      <w:tr w:rsidR="003859C9" w:rsidRPr="00EB11D3" w14:paraId="3285D0FD" w14:textId="77777777" w:rsidTr="00007E09">
        <w:trPr>
          <w:cantSplit/>
        </w:trPr>
        <w:tc>
          <w:tcPr>
            <w:tcW w:w="460" w:type="pct"/>
            <w:vMerge/>
            <w:tcBorders>
              <w:top w:val="single" w:sz="8" w:space="0" w:color="152935"/>
              <w:left w:val="nil"/>
              <w:bottom w:val="nil"/>
              <w:right w:val="nil"/>
            </w:tcBorders>
            <w:shd w:val="clear" w:color="auto" w:fill="auto"/>
          </w:tcPr>
          <w:p w14:paraId="7445FA8E"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tc>
        <w:tc>
          <w:tcPr>
            <w:tcW w:w="806" w:type="pct"/>
            <w:tcBorders>
              <w:top w:val="single" w:sz="8" w:space="0" w:color="AEAEAE"/>
              <w:left w:val="nil"/>
              <w:bottom w:val="nil"/>
              <w:right w:val="nil"/>
            </w:tcBorders>
            <w:shd w:val="clear" w:color="auto" w:fill="auto"/>
          </w:tcPr>
          <w:p w14:paraId="3BAA0ACE"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Total</w:t>
            </w:r>
          </w:p>
        </w:tc>
        <w:tc>
          <w:tcPr>
            <w:tcW w:w="922" w:type="pct"/>
            <w:tcBorders>
              <w:top w:val="single" w:sz="8" w:space="0" w:color="AEAEAE"/>
              <w:left w:val="nil"/>
              <w:bottom w:val="nil"/>
              <w:right w:val="single" w:sz="8" w:space="0" w:color="E0E0E0"/>
            </w:tcBorders>
            <w:shd w:val="clear" w:color="auto" w:fill="auto"/>
          </w:tcPr>
          <w:p w14:paraId="056D4600"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144.100</w:t>
            </w:r>
          </w:p>
        </w:tc>
        <w:tc>
          <w:tcPr>
            <w:tcW w:w="643" w:type="pct"/>
            <w:tcBorders>
              <w:top w:val="single" w:sz="8" w:space="0" w:color="AEAEAE"/>
              <w:left w:val="single" w:sz="8" w:space="0" w:color="E0E0E0"/>
              <w:bottom w:val="nil"/>
              <w:right w:val="single" w:sz="8" w:space="0" w:color="E0E0E0"/>
            </w:tcBorders>
            <w:shd w:val="clear" w:color="auto" w:fill="auto"/>
          </w:tcPr>
          <w:p w14:paraId="4C231437"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249</w:t>
            </w:r>
          </w:p>
        </w:tc>
        <w:tc>
          <w:tcPr>
            <w:tcW w:w="883" w:type="pct"/>
            <w:tcBorders>
              <w:top w:val="single" w:sz="8" w:space="0" w:color="AEAEAE"/>
              <w:left w:val="single" w:sz="8" w:space="0" w:color="E0E0E0"/>
              <w:bottom w:val="nil"/>
              <w:right w:val="single" w:sz="8" w:space="0" w:color="E0E0E0"/>
            </w:tcBorders>
            <w:shd w:val="clear" w:color="auto" w:fill="auto"/>
            <w:vAlign w:val="center"/>
          </w:tcPr>
          <w:p w14:paraId="78CB4DE1"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tc>
        <w:tc>
          <w:tcPr>
            <w:tcW w:w="643" w:type="pct"/>
            <w:tcBorders>
              <w:top w:val="single" w:sz="8" w:space="0" w:color="AEAEAE"/>
              <w:left w:val="single" w:sz="8" w:space="0" w:color="E0E0E0"/>
              <w:bottom w:val="nil"/>
              <w:right w:val="single" w:sz="8" w:space="0" w:color="E0E0E0"/>
            </w:tcBorders>
            <w:shd w:val="clear" w:color="auto" w:fill="auto"/>
            <w:vAlign w:val="center"/>
          </w:tcPr>
          <w:p w14:paraId="2A77B104"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tc>
        <w:tc>
          <w:tcPr>
            <w:tcW w:w="643" w:type="pct"/>
            <w:tcBorders>
              <w:top w:val="single" w:sz="8" w:space="0" w:color="AEAEAE"/>
              <w:left w:val="single" w:sz="8" w:space="0" w:color="E0E0E0"/>
              <w:bottom w:val="nil"/>
              <w:right w:val="nil"/>
            </w:tcBorders>
            <w:shd w:val="clear" w:color="auto" w:fill="auto"/>
            <w:vAlign w:val="center"/>
          </w:tcPr>
          <w:p w14:paraId="4CCEBF18"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tc>
      </w:tr>
      <w:tr w:rsidR="003859C9" w:rsidRPr="00EB11D3" w14:paraId="61FAF9C3" w14:textId="77777777" w:rsidTr="00007E09">
        <w:trPr>
          <w:cantSplit/>
        </w:trPr>
        <w:tc>
          <w:tcPr>
            <w:tcW w:w="460" w:type="pct"/>
            <w:vMerge w:val="restart"/>
            <w:tcBorders>
              <w:top w:val="single" w:sz="8" w:space="0" w:color="AEAEAE"/>
              <w:left w:val="nil"/>
              <w:bottom w:val="nil"/>
              <w:right w:val="nil"/>
            </w:tcBorders>
            <w:shd w:val="clear" w:color="auto" w:fill="auto"/>
          </w:tcPr>
          <w:p w14:paraId="52AF4882"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2</w:t>
            </w:r>
          </w:p>
        </w:tc>
        <w:tc>
          <w:tcPr>
            <w:tcW w:w="806" w:type="pct"/>
            <w:tcBorders>
              <w:top w:val="single" w:sz="8" w:space="0" w:color="AEAEAE"/>
              <w:left w:val="nil"/>
              <w:bottom w:val="single" w:sz="8" w:space="0" w:color="AEAEAE"/>
              <w:right w:val="nil"/>
            </w:tcBorders>
            <w:shd w:val="clear" w:color="auto" w:fill="auto"/>
          </w:tcPr>
          <w:p w14:paraId="297D91D3"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Regression</w:t>
            </w:r>
          </w:p>
        </w:tc>
        <w:tc>
          <w:tcPr>
            <w:tcW w:w="922" w:type="pct"/>
            <w:tcBorders>
              <w:top w:val="single" w:sz="8" w:space="0" w:color="AEAEAE"/>
              <w:left w:val="nil"/>
              <w:bottom w:val="single" w:sz="8" w:space="0" w:color="AEAEAE"/>
              <w:right w:val="single" w:sz="8" w:space="0" w:color="E0E0E0"/>
            </w:tcBorders>
            <w:shd w:val="clear" w:color="auto" w:fill="auto"/>
          </w:tcPr>
          <w:p w14:paraId="51500306"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97.794</w:t>
            </w:r>
          </w:p>
        </w:tc>
        <w:tc>
          <w:tcPr>
            <w:tcW w:w="643" w:type="pct"/>
            <w:tcBorders>
              <w:top w:val="single" w:sz="8" w:space="0" w:color="AEAEAE"/>
              <w:left w:val="single" w:sz="8" w:space="0" w:color="E0E0E0"/>
              <w:bottom w:val="single" w:sz="8" w:space="0" w:color="AEAEAE"/>
              <w:right w:val="single" w:sz="8" w:space="0" w:color="E0E0E0"/>
            </w:tcBorders>
            <w:shd w:val="clear" w:color="auto" w:fill="auto"/>
          </w:tcPr>
          <w:p w14:paraId="0590DFF0"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2</w:t>
            </w:r>
          </w:p>
        </w:tc>
        <w:tc>
          <w:tcPr>
            <w:tcW w:w="883" w:type="pct"/>
            <w:tcBorders>
              <w:top w:val="single" w:sz="8" w:space="0" w:color="AEAEAE"/>
              <w:left w:val="single" w:sz="8" w:space="0" w:color="E0E0E0"/>
              <w:bottom w:val="single" w:sz="8" w:space="0" w:color="AEAEAE"/>
              <w:right w:val="single" w:sz="8" w:space="0" w:color="E0E0E0"/>
            </w:tcBorders>
            <w:shd w:val="clear" w:color="auto" w:fill="auto"/>
          </w:tcPr>
          <w:p w14:paraId="21EBBD1A"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48.897</w:t>
            </w:r>
          </w:p>
        </w:tc>
        <w:tc>
          <w:tcPr>
            <w:tcW w:w="643" w:type="pct"/>
            <w:tcBorders>
              <w:top w:val="single" w:sz="8" w:space="0" w:color="AEAEAE"/>
              <w:left w:val="single" w:sz="8" w:space="0" w:color="E0E0E0"/>
              <w:bottom w:val="single" w:sz="8" w:space="0" w:color="AEAEAE"/>
              <w:right w:val="single" w:sz="8" w:space="0" w:color="E0E0E0"/>
            </w:tcBorders>
            <w:shd w:val="clear" w:color="auto" w:fill="auto"/>
          </w:tcPr>
          <w:p w14:paraId="6BC249C9"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260.820</w:t>
            </w:r>
          </w:p>
        </w:tc>
        <w:tc>
          <w:tcPr>
            <w:tcW w:w="643" w:type="pct"/>
            <w:tcBorders>
              <w:top w:val="single" w:sz="8" w:space="0" w:color="AEAEAE"/>
              <w:left w:val="single" w:sz="8" w:space="0" w:color="E0E0E0"/>
              <w:bottom w:val="single" w:sz="8" w:space="0" w:color="AEAEAE"/>
              <w:right w:val="nil"/>
            </w:tcBorders>
            <w:shd w:val="clear" w:color="auto" w:fill="auto"/>
          </w:tcPr>
          <w:p w14:paraId="17959ED4"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.000</w:t>
            </w:r>
            <w:r w:rsidRPr="00EB11D3">
              <w:rPr>
                <w:rFonts w:eastAsia="Calibri"/>
                <w:szCs w:val="24"/>
                <w:vertAlign w:val="superscript"/>
              </w:rPr>
              <w:t>c</w:t>
            </w:r>
          </w:p>
        </w:tc>
      </w:tr>
      <w:tr w:rsidR="003859C9" w:rsidRPr="00EB11D3" w14:paraId="40D602FC" w14:textId="77777777" w:rsidTr="00007E09">
        <w:trPr>
          <w:cantSplit/>
        </w:trPr>
        <w:tc>
          <w:tcPr>
            <w:tcW w:w="460" w:type="pct"/>
            <w:vMerge/>
            <w:tcBorders>
              <w:top w:val="single" w:sz="8" w:space="0" w:color="AEAEAE"/>
              <w:left w:val="nil"/>
              <w:bottom w:val="nil"/>
              <w:right w:val="nil"/>
            </w:tcBorders>
            <w:shd w:val="clear" w:color="auto" w:fill="auto"/>
          </w:tcPr>
          <w:p w14:paraId="744CAA5E"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tc>
        <w:tc>
          <w:tcPr>
            <w:tcW w:w="806" w:type="pct"/>
            <w:tcBorders>
              <w:top w:val="single" w:sz="8" w:space="0" w:color="AEAEAE"/>
              <w:left w:val="nil"/>
              <w:bottom w:val="single" w:sz="8" w:space="0" w:color="AEAEAE"/>
              <w:right w:val="nil"/>
            </w:tcBorders>
            <w:shd w:val="clear" w:color="auto" w:fill="auto"/>
          </w:tcPr>
          <w:p w14:paraId="3C30D401"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Residual</w:t>
            </w:r>
          </w:p>
        </w:tc>
        <w:tc>
          <w:tcPr>
            <w:tcW w:w="922" w:type="pct"/>
            <w:tcBorders>
              <w:top w:val="single" w:sz="8" w:space="0" w:color="AEAEAE"/>
              <w:left w:val="nil"/>
              <w:bottom w:val="single" w:sz="8" w:space="0" w:color="AEAEAE"/>
              <w:right w:val="single" w:sz="8" w:space="0" w:color="E0E0E0"/>
            </w:tcBorders>
            <w:shd w:val="clear" w:color="auto" w:fill="auto"/>
          </w:tcPr>
          <w:p w14:paraId="38420DF2"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46.306</w:t>
            </w:r>
          </w:p>
        </w:tc>
        <w:tc>
          <w:tcPr>
            <w:tcW w:w="643" w:type="pct"/>
            <w:tcBorders>
              <w:top w:val="single" w:sz="8" w:space="0" w:color="AEAEAE"/>
              <w:left w:val="single" w:sz="8" w:space="0" w:color="E0E0E0"/>
              <w:bottom w:val="single" w:sz="8" w:space="0" w:color="AEAEAE"/>
              <w:right w:val="single" w:sz="8" w:space="0" w:color="E0E0E0"/>
            </w:tcBorders>
            <w:shd w:val="clear" w:color="auto" w:fill="auto"/>
          </w:tcPr>
          <w:p w14:paraId="591DBFC0"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247</w:t>
            </w:r>
          </w:p>
        </w:tc>
        <w:tc>
          <w:tcPr>
            <w:tcW w:w="883" w:type="pct"/>
            <w:tcBorders>
              <w:top w:val="single" w:sz="8" w:space="0" w:color="AEAEAE"/>
              <w:left w:val="single" w:sz="8" w:space="0" w:color="E0E0E0"/>
              <w:bottom w:val="single" w:sz="8" w:space="0" w:color="AEAEAE"/>
              <w:right w:val="single" w:sz="8" w:space="0" w:color="E0E0E0"/>
            </w:tcBorders>
            <w:shd w:val="clear" w:color="auto" w:fill="auto"/>
          </w:tcPr>
          <w:p w14:paraId="6552037C"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.187</w:t>
            </w:r>
          </w:p>
        </w:tc>
        <w:tc>
          <w:tcPr>
            <w:tcW w:w="643" w:type="pct"/>
            <w:tcBorders>
              <w:top w:val="single" w:sz="8" w:space="0" w:color="AEAEAE"/>
              <w:left w:val="single" w:sz="8" w:space="0" w:color="E0E0E0"/>
              <w:bottom w:val="single" w:sz="8" w:space="0" w:color="AEAEAE"/>
              <w:right w:val="single" w:sz="8" w:space="0" w:color="E0E0E0"/>
            </w:tcBorders>
            <w:shd w:val="clear" w:color="auto" w:fill="auto"/>
            <w:vAlign w:val="center"/>
          </w:tcPr>
          <w:p w14:paraId="165CAAFA"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tc>
        <w:tc>
          <w:tcPr>
            <w:tcW w:w="643" w:type="pct"/>
            <w:tcBorders>
              <w:top w:val="single" w:sz="8" w:space="0" w:color="AEAEAE"/>
              <w:left w:val="single" w:sz="8" w:space="0" w:color="E0E0E0"/>
              <w:bottom w:val="single" w:sz="8" w:space="0" w:color="AEAEAE"/>
              <w:right w:val="nil"/>
            </w:tcBorders>
            <w:shd w:val="clear" w:color="auto" w:fill="auto"/>
            <w:vAlign w:val="center"/>
          </w:tcPr>
          <w:p w14:paraId="7C18071E"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tc>
      </w:tr>
      <w:tr w:rsidR="003859C9" w:rsidRPr="00EB11D3" w14:paraId="5A0431DF" w14:textId="77777777" w:rsidTr="00007E09">
        <w:trPr>
          <w:cantSplit/>
        </w:trPr>
        <w:tc>
          <w:tcPr>
            <w:tcW w:w="460" w:type="pct"/>
            <w:vMerge/>
            <w:tcBorders>
              <w:top w:val="single" w:sz="8" w:space="0" w:color="AEAEAE"/>
              <w:left w:val="nil"/>
              <w:bottom w:val="nil"/>
              <w:right w:val="nil"/>
            </w:tcBorders>
            <w:shd w:val="clear" w:color="auto" w:fill="auto"/>
          </w:tcPr>
          <w:p w14:paraId="6D3D4567"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tc>
        <w:tc>
          <w:tcPr>
            <w:tcW w:w="806" w:type="pct"/>
            <w:tcBorders>
              <w:top w:val="single" w:sz="8" w:space="0" w:color="AEAEAE"/>
              <w:left w:val="nil"/>
              <w:bottom w:val="nil"/>
              <w:right w:val="nil"/>
            </w:tcBorders>
            <w:shd w:val="clear" w:color="auto" w:fill="auto"/>
          </w:tcPr>
          <w:p w14:paraId="629C61AC"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Total</w:t>
            </w:r>
          </w:p>
        </w:tc>
        <w:tc>
          <w:tcPr>
            <w:tcW w:w="922" w:type="pct"/>
            <w:tcBorders>
              <w:top w:val="single" w:sz="8" w:space="0" w:color="AEAEAE"/>
              <w:left w:val="nil"/>
              <w:bottom w:val="nil"/>
              <w:right w:val="single" w:sz="8" w:space="0" w:color="E0E0E0"/>
            </w:tcBorders>
            <w:shd w:val="clear" w:color="auto" w:fill="auto"/>
          </w:tcPr>
          <w:p w14:paraId="245BFAD9"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144.100</w:t>
            </w:r>
          </w:p>
        </w:tc>
        <w:tc>
          <w:tcPr>
            <w:tcW w:w="643" w:type="pct"/>
            <w:tcBorders>
              <w:top w:val="single" w:sz="8" w:space="0" w:color="AEAEAE"/>
              <w:left w:val="single" w:sz="8" w:space="0" w:color="E0E0E0"/>
              <w:bottom w:val="nil"/>
              <w:right w:val="single" w:sz="8" w:space="0" w:color="E0E0E0"/>
            </w:tcBorders>
            <w:shd w:val="clear" w:color="auto" w:fill="auto"/>
          </w:tcPr>
          <w:p w14:paraId="77B317DE"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249</w:t>
            </w:r>
          </w:p>
        </w:tc>
        <w:tc>
          <w:tcPr>
            <w:tcW w:w="883" w:type="pct"/>
            <w:tcBorders>
              <w:top w:val="single" w:sz="8" w:space="0" w:color="AEAEAE"/>
              <w:left w:val="single" w:sz="8" w:space="0" w:color="E0E0E0"/>
              <w:bottom w:val="nil"/>
              <w:right w:val="single" w:sz="8" w:space="0" w:color="E0E0E0"/>
            </w:tcBorders>
            <w:shd w:val="clear" w:color="auto" w:fill="auto"/>
            <w:vAlign w:val="center"/>
          </w:tcPr>
          <w:p w14:paraId="2CA792F7"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tc>
        <w:tc>
          <w:tcPr>
            <w:tcW w:w="643" w:type="pct"/>
            <w:tcBorders>
              <w:top w:val="single" w:sz="8" w:space="0" w:color="AEAEAE"/>
              <w:left w:val="single" w:sz="8" w:space="0" w:color="E0E0E0"/>
              <w:bottom w:val="nil"/>
              <w:right w:val="single" w:sz="8" w:space="0" w:color="E0E0E0"/>
            </w:tcBorders>
            <w:shd w:val="clear" w:color="auto" w:fill="auto"/>
            <w:vAlign w:val="center"/>
          </w:tcPr>
          <w:p w14:paraId="33BDD630"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tc>
        <w:tc>
          <w:tcPr>
            <w:tcW w:w="643" w:type="pct"/>
            <w:tcBorders>
              <w:top w:val="single" w:sz="8" w:space="0" w:color="AEAEAE"/>
              <w:left w:val="single" w:sz="8" w:space="0" w:color="E0E0E0"/>
              <w:bottom w:val="nil"/>
              <w:right w:val="nil"/>
            </w:tcBorders>
            <w:shd w:val="clear" w:color="auto" w:fill="auto"/>
            <w:vAlign w:val="center"/>
          </w:tcPr>
          <w:p w14:paraId="14CEBBB8"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tc>
      </w:tr>
      <w:tr w:rsidR="003859C9" w:rsidRPr="00EB11D3" w14:paraId="76E47533" w14:textId="77777777" w:rsidTr="00007E09">
        <w:trPr>
          <w:cantSplit/>
        </w:trPr>
        <w:tc>
          <w:tcPr>
            <w:tcW w:w="460" w:type="pct"/>
            <w:vMerge w:val="restart"/>
            <w:tcBorders>
              <w:top w:val="single" w:sz="8" w:space="0" w:color="AEAEAE"/>
              <w:left w:val="nil"/>
              <w:bottom w:val="single" w:sz="8" w:space="0" w:color="152935"/>
              <w:right w:val="nil"/>
            </w:tcBorders>
            <w:shd w:val="clear" w:color="auto" w:fill="auto"/>
          </w:tcPr>
          <w:p w14:paraId="6DFA2268"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3</w:t>
            </w:r>
          </w:p>
        </w:tc>
        <w:tc>
          <w:tcPr>
            <w:tcW w:w="806" w:type="pct"/>
            <w:tcBorders>
              <w:top w:val="single" w:sz="8" w:space="0" w:color="AEAEAE"/>
              <w:left w:val="nil"/>
              <w:bottom w:val="single" w:sz="8" w:space="0" w:color="AEAEAE"/>
              <w:right w:val="nil"/>
            </w:tcBorders>
            <w:shd w:val="clear" w:color="auto" w:fill="auto"/>
          </w:tcPr>
          <w:p w14:paraId="3006ED4A"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Regression</w:t>
            </w:r>
          </w:p>
        </w:tc>
        <w:tc>
          <w:tcPr>
            <w:tcW w:w="922" w:type="pct"/>
            <w:tcBorders>
              <w:top w:val="single" w:sz="8" w:space="0" w:color="AEAEAE"/>
              <w:left w:val="nil"/>
              <w:bottom w:val="single" w:sz="8" w:space="0" w:color="AEAEAE"/>
              <w:right w:val="single" w:sz="8" w:space="0" w:color="E0E0E0"/>
            </w:tcBorders>
            <w:shd w:val="clear" w:color="auto" w:fill="auto"/>
          </w:tcPr>
          <w:p w14:paraId="14C9ECF4"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1</w:t>
            </w:r>
            <w:r w:rsidR="002623AE" w:rsidRPr="00EB11D3">
              <w:rPr>
                <w:rFonts w:eastAsia="Calibri"/>
                <w:szCs w:val="24"/>
              </w:rPr>
              <w:t>20</w:t>
            </w:r>
            <w:r w:rsidRPr="00EB11D3">
              <w:rPr>
                <w:rFonts w:eastAsia="Calibri"/>
                <w:szCs w:val="24"/>
              </w:rPr>
              <w:t>.</w:t>
            </w:r>
            <w:r w:rsidR="002623AE" w:rsidRPr="00EB11D3">
              <w:rPr>
                <w:rFonts w:eastAsia="Calibri"/>
                <w:szCs w:val="24"/>
              </w:rPr>
              <w:t>435</w:t>
            </w:r>
          </w:p>
        </w:tc>
        <w:tc>
          <w:tcPr>
            <w:tcW w:w="643" w:type="pct"/>
            <w:tcBorders>
              <w:top w:val="single" w:sz="8" w:space="0" w:color="AEAEAE"/>
              <w:left w:val="single" w:sz="8" w:space="0" w:color="E0E0E0"/>
              <w:bottom w:val="single" w:sz="8" w:space="0" w:color="AEAEAE"/>
              <w:right w:val="single" w:sz="8" w:space="0" w:color="E0E0E0"/>
            </w:tcBorders>
            <w:shd w:val="clear" w:color="auto" w:fill="auto"/>
          </w:tcPr>
          <w:p w14:paraId="2194018B"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3</w:t>
            </w:r>
          </w:p>
        </w:tc>
        <w:tc>
          <w:tcPr>
            <w:tcW w:w="883" w:type="pct"/>
            <w:tcBorders>
              <w:top w:val="single" w:sz="8" w:space="0" w:color="AEAEAE"/>
              <w:left w:val="single" w:sz="8" w:space="0" w:color="E0E0E0"/>
              <w:bottom w:val="single" w:sz="8" w:space="0" w:color="AEAEAE"/>
              <w:right w:val="single" w:sz="8" w:space="0" w:color="E0E0E0"/>
            </w:tcBorders>
            <w:shd w:val="clear" w:color="auto" w:fill="auto"/>
          </w:tcPr>
          <w:p w14:paraId="460BEE1D" w14:textId="77777777" w:rsidR="003859C9" w:rsidRPr="00EB11D3" w:rsidRDefault="002623AE"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59</w:t>
            </w:r>
            <w:r w:rsidR="003859C9" w:rsidRPr="00EB11D3">
              <w:rPr>
                <w:rFonts w:eastAsia="Calibri"/>
                <w:szCs w:val="24"/>
              </w:rPr>
              <w:t>.6</w:t>
            </w:r>
            <w:r w:rsidRPr="00EB11D3">
              <w:rPr>
                <w:rFonts w:eastAsia="Calibri"/>
                <w:szCs w:val="24"/>
              </w:rPr>
              <w:t>96</w:t>
            </w:r>
          </w:p>
        </w:tc>
        <w:tc>
          <w:tcPr>
            <w:tcW w:w="643" w:type="pct"/>
            <w:tcBorders>
              <w:top w:val="single" w:sz="8" w:space="0" w:color="AEAEAE"/>
              <w:left w:val="single" w:sz="8" w:space="0" w:color="E0E0E0"/>
              <w:bottom w:val="single" w:sz="8" w:space="0" w:color="AEAEAE"/>
              <w:right w:val="single" w:sz="8" w:space="0" w:color="E0E0E0"/>
            </w:tcBorders>
            <w:shd w:val="clear" w:color="auto" w:fill="auto"/>
          </w:tcPr>
          <w:p w14:paraId="52BAA65A" w14:textId="77777777" w:rsidR="003859C9" w:rsidRPr="00EB11D3" w:rsidRDefault="002623AE"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69</w:t>
            </w:r>
            <w:r w:rsidR="003859C9" w:rsidRPr="00EB11D3">
              <w:rPr>
                <w:rFonts w:eastAsia="Calibri"/>
                <w:szCs w:val="24"/>
              </w:rPr>
              <w:t>6.</w:t>
            </w:r>
            <w:r w:rsidRPr="00EB11D3">
              <w:rPr>
                <w:rFonts w:eastAsia="Calibri"/>
                <w:szCs w:val="24"/>
              </w:rPr>
              <w:t>66</w:t>
            </w:r>
            <w:r w:rsidR="003859C9" w:rsidRPr="00EB11D3">
              <w:rPr>
                <w:rFonts w:eastAsia="Calibri"/>
                <w:szCs w:val="24"/>
              </w:rPr>
              <w:t>5</w:t>
            </w:r>
          </w:p>
        </w:tc>
        <w:tc>
          <w:tcPr>
            <w:tcW w:w="643" w:type="pct"/>
            <w:tcBorders>
              <w:top w:val="single" w:sz="8" w:space="0" w:color="AEAEAE"/>
              <w:left w:val="single" w:sz="8" w:space="0" w:color="E0E0E0"/>
              <w:bottom w:val="single" w:sz="8" w:space="0" w:color="AEAEAE"/>
              <w:right w:val="nil"/>
            </w:tcBorders>
            <w:shd w:val="clear" w:color="auto" w:fill="auto"/>
          </w:tcPr>
          <w:p w14:paraId="5D8CA00A"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.000</w:t>
            </w:r>
            <w:r w:rsidRPr="00EB11D3">
              <w:rPr>
                <w:rFonts w:eastAsia="Calibri"/>
                <w:szCs w:val="24"/>
                <w:vertAlign w:val="superscript"/>
              </w:rPr>
              <w:t>d</w:t>
            </w:r>
          </w:p>
        </w:tc>
      </w:tr>
      <w:tr w:rsidR="003859C9" w:rsidRPr="00EB11D3" w14:paraId="6AAFD733" w14:textId="77777777" w:rsidTr="00007E09">
        <w:trPr>
          <w:cantSplit/>
        </w:trPr>
        <w:tc>
          <w:tcPr>
            <w:tcW w:w="460" w:type="pct"/>
            <w:vMerge/>
            <w:tcBorders>
              <w:top w:val="single" w:sz="8" w:space="0" w:color="AEAEAE"/>
              <w:left w:val="nil"/>
              <w:bottom w:val="single" w:sz="8" w:space="0" w:color="152935"/>
              <w:right w:val="nil"/>
            </w:tcBorders>
            <w:shd w:val="clear" w:color="auto" w:fill="auto"/>
          </w:tcPr>
          <w:p w14:paraId="35711000"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tc>
        <w:tc>
          <w:tcPr>
            <w:tcW w:w="806" w:type="pct"/>
            <w:tcBorders>
              <w:top w:val="single" w:sz="8" w:space="0" w:color="AEAEAE"/>
              <w:left w:val="nil"/>
              <w:bottom w:val="single" w:sz="8" w:space="0" w:color="AEAEAE"/>
              <w:right w:val="nil"/>
            </w:tcBorders>
            <w:shd w:val="clear" w:color="auto" w:fill="auto"/>
          </w:tcPr>
          <w:p w14:paraId="4D7FAE2F"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Residual</w:t>
            </w:r>
          </w:p>
        </w:tc>
        <w:tc>
          <w:tcPr>
            <w:tcW w:w="922" w:type="pct"/>
            <w:tcBorders>
              <w:top w:val="single" w:sz="8" w:space="0" w:color="AEAEAE"/>
              <w:left w:val="nil"/>
              <w:bottom w:val="single" w:sz="8" w:space="0" w:color="AEAEAE"/>
              <w:right w:val="single" w:sz="8" w:space="0" w:color="E0E0E0"/>
            </w:tcBorders>
            <w:shd w:val="clear" w:color="auto" w:fill="auto"/>
          </w:tcPr>
          <w:p w14:paraId="364A2747"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2</w:t>
            </w:r>
            <w:r w:rsidR="002623AE" w:rsidRPr="00EB11D3">
              <w:rPr>
                <w:rFonts w:eastAsia="Calibri"/>
                <w:szCs w:val="24"/>
              </w:rPr>
              <w:t>3</w:t>
            </w:r>
            <w:r w:rsidRPr="00EB11D3">
              <w:rPr>
                <w:rFonts w:eastAsia="Calibri"/>
                <w:szCs w:val="24"/>
              </w:rPr>
              <w:t>.</w:t>
            </w:r>
            <w:r w:rsidR="002623AE" w:rsidRPr="00EB11D3">
              <w:rPr>
                <w:rFonts w:eastAsia="Calibri"/>
                <w:szCs w:val="24"/>
              </w:rPr>
              <w:t>665</w:t>
            </w:r>
          </w:p>
        </w:tc>
        <w:tc>
          <w:tcPr>
            <w:tcW w:w="643" w:type="pct"/>
            <w:tcBorders>
              <w:top w:val="single" w:sz="8" w:space="0" w:color="AEAEAE"/>
              <w:left w:val="single" w:sz="8" w:space="0" w:color="E0E0E0"/>
              <w:bottom w:val="single" w:sz="8" w:space="0" w:color="AEAEAE"/>
              <w:right w:val="single" w:sz="8" w:space="0" w:color="E0E0E0"/>
            </w:tcBorders>
            <w:shd w:val="clear" w:color="auto" w:fill="auto"/>
          </w:tcPr>
          <w:p w14:paraId="55D19F57"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246</w:t>
            </w:r>
          </w:p>
        </w:tc>
        <w:tc>
          <w:tcPr>
            <w:tcW w:w="883" w:type="pct"/>
            <w:tcBorders>
              <w:top w:val="single" w:sz="8" w:space="0" w:color="AEAEAE"/>
              <w:left w:val="single" w:sz="8" w:space="0" w:color="E0E0E0"/>
              <w:bottom w:val="single" w:sz="8" w:space="0" w:color="AEAEAE"/>
              <w:right w:val="single" w:sz="8" w:space="0" w:color="E0E0E0"/>
            </w:tcBorders>
            <w:shd w:val="clear" w:color="auto" w:fill="auto"/>
          </w:tcPr>
          <w:p w14:paraId="65DAB08F"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w:t>
            </w:r>
            <w:r w:rsidR="002623AE" w:rsidRPr="00EB11D3">
              <w:rPr>
                <w:rFonts w:eastAsia="Calibri"/>
                <w:szCs w:val="24"/>
              </w:rPr>
              <w:t>086</w:t>
            </w:r>
          </w:p>
        </w:tc>
        <w:tc>
          <w:tcPr>
            <w:tcW w:w="643" w:type="pct"/>
            <w:tcBorders>
              <w:top w:val="single" w:sz="8" w:space="0" w:color="AEAEAE"/>
              <w:left w:val="single" w:sz="8" w:space="0" w:color="E0E0E0"/>
              <w:bottom w:val="single" w:sz="8" w:space="0" w:color="AEAEAE"/>
              <w:right w:val="single" w:sz="8" w:space="0" w:color="E0E0E0"/>
            </w:tcBorders>
            <w:shd w:val="clear" w:color="auto" w:fill="auto"/>
            <w:vAlign w:val="center"/>
          </w:tcPr>
          <w:p w14:paraId="11B443A1"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tc>
        <w:tc>
          <w:tcPr>
            <w:tcW w:w="643" w:type="pct"/>
            <w:tcBorders>
              <w:top w:val="single" w:sz="8" w:space="0" w:color="AEAEAE"/>
              <w:left w:val="single" w:sz="8" w:space="0" w:color="E0E0E0"/>
              <w:bottom w:val="single" w:sz="8" w:space="0" w:color="AEAEAE"/>
              <w:right w:val="nil"/>
            </w:tcBorders>
            <w:shd w:val="clear" w:color="auto" w:fill="auto"/>
            <w:vAlign w:val="center"/>
          </w:tcPr>
          <w:p w14:paraId="4B933D9F"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tc>
      </w:tr>
      <w:tr w:rsidR="003859C9" w:rsidRPr="00EB11D3" w14:paraId="3A774436" w14:textId="77777777" w:rsidTr="00007E09">
        <w:trPr>
          <w:cantSplit/>
        </w:trPr>
        <w:tc>
          <w:tcPr>
            <w:tcW w:w="460" w:type="pct"/>
            <w:vMerge/>
            <w:tcBorders>
              <w:top w:val="single" w:sz="8" w:space="0" w:color="AEAEAE"/>
              <w:left w:val="nil"/>
              <w:bottom w:val="single" w:sz="8" w:space="0" w:color="152935"/>
              <w:right w:val="nil"/>
            </w:tcBorders>
            <w:shd w:val="clear" w:color="auto" w:fill="auto"/>
          </w:tcPr>
          <w:p w14:paraId="76DFA294"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tc>
        <w:tc>
          <w:tcPr>
            <w:tcW w:w="806" w:type="pct"/>
            <w:tcBorders>
              <w:top w:val="single" w:sz="8" w:space="0" w:color="AEAEAE"/>
              <w:left w:val="nil"/>
              <w:bottom w:val="single" w:sz="8" w:space="0" w:color="152935"/>
              <w:right w:val="nil"/>
            </w:tcBorders>
            <w:shd w:val="clear" w:color="auto" w:fill="auto"/>
          </w:tcPr>
          <w:p w14:paraId="7C6D0CE9"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Total</w:t>
            </w:r>
          </w:p>
        </w:tc>
        <w:tc>
          <w:tcPr>
            <w:tcW w:w="922" w:type="pct"/>
            <w:tcBorders>
              <w:top w:val="single" w:sz="8" w:space="0" w:color="AEAEAE"/>
              <w:left w:val="nil"/>
              <w:bottom w:val="single" w:sz="8" w:space="0" w:color="152935"/>
              <w:right w:val="single" w:sz="8" w:space="0" w:color="E0E0E0"/>
            </w:tcBorders>
            <w:shd w:val="clear" w:color="auto" w:fill="auto"/>
          </w:tcPr>
          <w:p w14:paraId="7E953E4D"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144.100</w:t>
            </w:r>
          </w:p>
        </w:tc>
        <w:tc>
          <w:tcPr>
            <w:tcW w:w="643" w:type="pct"/>
            <w:tcBorders>
              <w:top w:val="single" w:sz="8" w:space="0" w:color="AEAEAE"/>
              <w:left w:val="single" w:sz="8" w:space="0" w:color="E0E0E0"/>
              <w:bottom w:val="single" w:sz="8" w:space="0" w:color="152935"/>
              <w:right w:val="single" w:sz="8" w:space="0" w:color="E0E0E0"/>
            </w:tcBorders>
            <w:shd w:val="clear" w:color="auto" w:fill="auto"/>
          </w:tcPr>
          <w:p w14:paraId="3E841353"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249</w:t>
            </w:r>
          </w:p>
        </w:tc>
        <w:tc>
          <w:tcPr>
            <w:tcW w:w="883" w:type="pct"/>
            <w:tcBorders>
              <w:top w:val="single" w:sz="8" w:space="0" w:color="AEAEAE"/>
              <w:left w:val="single" w:sz="8" w:space="0" w:color="E0E0E0"/>
              <w:bottom w:val="single" w:sz="8" w:space="0" w:color="152935"/>
              <w:right w:val="single" w:sz="8" w:space="0" w:color="E0E0E0"/>
            </w:tcBorders>
            <w:shd w:val="clear" w:color="auto" w:fill="auto"/>
            <w:vAlign w:val="center"/>
          </w:tcPr>
          <w:p w14:paraId="6BE61AA9"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tc>
        <w:tc>
          <w:tcPr>
            <w:tcW w:w="643" w:type="pct"/>
            <w:tcBorders>
              <w:top w:val="single" w:sz="8" w:space="0" w:color="AEAEAE"/>
              <w:left w:val="single" w:sz="8" w:space="0" w:color="E0E0E0"/>
              <w:bottom w:val="single" w:sz="8" w:space="0" w:color="152935"/>
              <w:right w:val="single" w:sz="8" w:space="0" w:color="E0E0E0"/>
            </w:tcBorders>
            <w:shd w:val="clear" w:color="auto" w:fill="auto"/>
            <w:vAlign w:val="center"/>
          </w:tcPr>
          <w:p w14:paraId="7599B87B"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tc>
        <w:tc>
          <w:tcPr>
            <w:tcW w:w="643" w:type="pct"/>
            <w:tcBorders>
              <w:top w:val="single" w:sz="8" w:space="0" w:color="AEAEAE"/>
              <w:left w:val="single" w:sz="8" w:space="0" w:color="E0E0E0"/>
              <w:bottom w:val="single" w:sz="8" w:space="0" w:color="152935"/>
              <w:right w:val="nil"/>
            </w:tcBorders>
            <w:shd w:val="clear" w:color="auto" w:fill="auto"/>
            <w:vAlign w:val="center"/>
          </w:tcPr>
          <w:p w14:paraId="254746E3"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tc>
      </w:tr>
      <w:tr w:rsidR="003859C9" w:rsidRPr="00EB11D3" w14:paraId="3F525FED" w14:textId="77777777" w:rsidTr="00007E09">
        <w:trPr>
          <w:cantSplit/>
        </w:trPr>
        <w:tc>
          <w:tcPr>
            <w:tcW w:w="5000" w:type="pct"/>
            <w:gridSpan w:val="7"/>
            <w:tcBorders>
              <w:top w:val="nil"/>
              <w:left w:val="nil"/>
              <w:bottom w:val="nil"/>
              <w:right w:val="nil"/>
            </w:tcBorders>
            <w:shd w:val="clear" w:color="auto" w:fill="auto"/>
          </w:tcPr>
          <w:p w14:paraId="0C80ABFA"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a. Dependent Variable: Organisational Performance</w:t>
            </w:r>
          </w:p>
        </w:tc>
      </w:tr>
      <w:tr w:rsidR="003859C9" w:rsidRPr="00EB11D3" w14:paraId="10522087" w14:textId="77777777" w:rsidTr="00007E09">
        <w:trPr>
          <w:cantSplit/>
        </w:trPr>
        <w:tc>
          <w:tcPr>
            <w:tcW w:w="5000" w:type="pct"/>
            <w:gridSpan w:val="7"/>
            <w:tcBorders>
              <w:top w:val="nil"/>
              <w:left w:val="nil"/>
              <w:bottom w:val="nil"/>
              <w:right w:val="nil"/>
            </w:tcBorders>
            <w:shd w:val="clear" w:color="auto" w:fill="auto"/>
          </w:tcPr>
          <w:p w14:paraId="5636D339"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b. Predictors: (Constant), Corporate governance</w:t>
            </w:r>
          </w:p>
        </w:tc>
      </w:tr>
      <w:tr w:rsidR="003859C9" w:rsidRPr="00EB11D3" w14:paraId="2F3DCB2F" w14:textId="77777777" w:rsidTr="00007E09">
        <w:trPr>
          <w:cantSplit/>
        </w:trPr>
        <w:tc>
          <w:tcPr>
            <w:tcW w:w="5000" w:type="pct"/>
            <w:gridSpan w:val="7"/>
            <w:tcBorders>
              <w:top w:val="nil"/>
              <w:left w:val="nil"/>
              <w:bottom w:val="nil"/>
              <w:right w:val="nil"/>
            </w:tcBorders>
            <w:shd w:val="clear" w:color="auto" w:fill="auto"/>
          </w:tcPr>
          <w:p w14:paraId="39B6A752"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c. Predictors: (Constant), Corporate governance, Government Regulations</w:t>
            </w:r>
          </w:p>
        </w:tc>
      </w:tr>
      <w:tr w:rsidR="003859C9" w:rsidRPr="00EB11D3" w14:paraId="0D609F51" w14:textId="77777777" w:rsidTr="00007E09">
        <w:trPr>
          <w:cantSplit/>
        </w:trPr>
        <w:tc>
          <w:tcPr>
            <w:tcW w:w="5000" w:type="pct"/>
            <w:gridSpan w:val="7"/>
            <w:tcBorders>
              <w:top w:val="nil"/>
              <w:left w:val="nil"/>
              <w:bottom w:val="nil"/>
              <w:right w:val="nil"/>
            </w:tcBorders>
            <w:shd w:val="clear" w:color="auto" w:fill="auto"/>
          </w:tcPr>
          <w:p w14:paraId="70A88E1B"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r w:rsidRPr="00EB11D3">
              <w:rPr>
                <w:rFonts w:eastAsia="Calibri"/>
                <w:szCs w:val="24"/>
              </w:rPr>
              <w:t>d. Predictors: (Constant), Corporate governance, Government Regulations, Corporate governance Government Regulations</w:t>
            </w:r>
          </w:p>
        </w:tc>
      </w:tr>
    </w:tbl>
    <w:p w14:paraId="4ECCA37E"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p w14:paraId="1BA8F40A" w14:textId="77777777" w:rsidR="00F479A8" w:rsidRPr="00EB11D3" w:rsidRDefault="00F479A8" w:rsidP="00F479A8">
      <w:pPr>
        <w:shd w:val="clear" w:color="auto" w:fill="FFFFFF"/>
        <w:autoSpaceDE w:val="0"/>
        <w:autoSpaceDN w:val="0"/>
        <w:adjustRightInd w:val="0"/>
        <w:spacing w:after="0" w:line="360" w:lineRule="auto"/>
        <w:rPr>
          <w:rFonts w:eastAsia="Calibri"/>
          <w:szCs w:val="24"/>
        </w:rPr>
      </w:pPr>
      <w:r w:rsidRPr="00EB11D3">
        <w:rPr>
          <w:rFonts w:eastAsia="Calibri"/>
          <w:szCs w:val="24"/>
        </w:rPr>
        <w:t xml:space="preserve">The ANOVA results indicate that all the three models were significant at p&lt;0.001&lt;0.05. The F-Calculated for model one was (1, 248) = 392.200, p&lt;0.05, which is greater than F-Critical (2, 247). F-Calculated for model two was (2, 247) = 260.820, p&lt;0.05, which is smaller than F-Critical (3, 246). F-Calculated for model three was (3, 246) =696.665, p&lt;0.05, which is greater than F-Critical (2, 247). Therefore, the results confirm that the regression model one, two and three are significant.  </w:t>
      </w:r>
    </w:p>
    <w:p w14:paraId="3BA6E040" w14:textId="77777777" w:rsidR="003859C9" w:rsidRPr="00EB11D3" w:rsidRDefault="003859C9" w:rsidP="00F27E51">
      <w:pPr>
        <w:shd w:val="clear" w:color="auto" w:fill="FFFFFF"/>
        <w:autoSpaceDE w:val="0"/>
        <w:autoSpaceDN w:val="0"/>
        <w:adjustRightInd w:val="0"/>
        <w:spacing w:after="0" w:line="360" w:lineRule="auto"/>
        <w:rPr>
          <w:rFonts w:eastAsia="Calibri"/>
          <w:szCs w:val="24"/>
        </w:rPr>
      </w:pPr>
      <w:r w:rsidRPr="00EB11D3">
        <w:rPr>
          <w:rFonts w:eastAsia="Calibri"/>
          <w:szCs w:val="24"/>
        </w:rPr>
        <w:t xml:space="preserve"> </w:t>
      </w:r>
      <w:r w:rsidR="00002DE6" w:rsidRPr="00EB11D3">
        <w:rPr>
          <w:rFonts w:eastAsia="Calibri"/>
          <w:szCs w:val="24"/>
        </w:rPr>
        <w:t xml:space="preserve"> </w:t>
      </w:r>
    </w:p>
    <w:p w14:paraId="0BF5CF12"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The regression of coefficients for corporate governance, government regulations and organisational performance are as shown in Table 36.</w:t>
      </w:r>
      <w:bookmarkStart w:id="941" w:name="_Toc126666771"/>
    </w:p>
    <w:p w14:paraId="70159484" w14:textId="77777777" w:rsidR="003859C9" w:rsidRPr="00EB11D3" w:rsidRDefault="003859C9" w:rsidP="003859C9">
      <w:pPr>
        <w:shd w:val="clear" w:color="auto" w:fill="FFFFFF"/>
        <w:spacing w:after="160" w:line="360" w:lineRule="auto"/>
        <w:rPr>
          <w:rFonts w:eastAsia="Calibri"/>
          <w:szCs w:val="24"/>
        </w:rPr>
      </w:pPr>
      <w:bookmarkStart w:id="942" w:name="_Toc177387967"/>
      <w:r w:rsidRPr="00EB11D3">
        <w:rPr>
          <w:rFonts w:eastAsia="Times New Roman"/>
          <w:b/>
          <w:bCs/>
          <w:szCs w:val="24"/>
        </w:rPr>
        <w:t xml:space="preserve">Table </w:t>
      </w:r>
      <w:r w:rsidRPr="00EB11D3">
        <w:rPr>
          <w:rFonts w:eastAsia="Times New Roman"/>
          <w:b/>
          <w:bCs/>
          <w:szCs w:val="24"/>
        </w:rPr>
        <w:fldChar w:fldCharType="begin"/>
      </w:r>
      <w:r w:rsidRPr="00EB11D3">
        <w:rPr>
          <w:rFonts w:eastAsia="Times New Roman"/>
          <w:b/>
          <w:bCs/>
          <w:szCs w:val="24"/>
        </w:rPr>
        <w:instrText xml:space="preserve"> SEQ Table \* ARABIC </w:instrText>
      </w:r>
      <w:r w:rsidRPr="00EB11D3">
        <w:rPr>
          <w:rFonts w:eastAsia="Times New Roman"/>
          <w:b/>
          <w:bCs/>
          <w:szCs w:val="24"/>
        </w:rPr>
        <w:fldChar w:fldCharType="separate"/>
      </w:r>
      <w:r w:rsidRPr="00EB11D3">
        <w:rPr>
          <w:rFonts w:eastAsia="Times New Roman"/>
          <w:b/>
          <w:bCs/>
          <w:noProof/>
          <w:szCs w:val="24"/>
        </w:rPr>
        <w:t>36</w:t>
      </w:r>
      <w:r w:rsidRPr="00EB11D3">
        <w:rPr>
          <w:rFonts w:eastAsia="Times New Roman"/>
          <w:b/>
          <w:bCs/>
          <w:szCs w:val="24"/>
        </w:rPr>
        <w:fldChar w:fldCharType="end"/>
      </w:r>
      <w:r w:rsidRPr="00EB11D3">
        <w:rPr>
          <w:rFonts w:eastAsia="Times New Roman"/>
          <w:b/>
          <w:bCs/>
          <w:szCs w:val="24"/>
          <w:lang w:val="en-GB" w:eastAsia="en-GB"/>
        </w:rPr>
        <w:t>: Regression Coefficients for Moderating Effect</w:t>
      </w:r>
      <w:bookmarkEnd w:id="941"/>
      <w:bookmarkEnd w:id="942"/>
    </w:p>
    <w:tbl>
      <w:tblPr>
        <w:tblW w:w="5000" w:type="pct"/>
        <w:tblCellMar>
          <w:left w:w="0" w:type="dxa"/>
          <w:right w:w="0" w:type="dxa"/>
        </w:tblCellMar>
        <w:tblLook w:val="0000" w:firstRow="0" w:lastRow="0" w:firstColumn="0" w:lastColumn="0" w:noHBand="0" w:noVBand="0"/>
      </w:tblPr>
      <w:tblGrid>
        <w:gridCol w:w="735"/>
        <w:gridCol w:w="2447"/>
        <w:gridCol w:w="1331"/>
        <w:gridCol w:w="1331"/>
        <w:gridCol w:w="1468"/>
        <w:gridCol w:w="1024"/>
        <w:gridCol w:w="1024"/>
      </w:tblGrid>
      <w:tr w:rsidR="00F479A8" w:rsidRPr="00EB11D3" w14:paraId="2E3CD393" w14:textId="77777777" w:rsidTr="00F479A8">
        <w:trPr>
          <w:cantSplit/>
        </w:trPr>
        <w:tc>
          <w:tcPr>
            <w:tcW w:w="5000" w:type="pct"/>
            <w:gridSpan w:val="7"/>
            <w:tcBorders>
              <w:top w:val="nil"/>
              <w:left w:val="nil"/>
              <w:bottom w:val="single" w:sz="4" w:space="0" w:color="auto"/>
              <w:right w:val="nil"/>
            </w:tcBorders>
            <w:shd w:val="clear" w:color="auto" w:fill="auto"/>
            <w:vAlign w:val="center"/>
          </w:tcPr>
          <w:p w14:paraId="06EF87E3" w14:textId="77777777" w:rsidR="00F479A8" w:rsidRPr="00EB11D3" w:rsidRDefault="00F479A8" w:rsidP="00F479A8">
            <w:pPr>
              <w:shd w:val="clear" w:color="auto" w:fill="FFFFFF"/>
              <w:autoSpaceDE w:val="0"/>
              <w:autoSpaceDN w:val="0"/>
              <w:adjustRightInd w:val="0"/>
              <w:spacing w:after="0" w:line="240" w:lineRule="auto"/>
              <w:jc w:val="center"/>
              <w:rPr>
                <w:rFonts w:eastAsia="Calibri"/>
                <w:szCs w:val="24"/>
              </w:rPr>
            </w:pPr>
            <w:r w:rsidRPr="00EB11D3">
              <w:rPr>
                <w:rFonts w:eastAsia="Calibri"/>
                <w:b/>
                <w:bCs/>
                <w:szCs w:val="24"/>
              </w:rPr>
              <w:t>Coefficients</w:t>
            </w:r>
            <w:r w:rsidRPr="00EB11D3">
              <w:rPr>
                <w:rFonts w:eastAsia="Calibri"/>
                <w:b/>
                <w:bCs/>
                <w:szCs w:val="24"/>
                <w:vertAlign w:val="superscript"/>
              </w:rPr>
              <w:t>a</w:t>
            </w:r>
          </w:p>
        </w:tc>
      </w:tr>
      <w:tr w:rsidR="00F479A8" w:rsidRPr="00EB11D3" w14:paraId="20A5D447" w14:textId="77777777" w:rsidTr="00F479A8">
        <w:trPr>
          <w:cantSplit/>
        </w:trPr>
        <w:tc>
          <w:tcPr>
            <w:tcW w:w="1700" w:type="pct"/>
            <w:gridSpan w:val="2"/>
            <w:vMerge w:val="restart"/>
            <w:tcBorders>
              <w:top w:val="single" w:sz="4" w:space="0" w:color="auto"/>
              <w:left w:val="nil"/>
              <w:bottom w:val="nil"/>
              <w:right w:val="nil"/>
            </w:tcBorders>
            <w:shd w:val="clear" w:color="auto" w:fill="auto"/>
            <w:vAlign w:val="bottom"/>
          </w:tcPr>
          <w:p w14:paraId="6E8D8C82"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Model</w:t>
            </w:r>
          </w:p>
        </w:tc>
        <w:tc>
          <w:tcPr>
            <w:tcW w:w="1422" w:type="pct"/>
            <w:gridSpan w:val="2"/>
            <w:tcBorders>
              <w:top w:val="single" w:sz="4" w:space="0" w:color="auto"/>
              <w:left w:val="nil"/>
              <w:bottom w:val="nil"/>
              <w:right w:val="single" w:sz="8" w:space="0" w:color="E0E0E0"/>
            </w:tcBorders>
            <w:shd w:val="clear" w:color="auto" w:fill="auto"/>
            <w:vAlign w:val="bottom"/>
          </w:tcPr>
          <w:p w14:paraId="47545CD3" w14:textId="77777777" w:rsidR="00F479A8" w:rsidRPr="00EB11D3" w:rsidRDefault="00F479A8" w:rsidP="00F479A8">
            <w:pPr>
              <w:shd w:val="clear" w:color="auto" w:fill="FFFFFF"/>
              <w:autoSpaceDE w:val="0"/>
              <w:autoSpaceDN w:val="0"/>
              <w:adjustRightInd w:val="0"/>
              <w:spacing w:after="0" w:line="240" w:lineRule="auto"/>
              <w:jc w:val="center"/>
              <w:rPr>
                <w:rFonts w:eastAsia="Calibri"/>
                <w:szCs w:val="24"/>
              </w:rPr>
            </w:pPr>
            <w:r w:rsidRPr="00EB11D3">
              <w:rPr>
                <w:rFonts w:eastAsia="Calibri"/>
                <w:szCs w:val="24"/>
              </w:rPr>
              <w:t>Unstandardized Coefficients</w:t>
            </w:r>
          </w:p>
        </w:tc>
        <w:tc>
          <w:tcPr>
            <w:tcW w:w="784" w:type="pct"/>
            <w:tcBorders>
              <w:top w:val="single" w:sz="4" w:space="0" w:color="auto"/>
              <w:left w:val="single" w:sz="8" w:space="0" w:color="E0E0E0"/>
              <w:bottom w:val="nil"/>
              <w:right w:val="single" w:sz="8" w:space="0" w:color="E0E0E0"/>
            </w:tcBorders>
            <w:shd w:val="clear" w:color="auto" w:fill="auto"/>
            <w:vAlign w:val="bottom"/>
          </w:tcPr>
          <w:p w14:paraId="0A79DF66" w14:textId="77777777" w:rsidR="00F479A8" w:rsidRPr="00EB11D3" w:rsidRDefault="00F479A8" w:rsidP="00F479A8">
            <w:pPr>
              <w:shd w:val="clear" w:color="auto" w:fill="FFFFFF"/>
              <w:autoSpaceDE w:val="0"/>
              <w:autoSpaceDN w:val="0"/>
              <w:adjustRightInd w:val="0"/>
              <w:spacing w:after="0" w:line="240" w:lineRule="auto"/>
              <w:jc w:val="center"/>
              <w:rPr>
                <w:rFonts w:eastAsia="Calibri"/>
                <w:szCs w:val="24"/>
              </w:rPr>
            </w:pPr>
            <w:r w:rsidRPr="00EB11D3">
              <w:rPr>
                <w:rFonts w:eastAsia="Calibri"/>
                <w:szCs w:val="24"/>
              </w:rPr>
              <w:t>Standardized Coefficients</w:t>
            </w:r>
          </w:p>
        </w:tc>
        <w:tc>
          <w:tcPr>
            <w:tcW w:w="547" w:type="pct"/>
            <w:vMerge w:val="restart"/>
            <w:tcBorders>
              <w:top w:val="single" w:sz="4" w:space="0" w:color="auto"/>
              <w:left w:val="single" w:sz="8" w:space="0" w:color="E0E0E0"/>
              <w:bottom w:val="nil"/>
              <w:right w:val="single" w:sz="8" w:space="0" w:color="E0E0E0"/>
            </w:tcBorders>
            <w:shd w:val="clear" w:color="auto" w:fill="auto"/>
            <w:vAlign w:val="bottom"/>
          </w:tcPr>
          <w:p w14:paraId="007C103E" w14:textId="77777777" w:rsidR="00F479A8" w:rsidRPr="00EB11D3" w:rsidRDefault="00F479A8" w:rsidP="00F479A8">
            <w:pPr>
              <w:shd w:val="clear" w:color="auto" w:fill="FFFFFF"/>
              <w:autoSpaceDE w:val="0"/>
              <w:autoSpaceDN w:val="0"/>
              <w:adjustRightInd w:val="0"/>
              <w:spacing w:after="0" w:line="240" w:lineRule="auto"/>
              <w:jc w:val="center"/>
              <w:rPr>
                <w:rFonts w:eastAsia="Calibri"/>
                <w:szCs w:val="24"/>
              </w:rPr>
            </w:pPr>
            <w:r w:rsidRPr="00EB11D3">
              <w:rPr>
                <w:rFonts w:eastAsia="Calibri"/>
                <w:szCs w:val="24"/>
              </w:rPr>
              <w:t>t</w:t>
            </w:r>
          </w:p>
        </w:tc>
        <w:tc>
          <w:tcPr>
            <w:tcW w:w="547" w:type="pct"/>
            <w:vMerge w:val="restart"/>
            <w:tcBorders>
              <w:top w:val="single" w:sz="4" w:space="0" w:color="auto"/>
              <w:left w:val="single" w:sz="8" w:space="0" w:color="E0E0E0"/>
              <w:bottom w:val="nil"/>
              <w:right w:val="nil"/>
            </w:tcBorders>
            <w:shd w:val="clear" w:color="auto" w:fill="auto"/>
            <w:vAlign w:val="bottom"/>
          </w:tcPr>
          <w:p w14:paraId="3287D93D" w14:textId="77777777" w:rsidR="00F479A8" w:rsidRPr="00EB11D3" w:rsidRDefault="00F479A8" w:rsidP="00F479A8">
            <w:pPr>
              <w:shd w:val="clear" w:color="auto" w:fill="FFFFFF"/>
              <w:autoSpaceDE w:val="0"/>
              <w:autoSpaceDN w:val="0"/>
              <w:adjustRightInd w:val="0"/>
              <w:spacing w:after="0" w:line="240" w:lineRule="auto"/>
              <w:jc w:val="center"/>
              <w:rPr>
                <w:rFonts w:eastAsia="Calibri"/>
                <w:szCs w:val="24"/>
              </w:rPr>
            </w:pPr>
            <w:r w:rsidRPr="00EB11D3">
              <w:rPr>
                <w:rFonts w:eastAsia="Calibri"/>
                <w:szCs w:val="24"/>
              </w:rPr>
              <w:t>Sig.</w:t>
            </w:r>
          </w:p>
        </w:tc>
      </w:tr>
      <w:tr w:rsidR="00F479A8" w:rsidRPr="00EB11D3" w14:paraId="33C664C1" w14:textId="77777777">
        <w:trPr>
          <w:cantSplit/>
        </w:trPr>
        <w:tc>
          <w:tcPr>
            <w:tcW w:w="1700" w:type="pct"/>
            <w:gridSpan w:val="2"/>
            <w:vMerge/>
            <w:tcBorders>
              <w:top w:val="nil"/>
              <w:left w:val="nil"/>
              <w:bottom w:val="nil"/>
              <w:right w:val="nil"/>
            </w:tcBorders>
            <w:shd w:val="clear" w:color="auto" w:fill="auto"/>
            <w:vAlign w:val="bottom"/>
          </w:tcPr>
          <w:p w14:paraId="14CD61FA" w14:textId="77777777" w:rsidR="00F479A8" w:rsidRPr="00EB11D3" w:rsidRDefault="00F479A8">
            <w:pPr>
              <w:shd w:val="clear" w:color="auto" w:fill="FFFFFF"/>
              <w:autoSpaceDE w:val="0"/>
              <w:autoSpaceDN w:val="0"/>
              <w:adjustRightInd w:val="0"/>
              <w:spacing w:after="0" w:line="240" w:lineRule="auto"/>
              <w:rPr>
                <w:rFonts w:eastAsia="Calibri"/>
                <w:szCs w:val="24"/>
              </w:rPr>
            </w:pPr>
          </w:p>
        </w:tc>
        <w:tc>
          <w:tcPr>
            <w:tcW w:w="711" w:type="pct"/>
            <w:tcBorders>
              <w:top w:val="nil"/>
              <w:left w:val="nil"/>
              <w:bottom w:val="single" w:sz="8" w:space="0" w:color="152935"/>
              <w:right w:val="single" w:sz="8" w:space="0" w:color="E0E0E0"/>
            </w:tcBorders>
            <w:shd w:val="clear" w:color="auto" w:fill="auto"/>
            <w:vAlign w:val="bottom"/>
          </w:tcPr>
          <w:p w14:paraId="26347C2A" w14:textId="77777777" w:rsidR="00F479A8" w:rsidRPr="00EB11D3" w:rsidRDefault="00F479A8" w:rsidP="00F479A8">
            <w:pPr>
              <w:shd w:val="clear" w:color="auto" w:fill="FFFFFF"/>
              <w:autoSpaceDE w:val="0"/>
              <w:autoSpaceDN w:val="0"/>
              <w:adjustRightInd w:val="0"/>
              <w:spacing w:after="0" w:line="240" w:lineRule="auto"/>
              <w:jc w:val="center"/>
              <w:rPr>
                <w:rFonts w:eastAsia="Calibri"/>
                <w:szCs w:val="24"/>
              </w:rPr>
            </w:pPr>
            <w:r w:rsidRPr="00EB11D3">
              <w:rPr>
                <w:rFonts w:eastAsia="Calibri"/>
                <w:szCs w:val="24"/>
              </w:rPr>
              <w:t>B</w:t>
            </w:r>
          </w:p>
        </w:tc>
        <w:tc>
          <w:tcPr>
            <w:tcW w:w="711" w:type="pct"/>
            <w:tcBorders>
              <w:top w:val="nil"/>
              <w:left w:val="single" w:sz="8" w:space="0" w:color="E0E0E0"/>
              <w:bottom w:val="single" w:sz="8" w:space="0" w:color="152935"/>
              <w:right w:val="single" w:sz="8" w:space="0" w:color="E0E0E0"/>
            </w:tcBorders>
            <w:shd w:val="clear" w:color="auto" w:fill="auto"/>
            <w:vAlign w:val="bottom"/>
          </w:tcPr>
          <w:p w14:paraId="468C2C44" w14:textId="77777777" w:rsidR="00F479A8" w:rsidRPr="00EB11D3" w:rsidRDefault="00F479A8" w:rsidP="00F479A8">
            <w:pPr>
              <w:shd w:val="clear" w:color="auto" w:fill="FFFFFF"/>
              <w:autoSpaceDE w:val="0"/>
              <w:autoSpaceDN w:val="0"/>
              <w:adjustRightInd w:val="0"/>
              <w:spacing w:after="0" w:line="240" w:lineRule="auto"/>
              <w:jc w:val="center"/>
              <w:rPr>
                <w:rFonts w:eastAsia="Calibri"/>
                <w:szCs w:val="24"/>
              </w:rPr>
            </w:pPr>
            <w:r w:rsidRPr="00EB11D3">
              <w:rPr>
                <w:rFonts w:eastAsia="Calibri"/>
                <w:szCs w:val="24"/>
              </w:rPr>
              <w:t>Std. Error</w:t>
            </w:r>
          </w:p>
        </w:tc>
        <w:tc>
          <w:tcPr>
            <w:tcW w:w="784" w:type="pct"/>
            <w:tcBorders>
              <w:top w:val="nil"/>
              <w:left w:val="single" w:sz="8" w:space="0" w:color="E0E0E0"/>
              <w:bottom w:val="single" w:sz="8" w:space="0" w:color="152935"/>
              <w:right w:val="single" w:sz="8" w:space="0" w:color="E0E0E0"/>
            </w:tcBorders>
            <w:shd w:val="clear" w:color="auto" w:fill="auto"/>
            <w:vAlign w:val="bottom"/>
          </w:tcPr>
          <w:p w14:paraId="0A8AF619" w14:textId="77777777" w:rsidR="00F479A8" w:rsidRPr="00EB11D3" w:rsidRDefault="00F479A8" w:rsidP="00F479A8">
            <w:pPr>
              <w:shd w:val="clear" w:color="auto" w:fill="FFFFFF"/>
              <w:autoSpaceDE w:val="0"/>
              <w:autoSpaceDN w:val="0"/>
              <w:adjustRightInd w:val="0"/>
              <w:spacing w:after="0" w:line="240" w:lineRule="auto"/>
              <w:jc w:val="center"/>
              <w:rPr>
                <w:rFonts w:eastAsia="Calibri"/>
                <w:szCs w:val="24"/>
              </w:rPr>
            </w:pPr>
            <w:r w:rsidRPr="00EB11D3">
              <w:rPr>
                <w:rFonts w:eastAsia="Calibri"/>
                <w:szCs w:val="24"/>
              </w:rPr>
              <w:t>Beta</w:t>
            </w:r>
          </w:p>
        </w:tc>
        <w:tc>
          <w:tcPr>
            <w:tcW w:w="547" w:type="pct"/>
            <w:vMerge/>
            <w:tcBorders>
              <w:top w:val="nil"/>
              <w:left w:val="single" w:sz="8" w:space="0" w:color="E0E0E0"/>
              <w:bottom w:val="nil"/>
              <w:right w:val="single" w:sz="8" w:space="0" w:color="E0E0E0"/>
            </w:tcBorders>
            <w:shd w:val="clear" w:color="auto" w:fill="auto"/>
            <w:vAlign w:val="bottom"/>
          </w:tcPr>
          <w:p w14:paraId="100FE098" w14:textId="77777777" w:rsidR="00F479A8" w:rsidRPr="00EB11D3" w:rsidRDefault="00F479A8" w:rsidP="00F479A8">
            <w:pPr>
              <w:shd w:val="clear" w:color="auto" w:fill="FFFFFF"/>
              <w:autoSpaceDE w:val="0"/>
              <w:autoSpaceDN w:val="0"/>
              <w:adjustRightInd w:val="0"/>
              <w:spacing w:after="0" w:line="240" w:lineRule="auto"/>
              <w:jc w:val="center"/>
              <w:rPr>
                <w:rFonts w:eastAsia="Calibri"/>
                <w:szCs w:val="24"/>
              </w:rPr>
            </w:pPr>
          </w:p>
        </w:tc>
        <w:tc>
          <w:tcPr>
            <w:tcW w:w="547" w:type="pct"/>
            <w:vMerge/>
            <w:tcBorders>
              <w:top w:val="nil"/>
              <w:left w:val="single" w:sz="8" w:space="0" w:color="E0E0E0"/>
              <w:bottom w:val="nil"/>
              <w:right w:val="nil"/>
            </w:tcBorders>
            <w:shd w:val="clear" w:color="auto" w:fill="auto"/>
            <w:vAlign w:val="bottom"/>
          </w:tcPr>
          <w:p w14:paraId="4C27F3F2" w14:textId="77777777" w:rsidR="00F479A8" w:rsidRPr="00EB11D3" w:rsidRDefault="00F479A8" w:rsidP="00F479A8">
            <w:pPr>
              <w:shd w:val="clear" w:color="auto" w:fill="FFFFFF"/>
              <w:autoSpaceDE w:val="0"/>
              <w:autoSpaceDN w:val="0"/>
              <w:adjustRightInd w:val="0"/>
              <w:spacing w:after="0" w:line="240" w:lineRule="auto"/>
              <w:jc w:val="center"/>
              <w:rPr>
                <w:rFonts w:eastAsia="Calibri"/>
                <w:szCs w:val="24"/>
              </w:rPr>
            </w:pPr>
          </w:p>
        </w:tc>
      </w:tr>
      <w:tr w:rsidR="00F479A8" w:rsidRPr="00EB11D3" w14:paraId="4C384A01" w14:textId="77777777">
        <w:trPr>
          <w:cantSplit/>
        </w:trPr>
        <w:tc>
          <w:tcPr>
            <w:tcW w:w="393" w:type="pct"/>
            <w:vMerge w:val="restart"/>
            <w:tcBorders>
              <w:top w:val="single" w:sz="8" w:space="0" w:color="152935"/>
              <w:left w:val="nil"/>
              <w:bottom w:val="nil"/>
              <w:right w:val="nil"/>
            </w:tcBorders>
            <w:shd w:val="clear" w:color="auto" w:fill="auto"/>
          </w:tcPr>
          <w:p w14:paraId="5D1411C9"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1</w:t>
            </w:r>
          </w:p>
        </w:tc>
        <w:tc>
          <w:tcPr>
            <w:tcW w:w="1307" w:type="pct"/>
            <w:tcBorders>
              <w:top w:val="single" w:sz="8" w:space="0" w:color="152935"/>
              <w:left w:val="nil"/>
              <w:bottom w:val="single" w:sz="8" w:space="0" w:color="AEAEAE"/>
              <w:right w:val="nil"/>
            </w:tcBorders>
            <w:shd w:val="clear" w:color="auto" w:fill="auto"/>
          </w:tcPr>
          <w:p w14:paraId="65FB2568"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(Constant)</w:t>
            </w:r>
          </w:p>
        </w:tc>
        <w:tc>
          <w:tcPr>
            <w:tcW w:w="711" w:type="pct"/>
            <w:tcBorders>
              <w:top w:val="single" w:sz="8" w:space="0" w:color="152935"/>
              <w:left w:val="nil"/>
              <w:bottom w:val="single" w:sz="8" w:space="0" w:color="AEAEAE"/>
              <w:right w:val="single" w:sz="8" w:space="0" w:color="E0E0E0"/>
            </w:tcBorders>
            <w:shd w:val="clear" w:color="auto" w:fill="auto"/>
          </w:tcPr>
          <w:p w14:paraId="6ED6FB5E"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1.299</w:t>
            </w:r>
          </w:p>
        </w:tc>
        <w:tc>
          <w:tcPr>
            <w:tcW w:w="711" w:type="pct"/>
            <w:tcBorders>
              <w:top w:val="single" w:sz="8" w:space="0" w:color="152935"/>
              <w:left w:val="single" w:sz="8" w:space="0" w:color="E0E0E0"/>
              <w:bottom w:val="single" w:sz="8" w:space="0" w:color="AEAEAE"/>
              <w:right w:val="single" w:sz="8" w:space="0" w:color="E0E0E0"/>
            </w:tcBorders>
            <w:shd w:val="clear" w:color="auto" w:fill="auto"/>
          </w:tcPr>
          <w:p w14:paraId="48763744"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.095</w:t>
            </w:r>
          </w:p>
        </w:tc>
        <w:tc>
          <w:tcPr>
            <w:tcW w:w="784" w:type="pct"/>
            <w:tcBorders>
              <w:top w:val="single" w:sz="8" w:space="0" w:color="152935"/>
              <w:left w:val="single" w:sz="8" w:space="0" w:color="E0E0E0"/>
              <w:bottom w:val="single" w:sz="8" w:space="0" w:color="AEAEAE"/>
              <w:right w:val="single" w:sz="8" w:space="0" w:color="E0E0E0"/>
            </w:tcBorders>
            <w:shd w:val="clear" w:color="auto" w:fill="auto"/>
            <w:vAlign w:val="center"/>
          </w:tcPr>
          <w:p w14:paraId="7A32F7C1" w14:textId="77777777" w:rsidR="00F479A8" w:rsidRPr="00EB11D3" w:rsidRDefault="00F479A8">
            <w:pPr>
              <w:shd w:val="clear" w:color="auto" w:fill="FFFFFF"/>
              <w:autoSpaceDE w:val="0"/>
              <w:autoSpaceDN w:val="0"/>
              <w:adjustRightInd w:val="0"/>
              <w:spacing w:after="0" w:line="240" w:lineRule="auto"/>
              <w:rPr>
                <w:rFonts w:eastAsia="Calibri"/>
                <w:szCs w:val="24"/>
              </w:rPr>
            </w:pPr>
          </w:p>
        </w:tc>
        <w:tc>
          <w:tcPr>
            <w:tcW w:w="547" w:type="pct"/>
            <w:tcBorders>
              <w:top w:val="single" w:sz="8" w:space="0" w:color="152935"/>
              <w:left w:val="single" w:sz="8" w:space="0" w:color="E0E0E0"/>
              <w:bottom w:val="single" w:sz="8" w:space="0" w:color="AEAEAE"/>
              <w:right w:val="single" w:sz="8" w:space="0" w:color="E0E0E0"/>
            </w:tcBorders>
            <w:shd w:val="clear" w:color="auto" w:fill="auto"/>
          </w:tcPr>
          <w:p w14:paraId="10578EF8"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13.680</w:t>
            </w:r>
          </w:p>
        </w:tc>
        <w:tc>
          <w:tcPr>
            <w:tcW w:w="547" w:type="pct"/>
            <w:tcBorders>
              <w:top w:val="single" w:sz="8" w:space="0" w:color="152935"/>
              <w:left w:val="single" w:sz="8" w:space="0" w:color="E0E0E0"/>
              <w:bottom w:val="single" w:sz="8" w:space="0" w:color="AEAEAE"/>
              <w:right w:val="nil"/>
            </w:tcBorders>
            <w:shd w:val="clear" w:color="auto" w:fill="auto"/>
          </w:tcPr>
          <w:p w14:paraId="0A146A22"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.000</w:t>
            </w:r>
          </w:p>
        </w:tc>
      </w:tr>
      <w:tr w:rsidR="00F479A8" w:rsidRPr="00EB11D3" w14:paraId="45F1A66F" w14:textId="77777777">
        <w:trPr>
          <w:cantSplit/>
        </w:trPr>
        <w:tc>
          <w:tcPr>
            <w:tcW w:w="393" w:type="pct"/>
            <w:vMerge/>
            <w:tcBorders>
              <w:top w:val="single" w:sz="8" w:space="0" w:color="152935"/>
              <w:left w:val="nil"/>
              <w:bottom w:val="nil"/>
              <w:right w:val="nil"/>
            </w:tcBorders>
            <w:shd w:val="clear" w:color="auto" w:fill="auto"/>
          </w:tcPr>
          <w:p w14:paraId="267BF649" w14:textId="77777777" w:rsidR="00F479A8" w:rsidRPr="00EB11D3" w:rsidRDefault="00F479A8">
            <w:pPr>
              <w:shd w:val="clear" w:color="auto" w:fill="FFFFFF"/>
              <w:autoSpaceDE w:val="0"/>
              <w:autoSpaceDN w:val="0"/>
              <w:adjustRightInd w:val="0"/>
              <w:spacing w:after="0" w:line="240" w:lineRule="auto"/>
              <w:rPr>
                <w:rFonts w:eastAsia="Calibri"/>
                <w:szCs w:val="24"/>
              </w:rPr>
            </w:pPr>
          </w:p>
        </w:tc>
        <w:tc>
          <w:tcPr>
            <w:tcW w:w="1307" w:type="pct"/>
            <w:tcBorders>
              <w:top w:val="single" w:sz="8" w:space="0" w:color="AEAEAE"/>
              <w:left w:val="nil"/>
              <w:bottom w:val="nil"/>
              <w:right w:val="nil"/>
            </w:tcBorders>
            <w:shd w:val="clear" w:color="auto" w:fill="auto"/>
          </w:tcPr>
          <w:p w14:paraId="7CA413E6"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Corporate governance</w:t>
            </w:r>
          </w:p>
        </w:tc>
        <w:tc>
          <w:tcPr>
            <w:tcW w:w="711" w:type="pct"/>
            <w:tcBorders>
              <w:top w:val="single" w:sz="8" w:space="0" w:color="AEAEAE"/>
              <w:left w:val="nil"/>
              <w:bottom w:val="nil"/>
              <w:right w:val="single" w:sz="8" w:space="0" w:color="E0E0E0"/>
            </w:tcBorders>
            <w:shd w:val="clear" w:color="auto" w:fill="auto"/>
          </w:tcPr>
          <w:p w14:paraId="3D9C6666"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.646</w:t>
            </w:r>
          </w:p>
        </w:tc>
        <w:tc>
          <w:tcPr>
            <w:tcW w:w="711" w:type="pct"/>
            <w:tcBorders>
              <w:top w:val="single" w:sz="8" w:space="0" w:color="AEAEAE"/>
              <w:left w:val="single" w:sz="8" w:space="0" w:color="E0E0E0"/>
              <w:bottom w:val="nil"/>
              <w:right w:val="single" w:sz="8" w:space="0" w:color="E0E0E0"/>
            </w:tcBorders>
            <w:shd w:val="clear" w:color="auto" w:fill="auto"/>
          </w:tcPr>
          <w:p w14:paraId="34113D08"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.033</w:t>
            </w:r>
          </w:p>
        </w:tc>
        <w:tc>
          <w:tcPr>
            <w:tcW w:w="784" w:type="pct"/>
            <w:tcBorders>
              <w:top w:val="single" w:sz="8" w:space="0" w:color="AEAEAE"/>
              <w:left w:val="single" w:sz="8" w:space="0" w:color="E0E0E0"/>
              <w:bottom w:val="nil"/>
              <w:right w:val="single" w:sz="8" w:space="0" w:color="E0E0E0"/>
            </w:tcBorders>
            <w:shd w:val="clear" w:color="auto" w:fill="auto"/>
          </w:tcPr>
          <w:p w14:paraId="145F3DEA"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.783</w:t>
            </w:r>
          </w:p>
        </w:tc>
        <w:tc>
          <w:tcPr>
            <w:tcW w:w="547" w:type="pct"/>
            <w:tcBorders>
              <w:top w:val="single" w:sz="8" w:space="0" w:color="AEAEAE"/>
              <w:left w:val="single" w:sz="8" w:space="0" w:color="E0E0E0"/>
              <w:bottom w:val="nil"/>
              <w:right w:val="single" w:sz="8" w:space="0" w:color="E0E0E0"/>
            </w:tcBorders>
            <w:shd w:val="clear" w:color="auto" w:fill="auto"/>
          </w:tcPr>
          <w:p w14:paraId="24D703F7"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19.804</w:t>
            </w:r>
          </w:p>
        </w:tc>
        <w:tc>
          <w:tcPr>
            <w:tcW w:w="547" w:type="pct"/>
            <w:tcBorders>
              <w:top w:val="single" w:sz="8" w:space="0" w:color="AEAEAE"/>
              <w:left w:val="single" w:sz="8" w:space="0" w:color="E0E0E0"/>
              <w:bottom w:val="nil"/>
              <w:right w:val="nil"/>
            </w:tcBorders>
            <w:shd w:val="clear" w:color="auto" w:fill="auto"/>
          </w:tcPr>
          <w:p w14:paraId="67BFD8EB"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.000</w:t>
            </w:r>
          </w:p>
        </w:tc>
      </w:tr>
      <w:tr w:rsidR="00F479A8" w:rsidRPr="00EB11D3" w14:paraId="1203B48B" w14:textId="77777777">
        <w:trPr>
          <w:cantSplit/>
        </w:trPr>
        <w:tc>
          <w:tcPr>
            <w:tcW w:w="393" w:type="pct"/>
            <w:vMerge w:val="restart"/>
            <w:tcBorders>
              <w:top w:val="single" w:sz="8" w:space="0" w:color="AEAEAE"/>
              <w:left w:val="nil"/>
              <w:bottom w:val="nil"/>
              <w:right w:val="nil"/>
            </w:tcBorders>
            <w:shd w:val="clear" w:color="auto" w:fill="auto"/>
          </w:tcPr>
          <w:p w14:paraId="628ABBDA"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2</w:t>
            </w:r>
          </w:p>
        </w:tc>
        <w:tc>
          <w:tcPr>
            <w:tcW w:w="1307" w:type="pct"/>
            <w:tcBorders>
              <w:top w:val="single" w:sz="8" w:space="0" w:color="AEAEAE"/>
              <w:left w:val="nil"/>
              <w:bottom w:val="single" w:sz="8" w:space="0" w:color="AEAEAE"/>
              <w:right w:val="nil"/>
            </w:tcBorders>
            <w:shd w:val="clear" w:color="auto" w:fill="auto"/>
          </w:tcPr>
          <w:p w14:paraId="7F5577A1"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(Constant)</w:t>
            </w:r>
          </w:p>
        </w:tc>
        <w:tc>
          <w:tcPr>
            <w:tcW w:w="711" w:type="pct"/>
            <w:tcBorders>
              <w:top w:val="single" w:sz="8" w:space="0" w:color="AEAEAE"/>
              <w:left w:val="nil"/>
              <w:bottom w:val="single" w:sz="8" w:space="0" w:color="AEAEAE"/>
              <w:right w:val="single" w:sz="8" w:space="0" w:color="E0E0E0"/>
            </w:tcBorders>
            <w:shd w:val="clear" w:color="auto" w:fill="auto"/>
          </w:tcPr>
          <w:p w14:paraId="0CDB48BD"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.868</w:t>
            </w:r>
          </w:p>
        </w:tc>
        <w:tc>
          <w:tcPr>
            <w:tcW w:w="711" w:type="pct"/>
            <w:tcBorders>
              <w:top w:val="single" w:sz="8" w:space="0" w:color="AEAEAE"/>
              <w:left w:val="single" w:sz="8" w:space="0" w:color="E0E0E0"/>
              <w:bottom w:val="single" w:sz="8" w:space="0" w:color="AEAEAE"/>
              <w:right w:val="single" w:sz="8" w:space="0" w:color="E0E0E0"/>
            </w:tcBorders>
            <w:shd w:val="clear" w:color="auto" w:fill="auto"/>
          </w:tcPr>
          <w:p w14:paraId="538227B1"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.106</w:t>
            </w:r>
          </w:p>
        </w:tc>
        <w:tc>
          <w:tcPr>
            <w:tcW w:w="784" w:type="pct"/>
            <w:tcBorders>
              <w:top w:val="single" w:sz="8" w:space="0" w:color="AEAEAE"/>
              <w:left w:val="single" w:sz="8" w:space="0" w:color="E0E0E0"/>
              <w:bottom w:val="single" w:sz="8" w:space="0" w:color="AEAEAE"/>
              <w:right w:val="single" w:sz="8" w:space="0" w:color="E0E0E0"/>
            </w:tcBorders>
            <w:shd w:val="clear" w:color="auto" w:fill="auto"/>
            <w:vAlign w:val="center"/>
          </w:tcPr>
          <w:p w14:paraId="43399182" w14:textId="77777777" w:rsidR="00F479A8" w:rsidRPr="00EB11D3" w:rsidRDefault="00F479A8">
            <w:pPr>
              <w:shd w:val="clear" w:color="auto" w:fill="FFFFFF"/>
              <w:autoSpaceDE w:val="0"/>
              <w:autoSpaceDN w:val="0"/>
              <w:adjustRightInd w:val="0"/>
              <w:spacing w:after="0" w:line="240" w:lineRule="auto"/>
              <w:rPr>
                <w:rFonts w:eastAsia="Calibri"/>
                <w:szCs w:val="24"/>
              </w:rPr>
            </w:pPr>
          </w:p>
        </w:tc>
        <w:tc>
          <w:tcPr>
            <w:tcW w:w="547" w:type="pct"/>
            <w:tcBorders>
              <w:top w:val="single" w:sz="8" w:space="0" w:color="AEAEAE"/>
              <w:left w:val="single" w:sz="8" w:space="0" w:color="E0E0E0"/>
              <w:bottom w:val="single" w:sz="8" w:space="0" w:color="AEAEAE"/>
              <w:right w:val="single" w:sz="8" w:space="0" w:color="E0E0E0"/>
            </w:tcBorders>
            <w:shd w:val="clear" w:color="auto" w:fill="auto"/>
          </w:tcPr>
          <w:p w14:paraId="12900AC3"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8.218</w:t>
            </w:r>
          </w:p>
        </w:tc>
        <w:tc>
          <w:tcPr>
            <w:tcW w:w="547" w:type="pct"/>
            <w:tcBorders>
              <w:top w:val="single" w:sz="8" w:space="0" w:color="AEAEAE"/>
              <w:left w:val="single" w:sz="8" w:space="0" w:color="E0E0E0"/>
              <w:bottom w:val="single" w:sz="8" w:space="0" w:color="AEAEAE"/>
              <w:right w:val="nil"/>
            </w:tcBorders>
            <w:shd w:val="clear" w:color="auto" w:fill="auto"/>
          </w:tcPr>
          <w:p w14:paraId="3AF988D9"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.001</w:t>
            </w:r>
          </w:p>
        </w:tc>
      </w:tr>
      <w:tr w:rsidR="00F479A8" w:rsidRPr="00EB11D3" w14:paraId="50069B85" w14:textId="77777777">
        <w:trPr>
          <w:cantSplit/>
        </w:trPr>
        <w:tc>
          <w:tcPr>
            <w:tcW w:w="393" w:type="pct"/>
            <w:vMerge/>
            <w:tcBorders>
              <w:top w:val="single" w:sz="8" w:space="0" w:color="AEAEAE"/>
              <w:left w:val="nil"/>
              <w:bottom w:val="nil"/>
              <w:right w:val="nil"/>
            </w:tcBorders>
            <w:shd w:val="clear" w:color="auto" w:fill="auto"/>
          </w:tcPr>
          <w:p w14:paraId="3331E574" w14:textId="77777777" w:rsidR="00F479A8" w:rsidRPr="00EB11D3" w:rsidRDefault="00F479A8">
            <w:pPr>
              <w:shd w:val="clear" w:color="auto" w:fill="FFFFFF"/>
              <w:autoSpaceDE w:val="0"/>
              <w:autoSpaceDN w:val="0"/>
              <w:adjustRightInd w:val="0"/>
              <w:spacing w:after="0" w:line="240" w:lineRule="auto"/>
              <w:rPr>
                <w:rFonts w:eastAsia="Calibri"/>
                <w:szCs w:val="24"/>
              </w:rPr>
            </w:pPr>
          </w:p>
        </w:tc>
        <w:tc>
          <w:tcPr>
            <w:tcW w:w="1307" w:type="pct"/>
            <w:tcBorders>
              <w:top w:val="single" w:sz="8" w:space="0" w:color="AEAEAE"/>
              <w:left w:val="nil"/>
              <w:bottom w:val="single" w:sz="8" w:space="0" w:color="AEAEAE"/>
              <w:right w:val="nil"/>
            </w:tcBorders>
            <w:shd w:val="clear" w:color="auto" w:fill="auto"/>
          </w:tcPr>
          <w:p w14:paraId="1C3C6C62"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Corporate governance</w:t>
            </w:r>
          </w:p>
        </w:tc>
        <w:tc>
          <w:tcPr>
            <w:tcW w:w="711" w:type="pct"/>
            <w:tcBorders>
              <w:top w:val="single" w:sz="8" w:space="0" w:color="AEAEAE"/>
              <w:left w:val="nil"/>
              <w:bottom w:val="single" w:sz="8" w:space="0" w:color="AEAEAE"/>
              <w:right w:val="single" w:sz="8" w:space="0" w:color="E0E0E0"/>
            </w:tcBorders>
            <w:shd w:val="clear" w:color="auto" w:fill="auto"/>
          </w:tcPr>
          <w:p w14:paraId="5516ABE4"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.116</w:t>
            </w:r>
          </w:p>
        </w:tc>
        <w:tc>
          <w:tcPr>
            <w:tcW w:w="711" w:type="pct"/>
            <w:tcBorders>
              <w:top w:val="single" w:sz="8" w:space="0" w:color="AEAEAE"/>
              <w:left w:val="single" w:sz="8" w:space="0" w:color="E0E0E0"/>
              <w:bottom w:val="single" w:sz="8" w:space="0" w:color="AEAEAE"/>
              <w:right w:val="single" w:sz="8" w:space="0" w:color="E0E0E0"/>
            </w:tcBorders>
            <w:shd w:val="clear" w:color="auto" w:fill="auto"/>
          </w:tcPr>
          <w:p w14:paraId="61CD1DD2"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.111</w:t>
            </w:r>
          </w:p>
        </w:tc>
        <w:tc>
          <w:tcPr>
            <w:tcW w:w="784" w:type="pct"/>
            <w:tcBorders>
              <w:top w:val="single" w:sz="8" w:space="0" w:color="AEAEAE"/>
              <w:left w:val="single" w:sz="8" w:space="0" w:color="E0E0E0"/>
              <w:bottom w:val="single" w:sz="8" w:space="0" w:color="AEAEAE"/>
              <w:right w:val="single" w:sz="8" w:space="0" w:color="E0E0E0"/>
            </w:tcBorders>
            <w:shd w:val="clear" w:color="auto" w:fill="auto"/>
          </w:tcPr>
          <w:p w14:paraId="14FDF2E2"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.122</w:t>
            </w:r>
          </w:p>
        </w:tc>
        <w:tc>
          <w:tcPr>
            <w:tcW w:w="547" w:type="pct"/>
            <w:tcBorders>
              <w:top w:val="single" w:sz="8" w:space="0" w:color="AEAEAE"/>
              <w:left w:val="single" w:sz="8" w:space="0" w:color="E0E0E0"/>
              <w:bottom w:val="single" w:sz="8" w:space="0" w:color="AEAEAE"/>
              <w:right w:val="single" w:sz="8" w:space="0" w:color="E0E0E0"/>
            </w:tcBorders>
            <w:shd w:val="clear" w:color="auto" w:fill="auto"/>
          </w:tcPr>
          <w:p w14:paraId="6D5B89A9"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6.078</w:t>
            </w:r>
          </w:p>
        </w:tc>
        <w:tc>
          <w:tcPr>
            <w:tcW w:w="547" w:type="pct"/>
            <w:tcBorders>
              <w:top w:val="single" w:sz="8" w:space="0" w:color="AEAEAE"/>
              <w:left w:val="single" w:sz="8" w:space="0" w:color="E0E0E0"/>
              <w:bottom w:val="single" w:sz="8" w:space="0" w:color="AEAEAE"/>
              <w:right w:val="nil"/>
            </w:tcBorders>
            <w:shd w:val="clear" w:color="auto" w:fill="auto"/>
          </w:tcPr>
          <w:p w14:paraId="6BBD161F"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.000</w:t>
            </w:r>
          </w:p>
        </w:tc>
      </w:tr>
      <w:tr w:rsidR="00F479A8" w:rsidRPr="00EB11D3" w14:paraId="4E1B80B1" w14:textId="77777777">
        <w:trPr>
          <w:cantSplit/>
        </w:trPr>
        <w:tc>
          <w:tcPr>
            <w:tcW w:w="393" w:type="pct"/>
            <w:vMerge/>
            <w:tcBorders>
              <w:top w:val="single" w:sz="8" w:space="0" w:color="AEAEAE"/>
              <w:left w:val="nil"/>
              <w:bottom w:val="nil"/>
              <w:right w:val="nil"/>
            </w:tcBorders>
            <w:shd w:val="clear" w:color="auto" w:fill="auto"/>
          </w:tcPr>
          <w:p w14:paraId="28892BB0" w14:textId="77777777" w:rsidR="00F479A8" w:rsidRPr="00EB11D3" w:rsidRDefault="00F479A8">
            <w:pPr>
              <w:shd w:val="clear" w:color="auto" w:fill="FFFFFF"/>
              <w:autoSpaceDE w:val="0"/>
              <w:autoSpaceDN w:val="0"/>
              <w:adjustRightInd w:val="0"/>
              <w:spacing w:after="0" w:line="240" w:lineRule="auto"/>
              <w:rPr>
                <w:rFonts w:eastAsia="Calibri"/>
                <w:szCs w:val="24"/>
              </w:rPr>
            </w:pPr>
          </w:p>
        </w:tc>
        <w:tc>
          <w:tcPr>
            <w:tcW w:w="1307" w:type="pct"/>
            <w:tcBorders>
              <w:top w:val="single" w:sz="8" w:space="0" w:color="AEAEAE"/>
              <w:left w:val="nil"/>
              <w:bottom w:val="nil"/>
              <w:right w:val="nil"/>
            </w:tcBorders>
            <w:shd w:val="clear" w:color="auto" w:fill="auto"/>
          </w:tcPr>
          <w:p w14:paraId="315DC7C5"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Government Regulations</w:t>
            </w:r>
          </w:p>
        </w:tc>
        <w:tc>
          <w:tcPr>
            <w:tcW w:w="711" w:type="pct"/>
            <w:tcBorders>
              <w:top w:val="single" w:sz="8" w:space="0" w:color="AEAEAE"/>
              <w:left w:val="nil"/>
              <w:bottom w:val="nil"/>
              <w:right w:val="single" w:sz="8" w:space="0" w:color="E0E0E0"/>
            </w:tcBorders>
            <w:shd w:val="clear" w:color="auto" w:fill="auto"/>
          </w:tcPr>
          <w:p w14:paraId="75C59952"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.654</w:t>
            </w:r>
          </w:p>
        </w:tc>
        <w:tc>
          <w:tcPr>
            <w:tcW w:w="711" w:type="pct"/>
            <w:tcBorders>
              <w:top w:val="single" w:sz="8" w:space="0" w:color="AEAEAE"/>
              <w:left w:val="single" w:sz="8" w:space="0" w:color="E0E0E0"/>
              <w:bottom w:val="nil"/>
              <w:right w:val="single" w:sz="8" w:space="0" w:color="E0E0E0"/>
            </w:tcBorders>
            <w:shd w:val="clear" w:color="auto" w:fill="auto"/>
          </w:tcPr>
          <w:p w14:paraId="3897C6F1"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.108</w:t>
            </w:r>
          </w:p>
        </w:tc>
        <w:tc>
          <w:tcPr>
            <w:tcW w:w="784" w:type="pct"/>
            <w:tcBorders>
              <w:top w:val="single" w:sz="8" w:space="0" w:color="AEAEAE"/>
              <w:left w:val="single" w:sz="8" w:space="0" w:color="E0E0E0"/>
              <w:bottom w:val="nil"/>
              <w:right w:val="single" w:sz="8" w:space="0" w:color="E0E0E0"/>
            </w:tcBorders>
            <w:shd w:val="clear" w:color="auto" w:fill="auto"/>
          </w:tcPr>
          <w:p w14:paraId="31B7D176"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.707</w:t>
            </w:r>
          </w:p>
        </w:tc>
        <w:tc>
          <w:tcPr>
            <w:tcW w:w="547" w:type="pct"/>
            <w:tcBorders>
              <w:top w:val="single" w:sz="8" w:space="0" w:color="AEAEAE"/>
              <w:left w:val="single" w:sz="8" w:space="0" w:color="E0E0E0"/>
              <w:bottom w:val="nil"/>
              <w:right w:val="single" w:sz="8" w:space="0" w:color="E0E0E0"/>
            </w:tcBorders>
            <w:shd w:val="clear" w:color="auto" w:fill="auto"/>
          </w:tcPr>
          <w:p w14:paraId="73EB6166"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15.531</w:t>
            </w:r>
          </w:p>
        </w:tc>
        <w:tc>
          <w:tcPr>
            <w:tcW w:w="547" w:type="pct"/>
            <w:tcBorders>
              <w:top w:val="single" w:sz="8" w:space="0" w:color="AEAEAE"/>
              <w:left w:val="single" w:sz="8" w:space="0" w:color="E0E0E0"/>
              <w:bottom w:val="nil"/>
              <w:right w:val="nil"/>
            </w:tcBorders>
            <w:shd w:val="clear" w:color="auto" w:fill="auto"/>
          </w:tcPr>
          <w:p w14:paraId="2804757A"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.001</w:t>
            </w:r>
          </w:p>
        </w:tc>
      </w:tr>
      <w:tr w:rsidR="00F479A8" w:rsidRPr="00EB11D3" w14:paraId="39FDC84D" w14:textId="77777777">
        <w:trPr>
          <w:cantSplit/>
        </w:trPr>
        <w:tc>
          <w:tcPr>
            <w:tcW w:w="393" w:type="pct"/>
            <w:vMerge w:val="restart"/>
            <w:tcBorders>
              <w:top w:val="single" w:sz="8" w:space="0" w:color="AEAEAE"/>
              <w:left w:val="nil"/>
              <w:bottom w:val="single" w:sz="8" w:space="0" w:color="152935"/>
              <w:right w:val="nil"/>
            </w:tcBorders>
            <w:shd w:val="clear" w:color="auto" w:fill="auto"/>
          </w:tcPr>
          <w:p w14:paraId="1024E90F"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3</w:t>
            </w:r>
          </w:p>
        </w:tc>
        <w:tc>
          <w:tcPr>
            <w:tcW w:w="1307" w:type="pct"/>
            <w:tcBorders>
              <w:top w:val="single" w:sz="8" w:space="0" w:color="AEAEAE"/>
              <w:left w:val="nil"/>
              <w:bottom w:val="single" w:sz="8" w:space="0" w:color="AEAEAE"/>
              <w:right w:val="nil"/>
            </w:tcBorders>
            <w:shd w:val="clear" w:color="auto" w:fill="auto"/>
          </w:tcPr>
          <w:p w14:paraId="730DA75B"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(Constant)</w:t>
            </w:r>
          </w:p>
        </w:tc>
        <w:tc>
          <w:tcPr>
            <w:tcW w:w="711" w:type="pct"/>
            <w:tcBorders>
              <w:top w:val="single" w:sz="8" w:space="0" w:color="AEAEAE"/>
              <w:left w:val="nil"/>
              <w:bottom w:val="single" w:sz="8" w:space="0" w:color="AEAEAE"/>
              <w:right w:val="single" w:sz="8" w:space="0" w:color="E0E0E0"/>
            </w:tcBorders>
            <w:shd w:val="clear" w:color="auto" w:fill="auto"/>
          </w:tcPr>
          <w:p w14:paraId="6DDA5620"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.237</w:t>
            </w:r>
          </w:p>
        </w:tc>
        <w:tc>
          <w:tcPr>
            <w:tcW w:w="711" w:type="pct"/>
            <w:tcBorders>
              <w:top w:val="single" w:sz="8" w:space="0" w:color="AEAEAE"/>
              <w:left w:val="single" w:sz="8" w:space="0" w:color="E0E0E0"/>
              <w:bottom w:val="single" w:sz="8" w:space="0" w:color="AEAEAE"/>
              <w:right w:val="single" w:sz="8" w:space="0" w:color="E0E0E0"/>
            </w:tcBorders>
            <w:shd w:val="clear" w:color="auto" w:fill="auto"/>
          </w:tcPr>
          <w:p w14:paraId="6C27046E"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.079</w:t>
            </w:r>
          </w:p>
        </w:tc>
        <w:tc>
          <w:tcPr>
            <w:tcW w:w="784" w:type="pct"/>
            <w:tcBorders>
              <w:top w:val="single" w:sz="8" w:space="0" w:color="AEAEAE"/>
              <w:left w:val="single" w:sz="8" w:space="0" w:color="E0E0E0"/>
              <w:bottom w:val="single" w:sz="8" w:space="0" w:color="AEAEAE"/>
              <w:right w:val="single" w:sz="8" w:space="0" w:color="E0E0E0"/>
            </w:tcBorders>
            <w:shd w:val="clear" w:color="auto" w:fill="auto"/>
            <w:vAlign w:val="center"/>
          </w:tcPr>
          <w:p w14:paraId="2FE1E513" w14:textId="77777777" w:rsidR="00F479A8" w:rsidRPr="00EB11D3" w:rsidRDefault="00F479A8">
            <w:pPr>
              <w:shd w:val="clear" w:color="auto" w:fill="FFFFFF"/>
              <w:autoSpaceDE w:val="0"/>
              <w:autoSpaceDN w:val="0"/>
              <w:adjustRightInd w:val="0"/>
              <w:spacing w:after="0" w:line="240" w:lineRule="auto"/>
              <w:rPr>
                <w:rFonts w:eastAsia="Calibri"/>
                <w:szCs w:val="24"/>
              </w:rPr>
            </w:pPr>
          </w:p>
        </w:tc>
        <w:tc>
          <w:tcPr>
            <w:tcW w:w="547" w:type="pct"/>
            <w:tcBorders>
              <w:top w:val="single" w:sz="8" w:space="0" w:color="AEAEAE"/>
              <w:left w:val="single" w:sz="8" w:space="0" w:color="E0E0E0"/>
              <w:bottom w:val="single" w:sz="8" w:space="0" w:color="AEAEAE"/>
              <w:right w:val="single" w:sz="8" w:space="0" w:color="E0E0E0"/>
            </w:tcBorders>
            <w:shd w:val="clear" w:color="auto" w:fill="auto"/>
          </w:tcPr>
          <w:p w14:paraId="081DE026"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2.996</w:t>
            </w:r>
          </w:p>
        </w:tc>
        <w:tc>
          <w:tcPr>
            <w:tcW w:w="547" w:type="pct"/>
            <w:tcBorders>
              <w:top w:val="single" w:sz="8" w:space="0" w:color="AEAEAE"/>
              <w:left w:val="single" w:sz="8" w:space="0" w:color="E0E0E0"/>
              <w:bottom w:val="single" w:sz="8" w:space="0" w:color="AEAEAE"/>
              <w:right w:val="nil"/>
            </w:tcBorders>
            <w:shd w:val="clear" w:color="auto" w:fill="auto"/>
          </w:tcPr>
          <w:p w14:paraId="7D2CC7E6"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.000</w:t>
            </w:r>
          </w:p>
        </w:tc>
      </w:tr>
      <w:tr w:rsidR="00F479A8" w:rsidRPr="00EB11D3" w14:paraId="0C520A66" w14:textId="77777777">
        <w:trPr>
          <w:cantSplit/>
        </w:trPr>
        <w:tc>
          <w:tcPr>
            <w:tcW w:w="393" w:type="pct"/>
            <w:vMerge/>
            <w:tcBorders>
              <w:top w:val="single" w:sz="8" w:space="0" w:color="AEAEAE"/>
              <w:left w:val="nil"/>
              <w:bottom w:val="single" w:sz="8" w:space="0" w:color="152935"/>
              <w:right w:val="nil"/>
            </w:tcBorders>
            <w:shd w:val="clear" w:color="auto" w:fill="auto"/>
          </w:tcPr>
          <w:p w14:paraId="57FA14A7" w14:textId="77777777" w:rsidR="00F479A8" w:rsidRPr="00EB11D3" w:rsidRDefault="00F479A8">
            <w:pPr>
              <w:shd w:val="clear" w:color="auto" w:fill="FFFFFF"/>
              <w:autoSpaceDE w:val="0"/>
              <w:autoSpaceDN w:val="0"/>
              <w:adjustRightInd w:val="0"/>
              <w:spacing w:after="0" w:line="240" w:lineRule="auto"/>
              <w:rPr>
                <w:rFonts w:eastAsia="Calibri"/>
                <w:szCs w:val="24"/>
              </w:rPr>
            </w:pPr>
          </w:p>
        </w:tc>
        <w:tc>
          <w:tcPr>
            <w:tcW w:w="1307" w:type="pct"/>
            <w:tcBorders>
              <w:top w:val="single" w:sz="8" w:space="0" w:color="AEAEAE"/>
              <w:left w:val="nil"/>
              <w:bottom w:val="single" w:sz="8" w:space="0" w:color="AEAEAE"/>
              <w:right w:val="nil"/>
            </w:tcBorders>
            <w:shd w:val="clear" w:color="auto" w:fill="auto"/>
          </w:tcPr>
          <w:p w14:paraId="2FF72CFA"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Corporate governance</w:t>
            </w:r>
          </w:p>
        </w:tc>
        <w:tc>
          <w:tcPr>
            <w:tcW w:w="711" w:type="pct"/>
            <w:tcBorders>
              <w:top w:val="single" w:sz="8" w:space="0" w:color="AEAEAE"/>
              <w:left w:val="nil"/>
              <w:bottom w:val="single" w:sz="8" w:space="0" w:color="AEAEAE"/>
              <w:right w:val="single" w:sz="8" w:space="0" w:color="E0E0E0"/>
            </w:tcBorders>
            <w:shd w:val="clear" w:color="auto" w:fill="auto"/>
          </w:tcPr>
          <w:p w14:paraId="38853249"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.596</w:t>
            </w:r>
          </w:p>
        </w:tc>
        <w:tc>
          <w:tcPr>
            <w:tcW w:w="711" w:type="pct"/>
            <w:tcBorders>
              <w:top w:val="single" w:sz="8" w:space="0" w:color="AEAEAE"/>
              <w:left w:val="single" w:sz="8" w:space="0" w:color="E0E0E0"/>
              <w:bottom w:val="single" w:sz="8" w:space="0" w:color="AEAEAE"/>
              <w:right w:val="single" w:sz="8" w:space="0" w:color="E0E0E0"/>
            </w:tcBorders>
            <w:shd w:val="clear" w:color="auto" w:fill="auto"/>
          </w:tcPr>
          <w:p w14:paraId="68E6EE96"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.028</w:t>
            </w:r>
          </w:p>
        </w:tc>
        <w:tc>
          <w:tcPr>
            <w:tcW w:w="784" w:type="pct"/>
            <w:tcBorders>
              <w:top w:val="single" w:sz="8" w:space="0" w:color="AEAEAE"/>
              <w:left w:val="single" w:sz="8" w:space="0" w:color="E0E0E0"/>
              <w:bottom w:val="single" w:sz="8" w:space="0" w:color="AEAEAE"/>
              <w:right w:val="single" w:sz="8" w:space="0" w:color="E0E0E0"/>
            </w:tcBorders>
            <w:shd w:val="clear" w:color="auto" w:fill="auto"/>
          </w:tcPr>
          <w:p w14:paraId="7E5BE90C"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.632</w:t>
            </w:r>
          </w:p>
        </w:tc>
        <w:tc>
          <w:tcPr>
            <w:tcW w:w="547" w:type="pct"/>
            <w:tcBorders>
              <w:top w:val="single" w:sz="8" w:space="0" w:color="AEAEAE"/>
              <w:left w:val="single" w:sz="8" w:space="0" w:color="E0E0E0"/>
              <w:bottom w:val="single" w:sz="8" w:space="0" w:color="AEAEAE"/>
              <w:right w:val="single" w:sz="8" w:space="0" w:color="E0E0E0"/>
            </w:tcBorders>
            <w:shd w:val="clear" w:color="auto" w:fill="auto"/>
          </w:tcPr>
          <w:p w14:paraId="27087B87"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21.518</w:t>
            </w:r>
          </w:p>
        </w:tc>
        <w:tc>
          <w:tcPr>
            <w:tcW w:w="547" w:type="pct"/>
            <w:tcBorders>
              <w:top w:val="single" w:sz="8" w:space="0" w:color="AEAEAE"/>
              <w:left w:val="single" w:sz="8" w:space="0" w:color="E0E0E0"/>
              <w:bottom w:val="single" w:sz="8" w:space="0" w:color="AEAEAE"/>
              <w:right w:val="nil"/>
            </w:tcBorders>
            <w:shd w:val="clear" w:color="auto" w:fill="auto"/>
          </w:tcPr>
          <w:p w14:paraId="0B77C1CA"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.000</w:t>
            </w:r>
          </w:p>
        </w:tc>
      </w:tr>
      <w:tr w:rsidR="00F479A8" w:rsidRPr="00EB11D3" w14:paraId="1E12CCB8" w14:textId="77777777">
        <w:trPr>
          <w:cantSplit/>
        </w:trPr>
        <w:tc>
          <w:tcPr>
            <w:tcW w:w="393" w:type="pct"/>
            <w:vMerge/>
            <w:tcBorders>
              <w:top w:val="single" w:sz="8" w:space="0" w:color="AEAEAE"/>
              <w:left w:val="nil"/>
              <w:bottom w:val="single" w:sz="8" w:space="0" w:color="152935"/>
              <w:right w:val="nil"/>
            </w:tcBorders>
            <w:shd w:val="clear" w:color="auto" w:fill="auto"/>
          </w:tcPr>
          <w:p w14:paraId="42659E61" w14:textId="77777777" w:rsidR="00F479A8" w:rsidRPr="00EB11D3" w:rsidRDefault="00F479A8">
            <w:pPr>
              <w:shd w:val="clear" w:color="auto" w:fill="FFFFFF"/>
              <w:autoSpaceDE w:val="0"/>
              <w:autoSpaceDN w:val="0"/>
              <w:adjustRightInd w:val="0"/>
              <w:spacing w:after="0" w:line="240" w:lineRule="auto"/>
              <w:rPr>
                <w:rFonts w:eastAsia="Calibri"/>
                <w:szCs w:val="24"/>
              </w:rPr>
            </w:pPr>
          </w:p>
        </w:tc>
        <w:tc>
          <w:tcPr>
            <w:tcW w:w="1307" w:type="pct"/>
            <w:tcBorders>
              <w:top w:val="single" w:sz="8" w:space="0" w:color="AEAEAE"/>
              <w:left w:val="nil"/>
              <w:bottom w:val="single" w:sz="8" w:space="0" w:color="AEAEAE"/>
              <w:right w:val="nil"/>
            </w:tcBorders>
            <w:shd w:val="clear" w:color="auto" w:fill="auto"/>
          </w:tcPr>
          <w:p w14:paraId="4F79D956"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Government Regulations</w:t>
            </w:r>
          </w:p>
        </w:tc>
        <w:tc>
          <w:tcPr>
            <w:tcW w:w="711" w:type="pct"/>
            <w:tcBorders>
              <w:top w:val="single" w:sz="8" w:space="0" w:color="AEAEAE"/>
              <w:left w:val="nil"/>
              <w:bottom w:val="single" w:sz="8" w:space="0" w:color="AEAEAE"/>
              <w:right w:val="single" w:sz="8" w:space="0" w:color="E0E0E0"/>
            </w:tcBorders>
            <w:shd w:val="clear" w:color="auto" w:fill="auto"/>
          </w:tcPr>
          <w:p w14:paraId="109399E1"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.348</w:t>
            </w:r>
          </w:p>
        </w:tc>
        <w:tc>
          <w:tcPr>
            <w:tcW w:w="711" w:type="pct"/>
            <w:tcBorders>
              <w:top w:val="single" w:sz="8" w:space="0" w:color="AEAEAE"/>
              <w:left w:val="single" w:sz="8" w:space="0" w:color="E0E0E0"/>
              <w:bottom w:val="single" w:sz="8" w:space="0" w:color="AEAEAE"/>
              <w:right w:val="single" w:sz="8" w:space="0" w:color="E0E0E0"/>
            </w:tcBorders>
            <w:shd w:val="clear" w:color="auto" w:fill="auto"/>
          </w:tcPr>
          <w:p w14:paraId="0982F3DB"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.025</w:t>
            </w:r>
          </w:p>
        </w:tc>
        <w:tc>
          <w:tcPr>
            <w:tcW w:w="784" w:type="pct"/>
            <w:tcBorders>
              <w:top w:val="single" w:sz="8" w:space="0" w:color="AEAEAE"/>
              <w:left w:val="single" w:sz="8" w:space="0" w:color="E0E0E0"/>
              <w:bottom w:val="single" w:sz="8" w:space="0" w:color="AEAEAE"/>
              <w:right w:val="single" w:sz="8" w:space="0" w:color="E0E0E0"/>
            </w:tcBorders>
            <w:shd w:val="clear" w:color="auto" w:fill="auto"/>
          </w:tcPr>
          <w:p w14:paraId="7FD1C4FD"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.403</w:t>
            </w:r>
          </w:p>
        </w:tc>
        <w:tc>
          <w:tcPr>
            <w:tcW w:w="547" w:type="pct"/>
            <w:tcBorders>
              <w:top w:val="single" w:sz="8" w:space="0" w:color="AEAEAE"/>
              <w:left w:val="single" w:sz="8" w:space="0" w:color="E0E0E0"/>
              <w:bottom w:val="single" w:sz="8" w:space="0" w:color="AEAEAE"/>
              <w:right w:val="single" w:sz="8" w:space="0" w:color="E0E0E0"/>
            </w:tcBorders>
            <w:shd w:val="clear" w:color="auto" w:fill="auto"/>
          </w:tcPr>
          <w:p w14:paraId="2D7F1319"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6.145</w:t>
            </w:r>
          </w:p>
        </w:tc>
        <w:tc>
          <w:tcPr>
            <w:tcW w:w="547" w:type="pct"/>
            <w:tcBorders>
              <w:top w:val="single" w:sz="8" w:space="0" w:color="AEAEAE"/>
              <w:left w:val="single" w:sz="8" w:space="0" w:color="E0E0E0"/>
              <w:bottom w:val="single" w:sz="8" w:space="0" w:color="AEAEAE"/>
              <w:right w:val="nil"/>
            </w:tcBorders>
            <w:shd w:val="clear" w:color="auto" w:fill="auto"/>
          </w:tcPr>
          <w:p w14:paraId="7F0C8337"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.000</w:t>
            </w:r>
          </w:p>
        </w:tc>
      </w:tr>
      <w:tr w:rsidR="00F479A8" w:rsidRPr="00EB11D3" w14:paraId="375E79B8" w14:textId="77777777">
        <w:trPr>
          <w:cantSplit/>
        </w:trPr>
        <w:tc>
          <w:tcPr>
            <w:tcW w:w="393" w:type="pct"/>
            <w:vMerge/>
            <w:tcBorders>
              <w:top w:val="single" w:sz="8" w:space="0" w:color="AEAEAE"/>
              <w:left w:val="nil"/>
              <w:bottom w:val="single" w:sz="8" w:space="0" w:color="152935"/>
              <w:right w:val="nil"/>
            </w:tcBorders>
            <w:shd w:val="clear" w:color="auto" w:fill="auto"/>
          </w:tcPr>
          <w:p w14:paraId="52446C5C" w14:textId="77777777" w:rsidR="00F479A8" w:rsidRPr="00EB11D3" w:rsidRDefault="00F479A8">
            <w:pPr>
              <w:shd w:val="clear" w:color="auto" w:fill="FFFFFF"/>
              <w:autoSpaceDE w:val="0"/>
              <w:autoSpaceDN w:val="0"/>
              <w:adjustRightInd w:val="0"/>
              <w:spacing w:after="0" w:line="240" w:lineRule="auto"/>
              <w:rPr>
                <w:rFonts w:eastAsia="Calibri"/>
                <w:szCs w:val="24"/>
              </w:rPr>
            </w:pPr>
          </w:p>
        </w:tc>
        <w:tc>
          <w:tcPr>
            <w:tcW w:w="1307" w:type="pct"/>
            <w:tcBorders>
              <w:top w:val="single" w:sz="8" w:space="0" w:color="AEAEAE"/>
              <w:left w:val="nil"/>
              <w:bottom w:val="single" w:sz="8" w:space="0" w:color="152935"/>
              <w:right w:val="nil"/>
            </w:tcBorders>
            <w:shd w:val="clear" w:color="auto" w:fill="auto"/>
          </w:tcPr>
          <w:p w14:paraId="25FDE422"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Corporate governance_ Government Regulations</w:t>
            </w:r>
          </w:p>
        </w:tc>
        <w:tc>
          <w:tcPr>
            <w:tcW w:w="711" w:type="pct"/>
            <w:tcBorders>
              <w:top w:val="single" w:sz="8" w:space="0" w:color="AEAEAE"/>
              <w:left w:val="nil"/>
              <w:bottom w:val="single" w:sz="8" w:space="0" w:color="152935"/>
              <w:right w:val="single" w:sz="8" w:space="0" w:color="E0E0E0"/>
            </w:tcBorders>
            <w:shd w:val="clear" w:color="auto" w:fill="auto"/>
          </w:tcPr>
          <w:p w14:paraId="1825B69C"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.695</w:t>
            </w:r>
          </w:p>
        </w:tc>
        <w:tc>
          <w:tcPr>
            <w:tcW w:w="711" w:type="pct"/>
            <w:tcBorders>
              <w:top w:val="single" w:sz="8" w:space="0" w:color="AEAEAE"/>
              <w:left w:val="single" w:sz="8" w:space="0" w:color="E0E0E0"/>
              <w:bottom w:val="single" w:sz="8" w:space="0" w:color="152935"/>
              <w:right w:val="single" w:sz="8" w:space="0" w:color="E0E0E0"/>
            </w:tcBorders>
            <w:shd w:val="clear" w:color="auto" w:fill="auto"/>
          </w:tcPr>
          <w:p w14:paraId="79DB325F"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.051</w:t>
            </w:r>
          </w:p>
        </w:tc>
        <w:tc>
          <w:tcPr>
            <w:tcW w:w="784" w:type="pct"/>
            <w:tcBorders>
              <w:top w:val="single" w:sz="8" w:space="0" w:color="AEAEAE"/>
              <w:left w:val="single" w:sz="8" w:space="0" w:color="E0E0E0"/>
              <w:bottom w:val="single" w:sz="8" w:space="0" w:color="152935"/>
              <w:right w:val="single" w:sz="8" w:space="0" w:color="E0E0E0"/>
            </w:tcBorders>
            <w:shd w:val="clear" w:color="auto" w:fill="auto"/>
          </w:tcPr>
          <w:p w14:paraId="69284D16"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.679</w:t>
            </w:r>
          </w:p>
        </w:tc>
        <w:tc>
          <w:tcPr>
            <w:tcW w:w="547" w:type="pct"/>
            <w:tcBorders>
              <w:top w:val="single" w:sz="8" w:space="0" w:color="AEAEAE"/>
              <w:left w:val="single" w:sz="8" w:space="0" w:color="E0E0E0"/>
              <w:bottom w:val="single" w:sz="8" w:space="0" w:color="152935"/>
              <w:right w:val="single" w:sz="8" w:space="0" w:color="E0E0E0"/>
            </w:tcBorders>
            <w:shd w:val="clear" w:color="auto" w:fill="auto"/>
          </w:tcPr>
          <w:p w14:paraId="4A223875"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15.735</w:t>
            </w:r>
          </w:p>
        </w:tc>
        <w:tc>
          <w:tcPr>
            <w:tcW w:w="547" w:type="pct"/>
            <w:tcBorders>
              <w:top w:val="single" w:sz="8" w:space="0" w:color="AEAEAE"/>
              <w:left w:val="single" w:sz="8" w:space="0" w:color="E0E0E0"/>
              <w:bottom w:val="single" w:sz="8" w:space="0" w:color="152935"/>
              <w:right w:val="nil"/>
            </w:tcBorders>
            <w:shd w:val="clear" w:color="auto" w:fill="auto"/>
          </w:tcPr>
          <w:p w14:paraId="1DDCB6D3"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.000</w:t>
            </w:r>
          </w:p>
        </w:tc>
      </w:tr>
      <w:tr w:rsidR="00F479A8" w:rsidRPr="00EB11D3" w14:paraId="7896E5C9" w14:textId="77777777">
        <w:trPr>
          <w:cantSplit/>
        </w:trPr>
        <w:tc>
          <w:tcPr>
            <w:tcW w:w="5000" w:type="pct"/>
            <w:gridSpan w:val="7"/>
            <w:tcBorders>
              <w:top w:val="nil"/>
              <w:left w:val="nil"/>
              <w:bottom w:val="nil"/>
              <w:right w:val="nil"/>
            </w:tcBorders>
            <w:shd w:val="clear" w:color="auto" w:fill="auto"/>
          </w:tcPr>
          <w:p w14:paraId="3E70631B" w14:textId="77777777" w:rsidR="00F479A8" w:rsidRPr="00EB11D3" w:rsidRDefault="00F479A8">
            <w:pPr>
              <w:shd w:val="clear" w:color="auto" w:fill="FFFFFF"/>
              <w:autoSpaceDE w:val="0"/>
              <w:autoSpaceDN w:val="0"/>
              <w:adjustRightInd w:val="0"/>
              <w:spacing w:after="0" w:line="240" w:lineRule="auto"/>
              <w:rPr>
                <w:rFonts w:eastAsia="Calibri"/>
                <w:szCs w:val="24"/>
              </w:rPr>
            </w:pPr>
            <w:r w:rsidRPr="00EB11D3">
              <w:rPr>
                <w:rFonts w:eastAsia="Calibri"/>
                <w:szCs w:val="24"/>
              </w:rPr>
              <w:t>a. Dependent Variable: Organisational Performance</w:t>
            </w:r>
          </w:p>
        </w:tc>
      </w:tr>
    </w:tbl>
    <w:p w14:paraId="4FFA4E33"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p w14:paraId="5096CFDF" w14:textId="77777777" w:rsidR="003859C9" w:rsidRPr="00EB11D3" w:rsidRDefault="003859C9" w:rsidP="003859C9">
      <w:pPr>
        <w:shd w:val="clear" w:color="auto" w:fill="FFFFFF"/>
        <w:autoSpaceDE w:val="0"/>
        <w:autoSpaceDN w:val="0"/>
        <w:adjustRightInd w:val="0"/>
        <w:spacing w:after="0" w:line="240" w:lineRule="auto"/>
        <w:jc w:val="left"/>
        <w:rPr>
          <w:rFonts w:eastAsia="Calibri"/>
          <w:szCs w:val="24"/>
        </w:rPr>
      </w:pPr>
    </w:p>
    <w:p w14:paraId="44B17394" w14:textId="77777777" w:rsidR="00F479A8" w:rsidRPr="00EB11D3" w:rsidRDefault="001C14E9" w:rsidP="00F479A8">
      <w:pPr>
        <w:shd w:val="clear" w:color="auto" w:fill="FFFFFF"/>
        <w:spacing w:after="160" w:line="360" w:lineRule="auto"/>
        <w:rPr>
          <w:rFonts w:eastAsia="Calibri"/>
          <w:szCs w:val="24"/>
        </w:rPr>
      </w:pPr>
      <w:r w:rsidRPr="001C14E9">
        <w:rPr>
          <w:rFonts w:eastAsia="Calibri"/>
          <w:szCs w:val="24"/>
        </w:rPr>
        <w:t xml:space="preserve">The first phase of the regression model of organisational performance </w:t>
      </w:r>
      <w:r>
        <w:rPr>
          <w:rFonts w:eastAsia="Calibri"/>
          <w:szCs w:val="24"/>
        </w:rPr>
        <w:t>against</w:t>
      </w:r>
      <w:r w:rsidRPr="001C14E9">
        <w:rPr>
          <w:rFonts w:eastAsia="Calibri"/>
          <w:szCs w:val="24"/>
        </w:rPr>
        <w:t xml:space="preserve"> corporate governance was significant, according to the regression of coefficients findings (t = 19.804, p&lt;0.05).  In the second stage, the findings demonstrate the significance of the regression model of organisational performance on government regulations and corporate governance in Kenya (t = 6.078, p&lt;0.05; t = 15.531, p&lt;0.05) with β1=0.181, p=0.000&lt;0.05 and β2=0.789, p=0.000&lt;0.05. When the interaction term was added in step three, the findings indicate that it was significant (t = 13.735, p&lt;0.05), which meant that an enhanced moderation impact was </w:t>
      </w:r>
      <w:r w:rsidR="00FB6503">
        <w:rPr>
          <w:rFonts w:eastAsia="Calibri"/>
          <w:szCs w:val="24"/>
        </w:rPr>
        <w:t>evident</w:t>
      </w:r>
      <w:r w:rsidRPr="001C14E9">
        <w:rPr>
          <w:rFonts w:eastAsia="Calibri"/>
          <w:szCs w:val="24"/>
        </w:rPr>
        <w:t xml:space="preserve">. This demonstrated that the connection between corporate governance and organisational performance of faith-based hospitals </w:t>
      </w:r>
      <w:r w:rsidR="00FB6503">
        <w:rPr>
          <w:rFonts w:eastAsia="Calibri"/>
          <w:szCs w:val="24"/>
        </w:rPr>
        <w:t xml:space="preserve">in Kenya </w:t>
      </w:r>
      <w:r w:rsidRPr="001C14E9">
        <w:rPr>
          <w:rFonts w:eastAsia="Calibri"/>
          <w:szCs w:val="24"/>
        </w:rPr>
        <w:t xml:space="preserve">is </w:t>
      </w:r>
      <w:r w:rsidR="00FB6503">
        <w:rPr>
          <w:rFonts w:eastAsia="Calibri"/>
          <w:szCs w:val="24"/>
        </w:rPr>
        <w:t>significantly</w:t>
      </w:r>
      <w:r w:rsidRPr="001C14E9">
        <w:rPr>
          <w:rFonts w:eastAsia="Calibri"/>
          <w:szCs w:val="24"/>
        </w:rPr>
        <w:t xml:space="preserve"> moderated by government </w:t>
      </w:r>
      <w:r w:rsidR="00FB6503">
        <w:rPr>
          <w:rFonts w:eastAsia="Calibri"/>
          <w:szCs w:val="24"/>
        </w:rPr>
        <w:t>regulations</w:t>
      </w:r>
      <w:r w:rsidRPr="001C14E9">
        <w:rPr>
          <w:rFonts w:eastAsia="Calibri"/>
          <w:szCs w:val="24"/>
        </w:rPr>
        <w:t>. The hypothesis that government re</w:t>
      </w:r>
      <w:r w:rsidR="00FB6503">
        <w:rPr>
          <w:rFonts w:eastAsia="Calibri"/>
          <w:szCs w:val="24"/>
        </w:rPr>
        <w:t>gulations</w:t>
      </w:r>
      <w:r w:rsidRPr="001C14E9">
        <w:rPr>
          <w:rFonts w:eastAsia="Calibri"/>
          <w:szCs w:val="24"/>
        </w:rPr>
        <w:t xml:space="preserve"> ha</w:t>
      </w:r>
      <w:r w:rsidR="00FB6503">
        <w:rPr>
          <w:rFonts w:eastAsia="Calibri"/>
          <w:szCs w:val="24"/>
        </w:rPr>
        <w:t>s</w:t>
      </w:r>
      <w:r w:rsidRPr="001C14E9">
        <w:rPr>
          <w:rFonts w:eastAsia="Calibri"/>
          <w:szCs w:val="24"/>
        </w:rPr>
        <w:t xml:space="preserve"> no </w:t>
      </w:r>
      <w:r w:rsidR="00FB6503">
        <w:rPr>
          <w:rFonts w:eastAsia="Calibri"/>
          <w:szCs w:val="24"/>
        </w:rPr>
        <w:t>significant</w:t>
      </w:r>
      <w:r w:rsidRPr="001C14E9">
        <w:rPr>
          <w:rFonts w:eastAsia="Calibri"/>
          <w:szCs w:val="24"/>
        </w:rPr>
        <w:t xml:space="preserve"> moderating influence on the link between corporate governance and organisational performance of faith-based hospitals in Kenya was </w:t>
      </w:r>
      <w:r w:rsidR="00FB6503">
        <w:rPr>
          <w:rFonts w:eastAsia="Calibri"/>
          <w:szCs w:val="24"/>
        </w:rPr>
        <w:t xml:space="preserve">hence </w:t>
      </w:r>
      <w:r w:rsidRPr="001C14E9">
        <w:rPr>
          <w:rFonts w:eastAsia="Calibri"/>
          <w:szCs w:val="24"/>
        </w:rPr>
        <w:t xml:space="preserve">rejected since the interaction term was </w:t>
      </w:r>
      <w:r w:rsidR="00407C91" w:rsidRPr="001C14E9">
        <w:rPr>
          <w:rFonts w:eastAsia="Calibri"/>
          <w:szCs w:val="24"/>
        </w:rPr>
        <w:t>significant.</w:t>
      </w:r>
      <w:r w:rsidR="00F479A8" w:rsidRPr="00EB11D3">
        <w:rPr>
          <w:rFonts w:eastAsia="Calibri"/>
          <w:szCs w:val="24"/>
        </w:rPr>
        <w:t xml:space="preserve"> </w:t>
      </w:r>
    </w:p>
    <w:p w14:paraId="66ABDF3D" w14:textId="77777777" w:rsidR="003859C9" w:rsidRPr="00EB11D3" w:rsidRDefault="003859C9" w:rsidP="003859C9">
      <w:pPr>
        <w:shd w:val="clear" w:color="auto" w:fill="FFFFFF"/>
        <w:spacing w:after="160" w:line="259" w:lineRule="auto"/>
        <w:jc w:val="left"/>
        <w:rPr>
          <w:rFonts w:eastAsia="Calibri"/>
          <w:szCs w:val="24"/>
        </w:rPr>
      </w:pPr>
      <w:r w:rsidRPr="00EB11D3">
        <w:rPr>
          <w:rFonts w:eastAsia="Calibri"/>
          <w:szCs w:val="24"/>
        </w:rPr>
        <w:t>The fitted models were:</w:t>
      </w:r>
    </w:p>
    <w:p w14:paraId="6AA00545" w14:textId="77777777" w:rsidR="006648FA" w:rsidRPr="00EB11D3" w:rsidRDefault="006648FA" w:rsidP="006648FA">
      <w:pPr>
        <w:shd w:val="clear" w:color="auto" w:fill="FFFFFF"/>
        <w:rPr>
          <w:rFonts w:eastAsia="Calibri"/>
          <w:szCs w:val="24"/>
        </w:rPr>
      </w:pPr>
      <w:r w:rsidRPr="00EB11D3">
        <w:rPr>
          <w:rFonts w:eastAsia="Calibri"/>
          <w:szCs w:val="24"/>
        </w:rPr>
        <w:t>Model 1:     OP = 1.299 + 0.646CG</w:t>
      </w:r>
    </w:p>
    <w:p w14:paraId="17F7074E" w14:textId="77777777" w:rsidR="006648FA" w:rsidRPr="00EB11D3" w:rsidRDefault="006648FA" w:rsidP="006648FA">
      <w:pPr>
        <w:shd w:val="clear" w:color="auto" w:fill="FFFFFF"/>
        <w:rPr>
          <w:rFonts w:eastAsia="Calibri"/>
          <w:szCs w:val="24"/>
        </w:rPr>
      </w:pPr>
      <w:r w:rsidRPr="00EB11D3">
        <w:rPr>
          <w:rFonts w:eastAsia="Calibri"/>
          <w:szCs w:val="24"/>
        </w:rPr>
        <w:t xml:space="preserve">Model 2:     OP = 0.868 + 0.116CG + 0.654GR </w:t>
      </w:r>
    </w:p>
    <w:p w14:paraId="7ADFE9A3" w14:textId="77777777" w:rsidR="006648FA" w:rsidRPr="00EB11D3" w:rsidRDefault="006648FA" w:rsidP="006648FA">
      <w:pPr>
        <w:shd w:val="clear" w:color="auto" w:fill="FFFFFF"/>
        <w:rPr>
          <w:rFonts w:eastAsia="Calibri"/>
          <w:szCs w:val="24"/>
        </w:rPr>
      </w:pPr>
      <w:r w:rsidRPr="00EB11D3">
        <w:rPr>
          <w:rFonts w:eastAsia="Calibri"/>
          <w:szCs w:val="24"/>
        </w:rPr>
        <w:t xml:space="preserve">Model 3:     OP = 0.237 + 0.596CG+ 0.348GR+ </w:t>
      </w:r>
      <w:bookmarkStart w:id="943" w:name="_Hlk176358502"/>
      <w:r w:rsidRPr="00EB11D3">
        <w:rPr>
          <w:rFonts w:eastAsia="Calibri"/>
          <w:szCs w:val="24"/>
        </w:rPr>
        <w:t>0.695</w:t>
      </w:r>
      <w:bookmarkEnd w:id="943"/>
      <w:r w:rsidRPr="00EB11D3">
        <w:rPr>
          <w:rFonts w:eastAsia="Calibri"/>
          <w:szCs w:val="24"/>
        </w:rPr>
        <w:t>CG*GR</w:t>
      </w:r>
    </w:p>
    <w:p w14:paraId="7B131C28"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Where; OP = Organisational performance; CG = Corporate governance; GR = Government Regulations</w:t>
      </w:r>
    </w:p>
    <w:p w14:paraId="272C13CF" w14:textId="77777777" w:rsidR="003859C9" w:rsidRPr="00EB11D3" w:rsidRDefault="003859C9" w:rsidP="003859C9">
      <w:pPr>
        <w:spacing w:after="100" w:afterAutospacing="1" w:line="360" w:lineRule="auto"/>
        <w:rPr>
          <w:rFonts w:eastAsia="Times New Roman"/>
          <w:szCs w:val="24"/>
          <w:lang w:val="en-GB"/>
        </w:rPr>
      </w:pPr>
      <w:r w:rsidRPr="00EB11D3">
        <w:rPr>
          <w:rFonts w:eastAsia="Times New Roman"/>
          <w:szCs w:val="24"/>
          <w:lang w:val="en-GB"/>
        </w:rPr>
        <w:t xml:space="preserve">The graphical representation demonstrating the moderating effect of Government Regulations on how </w:t>
      </w:r>
      <w:r w:rsidRPr="00EB11D3">
        <w:rPr>
          <w:rFonts w:eastAsia="Times New Roman"/>
          <w:szCs w:val="24"/>
        </w:rPr>
        <w:t>corporate governance</w:t>
      </w:r>
      <w:r w:rsidRPr="00EB11D3">
        <w:rPr>
          <w:rFonts w:eastAsia="Times New Roman"/>
          <w:szCs w:val="24"/>
          <w:lang w:val="en-GB"/>
        </w:rPr>
        <w:t xml:space="preserve"> influence organisational performance   now becomes:</w:t>
      </w:r>
    </w:p>
    <w:p w14:paraId="6100A79E" w14:textId="77777777" w:rsidR="003859C9" w:rsidRPr="00EB11D3" w:rsidRDefault="002979CF" w:rsidP="003859C9">
      <w:pPr>
        <w:spacing w:after="0" w:line="360" w:lineRule="auto"/>
        <w:jc w:val="left"/>
        <w:rPr>
          <w:rFonts w:eastAsia="Times New Roman"/>
          <w:b/>
          <w:bCs/>
          <w:iCs/>
          <w:szCs w:val="24"/>
          <w:lang w:val="en-GB"/>
        </w:rPr>
      </w:pPr>
      <w:bookmarkStart w:id="944" w:name="_Toc41089956"/>
      <w:bookmarkStart w:id="945" w:name="_Toc41090138"/>
      <w:bookmarkStart w:id="946" w:name="_Toc41582584"/>
      <w:bookmarkStart w:id="947" w:name="_Toc41582965"/>
      <w:bookmarkStart w:id="948" w:name="_Toc42047978"/>
      <w:bookmarkStart w:id="949" w:name="_Toc46323306"/>
      <w:bookmarkStart w:id="950" w:name="_Toc46323480"/>
      <w:bookmarkStart w:id="951" w:name="_Toc46323571"/>
      <w:bookmarkStart w:id="952" w:name="_Toc126666780"/>
      <w:r w:rsidRPr="00EB11D3">
        <w:rPr>
          <w:rFonts w:eastAsia="Times New Roman"/>
          <w:b/>
          <w:bCs/>
          <w:szCs w:val="24"/>
        </w:rPr>
        <w:br w:type="page"/>
      </w:r>
      <w:bookmarkStart w:id="953" w:name="_Toc177387976"/>
      <w:r w:rsidR="003859C9" w:rsidRPr="00EB11D3">
        <w:rPr>
          <w:rFonts w:eastAsia="Times New Roman"/>
          <w:b/>
          <w:bCs/>
          <w:szCs w:val="24"/>
        </w:rPr>
        <w:t xml:space="preserve">Figure </w:t>
      </w:r>
      <w:r w:rsidR="003859C9" w:rsidRPr="00EB11D3">
        <w:rPr>
          <w:rFonts w:eastAsia="Times New Roman"/>
          <w:b/>
          <w:bCs/>
          <w:szCs w:val="24"/>
        </w:rPr>
        <w:fldChar w:fldCharType="begin"/>
      </w:r>
      <w:r w:rsidR="003859C9" w:rsidRPr="00EB11D3">
        <w:rPr>
          <w:rFonts w:eastAsia="Times New Roman"/>
          <w:b/>
          <w:bCs/>
          <w:szCs w:val="24"/>
        </w:rPr>
        <w:instrText xml:space="preserve"> SEQ Figure \* ARABIC </w:instrText>
      </w:r>
      <w:r w:rsidR="003859C9" w:rsidRPr="00EB11D3">
        <w:rPr>
          <w:rFonts w:eastAsia="Times New Roman"/>
          <w:b/>
          <w:bCs/>
          <w:szCs w:val="24"/>
        </w:rPr>
        <w:fldChar w:fldCharType="separate"/>
      </w:r>
      <w:r w:rsidR="003859C9" w:rsidRPr="00EB11D3">
        <w:rPr>
          <w:rFonts w:eastAsia="Times New Roman"/>
          <w:b/>
          <w:bCs/>
          <w:noProof/>
          <w:szCs w:val="24"/>
        </w:rPr>
        <w:t>4</w:t>
      </w:r>
      <w:r w:rsidR="003859C9" w:rsidRPr="00EB11D3">
        <w:rPr>
          <w:rFonts w:eastAsia="Times New Roman"/>
          <w:b/>
          <w:bCs/>
          <w:szCs w:val="24"/>
        </w:rPr>
        <w:fldChar w:fldCharType="end"/>
      </w:r>
      <w:r w:rsidR="003859C9" w:rsidRPr="00EB11D3">
        <w:rPr>
          <w:rFonts w:eastAsia="Times New Roman"/>
          <w:b/>
          <w:bCs/>
          <w:iCs/>
          <w:szCs w:val="24"/>
          <w:lang w:val="en-GB"/>
        </w:rPr>
        <w:t>: Revised Simple Moderation Model for CG, GR and OP</w:t>
      </w:r>
      <w:bookmarkEnd w:id="944"/>
      <w:bookmarkEnd w:id="945"/>
      <w:bookmarkEnd w:id="946"/>
      <w:bookmarkEnd w:id="947"/>
      <w:bookmarkEnd w:id="948"/>
      <w:bookmarkEnd w:id="949"/>
      <w:bookmarkEnd w:id="950"/>
      <w:bookmarkEnd w:id="951"/>
      <w:bookmarkEnd w:id="952"/>
      <w:bookmarkEnd w:id="953"/>
      <w:r w:rsidR="003859C9" w:rsidRPr="00EB11D3">
        <w:rPr>
          <w:rFonts w:eastAsia="Times New Roman"/>
          <w:b/>
          <w:bCs/>
          <w:iCs/>
          <w:szCs w:val="24"/>
          <w:lang w:val="en-GB"/>
        </w:rPr>
        <w:t xml:space="preserve"> </w:t>
      </w:r>
    </w:p>
    <w:p w14:paraId="712B33CF" w14:textId="77777777" w:rsidR="002979CF" w:rsidRPr="00EB11D3" w:rsidRDefault="00FD30BB" w:rsidP="003859C9">
      <w:pPr>
        <w:spacing w:after="0" w:line="360" w:lineRule="auto"/>
        <w:jc w:val="left"/>
        <w:rPr>
          <w:rFonts w:eastAsia="Times New Roman"/>
          <w:b/>
          <w:bCs/>
          <w:iCs/>
          <w:szCs w:val="24"/>
          <w:lang w:val="en-GB"/>
        </w:rPr>
      </w:pPr>
      <w:r>
        <w:rPr>
          <w:noProof/>
        </w:rPr>
        <mc:AlternateContent>
          <mc:Choice Requires="wpc">
            <w:drawing>
              <wp:anchor distT="0" distB="0" distL="114300" distR="114300" simplePos="0" relativeHeight="251656192" behindDoc="0" locked="0" layoutInCell="1" allowOverlap="1" wp14:anchorId="0439C387" wp14:editId="370EC1C6">
                <wp:simplePos x="0" y="0"/>
                <wp:positionH relativeFrom="character">
                  <wp:posOffset>358140</wp:posOffset>
                </wp:positionH>
                <wp:positionV relativeFrom="line">
                  <wp:posOffset>247650</wp:posOffset>
                </wp:positionV>
                <wp:extent cx="5518150" cy="1733550"/>
                <wp:effectExtent l="0" t="0" r="0" b="0"/>
                <wp:wrapNone/>
                <wp:docPr id="52" name="Canvas 25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880276634" name="Rectangle 5"/>
                        <wps:cNvSpPr>
                          <a:spLocks/>
                        </wps:cNvSpPr>
                        <wps:spPr bwMode="auto">
                          <a:xfrm>
                            <a:off x="0" y="0"/>
                            <a:ext cx="32385" cy="328295"/>
                          </a:xfrm>
                          <a:prstGeom prst="rect">
                            <a:avLst/>
                          </a:prstGeom>
                          <a:noFill/>
                          <a:ln>
                            <a:noFill/>
                          </a:ln>
                        </wps:spPr>
                        <wps:txbx>
                          <w:txbxContent>
                            <w:p w14:paraId="14596F12" w14:textId="77777777" w:rsidR="002979CF" w:rsidRDefault="002979CF" w:rsidP="002979CF">
                              <w:r>
                                <w:rPr>
                                  <w:rFonts w:cs="Calibri"/>
                                  <w:color w:val="000000"/>
                                  <w:sz w:val="20"/>
                                  <w:szCs w:val="20"/>
                                </w:rPr>
                                <w:t xml:space="preserve"> </w:t>
                              </w:r>
                            </w:p>
                          </w:txbxContent>
                        </wps:txbx>
                        <wps:bodyPr rot="0" vert="horz" wrap="none" lIns="0" tIns="0" rIns="0" bIns="0" anchor="t" anchorCtr="0" upright="1">
                          <a:spAutoFit/>
                        </wps:bodyPr>
                      </wps:wsp>
                      <wpg:wgp>
                        <wpg:cNvPr id="342707619" name="Group 42"/>
                        <wpg:cNvGrpSpPr>
                          <a:grpSpLocks/>
                        </wpg:cNvGrpSpPr>
                        <wpg:grpSpPr bwMode="auto">
                          <a:xfrm>
                            <a:off x="0" y="4400"/>
                            <a:ext cx="5479400" cy="1572939"/>
                            <a:chOff x="7" y="7"/>
                            <a:chExt cx="8622" cy="2477"/>
                          </a:xfrm>
                        </wpg:grpSpPr>
                        <wps:wsp>
                          <wps:cNvPr id="310622417" name="Freeform 6"/>
                          <wps:cNvSpPr>
                            <a:spLocks/>
                          </wps:cNvSpPr>
                          <wps:spPr bwMode="auto">
                            <a:xfrm>
                              <a:off x="2203" y="219"/>
                              <a:ext cx="110" cy="1335"/>
                            </a:xfrm>
                            <a:custGeom>
                              <a:avLst/>
                              <a:gdLst>
                                <a:gd name="T0" fmla="*/ 45 w 110"/>
                                <a:gd name="T1" fmla="*/ 0 h 1335"/>
                                <a:gd name="T2" fmla="*/ 62 w 110"/>
                                <a:gd name="T3" fmla="*/ 1244 h 1335"/>
                                <a:gd name="T4" fmla="*/ 48 w 110"/>
                                <a:gd name="T5" fmla="*/ 1244 h 1335"/>
                                <a:gd name="T6" fmla="*/ 31 w 110"/>
                                <a:gd name="T7" fmla="*/ 1 h 1335"/>
                                <a:gd name="T8" fmla="*/ 45 w 110"/>
                                <a:gd name="T9" fmla="*/ 0 h 1335"/>
                                <a:gd name="T10" fmla="*/ 110 w 110"/>
                                <a:gd name="T11" fmla="*/ 1224 h 1335"/>
                                <a:gd name="T12" fmla="*/ 57 w 110"/>
                                <a:gd name="T13" fmla="*/ 1335 h 1335"/>
                                <a:gd name="T14" fmla="*/ 0 w 110"/>
                                <a:gd name="T15" fmla="*/ 1226 h 1335"/>
                                <a:gd name="T16" fmla="*/ 110 w 110"/>
                                <a:gd name="T17" fmla="*/ 1224 h 1335"/>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110" h="1335">
                                  <a:moveTo>
                                    <a:pt x="45" y="0"/>
                                  </a:moveTo>
                                  <a:lnTo>
                                    <a:pt x="62" y="1244"/>
                                  </a:lnTo>
                                  <a:lnTo>
                                    <a:pt x="48" y="1244"/>
                                  </a:lnTo>
                                  <a:lnTo>
                                    <a:pt x="31" y="1"/>
                                  </a:lnTo>
                                  <a:lnTo>
                                    <a:pt x="45" y="0"/>
                                  </a:lnTo>
                                  <a:close/>
                                  <a:moveTo>
                                    <a:pt x="110" y="1224"/>
                                  </a:moveTo>
                                  <a:lnTo>
                                    <a:pt x="57" y="1335"/>
                                  </a:lnTo>
                                  <a:lnTo>
                                    <a:pt x="0" y="1226"/>
                                  </a:lnTo>
                                  <a:lnTo>
                                    <a:pt x="110" y="1224"/>
                                  </a:lnTo>
                                  <a:close/>
                                </a:path>
                              </a:pathLst>
                            </a:custGeom>
                            <a:solidFill>
                              <a:srgbClr val="000000"/>
                            </a:solidFill>
                            <a:ln w="1">
                              <a:solidFill>
                                <a:srgbClr val="000000"/>
                              </a:solidFill>
                              <a:round/>
                              <a:headEnd/>
                              <a:tailEnd/>
                            </a:ln>
                          </wps:spPr>
                          <wps:bodyPr rot="0" vert="horz" wrap="square" lIns="91440" tIns="45720" rIns="91440" bIns="45720" anchor="t" anchorCtr="0" upright="1">
                            <a:noAutofit/>
                          </wps:bodyPr>
                        </wps:wsp>
                        <wps:wsp>
                          <wps:cNvPr id="890887680" name="Rectangle 7"/>
                          <wps:cNvSpPr>
                            <a:spLocks/>
                          </wps:cNvSpPr>
                          <wps:spPr bwMode="auto">
                            <a:xfrm>
                              <a:off x="107" y="2146"/>
                              <a:ext cx="7579" cy="264"/>
                            </a:xfrm>
                            <a:prstGeom prst="rect">
                              <a:avLst/>
                            </a:prstGeom>
                            <a:noFill/>
                            <a:ln>
                              <a:noFill/>
                            </a:ln>
                          </wps:spPr>
                          <wps:txbx>
                            <w:txbxContent>
                              <w:p w14:paraId="098A706C" w14:textId="77777777" w:rsidR="002979CF" w:rsidRPr="009F6EE3" w:rsidRDefault="002979CF" w:rsidP="002979CF">
                                <w:r w:rsidRPr="009F6EE3">
                                  <w:rPr>
                                    <w:color w:val="000000"/>
                                    <w:sz w:val="20"/>
                                    <w:szCs w:val="20"/>
                                  </w:rPr>
                                  <w:t>X= Independent variable, Z= Moderator variable, XZ= Interaction</w:t>
                                </w:r>
                                <w:r w:rsidRPr="009F6EE3">
                                  <w:rPr>
                                    <w:color w:val="000000"/>
                                    <w:sz w:val="28"/>
                                  </w:rPr>
                                  <w:t xml:space="preserve"> </w:t>
                                </w:r>
                                <w:r w:rsidRPr="009F6EE3">
                                  <w:rPr>
                                    <w:color w:val="000000"/>
                                    <w:sz w:val="20"/>
                                    <w:szCs w:val="20"/>
                                  </w:rPr>
                                  <w:t>term, Y=Dependent</w:t>
                                </w:r>
                                <w:r w:rsidRPr="009F6EE3">
                                  <w:rPr>
                                    <w:color w:val="000000"/>
                                  </w:rPr>
                                  <w:t xml:space="preserve"> variable</w:t>
                                </w:r>
                              </w:p>
                            </w:txbxContent>
                          </wps:txbx>
                          <wps:bodyPr rot="0" vert="horz" wrap="square" lIns="0" tIns="0" rIns="0" bIns="0" anchor="t" anchorCtr="0" upright="1">
                            <a:noAutofit/>
                          </wps:bodyPr>
                        </wps:wsp>
                        <wps:wsp>
                          <wps:cNvPr id="1485622891" name="Freeform 8"/>
                          <wps:cNvSpPr>
                            <a:spLocks/>
                          </wps:cNvSpPr>
                          <wps:spPr bwMode="auto">
                            <a:xfrm>
                              <a:off x="5343" y="1095"/>
                              <a:ext cx="2459" cy="110"/>
                            </a:xfrm>
                            <a:custGeom>
                              <a:avLst/>
                              <a:gdLst>
                                <a:gd name="T0" fmla="*/ 0 w 2459"/>
                                <a:gd name="T1" fmla="*/ 48 h 110"/>
                                <a:gd name="T2" fmla="*/ 2369 w 2459"/>
                                <a:gd name="T3" fmla="*/ 48 h 110"/>
                                <a:gd name="T4" fmla="*/ 2369 w 2459"/>
                                <a:gd name="T5" fmla="*/ 62 h 110"/>
                                <a:gd name="T6" fmla="*/ 0 w 2459"/>
                                <a:gd name="T7" fmla="*/ 62 h 110"/>
                                <a:gd name="T8" fmla="*/ 0 w 2459"/>
                                <a:gd name="T9" fmla="*/ 48 h 110"/>
                                <a:gd name="T10" fmla="*/ 2350 w 2459"/>
                                <a:gd name="T11" fmla="*/ 0 h 110"/>
                                <a:gd name="T12" fmla="*/ 2459 w 2459"/>
                                <a:gd name="T13" fmla="*/ 55 h 110"/>
                                <a:gd name="T14" fmla="*/ 2350 w 2459"/>
                                <a:gd name="T15" fmla="*/ 110 h 110"/>
                                <a:gd name="T16" fmla="*/ 2350 w 2459"/>
                                <a:gd name="T17" fmla="*/ 0 h 11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2459" h="110">
                                  <a:moveTo>
                                    <a:pt x="0" y="48"/>
                                  </a:moveTo>
                                  <a:lnTo>
                                    <a:pt x="2369" y="48"/>
                                  </a:lnTo>
                                  <a:lnTo>
                                    <a:pt x="2369" y="62"/>
                                  </a:lnTo>
                                  <a:lnTo>
                                    <a:pt x="0" y="62"/>
                                  </a:lnTo>
                                  <a:lnTo>
                                    <a:pt x="0" y="48"/>
                                  </a:lnTo>
                                  <a:close/>
                                  <a:moveTo>
                                    <a:pt x="2350" y="0"/>
                                  </a:moveTo>
                                  <a:lnTo>
                                    <a:pt x="2459" y="55"/>
                                  </a:lnTo>
                                  <a:lnTo>
                                    <a:pt x="2350" y="110"/>
                                  </a:lnTo>
                                  <a:lnTo>
                                    <a:pt x="2350" y="0"/>
                                  </a:lnTo>
                                  <a:close/>
                                </a:path>
                              </a:pathLst>
                            </a:custGeom>
                            <a:solidFill>
                              <a:srgbClr val="000000"/>
                            </a:solidFill>
                            <a:ln w="1">
                              <a:solidFill>
                                <a:srgbClr val="000000"/>
                              </a:solidFill>
                              <a:round/>
                              <a:headEnd/>
                              <a:tailEnd/>
                            </a:ln>
                          </wps:spPr>
                          <wps:bodyPr rot="0" vert="horz" wrap="square" lIns="91440" tIns="45720" rIns="91440" bIns="45720" anchor="t" anchorCtr="0" upright="1">
                            <a:noAutofit/>
                          </wps:bodyPr>
                        </wps:wsp>
                        <wps:wsp>
                          <wps:cNvPr id="1298549993" name="Freeform 9"/>
                          <wps:cNvSpPr>
                            <a:spLocks/>
                          </wps:cNvSpPr>
                          <wps:spPr bwMode="auto">
                            <a:xfrm>
                              <a:off x="5438" y="1216"/>
                              <a:ext cx="2357" cy="550"/>
                            </a:xfrm>
                            <a:custGeom>
                              <a:avLst/>
                              <a:gdLst>
                                <a:gd name="T0" fmla="*/ 0 w 2357"/>
                                <a:gd name="T1" fmla="*/ 537 h 550"/>
                                <a:gd name="T2" fmla="*/ 2267 w 2357"/>
                                <a:gd name="T3" fmla="*/ 42 h 550"/>
                                <a:gd name="T4" fmla="*/ 2270 w 2357"/>
                                <a:gd name="T5" fmla="*/ 56 h 550"/>
                                <a:gd name="T6" fmla="*/ 2 w 2357"/>
                                <a:gd name="T7" fmla="*/ 550 h 550"/>
                                <a:gd name="T8" fmla="*/ 0 w 2357"/>
                                <a:gd name="T9" fmla="*/ 537 h 550"/>
                                <a:gd name="T10" fmla="*/ 2240 w 2357"/>
                                <a:gd name="T11" fmla="*/ 0 h 550"/>
                                <a:gd name="T12" fmla="*/ 2357 w 2357"/>
                                <a:gd name="T13" fmla="*/ 30 h 550"/>
                                <a:gd name="T14" fmla="*/ 2263 w 2357"/>
                                <a:gd name="T15" fmla="*/ 107 h 550"/>
                                <a:gd name="T16" fmla="*/ 2240 w 2357"/>
                                <a:gd name="T17" fmla="*/ 0 h 55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2357" h="550">
                                  <a:moveTo>
                                    <a:pt x="0" y="537"/>
                                  </a:moveTo>
                                  <a:lnTo>
                                    <a:pt x="2267" y="42"/>
                                  </a:lnTo>
                                  <a:lnTo>
                                    <a:pt x="2270" y="56"/>
                                  </a:lnTo>
                                  <a:lnTo>
                                    <a:pt x="2" y="550"/>
                                  </a:lnTo>
                                  <a:lnTo>
                                    <a:pt x="0" y="537"/>
                                  </a:lnTo>
                                  <a:close/>
                                  <a:moveTo>
                                    <a:pt x="2240" y="0"/>
                                  </a:moveTo>
                                  <a:lnTo>
                                    <a:pt x="2357" y="30"/>
                                  </a:lnTo>
                                  <a:lnTo>
                                    <a:pt x="2263" y="107"/>
                                  </a:lnTo>
                                  <a:lnTo>
                                    <a:pt x="2240" y="0"/>
                                  </a:lnTo>
                                  <a:close/>
                                </a:path>
                              </a:pathLst>
                            </a:custGeom>
                            <a:solidFill>
                              <a:srgbClr val="000000"/>
                            </a:solidFill>
                            <a:ln w="1">
                              <a:solidFill>
                                <a:srgbClr val="000000"/>
                              </a:solidFill>
                              <a:round/>
                              <a:headEnd/>
                              <a:tailEnd/>
                            </a:ln>
                          </wps:spPr>
                          <wps:bodyPr rot="0" vert="horz" wrap="square" lIns="91440" tIns="45720" rIns="91440" bIns="45720" anchor="t" anchorCtr="0" upright="1">
                            <a:noAutofit/>
                          </wps:bodyPr>
                        </wps:wsp>
                        <wps:wsp>
                          <wps:cNvPr id="369489059" name="Rectangle 10"/>
                          <wps:cNvSpPr>
                            <a:spLocks/>
                          </wps:cNvSpPr>
                          <wps:spPr bwMode="auto">
                            <a:xfrm>
                              <a:off x="4864" y="219"/>
                              <a:ext cx="779" cy="411"/>
                            </a:xfrm>
                            <a:prstGeom prst="rect">
                              <a:avLst/>
                            </a:prstGeom>
                            <a:solidFill>
                              <a:srgbClr val="FFFFFF"/>
                            </a:solidFill>
                            <a:ln>
                              <a:noFill/>
                            </a:ln>
                          </wps:spPr>
                          <wps:bodyPr rot="0" vert="horz" wrap="square" lIns="91440" tIns="45720" rIns="91440" bIns="45720" anchor="t" anchorCtr="0" upright="1">
                            <a:noAutofit/>
                          </wps:bodyPr>
                        </wps:wsp>
                        <wps:wsp>
                          <wps:cNvPr id="1136821299" name="Freeform 11"/>
                          <wps:cNvSpPr>
                            <a:spLocks/>
                          </wps:cNvSpPr>
                          <wps:spPr bwMode="auto">
                            <a:xfrm>
                              <a:off x="4858" y="212"/>
                              <a:ext cx="792" cy="424"/>
                            </a:xfrm>
                            <a:custGeom>
                              <a:avLst/>
                              <a:gdLst>
                                <a:gd name="T0" fmla="*/ 0 w 792"/>
                                <a:gd name="T1" fmla="*/ 0 h 424"/>
                                <a:gd name="T2" fmla="*/ 792 w 792"/>
                                <a:gd name="T3" fmla="*/ 0 h 424"/>
                                <a:gd name="T4" fmla="*/ 792 w 792"/>
                                <a:gd name="T5" fmla="*/ 424 h 424"/>
                                <a:gd name="T6" fmla="*/ 0 w 792"/>
                                <a:gd name="T7" fmla="*/ 424 h 424"/>
                                <a:gd name="T8" fmla="*/ 0 w 792"/>
                                <a:gd name="T9" fmla="*/ 0 h 424"/>
                                <a:gd name="T10" fmla="*/ 13 w 792"/>
                                <a:gd name="T11" fmla="*/ 418 h 424"/>
                                <a:gd name="T12" fmla="*/ 6 w 792"/>
                                <a:gd name="T13" fmla="*/ 411 h 424"/>
                                <a:gd name="T14" fmla="*/ 785 w 792"/>
                                <a:gd name="T15" fmla="*/ 411 h 424"/>
                                <a:gd name="T16" fmla="*/ 778 w 792"/>
                                <a:gd name="T17" fmla="*/ 418 h 424"/>
                                <a:gd name="T18" fmla="*/ 778 w 792"/>
                                <a:gd name="T19" fmla="*/ 7 h 424"/>
                                <a:gd name="T20" fmla="*/ 785 w 792"/>
                                <a:gd name="T21" fmla="*/ 14 h 424"/>
                                <a:gd name="T22" fmla="*/ 6 w 792"/>
                                <a:gd name="T23" fmla="*/ 14 h 424"/>
                                <a:gd name="T24" fmla="*/ 13 w 792"/>
                                <a:gd name="T25" fmla="*/ 7 h 424"/>
                                <a:gd name="T26" fmla="*/ 13 w 792"/>
                                <a:gd name="T27" fmla="*/ 418 h 424"/>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Lst>
                              <a:ahLst/>
                              <a:cxnLst>
                                <a:cxn ang="T28">
                                  <a:pos x="T0" y="T1"/>
                                </a:cxn>
                                <a:cxn ang="T29">
                                  <a:pos x="T2" y="T3"/>
                                </a:cxn>
                                <a:cxn ang="T30">
                                  <a:pos x="T4" y="T5"/>
                                </a:cxn>
                                <a:cxn ang="T31">
                                  <a:pos x="T6" y="T7"/>
                                </a:cxn>
                                <a:cxn ang="T32">
                                  <a:pos x="T8" y="T9"/>
                                </a:cxn>
                                <a:cxn ang="T33">
                                  <a:pos x="T10" y="T11"/>
                                </a:cxn>
                                <a:cxn ang="T34">
                                  <a:pos x="T12" y="T13"/>
                                </a:cxn>
                                <a:cxn ang="T35">
                                  <a:pos x="T14" y="T15"/>
                                </a:cxn>
                                <a:cxn ang="T36">
                                  <a:pos x="T16" y="T17"/>
                                </a:cxn>
                                <a:cxn ang="T37">
                                  <a:pos x="T18" y="T19"/>
                                </a:cxn>
                                <a:cxn ang="T38">
                                  <a:pos x="T20" y="T21"/>
                                </a:cxn>
                                <a:cxn ang="T39">
                                  <a:pos x="T22" y="T23"/>
                                </a:cxn>
                                <a:cxn ang="T40">
                                  <a:pos x="T24" y="T25"/>
                                </a:cxn>
                                <a:cxn ang="T41">
                                  <a:pos x="T26" y="T27"/>
                                </a:cxn>
                              </a:cxnLst>
                              <a:rect l="0" t="0" r="r" b="b"/>
                              <a:pathLst>
                                <a:path w="792" h="424">
                                  <a:moveTo>
                                    <a:pt x="0" y="0"/>
                                  </a:moveTo>
                                  <a:lnTo>
                                    <a:pt x="792" y="0"/>
                                  </a:lnTo>
                                  <a:lnTo>
                                    <a:pt x="792" y="424"/>
                                  </a:lnTo>
                                  <a:lnTo>
                                    <a:pt x="0" y="424"/>
                                  </a:lnTo>
                                  <a:lnTo>
                                    <a:pt x="0" y="0"/>
                                  </a:lnTo>
                                  <a:close/>
                                  <a:moveTo>
                                    <a:pt x="13" y="418"/>
                                  </a:moveTo>
                                  <a:lnTo>
                                    <a:pt x="6" y="411"/>
                                  </a:lnTo>
                                  <a:lnTo>
                                    <a:pt x="785" y="411"/>
                                  </a:lnTo>
                                  <a:lnTo>
                                    <a:pt x="778" y="418"/>
                                  </a:lnTo>
                                  <a:lnTo>
                                    <a:pt x="778" y="7"/>
                                  </a:lnTo>
                                  <a:lnTo>
                                    <a:pt x="785" y="14"/>
                                  </a:lnTo>
                                  <a:lnTo>
                                    <a:pt x="6" y="14"/>
                                  </a:lnTo>
                                  <a:lnTo>
                                    <a:pt x="13" y="7"/>
                                  </a:lnTo>
                                  <a:lnTo>
                                    <a:pt x="13" y="418"/>
                                  </a:lnTo>
                                  <a:close/>
                                </a:path>
                              </a:pathLst>
                            </a:custGeom>
                            <a:solidFill>
                              <a:srgbClr val="000000"/>
                            </a:solidFill>
                            <a:ln w="1">
                              <a:solidFill>
                                <a:srgbClr val="000000"/>
                              </a:solidFill>
                              <a:round/>
                              <a:headEnd/>
                              <a:tailEnd/>
                            </a:ln>
                          </wps:spPr>
                          <wps:bodyPr rot="0" vert="horz" wrap="square" lIns="91440" tIns="45720" rIns="91440" bIns="45720" anchor="t" anchorCtr="0" upright="1">
                            <a:noAutofit/>
                          </wps:bodyPr>
                        </wps:wsp>
                        <wps:wsp>
                          <wps:cNvPr id="1746320843" name="Rectangle 12"/>
                          <wps:cNvSpPr>
                            <a:spLocks/>
                          </wps:cNvSpPr>
                          <wps:spPr bwMode="auto">
                            <a:xfrm>
                              <a:off x="5170" y="285"/>
                              <a:ext cx="174" cy="493"/>
                            </a:xfrm>
                            <a:prstGeom prst="rect">
                              <a:avLst/>
                            </a:prstGeom>
                            <a:noFill/>
                            <a:ln>
                              <a:noFill/>
                            </a:ln>
                          </wps:spPr>
                          <wps:txbx>
                            <w:txbxContent>
                              <w:p w14:paraId="03967F22" w14:textId="77777777" w:rsidR="002979CF" w:rsidRDefault="002979CF" w:rsidP="002979CF">
                                <w:r>
                                  <w:rPr>
                                    <w:b/>
                                    <w:bCs/>
                                    <w:color w:val="000000"/>
                                  </w:rPr>
                                  <w:t>X</w:t>
                                </w:r>
                              </w:p>
                            </w:txbxContent>
                          </wps:txbx>
                          <wps:bodyPr rot="0" vert="horz" wrap="square" lIns="0" tIns="0" rIns="0" bIns="0" anchor="t" anchorCtr="0" upright="1">
                            <a:noAutofit/>
                          </wps:bodyPr>
                        </wps:wsp>
                        <wps:wsp>
                          <wps:cNvPr id="376835919" name="Rectangle 13"/>
                          <wps:cNvSpPr>
                            <a:spLocks/>
                          </wps:cNvSpPr>
                          <wps:spPr bwMode="auto">
                            <a:xfrm>
                              <a:off x="4864" y="944"/>
                              <a:ext cx="779" cy="411"/>
                            </a:xfrm>
                            <a:prstGeom prst="rect">
                              <a:avLst/>
                            </a:prstGeom>
                            <a:solidFill>
                              <a:srgbClr val="FFFFFF"/>
                            </a:solidFill>
                            <a:ln>
                              <a:noFill/>
                            </a:ln>
                          </wps:spPr>
                          <wps:bodyPr rot="0" vert="horz" wrap="square" lIns="91440" tIns="45720" rIns="91440" bIns="45720" anchor="t" anchorCtr="0" upright="1">
                            <a:noAutofit/>
                          </wps:bodyPr>
                        </wps:wsp>
                        <wps:wsp>
                          <wps:cNvPr id="687607528" name="Freeform 14"/>
                          <wps:cNvSpPr>
                            <a:spLocks/>
                          </wps:cNvSpPr>
                          <wps:spPr bwMode="auto">
                            <a:xfrm>
                              <a:off x="4858" y="938"/>
                              <a:ext cx="792" cy="424"/>
                            </a:xfrm>
                            <a:custGeom>
                              <a:avLst/>
                              <a:gdLst>
                                <a:gd name="T0" fmla="*/ 0 w 792"/>
                                <a:gd name="T1" fmla="*/ 0 h 424"/>
                                <a:gd name="T2" fmla="*/ 792 w 792"/>
                                <a:gd name="T3" fmla="*/ 0 h 424"/>
                                <a:gd name="T4" fmla="*/ 792 w 792"/>
                                <a:gd name="T5" fmla="*/ 424 h 424"/>
                                <a:gd name="T6" fmla="*/ 0 w 792"/>
                                <a:gd name="T7" fmla="*/ 424 h 424"/>
                                <a:gd name="T8" fmla="*/ 0 w 792"/>
                                <a:gd name="T9" fmla="*/ 0 h 424"/>
                                <a:gd name="T10" fmla="*/ 13 w 792"/>
                                <a:gd name="T11" fmla="*/ 417 h 424"/>
                                <a:gd name="T12" fmla="*/ 6 w 792"/>
                                <a:gd name="T13" fmla="*/ 410 h 424"/>
                                <a:gd name="T14" fmla="*/ 785 w 792"/>
                                <a:gd name="T15" fmla="*/ 410 h 424"/>
                                <a:gd name="T16" fmla="*/ 778 w 792"/>
                                <a:gd name="T17" fmla="*/ 417 h 424"/>
                                <a:gd name="T18" fmla="*/ 778 w 792"/>
                                <a:gd name="T19" fmla="*/ 6 h 424"/>
                                <a:gd name="T20" fmla="*/ 785 w 792"/>
                                <a:gd name="T21" fmla="*/ 13 h 424"/>
                                <a:gd name="T22" fmla="*/ 6 w 792"/>
                                <a:gd name="T23" fmla="*/ 13 h 424"/>
                                <a:gd name="T24" fmla="*/ 13 w 792"/>
                                <a:gd name="T25" fmla="*/ 6 h 424"/>
                                <a:gd name="T26" fmla="*/ 13 w 792"/>
                                <a:gd name="T27" fmla="*/ 417 h 424"/>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Lst>
                              <a:ahLst/>
                              <a:cxnLst>
                                <a:cxn ang="T28">
                                  <a:pos x="T0" y="T1"/>
                                </a:cxn>
                                <a:cxn ang="T29">
                                  <a:pos x="T2" y="T3"/>
                                </a:cxn>
                                <a:cxn ang="T30">
                                  <a:pos x="T4" y="T5"/>
                                </a:cxn>
                                <a:cxn ang="T31">
                                  <a:pos x="T6" y="T7"/>
                                </a:cxn>
                                <a:cxn ang="T32">
                                  <a:pos x="T8" y="T9"/>
                                </a:cxn>
                                <a:cxn ang="T33">
                                  <a:pos x="T10" y="T11"/>
                                </a:cxn>
                                <a:cxn ang="T34">
                                  <a:pos x="T12" y="T13"/>
                                </a:cxn>
                                <a:cxn ang="T35">
                                  <a:pos x="T14" y="T15"/>
                                </a:cxn>
                                <a:cxn ang="T36">
                                  <a:pos x="T16" y="T17"/>
                                </a:cxn>
                                <a:cxn ang="T37">
                                  <a:pos x="T18" y="T19"/>
                                </a:cxn>
                                <a:cxn ang="T38">
                                  <a:pos x="T20" y="T21"/>
                                </a:cxn>
                                <a:cxn ang="T39">
                                  <a:pos x="T22" y="T23"/>
                                </a:cxn>
                                <a:cxn ang="T40">
                                  <a:pos x="T24" y="T25"/>
                                </a:cxn>
                                <a:cxn ang="T41">
                                  <a:pos x="T26" y="T27"/>
                                </a:cxn>
                              </a:cxnLst>
                              <a:rect l="0" t="0" r="r" b="b"/>
                              <a:pathLst>
                                <a:path w="792" h="424">
                                  <a:moveTo>
                                    <a:pt x="0" y="0"/>
                                  </a:moveTo>
                                  <a:lnTo>
                                    <a:pt x="792" y="0"/>
                                  </a:lnTo>
                                  <a:lnTo>
                                    <a:pt x="792" y="424"/>
                                  </a:lnTo>
                                  <a:lnTo>
                                    <a:pt x="0" y="424"/>
                                  </a:lnTo>
                                  <a:lnTo>
                                    <a:pt x="0" y="0"/>
                                  </a:lnTo>
                                  <a:close/>
                                  <a:moveTo>
                                    <a:pt x="13" y="417"/>
                                  </a:moveTo>
                                  <a:lnTo>
                                    <a:pt x="6" y="410"/>
                                  </a:lnTo>
                                  <a:lnTo>
                                    <a:pt x="785" y="410"/>
                                  </a:lnTo>
                                  <a:lnTo>
                                    <a:pt x="778" y="417"/>
                                  </a:lnTo>
                                  <a:lnTo>
                                    <a:pt x="778" y="6"/>
                                  </a:lnTo>
                                  <a:lnTo>
                                    <a:pt x="785" y="13"/>
                                  </a:lnTo>
                                  <a:lnTo>
                                    <a:pt x="6" y="13"/>
                                  </a:lnTo>
                                  <a:lnTo>
                                    <a:pt x="13" y="6"/>
                                  </a:lnTo>
                                  <a:lnTo>
                                    <a:pt x="13" y="417"/>
                                  </a:lnTo>
                                  <a:close/>
                                </a:path>
                              </a:pathLst>
                            </a:custGeom>
                            <a:solidFill>
                              <a:srgbClr val="000000"/>
                            </a:solidFill>
                            <a:ln w="1">
                              <a:solidFill>
                                <a:srgbClr val="000000"/>
                              </a:solidFill>
                              <a:round/>
                              <a:headEnd/>
                              <a:tailEnd/>
                            </a:ln>
                          </wps:spPr>
                          <wps:bodyPr rot="0" vert="horz" wrap="square" lIns="91440" tIns="45720" rIns="91440" bIns="45720" anchor="t" anchorCtr="0" upright="1">
                            <a:noAutofit/>
                          </wps:bodyPr>
                        </wps:wsp>
                        <wps:wsp>
                          <wps:cNvPr id="464105027" name="Rectangle 15"/>
                          <wps:cNvSpPr>
                            <a:spLocks/>
                          </wps:cNvSpPr>
                          <wps:spPr bwMode="auto">
                            <a:xfrm>
                              <a:off x="5183" y="1003"/>
                              <a:ext cx="161" cy="493"/>
                            </a:xfrm>
                            <a:prstGeom prst="rect">
                              <a:avLst/>
                            </a:prstGeom>
                            <a:noFill/>
                            <a:ln>
                              <a:noFill/>
                            </a:ln>
                          </wps:spPr>
                          <wps:txbx>
                            <w:txbxContent>
                              <w:p w14:paraId="43D73F7F" w14:textId="77777777" w:rsidR="002979CF" w:rsidRDefault="002979CF" w:rsidP="002979CF">
                                <w:r>
                                  <w:rPr>
                                    <w:b/>
                                    <w:bCs/>
                                    <w:color w:val="000000"/>
                                  </w:rPr>
                                  <w:t>Z</w:t>
                                </w:r>
                              </w:p>
                            </w:txbxContent>
                          </wps:txbx>
                          <wps:bodyPr rot="0" vert="horz" wrap="square" lIns="0" tIns="0" rIns="0" bIns="0" anchor="t" anchorCtr="0" upright="1">
                            <a:noAutofit/>
                          </wps:bodyPr>
                        </wps:wsp>
                        <wps:wsp>
                          <wps:cNvPr id="795220296" name="Rectangle 16"/>
                          <wps:cNvSpPr>
                            <a:spLocks/>
                          </wps:cNvSpPr>
                          <wps:spPr bwMode="auto">
                            <a:xfrm>
                              <a:off x="4864" y="1560"/>
                              <a:ext cx="779" cy="411"/>
                            </a:xfrm>
                            <a:prstGeom prst="rect">
                              <a:avLst/>
                            </a:prstGeom>
                            <a:solidFill>
                              <a:srgbClr val="FFFFFF"/>
                            </a:solidFill>
                            <a:ln>
                              <a:noFill/>
                            </a:ln>
                          </wps:spPr>
                          <wps:bodyPr rot="0" vert="horz" wrap="square" lIns="91440" tIns="45720" rIns="91440" bIns="45720" anchor="t" anchorCtr="0" upright="1">
                            <a:noAutofit/>
                          </wps:bodyPr>
                        </wps:wsp>
                        <wps:wsp>
                          <wps:cNvPr id="1813683644" name="Freeform 17"/>
                          <wps:cNvSpPr>
                            <a:spLocks/>
                          </wps:cNvSpPr>
                          <wps:spPr bwMode="auto">
                            <a:xfrm>
                              <a:off x="4858" y="1554"/>
                              <a:ext cx="792" cy="424"/>
                            </a:xfrm>
                            <a:custGeom>
                              <a:avLst/>
                              <a:gdLst>
                                <a:gd name="T0" fmla="*/ 0 w 792"/>
                                <a:gd name="T1" fmla="*/ 0 h 424"/>
                                <a:gd name="T2" fmla="*/ 792 w 792"/>
                                <a:gd name="T3" fmla="*/ 0 h 424"/>
                                <a:gd name="T4" fmla="*/ 792 w 792"/>
                                <a:gd name="T5" fmla="*/ 424 h 424"/>
                                <a:gd name="T6" fmla="*/ 0 w 792"/>
                                <a:gd name="T7" fmla="*/ 424 h 424"/>
                                <a:gd name="T8" fmla="*/ 0 w 792"/>
                                <a:gd name="T9" fmla="*/ 0 h 424"/>
                                <a:gd name="T10" fmla="*/ 13 w 792"/>
                                <a:gd name="T11" fmla="*/ 417 h 424"/>
                                <a:gd name="T12" fmla="*/ 6 w 792"/>
                                <a:gd name="T13" fmla="*/ 410 h 424"/>
                                <a:gd name="T14" fmla="*/ 785 w 792"/>
                                <a:gd name="T15" fmla="*/ 410 h 424"/>
                                <a:gd name="T16" fmla="*/ 778 w 792"/>
                                <a:gd name="T17" fmla="*/ 417 h 424"/>
                                <a:gd name="T18" fmla="*/ 778 w 792"/>
                                <a:gd name="T19" fmla="*/ 6 h 424"/>
                                <a:gd name="T20" fmla="*/ 785 w 792"/>
                                <a:gd name="T21" fmla="*/ 13 h 424"/>
                                <a:gd name="T22" fmla="*/ 6 w 792"/>
                                <a:gd name="T23" fmla="*/ 13 h 424"/>
                                <a:gd name="T24" fmla="*/ 13 w 792"/>
                                <a:gd name="T25" fmla="*/ 6 h 424"/>
                                <a:gd name="T26" fmla="*/ 13 w 792"/>
                                <a:gd name="T27" fmla="*/ 417 h 424"/>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Lst>
                              <a:ahLst/>
                              <a:cxnLst>
                                <a:cxn ang="T28">
                                  <a:pos x="T0" y="T1"/>
                                </a:cxn>
                                <a:cxn ang="T29">
                                  <a:pos x="T2" y="T3"/>
                                </a:cxn>
                                <a:cxn ang="T30">
                                  <a:pos x="T4" y="T5"/>
                                </a:cxn>
                                <a:cxn ang="T31">
                                  <a:pos x="T6" y="T7"/>
                                </a:cxn>
                                <a:cxn ang="T32">
                                  <a:pos x="T8" y="T9"/>
                                </a:cxn>
                                <a:cxn ang="T33">
                                  <a:pos x="T10" y="T11"/>
                                </a:cxn>
                                <a:cxn ang="T34">
                                  <a:pos x="T12" y="T13"/>
                                </a:cxn>
                                <a:cxn ang="T35">
                                  <a:pos x="T14" y="T15"/>
                                </a:cxn>
                                <a:cxn ang="T36">
                                  <a:pos x="T16" y="T17"/>
                                </a:cxn>
                                <a:cxn ang="T37">
                                  <a:pos x="T18" y="T19"/>
                                </a:cxn>
                                <a:cxn ang="T38">
                                  <a:pos x="T20" y="T21"/>
                                </a:cxn>
                                <a:cxn ang="T39">
                                  <a:pos x="T22" y="T23"/>
                                </a:cxn>
                                <a:cxn ang="T40">
                                  <a:pos x="T24" y="T25"/>
                                </a:cxn>
                                <a:cxn ang="T41">
                                  <a:pos x="T26" y="T27"/>
                                </a:cxn>
                              </a:cxnLst>
                              <a:rect l="0" t="0" r="r" b="b"/>
                              <a:pathLst>
                                <a:path w="792" h="424">
                                  <a:moveTo>
                                    <a:pt x="0" y="0"/>
                                  </a:moveTo>
                                  <a:lnTo>
                                    <a:pt x="792" y="0"/>
                                  </a:lnTo>
                                  <a:lnTo>
                                    <a:pt x="792" y="424"/>
                                  </a:lnTo>
                                  <a:lnTo>
                                    <a:pt x="0" y="424"/>
                                  </a:lnTo>
                                  <a:lnTo>
                                    <a:pt x="0" y="0"/>
                                  </a:lnTo>
                                  <a:close/>
                                  <a:moveTo>
                                    <a:pt x="13" y="417"/>
                                  </a:moveTo>
                                  <a:lnTo>
                                    <a:pt x="6" y="410"/>
                                  </a:lnTo>
                                  <a:lnTo>
                                    <a:pt x="785" y="410"/>
                                  </a:lnTo>
                                  <a:lnTo>
                                    <a:pt x="778" y="417"/>
                                  </a:lnTo>
                                  <a:lnTo>
                                    <a:pt x="778" y="6"/>
                                  </a:lnTo>
                                  <a:lnTo>
                                    <a:pt x="785" y="13"/>
                                  </a:lnTo>
                                  <a:lnTo>
                                    <a:pt x="6" y="13"/>
                                  </a:lnTo>
                                  <a:lnTo>
                                    <a:pt x="13" y="6"/>
                                  </a:lnTo>
                                  <a:lnTo>
                                    <a:pt x="13" y="417"/>
                                  </a:lnTo>
                                  <a:close/>
                                </a:path>
                              </a:pathLst>
                            </a:custGeom>
                            <a:solidFill>
                              <a:srgbClr val="000000"/>
                            </a:solidFill>
                            <a:ln w="1">
                              <a:solidFill>
                                <a:srgbClr val="000000"/>
                              </a:solidFill>
                              <a:round/>
                              <a:headEnd/>
                              <a:tailEnd/>
                            </a:ln>
                          </wps:spPr>
                          <wps:bodyPr rot="0" vert="horz" wrap="square" lIns="91440" tIns="45720" rIns="91440" bIns="45720" anchor="t" anchorCtr="0" upright="1">
                            <a:noAutofit/>
                          </wps:bodyPr>
                        </wps:wsp>
                        <wps:wsp>
                          <wps:cNvPr id="1164942214" name="Rectangle 18"/>
                          <wps:cNvSpPr>
                            <a:spLocks/>
                          </wps:cNvSpPr>
                          <wps:spPr bwMode="auto">
                            <a:xfrm>
                              <a:off x="5101" y="1619"/>
                              <a:ext cx="334" cy="493"/>
                            </a:xfrm>
                            <a:prstGeom prst="rect">
                              <a:avLst/>
                            </a:prstGeom>
                            <a:noFill/>
                            <a:ln>
                              <a:noFill/>
                            </a:ln>
                          </wps:spPr>
                          <wps:txbx>
                            <w:txbxContent>
                              <w:p w14:paraId="5FDE7A6C" w14:textId="77777777" w:rsidR="002979CF" w:rsidRDefault="002979CF" w:rsidP="002979CF">
                                <w:r>
                                  <w:rPr>
                                    <w:b/>
                                    <w:bCs/>
                                    <w:color w:val="000000"/>
                                  </w:rPr>
                                  <w:t>XZ</w:t>
                                </w:r>
                              </w:p>
                            </w:txbxContent>
                          </wps:txbx>
                          <wps:bodyPr rot="0" vert="horz" wrap="square" lIns="0" tIns="0" rIns="0" bIns="0" anchor="t" anchorCtr="0" upright="1">
                            <a:noAutofit/>
                          </wps:bodyPr>
                        </wps:wsp>
                        <wps:wsp>
                          <wps:cNvPr id="2089500683" name="Rectangle 19"/>
                          <wps:cNvSpPr>
                            <a:spLocks/>
                          </wps:cNvSpPr>
                          <wps:spPr bwMode="auto">
                            <a:xfrm>
                              <a:off x="7802" y="835"/>
                              <a:ext cx="506" cy="616"/>
                            </a:xfrm>
                            <a:prstGeom prst="rect">
                              <a:avLst/>
                            </a:prstGeom>
                            <a:solidFill>
                              <a:srgbClr val="FFFFFF"/>
                            </a:solidFill>
                            <a:ln>
                              <a:noFill/>
                            </a:ln>
                          </wps:spPr>
                          <wps:bodyPr rot="0" vert="horz" wrap="square" lIns="91440" tIns="45720" rIns="91440" bIns="45720" anchor="t" anchorCtr="0" upright="1">
                            <a:noAutofit/>
                          </wps:bodyPr>
                        </wps:wsp>
                        <wps:wsp>
                          <wps:cNvPr id="129725832" name="Freeform 20"/>
                          <wps:cNvSpPr>
                            <a:spLocks/>
                          </wps:cNvSpPr>
                          <wps:spPr bwMode="auto">
                            <a:xfrm>
                              <a:off x="7795" y="828"/>
                              <a:ext cx="520" cy="630"/>
                            </a:xfrm>
                            <a:custGeom>
                              <a:avLst/>
                              <a:gdLst>
                                <a:gd name="T0" fmla="*/ 0 w 520"/>
                                <a:gd name="T1" fmla="*/ 0 h 630"/>
                                <a:gd name="T2" fmla="*/ 520 w 520"/>
                                <a:gd name="T3" fmla="*/ 0 h 630"/>
                                <a:gd name="T4" fmla="*/ 520 w 520"/>
                                <a:gd name="T5" fmla="*/ 630 h 630"/>
                                <a:gd name="T6" fmla="*/ 0 w 520"/>
                                <a:gd name="T7" fmla="*/ 630 h 630"/>
                                <a:gd name="T8" fmla="*/ 0 w 520"/>
                                <a:gd name="T9" fmla="*/ 0 h 630"/>
                                <a:gd name="T10" fmla="*/ 14 w 520"/>
                                <a:gd name="T11" fmla="*/ 623 h 630"/>
                                <a:gd name="T12" fmla="*/ 7 w 520"/>
                                <a:gd name="T13" fmla="*/ 616 h 630"/>
                                <a:gd name="T14" fmla="*/ 513 w 520"/>
                                <a:gd name="T15" fmla="*/ 616 h 630"/>
                                <a:gd name="T16" fmla="*/ 506 w 520"/>
                                <a:gd name="T17" fmla="*/ 623 h 630"/>
                                <a:gd name="T18" fmla="*/ 506 w 520"/>
                                <a:gd name="T19" fmla="*/ 7 h 630"/>
                                <a:gd name="T20" fmla="*/ 513 w 520"/>
                                <a:gd name="T21" fmla="*/ 14 h 630"/>
                                <a:gd name="T22" fmla="*/ 7 w 520"/>
                                <a:gd name="T23" fmla="*/ 14 h 630"/>
                                <a:gd name="T24" fmla="*/ 14 w 520"/>
                                <a:gd name="T25" fmla="*/ 7 h 630"/>
                                <a:gd name="T26" fmla="*/ 14 w 520"/>
                                <a:gd name="T27" fmla="*/ 623 h 630"/>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Lst>
                              <a:ahLst/>
                              <a:cxnLst>
                                <a:cxn ang="T28">
                                  <a:pos x="T0" y="T1"/>
                                </a:cxn>
                                <a:cxn ang="T29">
                                  <a:pos x="T2" y="T3"/>
                                </a:cxn>
                                <a:cxn ang="T30">
                                  <a:pos x="T4" y="T5"/>
                                </a:cxn>
                                <a:cxn ang="T31">
                                  <a:pos x="T6" y="T7"/>
                                </a:cxn>
                                <a:cxn ang="T32">
                                  <a:pos x="T8" y="T9"/>
                                </a:cxn>
                                <a:cxn ang="T33">
                                  <a:pos x="T10" y="T11"/>
                                </a:cxn>
                                <a:cxn ang="T34">
                                  <a:pos x="T12" y="T13"/>
                                </a:cxn>
                                <a:cxn ang="T35">
                                  <a:pos x="T14" y="T15"/>
                                </a:cxn>
                                <a:cxn ang="T36">
                                  <a:pos x="T16" y="T17"/>
                                </a:cxn>
                                <a:cxn ang="T37">
                                  <a:pos x="T18" y="T19"/>
                                </a:cxn>
                                <a:cxn ang="T38">
                                  <a:pos x="T20" y="T21"/>
                                </a:cxn>
                                <a:cxn ang="T39">
                                  <a:pos x="T22" y="T23"/>
                                </a:cxn>
                                <a:cxn ang="T40">
                                  <a:pos x="T24" y="T25"/>
                                </a:cxn>
                                <a:cxn ang="T41">
                                  <a:pos x="T26" y="T27"/>
                                </a:cxn>
                              </a:cxnLst>
                              <a:rect l="0" t="0" r="r" b="b"/>
                              <a:pathLst>
                                <a:path w="520" h="630">
                                  <a:moveTo>
                                    <a:pt x="0" y="0"/>
                                  </a:moveTo>
                                  <a:lnTo>
                                    <a:pt x="520" y="0"/>
                                  </a:lnTo>
                                  <a:lnTo>
                                    <a:pt x="520" y="630"/>
                                  </a:lnTo>
                                  <a:lnTo>
                                    <a:pt x="0" y="630"/>
                                  </a:lnTo>
                                  <a:lnTo>
                                    <a:pt x="0" y="0"/>
                                  </a:lnTo>
                                  <a:close/>
                                  <a:moveTo>
                                    <a:pt x="14" y="623"/>
                                  </a:moveTo>
                                  <a:lnTo>
                                    <a:pt x="7" y="616"/>
                                  </a:lnTo>
                                  <a:lnTo>
                                    <a:pt x="513" y="616"/>
                                  </a:lnTo>
                                  <a:lnTo>
                                    <a:pt x="506" y="623"/>
                                  </a:lnTo>
                                  <a:lnTo>
                                    <a:pt x="506" y="7"/>
                                  </a:lnTo>
                                  <a:lnTo>
                                    <a:pt x="513" y="14"/>
                                  </a:lnTo>
                                  <a:lnTo>
                                    <a:pt x="7" y="14"/>
                                  </a:lnTo>
                                  <a:lnTo>
                                    <a:pt x="14" y="7"/>
                                  </a:lnTo>
                                  <a:lnTo>
                                    <a:pt x="14" y="623"/>
                                  </a:lnTo>
                                  <a:close/>
                                </a:path>
                              </a:pathLst>
                            </a:custGeom>
                            <a:solidFill>
                              <a:srgbClr val="000000"/>
                            </a:solidFill>
                            <a:ln w="1">
                              <a:solidFill>
                                <a:srgbClr val="000000"/>
                              </a:solidFill>
                              <a:round/>
                              <a:headEnd/>
                              <a:tailEnd/>
                            </a:ln>
                          </wps:spPr>
                          <wps:bodyPr rot="0" vert="horz" wrap="square" lIns="91440" tIns="45720" rIns="91440" bIns="45720" anchor="t" anchorCtr="0" upright="1">
                            <a:noAutofit/>
                          </wps:bodyPr>
                        </wps:wsp>
                        <wps:wsp>
                          <wps:cNvPr id="1422344164" name="Rectangle 21"/>
                          <wps:cNvSpPr>
                            <a:spLocks/>
                          </wps:cNvSpPr>
                          <wps:spPr bwMode="auto">
                            <a:xfrm>
                              <a:off x="7968" y="1012"/>
                              <a:ext cx="174" cy="493"/>
                            </a:xfrm>
                            <a:prstGeom prst="rect">
                              <a:avLst/>
                            </a:prstGeom>
                            <a:noFill/>
                            <a:ln>
                              <a:noFill/>
                            </a:ln>
                          </wps:spPr>
                          <wps:txbx>
                            <w:txbxContent>
                              <w:p w14:paraId="513E67BA" w14:textId="77777777" w:rsidR="002979CF" w:rsidRDefault="002979CF" w:rsidP="002979CF">
                                <w:r>
                                  <w:rPr>
                                    <w:b/>
                                    <w:bCs/>
                                    <w:color w:val="000000"/>
                                  </w:rPr>
                                  <w:t>Y</w:t>
                                </w:r>
                              </w:p>
                            </w:txbxContent>
                          </wps:txbx>
                          <wps:bodyPr rot="0" vert="horz" wrap="square" lIns="0" tIns="0" rIns="0" bIns="0" anchor="t" anchorCtr="0" upright="1">
                            <a:noAutofit/>
                          </wps:bodyPr>
                        </wps:wsp>
                        <wps:wsp>
                          <wps:cNvPr id="392442887" name="Freeform 22"/>
                          <wps:cNvSpPr>
                            <a:spLocks/>
                          </wps:cNvSpPr>
                          <wps:spPr bwMode="auto">
                            <a:xfrm>
                              <a:off x="5642" y="418"/>
                              <a:ext cx="2153" cy="548"/>
                            </a:xfrm>
                            <a:custGeom>
                              <a:avLst/>
                              <a:gdLst>
                                <a:gd name="T0" fmla="*/ 3 w 2153"/>
                                <a:gd name="T1" fmla="*/ 0 h 548"/>
                                <a:gd name="T2" fmla="*/ 2066 w 2153"/>
                                <a:gd name="T3" fmla="*/ 492 h 548"/>
                                <a:gd name="T4" fmla="*/ 2064 w 2153"/>
                                <a:gd name="T5" fmla="*/ 506 h 548"/>
                                <a:gd name="T6" fmla="*/ 0 w 2153"/>
                                <a:gd name="T7" fmla="*/ 13 h 548"/>
                                <a:gd name="T8" fmla="*/ 3 w 2153"/>
                                <a:gd name="T9" fmla="*/ 0 h 548"/>
                                <a:gd name="T10" fmla="*/ 2060 w 2153"/>
                                <a:gd name="T11" fmla="*/ 441 h 548"/>
                                <a:gd name="T12" fmla="*/ 2153 w 2153"/>
                                <a:gd name="T13" fmla="*/ 520 h 548"/>
                                <a:gd name="T14" fmla="*/ 2035 w 2153"/>
                                <a:gd name="T15" fmla="*/ 548 h 548"/>
                                <a:gd name="T16" fmla="*/ 2060 w 2153"/>
                                <a:gd name="T17" fmla="*/ 441 h 548"/>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2153" h="548">
                                  <a:moveTo>
                                    <a:pt x="3" y="0"/>
                                  </a:moveTo>
                                  <a:lnTo>
                                    <a:pt x="2066" y="492"/>
                                  </a:lnTo>
                                  <a:lnTo>
                                    <a:pt x="2064" y="506"/>
                                  </a:lnTo>
                                  <a:lnTo>
                                    <a:pt x="0" y="13"/>
                                  </a:lnTo>
                                  <a:lnTo>
                                    <a:pt x="3" y="0"/>
                                  </a:lnTo>
                                  <a:close/>
                                  <a:moveTo>
                                    <a:pt x="2060" y="441"/>
                                  </a:moveTo>
                                  <a:lnTo>
                                    <a:pt x="2153" y="520"/>
                                  </a:lnTo>
                                  <a:lnTo>
                                    <a:pt x="2035" y="548"/>
                                  </a:lnTo>
                                  <a:lnTo>
                                    <a:pt x="2060" y="441"/>
                                  </a:lnTo>
                                  <a:close/>
                                </a:path>
                              </a:pathLst>
                            </a:custGeom>
                            <a:solidFill>
                              <a:srgbClr val="000000"/>
                            </a:solidFill>
                            <a:ln w="1">
                              <a:solidFill>
                                <a:srgbClr val="000000"/>
                              </a:solidFill>
                              <a:round/>
                              <a:headEnd/>
                              <a:tailEnd/>
                            </a:ln>
                          </wps:spPr>
                          <wps:bodyPr rot="0" vert="horz" wrap="square" lIns="91440" tIns="45720" rIns="91440" bIns="45720" anchor="t" anchorCtr="0" upright="1">
                            <a:noAutofit/>
                          </wps:bodyPr>
                        </wps:wsp>
                        <wps:wsp>
                          <wps:cNvPr id="361443556" name="Rectangle 23"/>
                          <wps:cNvSpPr>
                            <a:spLocks/>
                          </wps:cNvSpPr>
                          <wps:spPr bwMode="auto">
                            <a:xfrm>
                              <a:off x="6191" y="137"/>
                              <a:ext cx="2124" cy="373"/>
                            </a:xfrm>
                            <a:prstGeom prst="rect">
                              <a:avLst/>
                            </a:prstGeom>
                            <a:noFill/>
                            <a:ln>
                              <a:noFill/>
                            </a:ln>
                          </wps:spPr>
                          <wps:txbx>
                            <w:txbxContent>
                              <w:p w14:paraId="3A5916F4" w14:textId="77777777" w:rsidR="002979CF" w:rsidRPr="00742C4F" w:rsidRDefault="002979CF" w:rsidP="002979CF">
                                <w:pPr>
                                  <w:rPr>
                                    <w:vertAlign w:val="subscript"/>
                                  </w:rPr>
                                </w:pPr>
                                <w:r w:rsidRPr="00742C4F">
                                  <w:rPr>
                                    <w:vertAlign w:val="subscript"/>
                                  </w:rPr>
                                  <w:t>R</w:t>
                                </w:r>
                                <w:r w:rsidRPr="00742C4F">
                                  <w:rPr>
                                    <w:vertAlign w:val="superscript"/>
                                  </w:rPr>
                                  <w:t xml:space="preserve">2 </w:t>
                                </w:r>
                                <w:r w:rsidRPr="00742C4F">
                                  <w:rPr>
                                    <w:vertAlign w:val="subscript"/>
                                  </w:rPr>
                                  <w:t>= .</w:t>
                                </w:r>
                                <w:r>
                                  <w:rPr>
                                    <w:vertAlign w:val="subscript"/>
                                  </w:rPr>
                                  <w:t>613</w:t>
                                </w:r>
                                <w:r w:rsidRPr="00742C4F">
                                  <w:rPr>
                                    <w:vertAlign w:val="subscript"/>
                                  </w:rPr>
                                  <w:t>, β=.</w:t>
                                </w:r>
                                <w:r>
                                  <w:rPr>
                                    <w:vertAlign w:val="subscript"/>
                                  </w:rPr>
                                  <w:t>646</w:t>
                                </w:r>
                                <w:r w:rsidRPr="00742C4F">
                                  <w:rPr>
                                    <w:vertAlign w:val="subscript"/>
                                  </w:rPr>
                                  <w:t>, p=.000</w:t>
                                </w:r>
                              </w:p>
                            </w:txbxContent>
                          </wps:txbx>
                          <wps:bodyPr rot="0" vert="horz" wrap="square" lIns="0" tIns="0" rIns="0" bIns="0" anchor="t" anchorCtr="0" upright="1">
                            <a:noAutofit/>
                          </wps:bodyPr>
                        </wps:wsp>
                        <wps:wsp>
                          <wps:cNvPr id="209239918" name="Freeform 29"/>
                          <wps:cNvSpPr>
                            <a:spLocks/>
                          </wps:cNvSpPr>
                          <wps:spPr bwMode="auto">
                            <a:xfrm>
                              <a:off x="7" y="7"/>
                              <a:ext cx="8622" cy="2477"/>
                            </a:xfrm>
                            <a:custGeom>
                              <a:avLst/>
                              <a:gdLst>
                                <a:gd name="T0" fmla="*/ 0 w 10096"/>
                                <a:gd name="T1" fmla="*/ 6 h 2896"/>
                                <a:gd name="T2" fmla="*/ 6 w 10096"/>
                                <a:gd name="T3" fmla="*/ 0 h 2896"/>
                                <a:gd name="T4" fmla="*/ 7357 w 10096"/>
                                <a:gd name="T5" fmla="*/ 0 h 2896"/>
                                <a:gd name="T6" fmla="*/ 7363 w 10096"/>
                                <a:gd name="T7" fmla="*/ 6 h 2896"/>
                                <a:gd name="T8" fmla="*/ 7363 w 10096"/>
                                <a:gd name="T9" fmla="*/ 2113 h 2896"/>
                                <a:gd name="T10" fmla="*/ 7357 w 10096"/>
                                <a:gd name="T11" fmla="*/ 2119 h 2896"/>
                                <a:gd name="T12" fmla="*/ 6 w 10096"/>
                                <a:gd name="T13" fmla="*/ 2119 h 2896"/>
                                <a:gd name="T14" fmla="*/ 0 w 10096"/>
                                <a:gd name="T15" fmla="*/ 2113 h 2896"/>
                                <a:gd name="T16" fmla="*/ 0 w 10096"/>
                                <a:gd name="T17" fmla="*/ 6 h 2896"/>
                                <a:gd name="T18" fmla="*/ 12 w 10096"/>
                                <a:gd name="T19" fmla="*/ 2113 h 2896"/>
                                <a:gd name="T20" fmla="*/ 6 w 10096"/>
                                <a:gd name="T21" fmla="*/ 2107 h 2896"/>
                                <a:gd name="T22" fmla="*/ 7357 w 10096"/>
                                <a:gd name="T23" fmla="*/ 2107 h 2896"/>
                                <a:gd name="T24" fmla="*/ 7351 w 10096"/>
                                <a:gd name="T25" fmla="*/ 2113 h 2896"/>
                                <a:gd name="T26" fmla="*/ 7351 w 10096"/>
                                <a:gd name="T27" fmla="*/ 6 h 2896"/>
                                <a:gd name="T28" fmla="*/ 7357 w 10096"/>
                                <a:gd name="T29" fmla="*/ 12 h 2896"/>
                                <a:gd name="T30" fmla="*/ 6 w 10096"/>
                                <a:gd name="T31" fmla="*/ 12 h 2896"/>
                                <a:gd name="T32" fmla="*/ 12 w 10096"/>
                                <a:gd name="T33" fmla="*/ 6 h 2896"/>
                                <a:gd name="T34" fmla="*/ 12 w 10096"/>
                                <a:gd name="T35" fmla="*/ 2113 h 289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Lst>
                              <a:ahLst/>
                              <a:cxnLst>
                                <a:cxn ang="T36">
                                  <a:pos x="T0" y="T1"/>
                                </a:cxn>
                                <a:cxn ang="T37">
                                  <a:pos x="T2" y="T3"/>
                                </a:cxn>
                                <a:cxn ang="T38">
                                  <a:pos x="T4" y="T5"/>
                                </a:cxn>
                                <a:cxn ang="T39">
                                  <a:pos x="T6" y="T7"/>
                                </a:cxn>
                                <a:cxn ang="T40">
                                  <a:pos x="T8" y="T9"/>
                                </a:cxn>
                                <a:cxn ang="T41">
                                  <a:pos x="T10" y="T11"/>
                                </a:cxn>
                                <a:cxn ang="T42">
                                  <a:pos x="T12" y="T13"/>
                                </a:cxn>
                                <a:cxn ang="T43">
                                  <a:pos x="T14" y="T15"/>
                                </a:cxn>
                                <a:cxn ang="T44">
                                  <a:pos x="T16" y="T17"/>
                                </a:cxn>
                                <a:cxn ang="T45">
                                  <a:pos x="T18" y="T19"/>
                                </a:cxn>
                                <a:cxn ang="T46">
                                  <a:pos x="T20" y="T21"/>
                                </a:cxn>
                                <a:cxn ang="T47">
                                  <a:pos x="T22" y="T23"/>
                                </a:cxn>
                                <a:cxn ang="T48">
                                  <a:pos x="T24" y="T25"/>
                                </a:cxn>
                                <a:cxn ang="T49">
                                  <a:pos x="T26" y="T27"/>
                                </a:cxn>
                                <a:cxn ang="T50">
                                  <a:pos x="T28" y="T29"/>
                                </a:cxn>
                                <a:cxn ang="T51">
                                  <a:pos x="T30" y="T31"/>
                                </a:cxn>
                                <a:cxn ang="T52">
                                  <a:pos x="T32" y="T33"/>
                                </a:cxn>
                                <a:cxn ang="T53">
                                  <a:pos x="T34" y="T35"/>
                                </a:cxn>
                              </a:cxnLst>
                              <a:rect l="0" t="0" r="r" b="b"/>
                              <a:pathLst>
                                <a:path w="10096" h="2896">
                                  <a:moveTo>
                                    <a:pt x="0" y="8"/>
                                  </a:moveTo>
                                  <a:cubicBezTo>
                                    <a:pt x="0" y="4"/>
                                    <a:pt x="4" y="0"/>
                                    <a:pt x="8" y="0"/>
                                  </a:cubicBezTo>
                                  <a:lnTo>
                                    <a:pt x="10088" y="0"/>
                                  </a:lnTo>
                                  <a:cubicBezTo>
                                    <a:pt x="10093" y="0"/>
                                    <a:pt x="10096" y="4"/>
                                    <a:pt x="10096" y="8"/>
                                  </a:cubicBezTo>
                                  <a:lnTo>
                                    <a:pt x="10096" y="2888"/>
                                  </a:lnTo>
                                  <a:cubicBezTo>
                                    <a:pt x="10096" y="2893"/>
                                    <a:pt x="10093" y="2896"/>
                                    <a:pt x="10088" y="2896"/>
                                  </a:cubicBezTo>
                                  <a:lnTo>
                                    <a:pt x="8" y="2896"/>
                                  </a:lnTo>
                                  <a:cubicBezTo>
                                    <a:pt x="4" y="2896"/>
                                    <a:pt x="0" y="2893"/>
                                    <a:pt x="0" y="2888"/>
                                  </a:cubicBezTo>
                                  <a:lnTo>
                                    <a:pt x="0" y="8"/>
                                  </a:lnTo>
                                  <a:close/>
                                  <a:moveTo>
                                    <a:pt x="16" y="2888"/>
                                  </a:moveTo>
                                  <a:lnTo>
                                    <a:pt x="8" y="2880"/>
                                  </a:lnTo>
                                  <a:lnTo>
                                    <a:pt x="10088" y="2880"/>
                                  </a:lnTo>
                                  <a:lnTo>
                                    <a:pt x="10080" y="2888"/>
                                  </a:lnTo>
                                  <a:lnTo>
                                    <a:pt x="10080" y="8"/>
                                  </a:lnTo>
                                  <a:lnTo>
                                    <a:pt x="10088" y="16"/>
                                  </a:lnTo>
                                  <a:lnTo>
                                    <a:pt x="8" y="16"/>
                                  </a:lnTo>
                                  <a:lnTo>
                                    <a:pt x="16" y="8"/>
                                  </a:lnTo>
                                  <a:lnTo>
                                    <a:pt x="16" y="2888"/>
                                  </a:lnTo>
                                  <a:close/>
                                </a:path>
                              </a:pathLst>
                            </a:custGeom>
                            <a:solidFill>
                              <a:srgbClr val="385D8A"/>
                            </a:solidFill>
                            <a:ln w="1">
                              <a:solidFill>
                                <a:srgbClr val="385D8A"/>
                              </a:solidFill>
                              <a:round/>
                              <a:headEnd/>
                              <a:tailEnd/>
                            </a:ln>
                          </wps:spPr>
                          <wps:bodyPr rot="0" vert="horz" wrap="square" lIns="91440" tIns="45720" rIns="91440" bIns="45720" anchor="t" anchorCtr="0" upright="1">
                            <a:noAutofit/>
                          </wps:bodyPr>
                        </wps:wsp>
                        <wps:wsp>
                          <wps:cNvPr id="332037854" name="Rectangle 30"/>
                          <wps:cNvSpPr>
                            <a:spLocks/>
                          </wps:cNvSpPr>
                          <wps:spPr bwMode="auto">
                            <a:xfrm>
                              <a:off x="3334" y="1355"/>
                              <a:ext cx="711" cy="411"/>
                            </a:xfrm>
                            <a:prstGeom prst="rect">
                              <a:avLst/>
                            </a:prstGeom>
                            <a:solidFill>
                              <a:srgbClr val="FFFFFF"/>
                            </a:solidFill>
                            <a:ln>
                              <a:noFill/>
                            </a:ln>
                          </wps:spPr>
                          <wps:bodyPr rot="0" vert="horz" wrap="square" lIns="91440" tIns="45720" rIns="91440" bIns="45720" anchor="t" anchorCtr="0" upright="1">
                            <a:noAutofit/>
                          </wps:bodyPr>
                        </wps:wsp>
                        <wps:wsp>
                          <wps:cNvPr id="1233338542" name="Freeform 31"/>
                          <wps:cNvSpPr>
                            <a:spLocks/>
                          </wps:cNvSpPr>
                          <wps:spPr bwMode="auto">
                            <a:xfrm>
                              <a:off x="3327" y="1348"/>
                              <a:ext cx="724" cy="425"/>
                            </a:xfrm>
                            <a:custGeom>
                              <a:avLst/>
                              <a:gdLst>
                                <a:gd name="T0" fmla="*/ 0 w 724"/>
                                <a:gd name="T1" fmla="*/ 0 h 425"/>
                                <a:gd name="T2" fmla="*/ 724 w 724"/>
                                <a:gd name="T3" fmla="*/ 0 h 425"/>
                                <a:gd name="T4" fmla="*/ 724 w 724"/>
                                <a:gd name="T5" fmla="*/ 425 h 425"/>
                                <a:gd name="T6" fmla="*/ 0 w 724"/>
                                <a:gd name="T7" fmla="*/ 425 h 425"/>
                                <a:gd name="T8" fmla="*/ 0 w 724"/>
                                <a:gd name="T9" fmla="*/ 0 h 425"/>
                                <a:gd name="T10" fmla="*/ 14 w 724"/>
                                <a:gd name="T11" fmla="*/ 418 h 425"/>
                                <a:gd name="T12" fmla="*/ 7 w 724"/>
                                <a:gd name="T13" fmla="*/ 411 h 425"/>
                                <a:gd name="T14" fmla="*/ 718 w 724"/>
                                <a:gd name="T15" fmla="*/ 411 h 425"/>
                                <a:gd name="T16" fmla="*/ 711 w 724"/>
                                <a:gd name="T17" fmla="*/ 418 h 425"/>
                                <a:gd name="T18" fmla="*/ 711 w 724"/>
                                <a:gd name="T19" fmla="*/ 7 h 425"/>
                                <a:gd name="T20" fmla="*/ 718 w 724"/>
                                <a:gd name="T21" fmla="*/ 14 h 425"/>
                                <a:gd name="T22" fmla="*/ 7 w 724"/>
                                <a:gd name="T23" fmla="*/ 14 h 425"/>
                                <a:gd name="T24" fmla="*/ 14 w 724"/>
                                <a:gd name="T25" fmla="*/ 7 h 425"/>
                                <a:gd name="T26" fmla="*/ 14 w 724"/>
                                <a:gd name="T27" fmla="*/ 418 h 425"/>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Lst>
                              <a:ahLst/>
                              <a:cxnLst>
                                <a:cxn ang="T28">
                                  <a:pos x="T0" y="T1"/>
                                </a:cxn>
                                <a:cxn ang="T29">
                                  <a:pos x="T2" y="T3"/>
                                </a:cxn>
                                <a:cxn ang="T30">
                                  <a:pos x="T4" y="T5"/>
                                </a:cxn>
                                <a:cxn ang="T31">
                                  <a:pos x="T6" y="T7"/>
                                </a:cxn>
                                <a:cxn ang="T32">
                                  <a:pos x="T8" y="T9"/>
                                </a:cxn>
                                <a:cxn ang="T33">
                                  <a:pos x="T10" y="T11"/>
                                </a:cxn>
                                <a:cxn ang="T34">
                                  <a:pos x="T12" y="T13"/>
                                </a:cxn>
                                <a:cxn ang="T35">
                                  <a:pos x="T14" y="T15"/>
                                </a:cxn>
                                <a:cxn ang="T36">
                                  <a:pos x="T16" y="T17"/>
                                </a:cxn>
                                <a:cxn ang="T37">
                                  <a:pos x="T18" y="T19"/>
                                </a:cxn>
                                <a:cxn ang="T38">
                                  <a:pos x="T20" y="T21"/>
                                </a:cxn>
                                <a:cxn ang="T39">
                                  <a:pos x="T22" y="T23"/>
                                </a:cxn>
                                <a:cxn ang="T40">
                                  <a:pos x="T24" y="T25"/>
                                </a:cxn>
                                <a:cxn ang="T41">
                                  <a:pos x="T26" y="T27"/>
                                </a:cxn>
                              </a:cxnLst>
                              <a:rect l="0" t="0" r="r" b="b"/>
                              <a:pathLst>
                                <a:path w="724" h="425">
                                  <a:moveTo>
                                    <a:pt x="0" y="0"/>
                                  </a:moveTo>
                                  <a:lnTo>
                                    <a:pt x="724" y="0"/>
                                  </a:lnTo>
                                  <a:lnTo>
                                    <a:pt x="724" y="425"/>
                                  </a:lnTo>
                                  <a:lnTo>
                                    <a:pt x="0" y="425"/>
                                  </a:lnTo>
                                  <a:lnTo>
                                    <a:pt x="0" y="0"/>
                                  </a:lnTo>
                                  <a:close/>
                                  <a:moveTo>
                                    <a:pt x="14" y="418"/>
                                  </a:moveTo>
                                  <a:lnTo>
                                    <a:pt x="7" y="411"/>
                                  </a:lnTo>
                                  <a:lnTo>
                                    <a:pt x="718" y="411"/>
                                  </a:lnTo>
                                  <a:lnTo>
                                    <a:pt x="711" y="418"/>
                                  </a:lnTo>
                                  <a:lnTo>
                                    <a:pt x="711" y="7"/>
                                  </a:lnTo>
                                  <a:lnTo>
                                    <a:pt x="718" y="14"/>
                                  </a:lnTo>
                                  <a:lnTo>
                                    <a:pt x="7" y="14"/>
                                  </a:lnTo>
                                  <a:lnTo>
                                    <a:pt x="14" y="7"/>
                                  </a:lnTo>
                                  <a:lnTo>
                                    <a:pt x="14" y="418"/>
                                  </a:lnTo>
                                  <a:close/>
                                </a:path>
                              </a:pathLst>
                            </a:custGeom>
                            <a:solidFill>
                              <a:srgbClr val="000000"/>
                            </a:solidFill>
                            <a:ln w="1">
                              <a:solidFill>
                                <a:srgbClr val="000000"/>
                              </a:solidFill>
                              <a:round/>
                              <a:headEnd/>
                              <a:tailEnd/>
                            </a:ln>
                          </wps:spPr>
                          <wps:bodyPr rot="0" vert="horz" wrap="square" lIns="91440" tIns="45720" rIns="91440" bIns="45720" anchor="t" anchorCtr="0" upright="1">
                            <a:noAutofit/>
                          </wps:bodyPr>
                        </wps:wsp>
                        <wps:wsp>
                          <wps:cNvPr id="2070194576" name="Rectangle 32"/>
                          <wps:cNvSpPr>
                            <a:spLocks/>
                          </wps:cNvSpPr>
                          <wps:spPr bwMode="auto">
                            <a:xfrm>
                              <a:off x="3605" y="1422"/>
                              <a:ext cx="174" cy="493"/>
                            </a:xfrm>
                            <a:prstGeom prst="rect">
                              <a:avLst/>
                            </a:prstGeom>
                            <a:noFill/>
                            <a:ln>
                              <a:noFill/>
                            </a:ln>
                          </wps:spPr>
                          <wps:txbx>
                            <w:txbxContent>
                              <w:p w14:paraId="50CB4AAF" w14:textId="77777777" w:rsidR="002979CF" w:rsidRDefault="002979CF" w:rsidP="002979CF">
                                <w:r>
                                  <w:rPr>
                                    <w:b/>
                                    <w:bCs/>
                                    <w:color w:val="000000"/>
                                  </w:rPr>
                                  <w:t>Y</w:t>
                                </w:r>
                              </w:p>
                            </w:txbxContent>
                          </wps:txbx>
                          <wps:bodyPr rot="0" vert="horz" wrap="square" lIns="0" tIns="0" rIns="0" bIns="0" anchor="t" anchorCtr="0" upright="1">
                            <a:noAutofit/>
                          </wps:bodyPr>
                        </wps:wsp>
                        <wps:wsp>
                          <wps:cNvPr id="1147378671" name="Freeform 33"/>
                          <wps:cNvSpPr>
                            <a:spLocks/>
                          </wps:cNvSpPr>
                          <wps:spPr bwMode="auto">
                            <a:xfrm>
                              <a:off x="929" y="1506"/>
                              <a:ext cx="2408" cy="110"/>
                            </a:xfrm>
                            <a:custGeom>
                              <a:avLst/>
                              <a:gdLst>
                                <a:gd name="T0" fmla="*/ 0 w 2408"/>
                                <a:gd name="T1" fmla="*/ 48 h 110"/>
                                <a:gd name="T2" fmla="*/ 2316 w 2408"/>
                                <a:gd name="T3" fmla="*/ 48 h 110"/>
                                <a:gd name="T4" fmla="*/ 2316 w 2408"/>
                                <a:gd name="T5" fmla="*/ 61 h 110"/>
                                <a:gd name="T6" fmla="*/ 0 w 2408"/>
                                <a:gd name="T7" fmla="*/ 61 h 110"/>
                                <a:gd name="T8" fmla="*/ 0 w 2408"/>
                                <a:gd name="T9" fmla="*/ 48 h 110"/>
                                <a:gd name="T10" fmla="*/ 2298 w 2408"/>
                                <a:gd name="T11" fmla="*/ 0 h 110"/>
                                <a:gd name="T12" fmla="*/ 2408 w 2408"/>
                                <a:gd name="T13" fmla="*/ 54 h 110"/>
                                <a:gd name="T14" fmla="*/ 2298 w 2408"/>
                                <a:gd name="T15" fmla="*/ 110 h 110"/>
                                <a:gd name="T16" fmla="*/ 2298 w 2408"/>
                                <a:gd name="T17" fmla="*/ 0 h 11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2408" h="110">
                                  <a:moveTo>
                                    <a:pt x="0" y="48"/>
                                  </a:moveTo>
                                  <a:lnTo>
                                    <a:pt x="2316" y="48"/>
                                  </a:lnTo>
                                  <a:lnTo>
                                    <a:pt x="2316" y="61"/>
                                  </a:lnTo>
                                  <a:lnTo>
                                    <a:pt x="0" y="61"/>
                                  </a:lnTo>
                                  <a:lnTo>
                                    <a:pt x="0" y="48"/>
                                  </a:lnTo>
                                  <a:close/>
                                  <a:moveTo>
                                    <a:pt x="2298" y="0"/>
                                  </a:moveTo>
                                  <a:lnTo>
                                    <a:pt x="2408" y="54"/>
                                  </a:lnTo>
                                  <a:lnTo>
                                    <a:pt x="2298" y="110"/>
                                  </a:lnTo>
                                  <a:lnTo>
                                    <a:pt x="2298" y="0"/>
                                  </a:lnTo>
                                  <a:close/>
                                </a:path>
                              </a:pathLst>
                            </a:custGeom>
                            <a:solidFill>
                              <a:srgbClr val="000000"/>
                            </a:solidFill>
                            <a:ln w="1">
                              <a:solidFill>
                                <a:srgbClr val="000000"/>
                              </a:solidFill>
                              <a:round/>
                              <a:headEnd/>
                              <a:tailEnd/>
                            </a:ln>
                          </wps:spPr>
                          <wps:bodyPr rot="0" vert="horz" wrap="square" lIns="91440" tIns="45720" rIns="91440" bIns="45720" anchor="t" anchorCtr="0" upright="1">
                            <a:noAutofit/>
                          </wps:bodyPr>
                        </wps:wsp>
                        <wps:wsp>
                          <wps:cNvPr id="211691980" name="Rectangle 34"/>
                          <wps:cNvSpPr>
                            <a:spLocks/>
                          </wps:cNvSpPr>
                          <wps:spPr bwMode="auto">
                            <a:xfrm>
                              <a:off x="2598" y="1133"/>
                              <a:ext cx="174" cy="493"/>
                            </a:xfrm>
                            <a:prstGeom prst="rect">
                              <a:avLst/>
                            </a:prstGeom>
                            <a:noFill/>
                            <a:ln>
                              <a:noFill/>
                            </a:ln>
                          </wps:spPr>
                          <wps:txbx>
                            <w:txbxContent>
                              <w:p w14:paraId="7FECBA59" w14:textId="77777777" w:rsidR="002979CF" w:rsidRDefault="002979CF" w:rsidP="002979CF">
                                <w:r>
                                  <w:rPr>
                                    <w:rFonts w:ascii="Arial" w:hAnsi="Arial" w:cs="Arial"/>
                                    <w:color w:val="000000"/>
                                  </w:rPr>
                                  <w:t>H</w:t>
                                </w:r>
                              </w:p>
                            </w:txbxContent>
                          </wps:txbx>
                          <wps:bodyPr rot="0" vert="horz" wrap="square" lIns="0" tIns="0" rIns="0" bIns="0" anchor="t" anchorCtr="0" upright="1">
                            <a:noAutofit/>
                          </wps:bodyPr>
                        </wps:wsp>
                        <wps:wsp>
                          <wps:cNvPr id="421738545" name="Rectangle 35"/>
                          <wps:cNvSpPr>
                            <a:spLocks/>
                          </wps:cNvSpPr>
                          <wps:spPr bwMode="auto">
                            <a:xfrm>
                              <a:off x="2762" y="1229"/>
                              <a:ext cx="89" cy="368"/>
                            </a:xfrm>
                            <a:prstGeom prst="rect">
                              <a:avLst/>
                            </a:prstGeom>
                            <a:noFill/>
                            <a:ln>
                              <a:noFill/>
                            </a:ln>
                          </wps:spPr>
                          <wps:txbx>
                            <w:txbxContent>
                              <w:p w14:paraId="5A4A4EA2" w14:textId="77777777" w:rsidR="002979CF" w:rsidRDefault="002979CF" w:rsidP="002979CF">
                                <w:r>
                                  <w:rPr>
                                    <w:rFonts w:ascii="Arial" w:hAnsi="Arial" w:cs="Arial"/>
                                    <w:color w:val="000000"/>
                                    <w:sz w:val="16"/>
                                    <w:szCs w:val="16"/>
                                  </w:rPr>
                                  <w:t>2</w:t>
                                </w:r>
                              </w:p>
                            </w:txbxContent>
                          </wps:txbx>
                          <wps:bodyPr rot="0" vert="horz" wrap="square" lIns="0" tIns="0" rIns="0" bIns="0" anchor="t" anchorCtr="0" upright="1">
                            <a:noAutofit/>
                          </wps:bodyPr>
                        </wps:wsp>
                        <wps:wsp>
                          <wps:cNvPr id="482241635" name="Rectangle 36"/>
                          <wps:cNvSpPr>
                            <a:spLocks/>
                          </wps:cNvSpPr>
                          <wps:spPr bwMode="auto">
                            <a:xfrm>
                              <a:off x="424" y="1355"/>
                              <a:ext cx="778" cy="411"/>
                            </a:xfrm>
                            <a:prstGeom prst="rect">
                              <a:avLst/>
                            </a:prstGeom>
                            <a:solidFill>
                              <a:srgbClr val="FFFFFF"/>
                            </a:solidFill>
                            <a:ln>
                              <a:noFill/>
                            </a:ln>
                          </wps:spPr>
                          <wps:bodyPr rot="0" vert="horz" wrap="square" lIns="91440" tIns="45720" rIns="91440" bIns="45720" anchor="t" anchorCtr="0" upright="1">
                            <a:noAutofit/>
                          </wps:bodyPr>
                        </wps:wsp>
                        <wps:wsp>
                          <wps:cNvPr id="1200994252" name="Freeform 37"/>
                          <wps:cNvSpPr>
                            <a:spLocks/>
                          </wps:cNvSpPr>
                          <wps:spPr bwMode="auto">
                            <a:xfrm>
                              <a:off x="417" y="1348"/>
                              <a:ext cx="792" cy="425"/>
                            </a:xfrm>
                            <a:custGeom>
                              <a:avLst/>
                              <a:gdLst>
                                <a:gd name="T0" fmla="*/ 0 w 792"/>
                                <a:gd name="T1" fmla="*/ 0 h 425"/>
                                <a:gd name="T2" fmla="*/ 792 w 792"/>
                                <a:gd name="T3" fmla="*/ 0 h 425"/>
                                <a:gd name="T4" fmla="*/ 792 w 792"/>
                                <a:gd name="T5" fmla="*/ 425 h 425"/>
                                <a:gd name="T6" fmla="*/ 0 w 792"/>
                                <a:gd name="T7" fmla="*/ 425 h 425"/>
                                <a:gd name="T8" fmla="*/ 0 w 792"/>
                                <a:gd name="T9" fmla="*/ 0 h 425"/>
                                <a:gd name="T10" fmla="*/ 13 w 792"/>
                                <a:gd name="T11" fmla="*/ 418 h 425"/>
                                <a:gd name="T12" fmla="*/ 7 w 792"/>
                                <a:gd name="T13" fmla="*/ 411 h 425"/>
                                <a:gd name="T14" fmla="*/ 785 w 792"/>
                                <a:gd name="T15" fmla="*/ 411 h 425"/>
                                <a:gd name="T16" fmla="*/ 779 w 792"/>
                                <a:gd name="T17" fmla="*/ 418 h 425"/>
                                <a:gd name="T18" fmla="*/ 779 w 792"/>
                                <a:gd name="T19" fmla="*/ 7 h 425"/>
                                <a:gd name="T20" fmla="*/ 785 w 792"/>
                                <a:gd name="T21" fmla="*/ 14 h 425"/>
                                <a:gd name="T22" fmla="*/ 7 w 792"/>
                                <a:gd name="T23" fmla="*/ 14 h 425"/>
                                <a:gd name="T24" fmla="*/ 13 w 792"/>
                                <a:gd name="T25" fmla="*/ 7 h 425"/>
                                <a:gd name="T26" fmla="*/ 13 w 792"/>
                                <a:gd name="T27" fmla="*/ 418 h 425"/>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Lst>
                              <a:ahLst/>
                              <a:cxnLst>
                                <a:cxn ang="T28">
                                  <a:pos x="T0" y="T1"/>
                                </a:cxn>
                                <a:cxn ang="T29">
                                  <a:pos x="T2" y="T3"/>
                                </a:cxn>
                                <a:cxn ang="T30">
                                  <a:pos x="T4" y="T5"/>
                                </a:cxn>
                                <a:cxn ang="T31">
                                  <a:pos x="T6" y="T7"/>
                                </a:cxn>
                                <a:cxn ang="T32">
                                  <a:pos x="T8" y="T9"/>
                                </a:cxn>
                                <a:cxn ang="T33">
                                  <a:pos x="T10" y="T11"/>
                                </a:cxn>
                                <a:cxn ang="T34">
                                  <a:pos x="T12" y="T13"/>
                                </a:cxn>
                                <a:cxn ang="T35">
                                  <a:pos x="T14" y="T15"/>
                                </a:cxn>
                                <a:cxn ang="T36">
                                  <a:pos x="T16" y="T17"/>
                                </a:cxn>
                                <a:cxn ang="T37">
                                  <a:pos x="T18" y="T19"/>
                                </a:cxn>
                                <a:cxn ang="T38">
                                  <a:pos x="T20" y="T21"/>
                                </a:cxn>
                                <a:cxn ang="T39">
                                  <a:pos x="T22" y="T23"/>
                                </a:cxn>
                                <a:cxn ang="T40">
                                  <a:pos x="T24" y="T25"/>
                                </a:cxn>
                                <a:cxn ang="T41">
                                  <a:pos x="T26" y="T27"/>
                                </a:cxn>
                              </a:cxnLst>
                              <a:rect l="0" t="0" r="r" b="b"/>
                              <a:pathLst>
                                <a:path w="792" h="425">
                                  <a:moveTo>
                                    <a:pt x="0" y="0"/>
                                  </a:moveTo>
                                  <a:lnTo>
                                    <a:pt x="792" y="0"/>
                                  </a:lnTo>
                                  <a:lnTo>
                                    <a:pt x="792" y="425"/>
                                  </a:lnTo>
                                  <a:lnTo>
                                    <a:pt x="0" y="425"/>
                                  </a:lnTo>
                                  <a:lnTo>
                                    <a:pt x="0" y="0"/>
                                  </a:lnTo>
                                  <a:close/>
                                  <a:moveTo>
                                    <a:pt x="13" y="418"/>
                                  </a:moveTo>
                                  <a:lnTo>
                                    <a:pt x="7" y="411"/>
                                  </a:lnTo>
                                  <a:lnTo>
                                    <a:pt x="785" y="411"/>
                                  </a:lnTo>
                                  <a:lnTo>
                                    <a:pt x="779" y="418"/>
                                  </a:lnTo>
                                  <a:lnTo>
                                    <a:pt x="779" y="7"/>
                                  </a:lnTo>
                                  <a:lnTo>
                                    <a:pt x="785" y="14"/>
                                  </a:lnTo>
                                  <a:lnTo>
                                    <a:pt x="7" y="14"/>
                                  </a:lnTo>
                                  <a:lnTo>
                                    <a:pt x="13" y="7"/>
                                  </a:lnTo>
                                  <a:lnTo>
                                    <a:pt x="13" y="418"/>
                                  </a:lnTo>
                                  <a:close/>
                                </a:path>
                              </a:pathLst>
                            </a:custGeom>
                            <a:solidFill>
                              <a:srgbClr val="000000"/>
                            </a:solidFill>
                            <a:ln w="1">
                              <a:solidFill>
                                <a:srgbClr val="000000"/>
                              </a:solidFill>
                              <a:round/>
                              <a:headEnd/>
                              <a:tailEnd/>
                            </a:ln>
                          </wps:spPr>
                          <wps:bodyPr rot="0" vert="horz" wrap="square" lIns="91440" tIns="45720" rIns="91440" bIns="45720" anchor="t" anchorCtr="0" upright="1">
                            <a:noAutofit/>
                          </wps:bodyPr>
                        </wps:wsp>
                        <wps:wsp>
                          <wps:cNvPr id="269608857" name="Rectangle 38"/>
                          <wps:cNvSpPr>
                            <a:spLocks/>
                          </wps:cNvSpPr>
                          <wps:spPr bwMode="auto">
                            <a:xfrm>
                              <a:off x="727" y="1414"/>
                              <a:ext cx="174" cy="493"/>
                            </a:xfrm>
                            <a:prstGeom prst="rect">
                              <a:avLst/>
                            </a:prstGeom>
                            <a:noFill/>
                            <a:ln>
                              <a:noFill/>
                            </a:ln>
                          </wps:spPr>
                          <wps:txbx>
                            <w:txbxContent>
                              <w:p w14:paraId="6F1CF5C5" w14:textId="77777777" w:rsidR="002979CF" w:rsidRDefault="002979CF" w:rsidP="002979CF">
                                <w:r>
                                  <w:rPr>
                                    <w:b/>
                                    <w:bCs/>
                                    <w:color w:val="000000"/>
                                  </w:rPr>
                                  <w:t>X</w:t>
                                </w:r>
                              </w:p>
                            </w:txbxContent>
                          </wps:txbx>
                          <wps:bodyPr rot="0" vert="horz" wrap="square" lIns="0" tIns="0" rIns="0" bIns="0" anchor="t" anchorCtr="0" upright="1">
                            <a:noAutofit/>
                          </wps:bodyPr>
                        </wps:wsp>
                        <wps:wsp>
                          <wps:cNvPr id="1825767760" name="Rectangle 39"/>
                          <wps:cNvSpPr>
                            <a:spLocks/>
                          </wps:cNvSpPr>
                          <wps:spPr bwMode="auto">
                            <a:xfrm>
                              <a:off x="1858" y="219"/>
                              <a:ext cx="779" cy="411"/>
                            </a:xfrm>
                            <a:prstGeom prst="rect">
                              <a:avLst/>
                            </a:prstGeom>
                            <a:solidFill>
                              <a:srgbClr val="FFFFFF"/>
                            </a:solidFill>
                            <a:ln>
                              <a:noFill/>
                            </a:ln>
                          </wps:spPr>
                          <wps:bodyPr rot="0" vert="horz" wrap="square" lIns="91440" tIns="45720" rIns="91440" bIns="45720" anchor="t" anchorCtr="0" upright="1">
                            <a:noAutofit/>
                          </wps:bodyPr>
                        </wps:wsp>
                        <wps:wsp>
                          <wps:cNvPr id="610309782" name="Freeform 40"/>
                          <wps:cNvSpPr>
                            <a:spLocks/>
                          </wps:cNvSpPr>
                          <wps:spPr bwMode="auto">
                            <a:xfrm>
                              <a:off x="1852" y="212"/>
                              <a:ext cx="792" cy="424"/>
                            </a:xfrm>
                            <a:custGeom>
                              <a:avLst/>
                              <a:gdLst>
                                <a:gd name="T0" fmla="*/ 0 w 792"/>
                                <a:gd name="T1" fmla="*/ 0 h 424"/>
                                <a:gd name="T2" fmla="*/ 792 w 792"/>
                                <a:gd name="T3" fmla="*/ 0 h 424"/>
                                <a:gd name="T4" fmla="*/ 792 w 792"/>
                                <a:gd name="T5" fmla="*/ 424 h 424"/>
                                <a:gd name="T6" fmla="*/ 0 w 792"/>
                                <a:gd name="T7" fmla="*/ 424 h 424"/>
                                <a:gd name="T8" fmla="*/ 0 w 792"/>
                                <a:gd name="T9" fmla="*/ 0 h 424"/>
                                <a:gd name="T10" fmla="*/ 13 w 792"/>
                                <a:gd name="T11" fmla="*/ 418 h 424"/>
                                <a:gd name="T12" fmla="*/ 6 w 792"/>
                                <a:gd name="T13" fmla="*/ 411 h 424"/>
                                <a:gd name="T14" fmla="*/ 785 w 792"/>
                                <a:gd name="T15" fmla="*/ 411 h 424"/>
                                <a:gd name="T16" fmla="*/ 778 w 792"/>
                                <a:gd name="T17" fmla="*/ 418 h 424"/>
                                <a:gd name="T18" fmla="*/ 778 w 792"/>
                                <a:gd name="T19" fmla="*/ 7 h 424"/>
                                <a:gd name="T20" fmla="*/ 785 w 792"/>
                                <a:gd name="T21" fmla="*/ 14 h 424"/>
                                <a:gd name="T22" fmla="*/ 6 w 792"/>
                                <a:gd name="T23" fmla="*/ 14 h 424"/>
                                <a:gd name="T24" fmla="*/ 13 w 792"/>
                                <a:gd name="T25" fmla="*/ 7 h 424"/>
                                <a:gd name="T26" fmla="*/ 13 w 792"/>
                                <a:gd name="T27" fmla="*/ 418 h 424"/>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Lst>
                              <a:ahLst/>
                              <a:cxnLst>
                                <a:cxn ang="T28">
                                  <a:pos x="T0" y="T1"/>
                                </a:cxn>
                                <a:cxn ang="T29">
                                  <a:pos x="T2" y="T3"/>
                                </a:cxn>
                                <a:cxn ang="T30">
                                  <a:pos x="T4" y="T5"/>
                                </a:cxn>
                                <a:cxn ang="T31">
                                  <a:pos x="T6" y="T7"/>
                                </a:cxn>
                                <a:cxn ang="T32">
                                  <a:pos x="T8" y="T9"/>
                                </a:cxn>
                                <a:cxn ang="T33">
                                  <a:pos x="T10" y="T11"/>
                                </a:cxn>
                                <a:cxn ang="T34">
                                  <a:pos x="T12" y="T13"/>
                                </a:cxn>
                                <a:cxn ang="T35">
                                  <a:pos x="T14" y="T15"/>
                                </a:cxn>
                                <a:cxn ang="T36">
                                  <a:pos x="T16" y="T17"/>
                                </a:cxn>
                                <a:cxn ang="T37">
                                  <a:pos x="T18" y="T19"/>
                                </a:cxn>
                                <a:cxn ang="T38">
                                  <a:pos x="T20" y="T21"/>
                                </a:cxn>
                                <a:cxn ang="T39">
                                  <a:pos x="T22" y="T23"/>
                                </a:cxn>
                                <a:cxn ang="T40">
                                  <a:pos x="T24" y="T25"/>
                                </a:cxn>
                                <a:cxn ang="T41">
                                  <a:pos x="T26" y="T27"/>
                                </a:cxn>
                              </a:cxnLst>
                              <a:rect l="0" t="0" r="r" b="b"/>
                              <a:pathLst>
                                <a:path w="792" h="424">
                                  <a:moveTo>
                                    <a:pt x="0" y="0"/>
                                  </a:moveTo>
                                  <a:lnTo>
                                    <a:pt x="792" y="0"/>
                                  </a:lnTo>
                                  <a:lnTo>
                                    <a:pt x="792" y="424"/>
                                  </a:lnTo>
                                  <a:lnTo>
                                    <a:pt x="0" y="424"/>
                                  </a:lnTo>
                                  <a:lnTo>
                                    <a:pt x="0" y="0"/>
                                  </a:lnTo>
                                  <a:close/>
                                  <a:moveTo>
                                    <a:pt x="13" y="418"/>
                                  </a:moveTo>
                                  <a:lnTo>
                                    <a:pt x="6" y="411"/>
                                  </a:lnTo>
                                  <a:lnTo>
                                    <a:pt x="785" y="411"/>
                                  </a:lnTo>
                                  <a:lnTo>
                                    <a:pt x="778" y="418"/>
                                  </a:lnTo>
                                  <a:lnTo>
                                    <a:pt x="778" y="7"/>
                                  </a:lnTo>
                                  <a:lnTo>
                                    <a:pt x="785" y="14"/>
                                  </a:lnTo>
                                  <a:lnTo>
                                    <a:pt x="6" y="14"/>
                                  </a:lnTo>
                                  <a:lnTo>
                                    <a:pt x="13" y="7"/>
                                  </a:lnTo>
                                  <a:lnTo>
                                    <a:pt x="13" y="418"/>
                                  </a:lnTo>
                                  <a:close/>
                                </a:path>
                              </a:pathLst>
                            </a:custGeom>
                            <a:solidFill>
                              <a:srgbClr val="000000"/>
                            </a:solidFill>
                            <a:ln w="1">
                              <a:solidFill>
                                <a:srgbClr val="000000"/>
                              </a:solidFill>
                              <a:round/>
                              <a:headEnd/>
                              <a:tailEnd/>
                            </a:ln>
                          </wps:spPr>
                          <wps:bodyPr rot="0" vert="horz" wrap="square" lIns="91440" tIns="45720" rIns="91440" bIns="45720" anchor="t" anchorCtr="0" upright="1">
                            <a:noAutofit/>
                          </wps:bodyPr>
                        </wps:wsp>
                        <wps:wsp>
                          <wps:cNvPr id="947583167" name="Rectangle 41"/>
                          <wps:cNvSpPr>
                            <a:spLocks/>
                          </wps:cNvSpPr>
                          <wps:spPr bwMode="auto">
                            <a:xfrm>
                              <a:off x="2175" y="285"/>
                              <a:ext cx="161" cy="493"/>
                            </a:xfrm>
                            <a:prstGeom prst="rect">
                              <a:avLst/>
                            </a:prstGeom>
                            <a:noFill/>
                            <a:ln>
                              <a:noFill/>
                            </a:ln>
                          </wps:spPr>
                          <wps:txbx>
                            <w:txbxContent>
                              <w:p w14:paraId="2E9CB77E" w14:textId="77777777" w:rsidR="002979CF" w:rsidRDefault="002979CF" w:rsidP="002979CF">
                                <w:r>
                                  <w:rPr>
                                    <w:b/>
                                    <w:bCs/>
                                    <w:color w:val="000000"/>
                                  </w:rPr>
                                  <w:t>Z</w:t>
                                </w:r>
                              </w:p>
                            </w:txbxContent>
                          </wps:txbx>
                          <wps:bodyPr rot="0" vert="horz" wrap="square" lIns="0" tIns="0" rIns="0" bIns="0" anchor="t" anchorCtr="0" upright="1">
                            <a:noAutofit/>
                          </wps:bodyPr>
                        </wps:wsp>
                      </wpg:wgp>
                      <wps:wsp>
                        <wps:cNvPr id="993013924" name="Rectangle 184"/>
                        <wps:cNvSpPr>
                          <a:spLocks/>
                        </wps:cNvSpPr>
                        <wps:spPr bwMode="auto">
                          <a:xfrm>
                            <a:off x="3594500" y="493992"/>
                            <a:ext cx="1349400" cy="236896"/>
                          </a:xfrm>
                          <a:prstGeom prst="rect">
                            <a:avLst/>
                          </a:prstGeom>
                          <a:noFill/>
                          <a:ln>
                            <a:noFill/>
                          </a:ln>
                        </wps:spPr>
                        <wps:txbx>
                          <w:txbxContent>
                            <w:p w14:paraId="7FB6A0A9" w14:textId="77777777" w:rsidR="002979CF" w:rsidRDefault="002979CF" w:rsidP="002979CF">
                              <w:pPr>
                                <w:pStyle w:val="NormalWeb"/>
                                <w:spacing w:after="120" w:line="324" w:lineRule="auto"/>
                                <w:jc w:val="both"/>
                              </w:pPr>
                              <w:r>
                                <w:rPr>
                                  <w:position w:val="-6"/>
                                  <w:vertAlign w:val="subscript"/>
                                  <w:lang w:val="en-GB"/>
                                </w:rPr>
                                <w:t>R</w:t>
                              </w:r>
                              <w:r w:rsidRPr="00742C4F">
                                <w:rPr>
                                  <w:position w:val="-6"/>
                                  <w:vertAlign w:val="superscript"/>
                                  <w:lang w:val="en-GB"/>
                                </w:rPr>
                                <w:t>2</w:t>
                              </w:r>
                              <w:r>
                                <w:rPr>
                                  <w:position w:val="-6"/>
                                  <w:vertAlign w:val="subscript"/>
                                  <w:lang w:val="en-GB"/>
                                </w:rPr>
                                <w:t xml:space="preserve"> = .679, β=.654</w:t>
                              </w:r>
                              <w:r w:rsidRPr="00E77411">
                                <w:rPr>
                                  <w:position w:val="-6"/>
                                  <w:vertAlign w:val="subscript"/>
                                  <w:lang w:val="en-GB"/>
                                </w:rPr>
                                <w:t>,</w:t>
                              </w:r>
                              <w:r>
                                <w:rPr>
                                  <w:position w:val="-6"/>
                                  <w:vertAlign w:val="subscript"/>
                                  <w:lang w:val="en-GB"/>
                                </w:rPr>
                                <w:t xml:space="preserve"> p=.000</w:t>
                              </w:r>
                            </w:p>
                          </w:txbxContent>
                        </wps:txbx>
                        <wps:bodyPr rot="0" vert="horz" wrap="square" lIns="0" tIns="0" rIns="0" bIns="0" anchor="t" anchorCtr="0" upright="1">
                          <a:noAutofit/>
                        </wps:bodyPr>
                      </wps:wsp>
                      <wps:wsp>
                        <wps:cNvPr id="838463280" name="Rectangle 185"/>
                        <wps:cNvSpPr>
                          <a:spLocks/>
                        </wps:cNvSpPr>
                        <wps:spPr bwMode="auto">
                          <a:xfrm>
                            <a:off x="3926000" y="1032484"/>
                            <a:ext cx="1349400" cy="308595"/>
                          </a:xfrm>
                          <a:prstGeom prst="rect">
                            <a:avLst/>
                          </a:prstGeom>
                          <a:noFill/>
                          <a:ln>
                            <a:noFill/>
                          </a:ln>
                        </wps:spPr>
                        <wps:txbx>
                          <w:txbxContent>
                            <w:p w14:paraId="2463D50E" w14:textId="77777777" w:rsidR="002979CF" w:rsidRDefault="00D40FA3" w:rsidP="002979CF">
                              <w:pPr>
                                <w:pStyle w:val="NormalWeb"/>
                                <w:spacing w:after="120" w:line="324" w:lineRule="auto"/>
                                <w:jc w:val="both"/>
                              </w:pPr>
                              <w:r>
                                <w:rPr>
                                  <w:position w:val="-6"/>
                                  <w:vertAlign w:val="subscript"/>
                                  <w:lang w:val="en-GB"/>
                                </w:rPr>
                                <w:t>R</w:t>
                              </w:r>
                              <w:r w:rsidRPr="00742C4F">
                                <w:rPr>
                                  <w:position w:val="-6"/>
                                  <w:vertAlign w:val="superscript"/>
                                  <w:lang w:val="en-GB"/>
                                </w:rPr>
                                <w:t>2</w:t>
                              </w:r>
                              <w:r w:rsidR="002979CF">
                                <w:rPr>
                                  <w:position w:val="-6"/>
                                  <w:vertAlign w:val="subscript"/>
                                  <w:lang w:val="en-GB"/>
                                </w:rPr>
                                <w:t xml:space="preserve"> = .841, β=</w:t>
                              </w:r>
                              <w:r w:rsidR="009A4281">
                                <w:rPr>
                                  <w:position w:val="-6"/>
                                  <w:vertAlign w:val="subscript"/>
                                  <w:lang w:val="en-GB"/>
                                </w:rPr>
                                <w:t xml:space="preserve"> </w:t>
                              </w:r>
                              <w:r w:rsidR="009A4281" w:rsidRPr="009A4281">
                                <w:rPr>
                                  <w:position w:val="-6"/>
                                  <w:vertAlign w:val="subscript"/>
                                  <w:lang w:val="en-GB"/>
                                </w:rPr>
                                <w:t>0.695</w:t>
                              </w:r>
                              <w:r w:rsidR="002979CF">
                                <w:rPr>
                                  <w:position w:val="-6"/>
                                  <w:vertAlign w:val="subscript"/>
                                  <w:lang w:val="en-GB"/>
                                </w:rPr>
                                <w:t>, p=.000</w:t>
                              </w:r>
                            </w:p>
                          </w:txbxContent>
                        </wps:txbx>
                        <wps:bodyPr rot="0" vert="horz" wrap="square" lIns="0" tIns="0" rIns="0" bIns="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0439C387" id="Canvas 255" o:spid="_x0000_s1051" editas="canvas" style="position:absolute;margin-left:28.2pt;margin-top:19.5pt;width:434.5pt;height:136.5pt;z-index:251656192;mso-position-horizontal-relative:char;mso-position-vertical-relative:line" coordsize="55181,17335"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">
                <v:shape id="_x0000_s1052" type="#_x0000_t75" style="position:absolute;width:55181;height:17335;visibility:visible;mso-wrap-style:square">
                  <v:fill o:detectmouseclick="t"/>
                  <v:path o:connecttype="none"/>
                </v:shape>
                <v:rect id="Rectangle 5" o:spid="_x0000_s1053" style="position:absolute;width:323;height:3282;visibility:visible;mso-wrap-style:non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" filled="f" stroked="f">
                  <v:textbox style="mso-fit-shape-to-text:t" inset="0,0,0,0">
                    <w:txbxContent>
                      <w:p w14:paraId="14596F12" w14:textId="77777777" w:rsidR="002979CF" w:rsidRDefault="002979CF" w:rsidP="002979CF">
                        <w:r>
                          <w:rPr>
                            <w:rFonts w:cs="Calibri"/>
                            <w:color w:val="000000"/>
                            <w:sz w:val="20"/>
                            <w:szCs w:val="20"/>
                          </w:rPr>
                          <w:t xml:space="preserve"> </w:t>
                        </w:r>
                      </w:p>
                    </w:txbxContent>
                  </v:textbox>
                </v:rect>
                <v:group id="Group 42" o:spid="_x0000_s1054" style="position:absolute;top:44;width:54794;height:15729" coordorigin="7,7" coordsize="8622,2477"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">
                  <v:shape id="Freeform 6" o:spid="_x0000_s1055" style="position:absolute;left:2203;top:219;width:110;height:1335;visibility:visible;mso-wrap-style:square;v-text-anchor:top" coordsize="110,133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" path="m45,l62,1244r-14,l31,1,45,xm110,1224l57,1335,,1226r110,-2xe" fillcolor="black" strokeweight="3e-5mm">
                    <v:path arrowok="t" o:connecttype="custom" o:connectlocs="45,0;62,1244;48,1244;31,1;45,0;110,1224;57,1335;0,1226;110,1224" o:connectangles="0,0,0,0,0,0,0,0,0"/>
                  </v:shape>
                  <v:rect id="Rectangle 7" o:spid="_x0000_s1056" style="position:absolute;left:107;top:2146;width:7579;height:264;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" filled="f" stroked="f">
                    <v:textbox inset="0,0,0,0">
                      <w:txbxContent>
                        <w:p w14:paraId="098A706C" w14:textId="77777777" w:rsidR="002979CF" w:rsidRPr="009F6EE3" w:rsidRDefault="002979CF" w:rsidP="002979CF">
                          <w:r w:rsidRPr="009F6EE3">
                            <w:rPr>
                              <w:color w:val="000000"/>
                              <w:sz w:val="20"/>
                              <w:szCs w:val="20"/>
                            </w:rPr>
                            <w:t>X= Independent variable, Z= Moderator variable, XZ= Interaction</w:t>
                          </w:r>
                          <w:r w:rsidRPr="009F6EE3">
                            <w:rPr>
                              <w:color w:val="000000"/>
                              <w:sz w:val="28"/>
                            </w:rPr>
                            <w:t xml:space="preserve"> </w:t>
                          </w:r>
                          <w:r w:rsidRPr="009F6EE3">
                            <w:rPr>
                              <w:color w:val="000000"/>
                              <w:sz w:val="20"/>
                              <w:szCs w:val="20"/>
                            </w:rPr>
                            <w:t>term, Y=Dependent</w:t>
                          </w:r>
                          <w:r w:rsidRPr="009F6EE3">
                            <w:rPr>
                              <w:color w:val="000000"/>
                            </w:rPr>
                            <w:t xml:space="preserve"> variable</w:t>
                          </w:r>
                        </w:p>
                      </w:txbxContent>
                    </v:textbox>
                  </v:rect>
                  <v:shape id="Freeform 8" o:spid="_x0000_s1057" style="position:absolute;left:5343;top:1095;width:2459;height:110;visibility:visible;mso-wrap-style:square;v-text-anchor:top" coordsize="2459,11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" path="m,48r2369,l2369,62,,62,,48xm2350,r109,55l2350,110,2350,xe" fillcolor="black" strokeweight="3e-5mm">
                    <v:path arrowok="t" o:connecttype="custom" o:connectlocs="0,48;2369,48;2369,62;0,62;0,48;2350,0;2459,55;2350,110;2350,0" o:connectangles="0,0,0,0,0,0,0,0,0"/>
                  </v:shape>
                  <v:shape id="Freeform 9" o:spid="_x0000_s1058" style="position:absolute;left:5438;top:1216;width:2357;height:550;visibility:visible;mso-wrap-style:square;v-text-anchor:top" coordsize="2357,55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" path="m,537l2267,42r3,14l2,550,,537xm2240,r117,30l2263,107,2240,xe" fillcolor="black" strokeweight="3e-5mm">
                    <v:path arrowok="t" o:connecttype="custom" o:connectlocs="0,537;2267,42;2270,56;2,550;0,537;2240,0;2357,30;2263,107;2240,0" o:connectangles="0,0,0,0,0,0,0,0,0"/>
                  </v:shape>
                  <v:rect id="Rectangle 10" o:spid="_x0000_s1059" style="position:absolute;left:4864;top:219;width:779;height:411;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" stroked="f"/>
                  <v:shape id="Freeform 11" o:spid="_x0000_s1060" style="position:absolute;left:4858;top:212;width:792;height:424;visibility:visible;mso-wrap-style:square;v-text-anchor:top" coordsize="792,424"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" path="m,l792,r,424l,424,,xm13,418l6,411r779,l778,418,778,7r7,7l6,14,13,7r,411xe" fillcolor="black" strokeweight="3e-5mm">
                    <v:path arrowok="t" o:connecttype="custom" o:connectlocs="0,0;792,0;792,424;0,424;0,0;13,418;6,411;785,411;778,418;778,7;785,14;6,14;13,7;13,418" o:connectangles="0,0,0,0,0,0,0,0,0,0,0,0,0,0"/>
                  </v:shape>
                  <v:rect id="Rectangle 12" o:spid="_x0000_s1061" style="position:absolute;left:5170;top:285;width:174;height:493;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" filled="f" stroked="f">
                    <v:textbox inset="0,0,0,0">
                      <w:txbxContent>
                        <w:p w14:paraId="03967F22" w14:textId="77777777" w:rsidR="002979CF" w:rsidRDefault="002979CF" w:rsidP="002979CF">
                          <w:r>
                            <w:rPr>
                              <w:b/>
                              <w:bCs/>
                              <w:color w:val="000000"/>
                            </w:rPr>
                            <w:t>X</w:t>
                          </w:r>
                        </w:p>
                      </w:txbxContent>
                    </v:textbox>
                  </v:rect>
                  <v:rect id="Rectangle 13" o:spid="_x0000_s1062" style="position:absolute;left:4864;top:944;width:779;height:411;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" stroked="f"/>
                  <v:shape id="Freeform 14" o:spid="_x0000_s1063" style="position:absolute;left:4858;top:938;width:792;height:424;visibility:visible;mso-wrap-style:square;v-text-anchor:top" coordsize="792,424"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" path="m,l792,r,424l,424,,xm13,417l6,410r779,l778,417,778,6r7,7l6,13,13,6r,411xe" fillcolor="black" strokeweight="3e-5mm">
                    <v:path arrowok="t" o:connecttype="custom" o:connectlocs="0,0;792,0;792,424;0,424;0,0;13,417;6,410;785,410;778,417;778,6;785,13;6,13;13,6;13,417" o:connectangles="0,0,0,0,0,0,0,0,0,0,0,0,0,0"/>
                  </v:shape>
                  <v:rect id="Rectangle 15" o:spid="_x0000_s1064" style="position:absolute;left:5183;top:1003;width:161;height:493;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" filled="f" stroked="f">
                    <v:textbox inset="0,0,0,0">
                      <w:txbxContent>
                        <w:p w14:paraId="43D73F7F" w14:textId="77777777" w:rsidR="002979CF" w:rsidRDefault="002979CF" w:rsidP="002979CF">
                          <w:r>
                            <w:rPr>
                              <w:b/>
                              <w:bCs/>
                              <w:color w:val="000000"/>
                            </w:rPr>
                            <w:t>Z</w:t>
                          </w:r>
                        </w:p>
                      </w:txbxContent>
                    </v:textbox>
                  </v:rect>
                  <v:rect id="Rectangle 16" o:spid="_x0000_s1065" style="position:absolute;left:4864;top:1560;width:779;height:411;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" stroked="f"/>
                  <v:shape id="Freeform 17" o:spid="_x0000_s1066" style="position:absolute;left:4858;top:1554;width:792;height:424;visibility:visible;mso-wrap-style:square;v-text-anchor:top" coordsize="792,424"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" path="m,l792,r,424l,424,,xm13,417l6,410r779,l778,417,778,6r7,7l6,13,13,6r,411xe" fillcolor="black" strokeweight="3e-5mm">
                    <v:path arrowok="t" o:connecttype="custom" o:connectlocs="0,0;792,0;792,424;0,424;0,0;13,417;6,410;785,410;778,417;778,6;785,13;6,13;13,6;13,417" o:connectangles="0,0,0,0,0,0,0,0,0,0,0,0,0,0"/>
                  </v:shape>
                  <v:rect id="Rectangle 18" o:spid="_x0000_s1067" style="position:absolute;left:5101;top:1619;width:334;height:493;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" filled="f" stroked="f">
                    <v:textbox inset="0,0,0,0">
                      <w:txbxContent>
                        <w:p w14:paraId="5FDE7A6C" w14:textId="77777777" w:rsidR="002979CF" w:rsidRDefault="002979CF" w:rsidP="002979CF">
                          <w:r>
                            <w:rPr>
                              <w:b/>
                              <w:bCs/>
                              <w:color w:val="000000"/>
                            </w:rPr>
                            <w:t>XZ</w:t>
                          </w:r>
                        </w:p>
                      </w:txbxContent>
                    </v:textbox>
                  </v:rect>
                  <v:rect id="Rectangle 19" o:spid="_x0000_s1068" style="position:absolute;left:7802;top:835;width:506;height:616;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" stroked="f"/>
                  <v:shape id="Freeform 20" o:spid="_x0000_s1069" style="position:absolute;left:7795;top:828;width:520;height:630;visibility:visible;mso-wrap-style:square;v-text-anchor:top" coordsize="520,63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" path="m,l520,r,630l,630,,xm14,623l7,616r506,l506,623,506,7r7,7l7,14,14,7r,616xe" fillcolor="black" strokeweight="3e-5mm">
                    <v:path arrowok="t" o:connecttype="custom" o:connectlocs="0,0;520,0;520,630;0,630;0,0;14,623;7,616;513,616;506,623;506,7;513,14;7,14;14,7;14,623" o:connectangles="0,0,0,0,0,0,0,0,0,0,0,0,0,0"/>
                  </v:shape>
                  <v:rect id="Rectangle 21" o:spid="_x0000_s1070" style="position:absolute;left:7968;top:1012;width:174;height:493;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" filled="f" stroked="f">
                    <v:textbox inset="0,0,0,0">
                      <w:txbxContent>
                        <w:p w14:paraId="513E67BA" w14:textId="77777777" w:rsidR="002979CF" w:rsidRDefault="002979CF" w:rsidP="002979CF">
                          <w:r>
                            <w:rPr>
                              <w:b/>
                              <w:bCs/>
                              <w:color w:val="000000"/>
                            </w:rPr>
                            <w:t>Y</w:t>
                          </w:r>
                        </w:p>
                      </w:txbxContent>
                    </v:textbox>
                  </v:rect>
                  <v:shape id="Freeform 22" o:spid="_x0000_s1071" style="position:absolute;left:5642;top:418;width:2153;height:548;visibility:visible;mso-wrap-style:square;v-text-anchor:top" coordsize="2153,548"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" path="m3,l2066,492r-2,14l,13,3,xm2060,441r93,79l2035,548r25,-107xe" fillcolor="black" strokeweight="3e-5mm">
                    <v:path arrowok="t" o:connecttype="custom" o:connectlocs="3,0;2066,492;2064,506;0,13;3,0;2060,441;2153,520;2035,548;2060,441" o:connectangles="0,0,0,0,0,0,0,0,0"/>
                  </v:shape>
                  <v:rect id="Rectangle 23" o:spid="_x0000_s1072" style="position:absolute;left:6191;top:137;width:2124;height:373;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" filled="f" stroked="f">
                    <v:textbox inset="0,0,0,0">
                      <w:txbxContent>
                        <w:p w14:paraId="3A5916F4" w14:textId="77777777" w:rsidR="002979CF" w:rsidRPr="00742C4F" w:rsidRDefault="002979CF" w:rsidP="002979CF">
                          <w:pPr>
                            <w:rPr>
                              <w:vertAlign w:val="subscript"/>
                            </w:rPr>
                          </w:pPr>
                          <w:r w:rsidRPr="00742C4F">
                            <w:rPr>
                              <w:vertAlign w:val="subscript"/>
                            </w:rPr>
                            <w:t>R</w:t>
                          </w:r>
                          <w:r w:rsidRPr="00742C4F">
                            <w:rPr>
                              <w:vertAlign w:val="superscript"/>
                            </w:rPr>
                            <w:t xml:space="preserve">2 </w:t>
                          </w:r>
                          <w:r w:rsidRPr="00742C4F">
                            <w:rPr>
                              <w:vertAlign w:val="subscript"/>
                            </w:rPr>
                            <w:t>= .</w:t>
                          </w:r>
                          <w:r>
                            <w:rPr>
                              <w:vertAlign w:val="subscript"/>
                            </w:rPr>
                            <w:t>613</w:t>
                          </w:r>
                          <w:r w:rsidRPr="00742C4F">
                            <w:rPr>
                              <w:vertAlign w:val="subscript"/>
                            </w:rPr>
                            <w:t>, β=.</w:t>
                          </w:r>
                          <w:r>
                            <w:rPr>
                              <w:vertAlign w:val="subscript"/>
                            </w:rPr>
                            <w:t>646</w:t>
                          </w:r>
                          <w:r w:rsidRPr="00742C4F">
                            <w:rPr>
                              <w:vertAlign w:val="subscript"/>
                            </w:rPr>
                            <w:t>, p=.000</w:t>
                          </w:r>
                        </w:p>
                      </w:txbxContent>
                    </v:textbox>
                  </v:rect>
                  <v:shape id="Freeform 29" o:spid="_x0000_s1073" style="position:absolute;left:7;top:7;width:8622;height:2477;visibility:visible;mso-wrap-style:square;v-text-anchor:top" coordsize="10096,2896"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" path="m,8c,4,4,,8,l10088,v5,,8,4,8,8l10096,2888v,5,-3,8,-8,8l8,2896v-4,,-8,-3,-8,-8l,8xm16,2888r-8,-8l10088,2880r-8,8l10080,8r8,8l8,16,16,8r,2880xe" fillcolor="#385d8a" strokecolor="#385d8a" strokeweight="3e-5mm">
                    <v:path arrowok="t" o:connecttype="custom" o:connectlocs="0,5;5,0;6283,0;6288,5;6288,1807;6283,1812;5,1812;0,1807;0,5;10,1807;5,1802;6283,1802;6278,1807;6278,5;6283,10;5,10;10,5;10,1807" o:connectangles="0,0,0,0,0,0,0,0,0,0,0,0,0,0,0,0,0,0"/>
                  </v:shape>
                  <v:rect id="Rectangle 30" o:spid="_x0000_s1074" style="position:absolute;left:3334;top:1355;width:711;height:411;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" stroked="f"/>
                  <v:shape id="Freeform 31" o:spid="_x0000_s1075" style="position:absolute;left:3327;top:1348;width:724;height:425;visibility:visible;mso-wrap-style:square;v-text-anchor:top" coordsize="724,42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" path="m,l724,r,425l,425,,xm14,418l7,411r711,l711,418,711,7r7,7l7,14,14,7r,411xe" fillcolor="black" strokeweight="3e-5mm">
                    <v:path arrowok="t" o:connecttype="custom" o:connectlocs="0,0;724,0;724,425;0,425;0,0;14,418;7,411;718,411;711,418;711,7;718,14;7,14;14,7;14,418" o:connectangles="0,0,0,0,0,0,0,0,0,0,0,0,0,0"/>
                  </v:shape>
                  <v:rect id="Rectangle 32" o:spid="_x0000_s1076" style="position:absolute;left:3605;top:1422;width:174;height:493;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" filled="f" stroked="f">
                    <v:textbox inset="0,0,0,0">
                      <w:txbxContent>
                        <w:p w14:paraId="50CB4AAF" w14:textId="77777777" w:rsidR="002979CF" w:rsidRDefault="002979CF" w:rsidP="002979CF">
                          <w:r>
                            <w:rPr>
                              <w:b/>
                              <w:bCs/>
                              <w:color w:val="000000"/>
                            </w:rPr>
                            <w:t>Y</w:t>
                          </w:r>
                        </w:p>
                      </w:txbxContent>
                    </v:textbox>
                  </v:rect>
                  <v:shape id="Freeform 33" o:spid="_x0000_s1077" style="position:absolute;left:929;top:1506;width:2408;height:110;visibility:visible;mso-wrap-style:square;v-text-anchor:top" coordsize="2408,110"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" path="m,48r2316,l2316,61,,61,,48xm2298,r110,54l2298,110,2298,xe" fillcolor="black" strokeweight="3e-5mm">
                    <v:path arrowok="t" o:connecttype="custom" o:connectlocs="0,48;2316,48;2316,61;0,61;0,48;2298,0;2408,54;2298,110;2298,0" o:connectangles="0,0,0,0,0,0,0,0,0"/>
                  </v:shape>
                  <v:rect id="Rectangle 34" o:spid="_x0000_s1078" style="position:absolute;left:2598;top:1133;width:174;height:493;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" filled="f" stroked="f">
                    <v:textbox inset="0,0,0,0">
                      <w:txbxContent>
                        <w:p w14:paraId="7FECBA59" w14:textId="77777777" w:rsidR="002979CF" w:rsidRDefault="002979CF" w:rsidP="002979CF">
                          <w:r>
                            <w:rPr>
                              <w:rFonts w:ascii="Arial" w:hAnsi="Arial" w:cs="Arial"/>
                              <w:color w:val="000000"/>
                            </w:rPr>
                            <w:t>H</w:t>
                          </w:r>
                        </w:p>
                      </w:txbxContent>
                    </v:textbox>
                  </v:rect>
                  <v:rect id="Rectangle 35" o:spid="_x0000_s1079" style="position:absolute;left:2762;top:1229;width:89;height:368;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" filled="f" stroked="f">
                    <v:textbox inset="0,0,0,0">
                      <w:txbxContent>
                        <w:p w14:paraId="5A4A4EA2" w14:textId="77777777" w:rsidR="002979CF" w:rsidRDefault="002979CF" w:rsidP="002979CF">
                          <w:r>
                            <w:rPr>
                              <w:rFonts w:ascii="Arial" w:hAnsi="Arial" w:cs="Arial"/>
                              <w:color w:val="000000"/>
                              <w:sz w:val="16"/>
                              <w:szCs w:val="16"/>
                            </w:rPr>
                            <w:t>2</w:t>
                          </w:r>
                        </w:p>
                      </w:txbxContent>
                    </v:textbox>
                  </v:rect>
                  <v:rect id="Rectangle 36" o:spid="_x0000_s1080" style="position:absolute;left:424;top:1355;width:778;height:411;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" stroked="f"/>
                  <v:shape id="Freeform 37" o:spid="_x0000_s1081" style="position:absolute;left:417;top:1348;width:792;height:425;visibility:visible;mso-wrap-style:square;v-text-anchor:top" coordsize="792,425"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" path="m,l792,r,425l,425,,xm13,418l7,411r778,l779,418,779,7r6,7l7,14,13,7r,411xe" fillcolor="black" strokeweight="3e-5mm">
                    <v:path arrowok="t" o:connecttype="custom" o:connectlocs="0,0;792,0;792,425;0,425;0,0;13,418;7,411;785,411;779,418;779,7;785,14;7,14;13,7;13,418" o:connectangles="0,0,0,0,0,0,0,0,0,0,0,0,0,0"/>
                  </v:shape>
                  <v:rect id="Rectangle 38" o:spid="_x0000_s1082" style="position:absolute;left:727;top:1414;width:174;height:493;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" filled="f" stroked="f">
                    <v:textbox inset="0,0,0,0">
                      <w:txbxContent>
                        <w:p w14:paraId="6F1CF5C5" w14:textId="77777777" w:rsidR="002979CF" w:rsidRDefault="002979CF" w:rsidP="002979CF">
                          <w:r>
                            <w:rPr>
                              <w:b/>
                              <w:bCs/>
                              <w:color w:val="000000"/>
                            </w:rPr>
                            <w:t>X</w:t>
                          </w:r>
                        </w:p>
                      </w:txbxContent>
                    </v:textbox>
                  </v:rect>
                  <v:rect id="Rectangle 39" o:spid="_x0000_s1083" style="position:absolute;left:1858;top:219;width:779;height:411;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" stroked="f"/>
                  <v:shape id="Freeform 40" o:spid="_x0000_s1084" style="position:absolute;left:1852;top:212;width:792;height:424;visibility:visible;mso-wrap-style:square;v-text-anchor:top" coordsize="792,424"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" path="m,l792,r,424l,424,,xm13,418l6,411r779,l778,418,778,7r7,7l6,14,13,7r,411xe" fillcolor="black" strokeweight="3e-5mm">
                    <v:path arrowok="t" o:connecttype="custom" o:connectlocs="0,0;792,0;792,424;0,424;0,0;13,418;6,411;785,411;778,418;778,7;785,14;6,14;13,7;13,418" o:connectangles="0,0,0,0,0,0,0,0,0,0,0,0,0,0"/>
                  </v:shape>
                  <v:rect id="Rectangle 41" o:spid="_x0000_s1085" style="position:absolute;left:2175;top:285;width:161;height:493;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" filled="f" stroked="f">
                    <v:textbox inset="0,0,0,0">
                      <w:txbxContent>
                        <w:p w14:paraId="2E9CB77E" w14:textId="77777777" w:rsidR="002979CF" w:rsidRDefault="002979CF" w:rsidP="002979CF">
                          <w:r>
                            <w:rPr>
                              <w:b/>
                              <w:bCs/>
                              <w:color w:val="000000"/>
                            </w:rPr>
                            <w:t>Z</w:t>
                          </w:r>
                        </w:p>
                      </w:txbxContent>
                    </v:textbox>
                  </v:rect>
                </v:group>
                <v:rect id="Rectangle 184" o:spid="_x0000_s1086" style="position:absolute;left:35945;top:4939;width:13494;height:2369;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" filled="f" stroked="f">
                  <v:textbox inset="0,0,0,0">
                    <w:txbxContent>
                      <w:p w14:paraId="7FB6A0A9" w14:textId="77777777" w:rsidR="002979CF" w:rsidRDefault="002979CF" w:rsidP="002979CF">
                        <w:pPr>
                          <w:pStyle w:val="NormalWeb"/>
                          <w:spacing w:after="120" w:line="324" w:lineRule="auto"/>
                          <w:jc w:val="both"/>
                        </w:pPr>
                        <w:r>
                          <w:rPr>
                            <w:position w:val="-6"/>
                            <w:vertAlign w:val="subscript"/>
                            <w:lang w:val="en-GB"/>
                          </w:rPr>
                          <w:t>R</w:t>
                        </w:r>
                        <w:r w:rsidRPr="00742C4F">
                          <w:rPr>
                            <w:position w:val="-6"/>
                            <w:vertAlign w:val="superscript"/>
                            <w:lang w:val="en-GB"/>
                          </w:rPr>
                          <w:t>2</w:t>
                        </w:r>
                        <w:r>
                          <w:rPr>
                            <w:position w:val="-6"/>
                            <w:vertAlign w:val="subscript"/>
                            <w:lang w:val="en-GB"/>
                          </w:rPr>
                          <w:t xml:space="preserve"> = .679, β=.654</w:t>
                        </w:r>
                        <w:r w:rsidRPr="00E77411">
                          <w:rPr>
                            <w:position w:val="-6"/>
                            <w:vertAlign w:val="subscript"/>
                            <w:lang w:val="en-GB"/>
                          </w:rPr>
                          <w:t>,</w:t>
                        </w:r>
                        <w:r>
                          <w:rPr>
                            <w:position w:val="-6"/>
                            <w:vertAlign w:val="subscript"/>
                            <w:lang w:val="en-GB"/>
                          </w:rPr>
                          <w:t xml:space="preserve"> p=.000</w:t>
                        </w:r>
                      </w:p>
                    </w:txbxContent>
                  </v:textbox>
                </v:rect>
                <v:rect id="Rectangle 185" o:spid="_x0000_s1087" style="position:absolute;left:39260;top:10324;width:13494;height:3086;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" filled="f" stroked="f">
                  <v:textbox inset="0,0,0,0">
                    <w:txbxContent>
                      <w:p w14:paraId="2463D50E" w14:textId="77777777" w:rsidR="002979CF" w:rsidRDefault="00D40FA3" w:rsidP="002979CF">
                        <w:pPr>
                          <w:pStyle w:val="NormalWeb"/>
                          <w:spacing w:after="120" w:line="324" w:lineRule="auto"/>
                          <w:jc w:val="both"/>
                        </w:pPr>
                        <w:r>
                          <w:rPr>
                            <w:position w:val="-6"/>
                            <w:vertAlign w:val="subscript"/>
                            <w:lang w:val="en-GB"/>
                          </w:rPr>
                          <w:t>R</w:t>
                        </w:r>
                        <w:r w:rsidRPr="00742C4F">
                          <w:rPr>
                            <w:position w:val="-6"/>
                            <w:vertAlign w:val="superscript"/>
                            <w:lang w:val="en-GB"/>
                          </w:rPr>
                          <w:t>2</w:t>
                        </w:r>
                        <w:r w:rsidR="002979CF">
                          <w:rPr>
                            <w:position w:val="-6"/>
                            <w:vertAlign w:val="subscript"/>
                            <w:lang w:val="en-GB"/>
                          </w:rPr>
                          <w:t xml:space="preserve"> = .841, β=</w:t>
                        </w:r>
                        <w:r w:rsidR="009A4281">
                          <w:rPr>
                            <w:position w:val="-6"/>
                            <w:vertAlign w:val="subscript"/>
                            <w:lang w:val="en-GB"/>
                          </w:rPr>
                          <w:t xml:space="preserve"> </w:t>
                        </w:r>
                        <w:r w:rsidR="009A4281" w:rsidRPr="009A4281">
                          <w:rPr>
                            <w:position w:val="-6"/>
                            <w:vertAlign w:val="subscript"/>
                            <w:lang w:val="en-GB"/>
                          </w:rPr>
                          <w:t>0.695</w:t>
                        </w:r>
                        <w:r w:rsidR="002979CF">
                          <w:rPr>
                            <w:position w:val="-6"/>
                            <w:vertAlign w:val="subscript"/>
                            <w:lang w:val="en-GB"/>
                          </w:rPr>
                          <w:t>, p=.000</w:t>
                        </w:r>
                      </w:p>
                    </w:txbxContent>
                  </v:textbox>
                </v:rect>
                <w10:wrap anchory="line"/>
              </v:group>
            </w:pict>
          </mc:Fallback>
        </mc:AlternateContent>
      </w:r>
    </w:p>
    <w:p w14:paraId="216F7D1E" w14:textId="77777777" w:rsidR="003859C9" w:rsidRPr="00EB11D3" w:rsidRDefault="00FD30BB" w:rsidP="003859C9">
      <w:pPr>
        <w:spacing w:after="120" w:line="360" w:lineRule="auto"/>
        <w:rPr>
          <w:rFonts w:eastAsia="Times New Roman"/>
          <w:szCs w:val="24"/>
          <w:lang w:val="en-GB"/>
        </w:rPr>
      </w:pPr>
      <w:r>
        <w:rPr>
          <w:noProof/>
        </w:rPr>
        <mc:AlternateContent>
          <mc:Choice Requires="wps">
            <w:drawing>
              <wp:anchor distT="0" distB="0" distL="114300" distR="114300" simplePos="0" relativeHeight="251655168" behindDoc="0" locked="0" layoutInCell="1" allowOverlap="1" wp14:anchorId="4C2C9774" wp14:editId="65BB24C4">
                <wp:simplePos x="0" y="0"/>
                <wp:positionH relativeFrom="character">
                  <wp:posOffset>0</wp:posOffset>
                </wp:positionH>
                <wp:positionV relativeFrom="line">
                  <wp:posOffset>0</wp:posOffset>
                </wp:positionV>
                <wp:extent cx="5518785" cy="1733550"/>
                <wp:effectExtent l="0" t="0" r="0" b="0"/>
                <wp:wrapNone/>
                <wp:docPr id="351101869"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8785" cy="1733550"/>
                        </a:xfrm>
                        <a:prstGeom prst="rect">
                          <a:avLst/>
                        </a:prstGeom>
                        <a:no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7A606D" id="Rectangle 25" o:spid="_x0000_s1026" style="position:absolute;margin-left:0;margin-top:0;width:434.55pt;height:136.5pt;z-index:251655168;visibility:visible;mso-wrap-style:square;mso-width-percent:0;mso-height-percent:0;mso-wrap-distance-left:9pt;mso-wrap-distance-top:0;mso-wrap-distance-right:9pt;mso-wrap-distance-bottom:0;mso-position-horizontal:absolute;mso-position-horizontal-relative:char;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" filled="f" stroked="f">
                <w10:wrap anchory="line"/>
              </v:rect>
            </w:pict>
          </mc:Fallback>
        </mc:AlternateContent>
      </w:r>
      <w:r>
        <w:rPr>
          <w:noProof/>
        </w:rPr>
        <mc:AlternateContent>
          <mc:Choice Requires="wps">
            <w:drawing>
              <wp:inline distT="0" distB="0" distL="0" distR="0" wp14:anchorId="577E550F" wp14:editId="249202D5">
                <wp:extent cx="5518785" cy="1733550"/>
                <wp:effectExtent l="0" t="0" r="0" b="0"/>
                <wp:docPr id="1890875068" nam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18785" cy="1733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6EAF0D4" id=" 28" o:spid="_x0000_s1026" style="width:434.55pt;height:13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" filled="f" stroked="f">
                <v:path arrowok="t"/>
                <w10:anchorlock/>
              </v:rect>
            </w:pict>
          </mc:Fallback>
        </mc:AlternateContent>
      </w:r>
    </w:p>
    <w:p w14:paraId="4D1FB78C" w14:textId="77777777" w:rsidR="003859C9" w:rsidRPr="00EB11D3" w:rsidRDefault="003859C9" w:rsidP="003859C9">
      <w:pPr>
        <w:autoSpaceDE w:val="0"/>
        <w:autoSpaceDN w:val="0"/>
        <w:adjustRightInd w:val="0"/>
        <w:spacing w:line="360" w:lineRule="auto"/>
        <w:rPr>
          <w:rFonts w:eastAsia="Calibri"/>
          <w:bCs/>
          <w:szCs w:val="24"/>
        </w:rPr>
      </w:pPr>
      <w:r w:rsidRPr="00EB11D3">
        <w:rPr>
          <w:rFonts w:eastAsia="Calibri"/>
          <w:bCs/>
          <w:szCs w:val="24"/>
        </w:rPr>
        <w:t>Where-;</w:t>
      </w:r>
    </w:p>
    <w:p w14:paraId="54D152EB" w14:textId="77777777" w:rsidR="003859C9" w:rsidRPr="00EB11D3" w:rsidRDefault="003859C9" w:rsidP="003859C9">
      <w:pPr>
        <w:autoSpaceDE w:val="0"/>
        <w:autoSpaceDN w:val="0"/>
        <w:adjustRightInd w:val="0"/>
        <w:spacing w:line="360" w:lineRule="auto"/>
        <w:rPr>
          <w:rFonts w:eastAsia="Calibri"/>
          <w:szCs w:val="24"/>
        </w:rPr>
      </w:pPr>
      <w:r w:rsidRPr="00EB11D3">
        <w:rPr>
          <w:rFonts w:eastAsia="Calibri"/>
          <w:bCs/>
          <w:szCs w:val="24"/>
        </w:rPr>
        <w:t>H</w:t>
      </w:r>
      <w:r w:rsidRPr="00EB11D3">
        <w:rPr>
          <w:rFonts w:eastAsia="Calibri"/>
          <w:bCs/>
          <w:szCs w:val="24"/>
          <w:vertAlign w:val="subscript"/>
        </w:rPr>
        <w:t>2</w:t>
      </w:r>
      <w:r w:rsidRPr="00EB11D3">
        <w:rPr>
          <w:rFonts w:eastAsia="Calibri"/>
          <w:bCs/>
          <w:szCs w:val="24"/>
        </w:rPr>
        <w:t xml:space="preserve"> = Cross-level moderation effect</w:t>
      </w:r>
      <w:r w:rsidRPr="00EB11D3">
        <w:rPr>
          <w:rFonts w:eastAsia="Calibri"/>
          <w:szCs w:val="24"/>
        </w:rPr>
        <w:t>.</w:t>
      </w:r>
    </w:p>
    <w:p w14:paraId="7D66F222"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 xml:space="preserve">The revised representation diagram shows that in path a; corporate </w:t>
      </w:r>
      <w:r w:rsidR="009B60BB" w:rsidRPr="00EB11D3">
        <w:rPr>
          <w:rFonts w:eastAsia="Calibri"/>
          <w:szCs w:val="24"/>
        </w:rPr>
        <w:t>governance (</w:t>
      </w:r>
      <w:r w:rsidRPr="00EB11D3">
        <w:rPr>
          <w:rFonts w:eastAsia="Calibri"/>
          <w:szCs w:val="24"/>
        </w:rPr>
        <w:t>CG) as the independent variable (X) are regressed against organisational performance   and the results show positive and significant relationship (R</w:t>
      </w:r>
      <w:r w:rsidRPr="00EB11D3">
        <w:rPr>
          <w:rFonts w:eastAsia="Calibri"/>
          <w:szCs w:val="24"/>
          <w:vertAlign w:val="superscript"/>
        </w:rPr>
        <w:t>2</w:t>
      </w:r>
      <w:r w:rsidRPr="00EB11D3">
        <w:rPr>
          <w:rFonts w:eastAsia="Calibri"/>
          <w:szCs w:val="24"/>
        </w:rPr>
        <w:t>=.613, β =.646, p=0.00). In path b government regulations (GR) as the moderator (Z) is regressed on corporate governance and the results show positive and significant relationship (R</w:t>
      </w:r>
      <w:r w:rsidRPr="00EB11D3">
        <w:rPr>
          <w:rFonts w:eastAsia="Calibri"/>
          <w:szCs w:val="24"/>
          <w:vertAlign w:val="superscript"/>
        </w:rPr>
        <w:t>2</w:t>
      </w:r>
      <w:r w:rsidRPr="00EB11D3">
        <w:rPr>
          <w:rFonts w:eastAsia="Calibri"/>
          <w:szCs w:val="24"/>
        </w:rPr>
        <w:t>=.679, β =.654, p=0.00)</w:t>
      </w:r>
      <w:r w:rsidR="0071496F" w:rsidRPr="00EB11D3">
        <w:rPr>
          <w:rFonts w:eastAsia="Calibri"/>
          <w:szCs w:val="24"/>
        </w:rPr>
        <w:t>, hence an</w:t>
      </w:r>
      <w:r w:rsidRPr="00EB11D3">
        <w:rPr>
          <w:rFonts w:eastAsia="Calibri"/>
          <w:szCs w:val="24"/>
        </w:rPr>
        <w:t xml:space="preserve"> enhancing type of moderation </w:t>
      </w:r>
      <w:r w:rsidR="005978E8" w:rsidRPr="00EB11D3">
        <w:rPr>
          <w:rFonts w:eastAsia="Calibri"/>
          <w:szCs w:val="24"/>
        </w:rPr>
        <w:t>is</w:t>
      </w:r>
      <w:r w:rsidRPr="00EB11D3">
        <w:rPr>
          <w:rFonts w:eastAsia="Calibri"/>
          <w:szCs w:val="24"/>
        </w:rPr>
        <w:t xml:space="preserve"> therefore been depicted in the model. The hypotheses that </w:t>
      </w:r>
      <w:r w:rsidRPr="00EB11D3">
        <w:rPr>
          <w:rFonts w:eastAsia="Arial Unicode MS"/>
          <w:szCs w:val="24"/>
        </w:rPr>
        <w:t xml:space="preserve">government regulations does not significantly moderate the relationship between </w:t>
      </w:r>
      <w:r w:rsidRPr="00EB11D3">
        <w:rPr>
          <w:rFonts w:eastAsia="Calibri"/>
          <w:szCs w:val="24"/>
        </w:rPr>
        <w:t xml:space="preserve">corporate governance </w:t>
      </w:r>
      <w:r w:rsidRPr="00EB11D3">
        <w:rPr>
          <w:rFonts w:eastAsia="Arial Unicode MS"/>
          <w:szCs w:val="24"/>
        </w:rPr>
        <w:t xml:space="preserve">and </w:t>
      </w:r>
      <w:r w:rsidR="006D5C62" w:rsidRPr="00EB11D3">
        <w:rPr>
          <w:rFonts w:eastAsia="Arial Unicode MS"/>
          <w:szCs w:val="24"/>
        </w:rPr>
        <w:t>organisational performance of Faith-Based Hospitals</w:t>
      </w:r>
      <w:r w:rsidRPr="00EB11D3">
        <w:rPr>
          <w:rFonts w:eastAsia="Arial Unicode MS"/>
          <w:szCs w:val="24"/>
        </w:rPr>
        <w:t xml:space="preserve"> </w:t>
      </w:r>
      <w:r w:rsidRPr="00EB11D3">
        <w:rPr>
          <w:rFonts w:eastAsia="Calibri"/>
          <w:szCs w:val="24"/>
        </w:rPr>
        <w:t>in Kenya is thus rejected.</w:t>
      </w:r>
    </w:p>
    <w:p w14:paraId="716410B6" w14:textId="77777777" w:rsidR="003859C9" w:rsidRPr="00EB11D3" w:rsidRDefault="003859C9" w:rsidP="003859C9">
      <w:pPr>
        <w:keepNext/>
        <w:keepLines/>
        <w:shd w:val="clear" w:color="auto" w:fill="FFFFFF"/>
        <w:spacing w:before="40" w:after="0" w:line="360" w:lineRule="auto"/>
        <w:outlineLvl w:val="2"/>
        <w:rPr>
          <w:rFonts w:eastAsia="Times New Roman"/>
          <w:b/>
          <w:bCs/>
          <w:szCs w:val="24"/>
          <w:lang w:val="en-GB"/>
        </w:rPr>
      </w:pPr>
      <w:bookmarkStart w:id="954" w:name="_Toc124240256"/>
      <w:bookmarkStart w:id="955" w:name="_Toc126071148"/>
      <w:bookmarkStart w:id="956" w:name="_Toc164151270"/>
      <w:bookmarkStart w:id="957" w:name="_Toc168673462"/>
      <w:bookmarkStart w:id="958" w:name="_Toc168737904"/>
      <w:bookmarkStart w:id="959" w:name="_Toc171602657"/>
      <w:bookmarkStart w:id="960" w:name="_Toc171603484"/>
      <w:bookmarkStart w:id="961" w:name="_Toc177387889"/>
      <w:r w:rsidRPr="00EB11D3">
        <w:rPr>
          <w:rFonts w:eastAsia="Times New Roman"/>
          <w:b/>
          <w:bCs/>
          <w:szCs w:val="24"/>
          <w:lang w:val="en-GB"/>
        </w:rPr>
        <w:t>4.</w:t>
      </w:r>
      <w:r w:rsidR="004373D8">
        <w:rPr>
          <w:rFonts w:eastAsia="Times New Roman"/>
          <w:b/>
          <w:bCs/>
          <w:szCs w:val="24"/>
          <w:lang w:val="en-GB"/>
        </w:rPr>
        <w:t>6</w:t>
      </w:r>
      <w:r w:rsidRPr="00EB11D3">
        <w:rPr>
          <w:rFonts w:eastAsia="Times New Roman"/>
          <w:b/>
          <w:bCs/>
          <w:szCs w:val="24"/>
          <w:lang w:val="en-GB"/>
        </w:rPr>
        <w:t>.4 Mediated Moderat</w:t>
      </w:r>
      <w:r w:rsidR="00E348B0" w:rsidRPr="00EB11D3">
        <w:rPr>
          <w:rFonts w:eastAsia="Times New Roman"/>
          <w:b/>
          <w:bCs/>
          <w:szCs w:val="24"/>
          <w:lang w:val="en-GB"/>
        </w:rPr>
        <w:t>ion</w:t>
      </w:r>
      <w:r w:rsidRPr="00EB11D3">
        <w:rPr>
          <w:rFonts w:eastAsia="Times New Roman"/>
          <w:b/>
          <w:bCs/>
          <w:szCs w:val="24"/>
          <w:lang w:val="en-GB"/>
        </w:rPr>
        <w:t xml:space="preserve"> Effect</w:t>
      </w:r>
      <w:bookmarkEnd w:id="954"/>
      <w:bookmarkEnd w:id="955"/>
      <w:bookmarkEnd w:id="956"/>
      <w:bookmarkEnd w:id="957"/>
      <w:bookmarkEnd w:id="958"/>
      <w:bookmarkEnd w:id="959"/>
      <w:bookmarkEnd w:id="960"/>
      <w:bookmarkEnd w:id="961"/>
      <w:r w:rsidRPr="00EB11D3">
        <w:rPr>
          <w:rFonts w:eastAsia="Times New Roman"/>
          <w:b/>
          <w:bCs/>
          <w:szCs w:val="24"/>
          <w:lang w:val="en-GB"/>
        </w:rPr>
        <w:t xml:space="preserve"> </w:t>
      </w:r>
    </w:p>
    <w:p w14:paraId="26E21AD1"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The fourth objective of the study was to determine the </w:t>
      </w:r>
      <w:r w:rsidR="00E70D07" w:rsidRPr="00EB11D3">
        <w:rPr>
          <w:rFonts w:eastAsia="Cambria"/>
          <w:szCs w:val="24"/>
          <w:lang w:val="en"/>
        </w:rPr>
        <w:t xml:space="preserve">mediated moderation </w:t>
      </w:r>
      <w:r w:rsidRPr="00EB11D3">
        <w:rPr>
          <w:rFonts w:eastAsia="Cambria"/>
          <w:szCs w:val="24"/>
          <w:lang w:val="en"/>
        </w:rPr>
        <w:t xml:space="preserve">effect of service innovation and government regulation on the relationship between corporate governance and </w:t>
      </w:r>
      <w:r w:rsidR="006D5C62" w:rsidRPr="00EB11D3">
        <w:rPr>
          <w:rFonts w:eastAsia="Cambria"/>
          <w:szCs w:val="24"/>
          <w:lang w:val="en"/>
        </w:rPr>
        <w:t>organisational performance of Faith-Based Hospitals</w:t>
      </w:r>
      <w:r w:rsidRPr="00EB11D3">
        <w:rPr>
          <w:rFonts w:eastAsia="Cambria"/>
          <w:szCs w:val="24"/>
          <w:lang w:val="en"/>
        </w:rPr>
        <w:t xml:space="preserve"> in Kenya.</w:t>
      </w:r>
      <w:r w:rsidR="00F35996" w:rsidRPr="00EB11D3">
        <w:rPr>
          <w:rFonts w:eastAsia="Cambria"/>
          <w:szCs w:val="24"/>
          <w:lang w:val="en"/>
        </w:rPr>
        <w:t xml:space="preserve"> </w:t>
      </w:r>
      <w:r w:rsidRPr="00EB11D3">
        <w:rPr>
          <w:rFonts w:eastAsia="Cambria"/>
          <w:szCs w:val="24"/>
        </w:rPr>
        <w:t>The fourth hypothesis was stated in the null form that there is no significant mediated</w:t>
      </w:r>
      <w:r w:rsidR="00B745E1" w:rsidRPr="00EB11D3">
        <w:rPr>
          <w:rFonts w:eastAsia="Cambria"/>
          <w:szCs w:val="24"/>
        </w:rPr>
        <w:t xml:space="preserve"> </w:t>
      </w:r>
      <w:r w:rsidRPr="00EB11D3">
        <w:rPr>
          <w:rFonts w:eastAsia="Cambria"/>
          <w:szCs w:val="24"/>
        </w:rPr>
        <w:t>moderat</w:t>
      </w:r>
      <w:r w:rsidR="00E61AB9">
        <w:rPr>
          <w:rFonts w:eastAsia="Cambria"/>
          <w:szCs w:val="24"/>
        </w:rPr>
        <w:t>ion</w:t>
      </w:r>
      <w:r w:rsidRPr="00EB11D3">
        <w:rPr>
          <w:rFonts w:eastAsia="Cambria"/>
          <w:szCs w:val="24"/>
        </w:rPr>
        <w:t xml:space="preserve"> effect on the relationship between </w:t>
      </w:r>
      <w:r w:rsidRPr="00EB11D3">
        <w:rPr>
          <w:rFonts w:eastAsia="Cambria"/>
          <w:szCs w:val="24"/>
          <w:lang w:val="en"/>
        </w:rPr>
        <w:t xml:space="preserve">corporate governance and </w:t>
      </w:r>
      <w:r w:rsidR="006D5C62" w:rsidRPr="00EB11D3">
        <w:rPr>
          <w:rFonts w:eastAsia="Cambria"/>
          <w:szCs w:val="24"/>
          <w:lang w:val="en"/>
        </w:rPr>
        <w:t>organisational performance of Faith-Based Hospitals</w:t>
      </w:r>
      <w:r w:rsidRPr="00EB11D3">
        <w:rPr>
          <w:rFonts w:eastAsia="Cambria"/>
          <w:szCs w:val="24"/>
          <w:lang w:val="en"/>
        </w:rPr>
        <w:t xml:space="preserve"> in Kenya</w:t>
      </w:r>
      <w:r w:rsidRPr="00EB11D3">
        <w:rPr>
          <w:rFonts w:eastAsia="Cambria"/>
          <w:szCs w:val="24"/>
        </w:rPr>
        <w:t xml:space="preserve">. Hayes and Rockwood (2020) model for </w:t>
      </w:r>
      <w:r w:rsidR="0021327A" w:rsidRPr="00EB11D3">
        <w:rPr>
          <w:rFonts w:eastAsia="Calibri"/>
          <w:szCs w:val="24"/>
        </w:rPr>
        <w:t>mediated moderator</w:t>
      </w:r>
      <w:r w:rsidRPr="00EB11D3">
        <w:rPr>
          <w:rFonts w:eastAsia="Calibri"/>
          <w:szCs w:val="24"/>
        </w:rPr>
        <w:t xml:space="preserve"> </w:t>
      </w:r>
      <w:r w:rsidRPr="00EB11D3">
        <w:rPr>
          <w:rFonts w:eastAsia="Cambria"/>
          <w:szCs w:val="24"/>
        </w:rPr>
        <w:t>was adopted;</w:t>
      </w:r>
    </w:p>
    <w:p w14:paraId="4B2B91C7" w14:textId="77777777" w:rsidR="00F103ED" w:rsidRPr="00EB11D3" w:rsidRDefault="00F103ED" w:rsidP="00F103ED">
      <w:pPr>
        <w:shd w:val="clear" w:color="auto" w:fill="FFFFFF"/>
        <w:spacing w:after="160" w:line="360" w:lineRule="auto"/>
        <w:rPr>
          <w:rFonts w:eastAsia="Cambria"/>
          <w:szCs w:val="24"/>
        </w:rPr>
      </w:pPr>
      <w:r w:rsidRPr="00EB11D3">
        <w:rPr>
          <w:rFonts w:eastAsia="Cambria"/>
          <w:szCs w:val="24"/>
        </w:rPr>
        <w:t>Model 1:     OP = α + β1*CG + ε</w:t>
      </w:r>
    </w:p>
    <w:p w14:paraId="61844E91" w14:textId="77777777" w:rsidR="00F103ED" w:rsidRPr="00EB11D3" w:rsidRDefault="00F103ED" w:rsidP="00F103ED">
      <w:pPr>
        <w:shd w:val="clear" w:color="auto" w:fill="FFFFFF"/>
        <w:spacing w:after="160" w:line="360" w:lineRule="auto"/>
        <w:rPr>
          <w:rFonts w:eastAsia="Cambria"/>
          <w:szCs w:val="24"/>
        </w:rPr>
      </w:pPr>
      <w:r w:rsidRPr="00EB11D3">
        <w:rPr>
          <w:rFonts w:eastAsia="Cambria"/>
          <w:szCs w:val="24"/>
        </w:rPr>
        <w:t>Model 2:      OP = α+ β</w:t>
      </w:r>
      <w:r w:rsidRPr="00EB11D3">
        <w:rPr>
          <w:rFonts w:eastAsia="Cambria"/>
          <w:szCs w:val="24"/>
          <w:vertAlign w:val="subscript"/>
        </w:rPr>
        <w:t>1</w:t>
      </w:r>
      <w:r w:rsidRPr="00EB11D3">
        <w:rPr>
          <w:rFonts w:eastAsia="Cambria"/>
          <w:szCs w:val="24"/>
        </w:rPr>
        <w:t>CG+ β</w:t>
      </w:r>
      <w:r w:rsidRPr="00EB11D3">
        <w:rPr>
          <w:rFonts w:eastAsia="Cambria"/>
          <w:szCs w:val="24"/>
          <w:vertAlign w:val="subscript"/>
        </w:rPr>
        <w:t>2</w:t>
      </w:r>
      <w:r w:rsidRPr="00EB11D3">
        <w:rPr>
          <w:rFonts w:eastAsia="Cambria"/>
          <w:szCs w:val="24"/>
        </w:rPr>
        <w:t>SI+ β</w:t>
      </w:r>
      <w:r w:rsidRPr="00EB11D3">
        <w:rPr>
          <w:rFonts w:eastAsia="Cambria"/>
          <w:szCs w:val="24"/>
          <w:vertAlign w:val="subscript"/>
        </w:rPr>
        <w:t>3</w:t>
      </w:r>
      <w:r w:rsidRPr="00EB11D3">
        <w:rPr>
          <w:rFonts w:eastAsia="Cambria"/>
          <w:szCs w:val="24"/>
        </w:rPr>
        <w:t>GR + β</w:t>
      </w:r>
      <w:r w:rsidRPr="00EB11D3">
        <w:rPr>
          <w:rFonts w:eastAsia="Cambria"/>
          <w:szCs w:val="24"/>
          <w:vertAlign w:val="subscript"/>
        </w:rPr>
        <w:t>4</w:t>
      </w:r>
      <w:r w:rsidRPr="00EB11D3">
        <w:rPr>
          <w:rFonts w:eastAsia="Cambria"/>
          <w:szCs w:val="24"/>
        </w:rPr>
        <w:t xml:space="preserve"> SI*GR + ε </w:t>
      </w:r>
    </w:p>
    <w:p w14:paraId="2BC6F143" w14:textId="77777777" w:rsidR="003859C9" w:rsidRPr="00EB11D3" w:rsidRDefault="003859C9" w:rsidP="00F103ED">
      <w:pPr>
        <w:shd w:val="clear" w:color="auto" w:fill="FFFFFF"/>
        <w:spacing w:after="160" w:line="360" w:lineRule="auto"/>
        <w:rPr>
          <w:rFonts w:eastAsia="Cambria"/>
          <w:szCs w:val="24"/>
        </w:rPr>
      </w:pPr>
      <w:r w:rsidRPr="00EB11D3">
        <w:rPr>
          <w:rFonts w:eastAsia="Cambria"/>
          <w:szCs w:val="24"/>
        </w:rPr>
        <w:t xml:space="preserve">Where: OP = Organisational performance of </w:t>
      </w:r>
      <w:r w:rsidRPr="00EB11D3">
        <w:rPr>
          <w:rFonts w:eastAsia="Cambria"/>
          <w:szCs w:val="24"/>
          <w:lang w:val="en"/>
        </w:rPr>
        <w:t>faith-based hospital in Kenya</w:t>
      </w:r>
      <w:r w:rsidRPr="00EB11D3">
        <w:rPr>
          <w:rFonts w:eastAsia="Cambria"/>
          <w:szCs w:val="24"/>
        </w:rPr>
        <w:t>; CG = Corporate Governance; GR = Government Regulations; SI = Service Innovation; α</w:t>
      </w:r>
      <w:r w:rsidRPr="00EB11D3">
        <w:rPr>
          <w:rFonts w:eastAsia="Cambria"/>
          <w:szCs w:val="24"/>
          <w:vertAlign w:val="subscript"/>
        </w:rPr>
        <w:t>0</w:t>
      </w:r>
      <w:r w:rsidRPr="00EB11D3">
        <w:rPr>
          <w:rFonts w:eastAsia="Cambria"/>
          <w:szCs w:val="24"/>
        </w:rPr>
        <w:t xml:space="preserve"> = constant (intercept); β=Coefficient parameters to be determined, composite* =interaction term, ε = Error/disturbance)</w:t>
      </w:r>
    </w:p>
    <w:p w14:paraId="0A224FFD"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The effect was assessed, and results explained using coefficient of determination (R-Square), Analysis of Variance (ANOVA) and the regression coefficients. Analysis of Variance consists of calculations that provide information about levels of variability within a regression model and form a basis for tests of significance. The results are presented in Table 37.</w:t>
      </w:r>
    </w:p>
    <w:p w14:paraId="61635CAC" w14:textId="77777777" w:rsidR="003859C9" w:rsidRPr="00EB11D3" w:rsidRDefault="003859C9" w:rsidP="00823CEA">
      <w:pPr>
        <w:spacing w:after="160" w:line="259" w:lineRule="auto"/>
        <w:jc w:val="left"/>
        <w:rPr>
          <w:rFonts w:eastAsia="Cambria"/>
          <w:b/>
          <w:bCs/>
          <w:szCs w:val="24"/>
          <w:lang w:val="zh-CN"/>
        </w:rPr>
      </w:pPr>
      <w:bookmarkStart w:id="962" w:name="_Toc126666772"/>
      <w:bookmarkStart w:id="963" w:name="_Toc177387968"/>
      <w:r w:rsidRPr="00EB11D3">
        <w:rPr>
          <w:rFonts w:eastAsia="Times New Roman"/>
          <w:b/>
          <w:bCs/>
          <w:szCs w:val="24"/>
        </w:rPr>
        <w:t xml:space="preserve">Table </w:t>
      </w:r>
      <w:r w:rsidRPr="00EB11D3">
        <w:rPr>
          <w:rFonts w:eastAsia="Times New Roman"/>
          <w:b/>
          <w:bCs/>
          <w:szCs w:val="24"/>
        </w:rPr>
        <w:fldChar w:fldCharType="begin"/>
      </w:r>
      <w:r w:rsidRPr="00EB11D3">
        <w:rPr>
          <w:rFonts w:eastAsia="Times New Roman"/>
          <w:b/>
          <w:bCs/>
          <w:szCs w:val="24"/>
        </w:rPr>
        <w:instrText xml:space="preserve"> SEQ Table \* ARABIC </w:instrText>
      </w:r>
      <w:r w:rsidRPr="00EB11D3">
        <w:rPr>
          <w:rFonts w:eastAsia="Times New Roman"/>
          <w:b/>
          <w:bCs/>
          <w:szCs w:val="24"/>
        </w:rPr>
        <w:fldChar w:fldCharType="separate"/>
      </w:r>
      <w:r w:rsidRPr="00EB11D3">
        <w:rPr>
          <w:rFonts w:eastAsia="Times New Roman"/>
          <w:b/>
          <w:bCs/>
          <w:noProof/>
          <w:szCs w:val="24"/>
        </w:rPr>
        <w:t>37</w:t>
      </w:r>
      <w:r w:rsidRPr="00EB11D3">
        <w:rPr>
          <w:rFonts w:eastAsia="Times New Roman"/>
          <w:b/>
          <w:bCs/>
          <w:szCs w:val="24"/>
        </w:rPr>
        <w:fldChar w:fldCharType="end"/>
      </w:r>
      <w:r w:rsidRPr="00EB11D3">
        <w:rPr>
          <w:rFonts w:eastAsia="Cambria"/>
          <w:b/>
          <w:bCs/>
          <w:szCs w:val="24"/>
        </w:rPr>
        <w:t xml:space="preserve">: Model Summary for </w:t>
      </w:r>
      <w:bookmarkEnd w:id="962"/>
      <w:r w:rsidR="00E70D07" w:rsidRPr="00EB11D3">
        <w:rPr>
          <w:rFonts w:eastAsia="Cambria"/>
          <w:b/>
          <w:bCs/>
          <w:szCs w:val="24"/>
        </w:rPr>
        <w:t xml:space="preserve">Mediated </w:t>
      </w:r>
      <w:r w:rsidR="00B7066C">
        <w:rPr>
          <w:rFonts w:eastAsia="Cambria"/>
          <w:b/>
          <w:bCs/>
          <w:szCs w:val="24"/>
        </w:rPr>
        <w:t>M</w:t>
      </w:r>
      <w:r w:rsidR="00E70D07" w:rsidRPr="00EB11D3">
        <w:rPr>
          <w:rFonts w:eastAsia="Cambria"/>
          <w:b/>
          <w:bCs/>
          <w:szCs w:val="24"/>
        </w:rPr>
        <w:t xml:space="preserve">oderation </w:t>
      </w:r>
      <w:r w:rsidRPr="00EB11D3">
        <w:rPr>
          <w:rFonts w:eastAsia="Cambria"/>
          <w:b/>
          <w:bCs/>
          <w:szCs w:val="24"/>
          <w:lang w:val="zh-CN"/>
        </w:rPr>
        <w:t>Model</w:t>
      </w:r>
      <w:bookmarkEnd w:id="963"/>
    </w:p>
    <w:p w14:paraId="3BE7226E" w14:textId="77777777" w:rsidR="003859C9" w:rsidRPr="00EB11D3" w:rsidRDefault="003859C9" w:rsidP="003859C9">
      <w:pPr>
        <w:shd w:val="clear" w:color="auto" w:fill="FFFFFF"/>
        <w:spacing w:after="0" w:line="240" w:lineRule="auto"/>
        <w:jc w:val="left"/>
        <w:rPr>
          <w:rFonts w:eastAsia="DengXian"/>
          <w:szCs w:val="24"/>
          <w:lang w:eastAsia="zh-CN"/>
        </w:rPr>
      </w:pPr>
    </w:p>
    <w:tbl>
      <w:tblPr>
        <w:tblW w:w="5000" w:type="pct"/>
        <w:tblCellMar>
          <w:left w:w="0" w:type="dxa"/>
          <w:right w:w="0" w:type="dxa"/>
        </w:tblCellMar>
        <w:tblLook w:val="0000" w:firstRow="0" w:lastRow="0" w:firstColumn="0" w:lastColumn="0" w:noHBand="0" w:noVBand="0"/>
      </w:tblPr>
      <w:tblGrid>
        <w:gridCol w:w="1273"/>
        <w:gridCol w:w="1640"/>
        <w:gridCol w:w="1739"/>
        <w:gridCol w:w="2353"/>
        <w:gridCol w:w="2355"/>
      </w:tblGrid>
      <w:tr w:rsidR="003859C9" w:rsidRPr="00EB11D3" w14:paraId="566786C9" w14:textId="77777777" w:rsidTr="00007E09">
        <w:trPr>
          <w:cantSplit/>
        </w:trPr>
        <w:tc>
          <w:tcPr>
            <w:tcW w:w="5000" w:type="pct"/>
            <w:gridSpan w:val="5"/>
            <w:tcBorders>
              <w:top w:val="nil"/>
              <w:left w:val="nil"/>
              <w:bottom w:val="single" w:sz="4" w:space="0" w:color="auto"/>
              <w:right w:val="nil"/>
            </w:tcBorders>
            <w:shd w:val="clear" w:color="auto" w:fill="FFFFFF"/>
            <w:vAlign w:val="center"/>
          </w:tcPr>
          <w:p w14:paraId="2D2097AD" w14:textId="77777777" w:rsidR="003859C9" w:rsidRPr="00EB11D3" w:rsidRDefault="003859C9" w:rsidP="003859C9">
            <w:pPr>
              <w:shd w:val="clear" w:color="auto" w:fill="FFFFFF"/>
              <w:spacing w:after="0" w:line="240" w:lineRule="auto"/>
              <w:jc w:val="center"/>
              <w:rPr>
                <w:rFonts w:eastAsia="DengXian"/>
                <w:szCs w:val="24"/>
                <w:lang w:eastAsia="zh-CN"/>
              </w:rPr>
            </w:pPr>
            <w:r w:rsidRPr="00EB11D3">
              <w:rPr>
                <w:rFonts w:eastAsia="DengXian"/>
                <w:b/>
                <w:bCs/>
                <w:szCs w:val="24"/>
                <w:lang w:eastAsia="zh-CN"/>
              </w:rPr>
              <w:t>Model Summary</w:t>
            </w:r>
          </w:p>
        </w:tc>
      </w:tr>
      <w:tr w:rsidR="003859C9" w:rsidRPr="00EB11D3" w14:paraId="75A75AFB" w14:textId="77777777" w:rsidTr="00007E09">
        <w:trPr>
          <w:cantSplit/>
        </w:trPr>
        <w:tc>
          <w:tcPr>
            <w:tcW w:w="680" w:type="pct"/>
            <w:tcBorders>
              <w:top w:val="single" w:sz="4" w:space="0" w:color="auto"/>
              <w:left w:val="nil"/>
              <w:bottom w:val="single" w:sz="8" w:space="0" w:color="152935"/>
              <w:right w:val="nil"/>
            </w:tcBorders>
            <w:shd w:val="clear" w:color="auto" w:fill="FFFFFF"/>
            <w:vAlign w:val="bottom"/>
          </w:tcPr>
          <w:p w14:paraId="5CAABD09"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Model</w:t>
            </w:r>
          </w:p>
        </w:tc>
        <w:tc>
          <w:tcPr>
            <w:tcW w:w="876" w:type="pct"/>
            <w:tcBorders>
              <w:top w:val="single" w:sz="4" w:space="0" w:color="auto"/>
              <w:left w:val="nil"/>
              <w:bottom w:val="single" w:sz="8" w:space="0" w:color="152935"/>
              <w:right w:val="single" w:sz="8" w:space="0" w:color="E0E0E0"/>
            </w:tcBorders>
            <w:shd w:val="clear" w:color="auto" w:fill="FFFFFF"/>
            <w:vAlign w:val="bottom"/>
          </w:tcPr>
          <w:p w14:paraId="1D22F151"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R</w:t>
            </w:r>
          </w:p>
        </w:tc>
        <w:tc>
          <w:tcPr>
            <w:tcW w:w="929" w:type="pct"/>
            <w:tcBorders>
              <w:top w:val="single" w:sz="4" w:space="0" w:color="auto"/>
              <w:left w:val="single" w:sz="8" w:space="0" w:color="E0E0E0"/>
              <w:bottom w:val="single" w:sz="8" w:space="0" w:color="152935"/>
              <w:right w:val="single" w:sz="8" w:space="0" w:color="E0E0E0"/>
            </w:tcBorders>
            <w:shd w:val="clear" w:color="auto" w:fill="FFFFFF"/>
            <w:vAlign w:val="bottom"/>
          </w:tcPr>
          <w:p w14:paraId="60906B3E"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R Square</w:t>
            </w:r>
          </w:p>
        </w:tc>
        <w:tc>
          <w:tcPr>
            <w:tcW w:w="1257" w:type="pct"/>
            <w:tcBorders>
              <w:top w:val="single" w:sz="4" w:space="0" w:color="auto"/>
              <w:left w:val="single" w:sz="8" w:space="0" w:color="E0E0E0"/>
              <w:bottom w:val="single" w:sz="8" w:space="0" w:color="152935"/>
              <w:right w:val="single" w:sz="8" w:space="0" w:color="E0E0E0"/>
            </w:tcBorders>
            <w:shd w:val="clear" w:color="auto" w:fill="FFFFFF"/>
            <w:vAlign w:val="bottom"/>
          </w:tcPr>
          <w:p w14:paraId="1F6F19EB"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Adjusted R Square</w:t>
            </w:r>
          </w:p>
        </w:tc>
        <w:tc>
          <w:tcPr>
            <w:tcW w:w="1258" w:type="pct"/>
            <w:tcBorders>
              <w:top w:val="single" w:sz="4" w:space="0" w:color="auto"/>
              <w:left w:val="single" w:sz="8" w:space="0" w:color="E0E0E0"/>
              <w:bottom w:val="single" w:sz="8" w:space="0" w:color="152935"/>
              <w:right w:val="nil"/>
            </w:tcBorders>
            <w:shd w:val="clear" w:color="auto" w:fill="FFFFFF"/>
            <w:vAlign w:val="bottom"/>
          </w:tcPr>
          <w:p w14:paraId="04421189"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Std. Error of the Estimate</w:t>
            </w:r>
          </w:p>
        </w:tc>
      </w:tr>
      <w:tr w:rsidR="003859C9" w:rsidRPr="00EB11D3" w14:paraId="77E2626D" w14:textId="77777777" w:rsidTr="00007E09">
        <w:trPr>
          <w:cantSplit/>
        </w:trPr>
        <w:tc>
          <w:tcPr>
            <w:tcW w:w="680" w:type="pct"/>
            <w:tcBorders>
              <w:top w:val="single" w:sz="8" w:space="0" w:color="152935"/>
              <w:left w:val="nil"/>
              <w:bottom w:val="single" w:sz="8" w:space="0" w:color="AEAEAE"/>
              <w:right w:val="nil"/>
            </w:tcBorders>
            <w:shd w:val="clear" w:color="auto" w:fill="E0E0E0"/>
          </w:tcPr>
          <w:p w14:paraId="305A4173"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1</w:t>
            </w:r>
          </w:p>
        </w:tc>
        <w:tc>
          <w:tcPr>
            <w:tcW w:w="876" w:type="pct"/>
            <w:tcBorders>
              <w:top w:val="single" w:sz="8" w:space="0" w:color="152935"/>
              <w:left w:val="nil"/>
              <w:bottom w:val="single" w:sz="8" w:space="0" w:color="AEAEAE"/>
              <w:right w:val="single" w:sz="8" w:space="0" w:color="E0E0E0"/>
            </w:tcBorders>
            <w:shd w:val="clear" w:color="auto" w:fill="F9F9FB"/>
          </w:tcPr>
          <w:p w14:paraId="118DB2C5"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.783</w:t>
            </w:r>
            <w:r w:rsidRPr="00EB11D3">
              <w:rPr>
                <w:rFonts w:eastAsia="DengXian"/>
                <w:szCs w:val="24"/>
                <w:vertAlign w:val="superscript"/>
                <w:lang w:eastAsia="zh-CN"/>
              </w:rPr>
              <w:t>a</w:t>
            </w:r>
          </w:p>
        </w:tc>
        <w:tc>
          <w:tcPr>
            <w:tcW w:w="929" w:type="pct"/>
            <w:tcBorders>
              <w:top w:val="single" w:sz="8" w:space="0" w:color="152935"/>
              <w:left w:val="single" w:sz="8" w:space="0" w:color="E0E0E0"/>
              <w:bottom w:val="single" w:sz="8" w:space="0" w:color="AEAEAE"/>
              <w:right w:val="single" w:sz="8" w:space="0" w:color="E0E0E0"/>
            </w:tcBorders>
            <w:shd w:val="clear" w:color="auto" w:fill="F9F9FB"/>
          </w:tcPr>
          <w:p w14:paraId="040FE8D1"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.613</w:t>
            </w:r>
          </w:p>
        </w:tc>
        <w:tc>
          <w:tcPr>
            <w:tcW w:w="1257" w:type="pct"/>
            <w:tcBorders>
              <w:top w:val="single" w:sz="8" w:space="0" w:color="152935"/>
              <w:left w:val="single" w:sz="8" w:space="0" w:color="E0E0E0"/>
              <w:bottom w:val="single" w:sz="8" w:space="0" w:color="AEAEAE"/>
              <w:right w:val="single" w:sz="8" w:space="0" w:color="E0E0E0"/>
            </w:tcBorders>
            <w:shd w:val="clear" w:color="auto" w:fill="F9F9FB"/>
          </w:tcPr>
          <w:p w14:paraId="716344B5"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.611</w:t>
            </w:r>
          </w:p>
        </w:tc>
        <w:tc>
          <w:tcPr>
            <w:tcW w:w="1258" w:type="pct"/>
            <w:tcBorders>
              <w:top w:val="single" w:sz="8" w:space="0" w:color="152935"/>
              <w:left w:val="single" w:sz="8" w:space="0" w:color="E0E0E0"/>
              <w:bottom w:val="single" w:sz="8" w:space="0" w:color="AEAEAE"/>
              <w:right w:val="nil"/>
            </w:tcBorders>
            <w:shd w:val="clear" w:color="auto" w:fill="F9F9FB"/>
          </w:tcPr>
          <w:p w14:paraId="084FC918"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.47443</w:t>
            </w:r>
          </w:p>
        </w:tc>
      </w:tr>
      <w:tr w:rsidR="003859C9" w:rsidRPr="00EB11D3" w14:paraId="5E8439A7" w14:textId="77777777" w:rsidTr="00007E09">
        <w:trPr>
          <w:cantSplit/>
        </w:trPr>
        <w:tc>
          <w:tcPr>
            <w:tcW w:w="680" w:type="pct"/>
            <w:tcBorders>
              <w:top w:val="single" w:sz="8" w:space="0" w:color="AEAEAE"/>
              <w:left w:val="nil"/>
              <w:bottom w:val="single" w:sz="8" w:space="0" w:color="152935"/>
              <w:right w:val="nil"/>
            </w:tcBorders>
            <w:shd w:val="clear" w:color="auto" w:fill="E0E0E0"/>
          </w:tcPr>
          <w:p w14:paraId="42E6DF17"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2</w:t>
            </w:r>
          </w:p>
        </w:tc>
        <w:tc>
          <w:tcPr>
            <w:tcW w:w="876" w:type="pct"/>
            <w:tcBorders>
              <w:top w:val="single" w:sz="8" w:space="0" w:color="AEAEAE"/>
              <w:left w:val="nil"/>
              <w:bottom w:val="single" w:sz="8" w:space="0" w:color="152935"/>
              <w:right w:val="single" w:sz="8" w:space="0" w:color="E0E0E0"/>
            </w:tcBorders>
            <w:shd w:val="clear" w:color="auto" w:fill="F9F9FB"/>
          </w:tcPr>
          <w:p w14:paraId="2E0959FC"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.897</w:t>
            </w:r>
            <w:r w:rsidRPr="00EB11D3">
              <w:rPr>
                <w:rFonts w:eastAsia="DengXian"/>
                <w:szCs w:val="24"/>
                <w:vertAlign w:val="superscript"/>
                <w:lang w:eastAsia="zh-CN"/>
              </w:rPr>
              <w:t>b</w:t>
            </w:r>
          </w:p>
        </w:tc>
        <w:tc>
          <w:tcPr>
            <w:tcW w:w="929" w:type="pct"/>
            <w:tcBorders>
              <w:top w:val="single" w:sz="8" w:space="0" w:color="AEAEAE"/>
              <w:left w:val="single" w:sz="8" w:space="0" w:color="E0E0E0"/>
              <w:bottom w:val="single" w:sz="8" w:space="0" w:color="152935"/>
              <w:right w:val="single" w:sz="8" w:space="0" w:color="E0E0E0"/>
            </w:tcBorders>
            <w:shd w:val="clear" w:color="auto" w:fill="F9F9FB"/>
          </w:tcPr>
          <w:p w14:paraId="37CDF037"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.804</w:t>
            </w:r>
          </w:p>
        </w:tc>
        <w:tc>
          <w:tcPr>
            <w:tcW w:w="1257" w:type="pct"/>
            <w:tcBorders>
              <w:top w:val="single" w:sz="8" w:space="0" w:color="AEAEAE"/>
              <w:left w:val="single" w:sz="8" w:space="0" w:color="E0E0E0"/>
              <w:bottom w:val="single" w:sz="8" w:space="0" w:color="152935"/>
              <w:right w:val="single" w:sz="8" w:space="0" w:color="E0E0E0"/>
            </w:tcBorders>
            <w:shd w:val="clear" w:color="auto" w:fill="F9F9FB"/>
          </w:tcPr>
          <w:p w14:paraId="72853562"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.802</w:t>
            </w:r>
          </w:p>
        </w:tc>
        <w:tc>
          <w:tcPr>
            <w:tcW w:w="1258" w:type="pct"/>
            <w:tcBorders>
              <w:top w:val="single" w:sz="8" w:space="0" w:color="AEAEAE"/>
              <w:left w:val="single" w:sz="8" w:space="0" w:color="E0E0E0"/>
              <w:bottom w:val="single" w:sz="8" w:space="0" w:color="152935"/>
              <w:right w:val="nil"/>
            </w:tcBorders>
            <w:shd w:val="clear" w:color="auto" w:fill="F9F9FB"/>
          </w:tcPr>
          <w:p w14:paraId="7B5DF4C6"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.33868</w:t>
            </w:r>
          </w:p>
        </w:tc>
      </w:tr>
      <w:tr w:rsidR="003859C9" w:rsidRPr="00EB11D3" w14:paraId="73BD5A3D" w14:textId="77777777" w:rsidTr="00007E09">
        <w:trPr>
          <w:cantSplit/>
        </w:trPr>
        <w:tc>
          <w:tcPr>
            <w:tcW w:w="5000" w:type="pct"/>
            <w:gridSpan w:val="5"/>
            <w:tcBorders>
              <w:top w:val="nil"/>
              <w:left w:val="nil"/>
              <w:bottom w:val="nil"/>
              <w:right w:val="nil"/>
            </w:tcBorders>
            <w:shd w:val="clear" w:color="auto" w:fill="FFFFFF"/>
          </w:tcPr>
          <w:p w14:paraId="11A4A0E6"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a. Predictors: (Constant), Corporate governance</w:t>
            </w:r>
          </w:p>
        </w:tc>
      </w:tr>
      <w:tr w:rsidR="003859C9" w:rsidRPr="00EB11D3" w14:paraId="0AA7560A" w14:textId="77777777" w:rsidTr="00007E09">
        <w:trPr>
          <w:cantSplit/>
        </w:trPr>
        <w:tc>
          <w:tcPr>
            <w:tcW w:w="5000" w:type="pct"/>
            <w:gridSpan w:val="5"/>
            <w:tcBorders>
              <w:top w:val="nil"/>
              <w:left w:val="nil"/>
              <w:bottom w:val="nil"/>
              <w:right w:val="nil"/>
            </w:tcBorders>
            <w:shd w:val="clear" w:color="auto" w:fill="FFFFFF"/>
          </w:tcPr>
          <w:p w14:paraId="423BC953"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b. Predictors: (Constant), Corporate governance, Service Innovation, Government Regulations</w:t>
            </w:r>
          </w:p>
        </w:tc>
      </w:tr>
    </w:tbl>
    <w:p w14:paraId="509C6BCA" w14:textId="77777777" w:rsidR="003859C9" w:rsidRPr="00EB11D3" w:rsidRDefault="003859C9" w:rsidP="003859C9">
      <w:pPr>
        <w:shd w:val="clear" w:color="auto" w:fill="FFFFFF"/>
        <w:spacing w:after="160" w:line="360" w:lineRule="auto"/>
        <w:rPr>
          <w:rFonts w:eastAsia="Cambria"/>
          <w:szCs w:val="24"/>
        </w:rPr>
      </w:pPr>
    </w:p>
    <w:p w14:paraId="1BDFFA07"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The first model for regressing corporate governance against </w:t>
      </w:r>
      <w:r w:rsidR="006D5C62" w:rsidRPr="00EB11D3">
        <w:rPr>
          <w:rFonts w:eastAsia="Cambria"/>
          <w:szCs w:val="24"/>
        </w:rPr>
        <w:t>organisational performance of Faith-Based Hospitals</w:t>
      </w:r>
      <w:r w:rsidRPr="00EB11D3">
        <w:rPr>
          <w:rFonts w:eastAsia="Cambria"/>
          <w:szCs w:val="24"/>
        </w:rPr>
        <w:t xml:space="preserve"> in Kenya had 61.3% while the second step of regressing corporate governance, service innovation, government regulations, and SI*GR against </w:t>
      </w:r>
      <w:r w:rsidR="006D5C62" w:rsidRPr="00EB11D3">
        <w:rPr>
          <w:rFonts w:eastAsia="Cambria"/>
          <w:szCs w:val="24"/>
        </w:rPr>
        <w:t>organisational performance of Faith-Based Hospitals</w:t>
      </w:r>
      <w:r w:rsidRPr="00EB11D3">
        <w:rPr>
          <w:rFonts w:eastAsia="Cambria"/>
          <w:szCs w:val="24"/>
        </w:rPr>
        <w:t xml:space="preserve"> in Kenya had 80.4%. The R squared for model increased from 61.3% to 80.4% after the mediated</w:t>
      </w:r>
      <w:r w:rsidR="000E20B9">
        <w:rPr>
          <w:rFonts w:eastAsia="Cambria"/>
          <w:szCs w:val="24"/>
        </w:rPr>
        <w:t xml:space="preserve"> </w:t>
      </w:r>
      <w:r w:rsidRPr="00EB11D3">
        <w:rPr>
          <w:rFonts w:eastAsia="Cambria"/>
          <w:szCs w:val="24"/>
        </w:rPr>
        <w:t>moderat</w:t>
      </w:r>
      <w:r w:rsidR="000E20B9">
        <w:rPr>
          <w:rFonts w:eastAsia="Cambria"/>
          <w:szCs w:val="24"/>
        </w:rPr>
        <w:t>ion</w:t>
      </w:r>
      <w:r w:rsidRPr="00EB11D3">
        <w:rPr>
          <w:rFonts w:eastAsia="Cambria"/>
          <w:szCs w:val="24"/>
        </w:rPr>
        <w:t xml:space="preserve"> effect. The ANOVA results are presented in Table 38.</w:t>
      </w:r>
    </w:p>
    <w:p w14:paraId="7A87A99E" w14:textId="77777777" w:rsidR="003859C9" w:rsidRPr="00EB11D3" w:rsidRDefault="00693A40" w:rsidP="003859C9">
      <w:pPr>
        <w:shd w:val="clear" w:color="auto" w:fill="FFFFFF"/>
        <w:spacing w:after="0" w:line="240" w:lineRule="auto"/>
        <w:jc w:val="left"/>
        <w:rPr>
          <w:rFonts w:eastAsia="DengXian"/>
          <w:szCs w:val="24"/>
          <w:lang w:eastAsia="zh-CN"/>
        </w:rPr>
      </w:pPr>
      <w:bookmarkStart w:id="964" w:name="_Toc126666773"/>
      <w:r w:rsidRPr="00EB11D3">
        <w:rPr>
          <w:rFonts w:eastAsia="Times New Roman"/>
          <w:b/>
          <w:bCs/>
          <w:szCs w:val="24"/>
        </w:rPr>
        <w:br w:type="page"/>
      </w:r>
      <w:bookmarkStart w:id="965" w:name="_Toc177387969"/>
      <w:r w:rsidR="003859C9" w:rsidRPr="00EB11D3">
        <w:rPr>
          <w:rFonts w:eastAsia="Times New Roman"/>
          <w:b/>
          <w:bCs/>
          <w:szCs w:val="24"/>
        </w:rPr>
        <w:t xml:space="preserve">Table </w:t>
      </w:r>
      <w:r w:rsidR="003859C9" w:rsidRPr="00EB11D3">
        <w:rPr>
          <w:rFonts w:eastAsia="Times New Roman"/>
          <w:b/>
          <w:bCs/>
          <w:szCs w:val="24"/>
        </w:rPr>
        <w:fldChar w:fldCharType="begin"/>
      </w:r>
      <w:r w:rsidR="003859C9" w:rsidRPr="00EB11D3">
        <w:rPr>
          <w:rFonts w:eastAsia="Times New Roman"/>
          <w:b/>
          <w:bCs/>
          <w:szCs w:val="24"/>
        </w:rPr>
        <w:instrText xml:space="preserve"> SEQ Table \* ARABIC </w:instrText>
      </w:r>
      <w:r w:rsidR="003859C9" w:rsidRPr="00EB11D3">
        <w:rPr>
          <w:rFonts w:eastAsia="Times New Roman"/>
          <w:b/>
          <w:bCs/>
          <w:szCs w:val="24"/>
        </w:rPr>
        <w:fldChar w:fldCharType="separate"/>
      </w:r>
      <w:r w:rsidR="003859C9" w:rsidRPr="00EB11D3">
        <w:rPr>
          <w:rFonts w:eastAsia="Times New Roman"/>
          <w:b/>
          <w:bCs/>
          <w:noProof/>
          <w:szCs w:val="24"/>
        </w:rPr>
        <w:t>38</w:t>
      </w:r>
      <w:r w:rsidR="003859C9" w:rsidRPr="00EB11D3">
        <w:rPr>
          <w:rFonts w:eastAsia="Times New Roman"/>
          <w:b/>
          <w:bCs/>
          <w:szCs w:val="24"/>
        </w:rPr>
        <w:fldChar w:fldCharType="end"/>
      </w:r>
      <w:r w:rsidR="003859C9" w:rsidRPr="00EB11D3">
        <w:rPr>
          <w:rFonts w:eastAsia="Times New Roman"/>
          <w:b/>
          <w:bCs/>
          <w:szCs w:val="24"/>
        </w:rPr>
        <w:t>: ANOVA</w:t>
      </w:r>
      <w:bookmarkEnd w:id="964"/>
      <w:bookmarkEnd w:id="965"/>
    </w:p>
    <w:p w14:paraId="418312C0" w14:textId="77777777" w:rsidR="003859C9" w:rsidRPr="00EB11D3" w:rsidRDefault="003859C9" w:rsidP="003859C9">
      <w:pPr>
        <w:shd w:val="clear" w:color="auto" w:fill="FFFFFF"/>
        <w:spacing w:after="0" w:line="240" w:lineRule="auto"/>
        <w:jc w:val="left"/>
        <w:rPr>
          <w:rFonts w:eastAsia="DengXian"/>
          <w:szCs w:val="24"/>
          <w:lang w:eastAsia="zh-CN"/>
        </w:rPr>
      </w:pPr>
    </w:p>
    <w:p w14:paraId="5C732F6F" w14:textId="77777777" w:rsidR="003859C9" w:rsidRPr="00EB11D3" w:rsidRDefault="003859C9" w:rsidP="003859C9">
      <w:pPr>
        <w:shd w:val="clear" w:color="auto" w:fill="FFFFFF"/>
        <w:spacing w:after="0" w:line="240" w:lineRule="auto"/>
        <w:jc w:val="left"/>
        <w:rPr>
          <w:rFonts w:eastAsia="DengXian"/>
          <w:szCs w:val="24"/>
          <w:lang w:eastAsia="zh-CN"/>
        </w:rPr>
      </w:pPr>
    </w:p>
    <w:tbl>
      <w:tblPr>
        <w:tblW w:w="5000" w:type="pct"/>
        <w:tblCellMar>
          <w:left w:w="0" w:type="dxa"/>
          <w:right w:w="0" w:type="dxa"/>
        </w:tblCellMar>
        <w:tblLook w:val="0000" w:firstRow="0" w:lastRow="0" w:firstColumn="0" w:lastColumn="0" w:noHBand="0" w:noVBand="0"/>
      </w:tblPr>
      <w:tblGrid>
        <w:gridCol w:w="858"/>
        <w:gridCol w:w="1509"/>
        <w:gridCol w:w="1726"/>
        <w:gridCol w:w="1204"/>
        <w:gridCol w:w="1653"/>
        <w:gridCol w:w="1204"/>
        <w:gridCol w:w="1206"/>
      </w:tblGrid>
      <w:tr w:rsidR="003859C9" w:rsidRPr="00EB11D3" w14:paraId="0611F2E8" w14:textId="77777777" w:rsidTr="00693A40">
        <w:trPr>
          <w:cantSplit/>
        </w:trPr>
        <w:tc>
          <w:tcPr>
            <w:tcW w:w="5000" w:type="pct"/>
            <w:gridSpan w:val="7"/>
            <w:tcBorders>
              <w:top w:val="nil"/>
              <w:left w:val="nil"/>
              <w:bottom w:val="single" w:sz="4" w:space="0" w:color="auto"/>
              <w:right w:val="nil"/>
            </w:tcBorders>
            <w:shd w:val="clear" w:color="auto" w:fill="auto"/>
            <w:vAlign w:val="center"/>
          </w:tcPr>
          <w:p w14:paraId="49EF8D71" w14:textId="77777777" w:rsidR="003859C9" w:rsidRPr="00EB11D3" w:rsidRDefault="003859C9" w:rsidP="00693A40">
            <w:pPr>
              <w:shd w:val="clear" w:color="auto" w:fill="FFFFFF"/>
              <w:spacing w:after="0" w:line="240" w:lineRule="auto"/>
              <w:jc w:val="center"/>
              <w:rPr>
                <w:rFonts w:eastAsia="DengXian"/>
                <w:szCs w:val="24"/>
                <w:lang w:eastAsia="zh-CN"/>
              </w:rPr>
            </w:pPr>
            <w:r w:rsidRPr="00EB11D3">
              <w:rPr>
                <w:rFonts w:eastAsia="DengXian"/>
                <w:b/>
                <w:bCs/>
                <w:szCs w:val="24"/>
                <w:lang w:eastAsia="zh-CN"/>
              </w:rPr>
              <w:t>ANOVA</w:t>
            </w:r>
            <w:r w:rsidRPr="00EB11D3">
              <w:rPr>
                <w:rFonts w:eastAsia="DengXian"/>
                <w:b/>
                <w:bCs/>
                <w:szCs w:val="24"/>
                <w:vertAlign w:val="superscript"/>
                <w:lang w:eastAsia="zh-CN"/>
              </w:rPr>
              <w:t>a</w:t>
            </w:r>
          </w:p>
        </w:tc>
      </w:tr>
      <w:tr w:rsidR="003859C9" w:rsidRPr="00EB11D3" w14:paraId="40616FDC" w14:textId="77777777" w:rsidTr="00693A40">
        <w:trPr>
          <w:cantSplit/>
        </w:trPr>
        <w:tc>
          <w:tcPr>
            <w:tcW w:w="1265" w:type="pct"/>
            <w:gridSpan w:val="2"/>
            <w:tcBorders>
              <w:top w:val="single" w:sz="4" w:space="0" w:color="auto"/>
              <w:left w:val="nil"/>
              <w:bottom w:val="single" w:sz="8" w:space="0" w:color="152935"/>
              <w:right w:val="nil"/>
            </w:tcBorders>
            <w:shd w:val="clear" w:color="auto" w:fill="auto"/>
            <w:vAlign w:val="bottom"/>
          </w:tcPr>
          <w:p w14:paraId="79A0735D" w14:textId="77777777" w:rsidR="003859C9" w:rsidRPr="00EB11D3" w:rsidRDefault="003859C9" w:rsidP="00693A40">
            <w:pPr>
              <w:shd w:val="clear" w:color="auto" w:fill="FFFFFF"/>
              <w:spacing w:after="0" w:line="240" w:lineRule="auto"/>
              <w:jc w:val="center"/>
              <w:rPr>
                <w:rFonts w:eastAsia="DengXian"/>
                <w:szCs w:val="24"/>
                <w:lang w:eastAsia="zh-CN"/>
              </w:rPr>
            </w:pPr>
            <w:r w:rsidRPr="00EB11D3">
              <w:rPr>
                <w:rFonts w:eastAsia="DengXian"/>
                <w:szCs w:val="24"/>
                <w:lang w:eastAsia="zh-CN"/>
              </w:rPr>
              <w:t>Model</w:t>
            </w:r>
          </w:p>
        </w:tc>
        <w:tc>
          <w:tcPr>
            <w:tcW w:w="922" w:type="pct"/>
            <w:tcBorders>
              <w:top w:val="single" w:sz="4" w:space="0" w:color="auto"/>
              <w:left w:val="nil"/>
              <w:bottom w:val="single" w:sz="8" w:space="0" w:color="152935"/>
              <w:right w:val="single" w:sz="8" w:space="0" w:color="E0E0E0"/>
            </w:tcBorders>
            <w:shd w:val="clear" w:color="auto" w:fill="auto"/>
            <w:vAlign w:val="bottom"/>
          </w:tcPr>
          <w:p w14:paraId="1B76A2C2" w14:textId="77777777" w:rsidR="003859C9" w:rsidRPr="00EB11D3" w:rsidRDefault="003859C9" w:rsidP="00693A40">
            <w:pPr>
              <w:shd w:val="clear" w:color="auto" w:fill="FFFFFF"/>
              <w:spacing w:after="0" w:line="240" w:lineRule="auto"/>
              <w:jc w:val="center"/>
              <w:rPr>
                <w:rFonts w:eastAsia="DengXian"/>
                <w:szCs w:val="24"/>
                <w:lang w:eastAsia="zh-CN"/>
              </w:rPr>
            </w:pPr>
            <w:r w:rsidRPr="00EB11D3">
              <w:rPr>
                <w:rFonts w:eastAsia="DengXian"/>
                <w:szCs w:val="24"/>
                <w:lang w:eastAsia="zh-CN"/>
              </w:rPr>
              <w:t>Sum of Squares</w:t>
            </w:r>
          </w:p>
        </w:tc>
        <w:tc>
          <w:tcPr>
            <w:tcW w:w="643" w:type="pct"/>
            <w:tcBorders>
              <w:top w:val="single" w:sz="4" w:space="0" w:color="auto"/>
              <w:left w:val="single" w:sz="8" w:space="0" w:color="E0E0E0"/>
              <w:bottom w:val="single" w:sz="8" w:space="0" w:color="152935"/>
              <w:right w:val="single" w:sz="8" w:space="0" w:color="E0E0E0"/>
            </w:tcBorders>
            <w:shd w:val="clear" w:color="auto" w:fill="auto"/>
            <w:vAlign w:val="bottom"/>
          </w:tcPr>
          <w:p w14:paraId="314EBC93" w14:textId="77777777" w:rsidR="003859C9" w:rsidRPr="00EB11D3" w:rsidRDefault="003859C9" w:rsidP="00693A40">
            <w:pPr>
              <w:shd w:val="clear" w:color="auto" w:fill="FFFFFF"/>
              <w:spacing w:after="0" w:line="240" w:lineRule="auto"/>
              <w:jc w:val="center"/>
              <w:rPr>
                <w:rFonts w:eastAsia="DengXian"/>
                <w:szCs w:val="24"/>
                <w:lang w:eastAsia="zh-CN"/>
              </w:rPr>
            </w:pPr>
            <w:r w:rsidRPr="00EB11D3">
              <w:rPr>
                <w:rFonts w:eastAsia="DengXian"/>
                <w:szCs w:val="24"/>
                <w:lang w:eastAsia="zh-CN"/>
              </w:rPr>
              <w:t>df</w:t>
            </w:r>
          </w:p>
        </w:tc>
        <w:tc>
          <w:tcPr>
            <w:tcW w:w="883" w:type="pct"/>
            <w:tcBorders>
              <w:top w:val="single" w:sz="4" w:space="0" w:color="auto"/>
              <w:left w:val="single" w:sz="8" w:space="0" w:color="E0E0E0"/>
              <w:bottom w:val="single" w:sz="8" w:space="0" w:color="152935"/>
              <w:right w:val="single" w:sz="8" w:space="0" w:color="E0E0E0"/>
            </w:tcBorders>
            <w:shd w:val="clear" w:color="auto" w:fill="auto"/>
            <w:vAlign w:val="bottom"/>
          </w:tcPr>
          <w:p w14:paraId="34A533E9" w14:textId="77777777" w:rsidR="003859C9" w:rsidRPr="00EB11D3" w:rsidRDefault="003859C9" w:rsidP="00693A40">
            <w:pPr>
              <w:shd w:val="clear" w:color="auto" w:fill="FFFFFF"/>
              <w:spacing w:after="0" w:line="240" w:lineRule="auto"/>
              <w:jc w:val="center"/>
              <w:rPr>
                <w:rFonts w:eastAsia="DengXian"/>
                <w:szCs w:val="24"/>
                <w:lang w:eastAsia="zh-CN"/>
              </w:rPr>
            </w:pPr>
            <w:r w:rsidRPr="00EB11D3">
              <w:rPr>
                <w:rFonts w:eastAsia="DengXian"/>
                <w:szCs w:val="24"/>
                <w:lang w:eastAsia="zh-CN"/>
              </w:rPr>
              <w:t>Mean Square</w:t>
            </w:r>
          </w:p>
        </w:tc>
        <w:tc>
          <w:tcPr>
            <w:tcW w:w="643" w:type="pct"/>
            <w:tcBorders>
              <w:top w:val="single" w:sz="4" w:space="0" w:color="auto"/>
              <w:left w:val="single" w:sz="8" w:space="0" w:color="E0E0E0"/>
              <w:bottom w:val="single" w:sz="8" w:space="0" w:color="152935"/>
              <w:right w:val="single" w:sz="8" w:space="0" w:color="E0E0E0"/>
            </w:tcBorders>
            <w:shd w:val="clear" w:color="auto" w:fill="auto"/>
            <w:vAlign w:val="bottom"/>
          </w:tcPr>
          <w:p w14:paraId="40C549B0" w14:textId="77777777" w:rsidR="003859C9" w:rsidRPr="00EB11D3" w:rsidRDefault="003859C9" w:rsidP="00693A40">
            <w:pPr>
              <w:shd w:val="clear" w:color="auto" w:fill="FFFFFF"/>
              <w:spacing w:after="0" w:line="240" w:lineRule="auto"/>
              <w:jc w:val="center"/>
              <w:rPr>
                <w:rFonts w:eastAsia="DengXian"/>
                <w:szCs w:val="24"/>
                <w:lang w:eastAsia="zh-CN"/>
              </w:rPr>
            </w:pPr>
            <w:r w:rsidRPr="00EB11D3">
              <w:rPr>
                <w:rFonts w:eastAsia="DengXian"/>
                <w:szCs w:val="24"/>
                <w:lang w:eastAsia="zh-CN"/>
              </w:rPr>
              <w:t>F</w:t>
            </w:r>
          </w:p>
        </w:tc>
        <w:tc>
          <w:tcPr>
            <w:tcW w:w="643" w:type="pct"/>
            <w:tcBorders>
              <w:top w:val="single" w:sz="4" w:space="0" w:color="auto"/>
              <w:left w:val="single" w:sz="8" w:space="0" w:color="E0E0E0"/>
              <w:bottom w:val="single" w:sz="8" w:space="0" w:color="152935"/>
              <w:right w:val="nil"/>
            </w:tcBorders>
            <w:shd w:val="clear" w:color="auto" w:fill="auto"/>
            <w:vAlign w:val="bottom"/>
          </w:tcPr>
          <w:p w14:paraId="6BA8A8D2" w14:textId="77777777" w:rsidR="003859C9" w:rsidRPr="00EB11D3" w:rsidRDefault="003859C9" w:rsidP="00693A40">
            <w:pPr>
              <w:shd w:val="clear" w:color="auto" w:fill="FFFFFF"/>
              <w:spacing w:after="0" w:line="240" w:lineRule="auto"/>
              <w:jc w:val="center"/>
              <w:rPr>
                <w:rFonts w:eastAsia="DengXian"/>
                <w:szCs w:val="24"/>
                <w:lang w:eastAsia="zh-CN"/>
              </w:rPr>
            </w:pPr>
            <w:r w:rsidRPr="00EB11D3">
              <w:rPr>
                <w:rFonts w:eastAsia="DengXian"/>
                <w:szCs w:val="24"/>
                <w:lang w:eastAsia="zh-CN"/>
              </w:rPr>
              <w:t>Sig.</w:t>
            </w:r>
          </w:p>
        </w:tc>
      </w:tr>
      <w:tr w:rsidR="003859C9" w:rsidRPr="00EB11D3" w14:paraId="48154979" w14:textId="77777777" w:rsidTr="00007E09">
        <w:trPr>
          <w:cantSplit/>
        </w:trPr>
        <w:tc>
          <w:tcPr>
            <w:tcW w:w="459" w:type="pct"/>
            <w:vMerge w:val="restart"/>
            <w:tcBorders>
              <w:top w:val="single" w:sz="8" w:space="0" w:color="152935"/>
              <w:left w:val="nil"/>
              <w:bottom w:val="nil"/>
              <w:right w:val="nil"/>
            </w:tcBorders>
            <w:shd w:val="clear" w:color="auto" w:fill="auto"/>
          </w:tcPr>
          <w:p w14:paraId="750D103A"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1</w:t>
            </w:r>
          </w:p>
        </w:tc>
        <w:tc>
          <w:tcPr>
            <w:tcW w:w="806" w:type="pct"/>
            <w:tcBorders>
              <w:top w:val="single" w:sz="8" w:space="0" w:color="152935"/>
              <w:left w:val="nil"/>
              <w:bottom w:val="single" w:sz="8" w:space="0" w:color="AEAEAE"/>
              <w:right w:val="nil"/>
            </w:tcBorders>
            <w:shd w:val="clear" w:color="auto" w:fill="auto"/>
          </w:tcPr>
          <w:p w14:paraId="113481F3"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Regression</w:t>
            </w:r>
          </w:p>
        </w:tc>
        <w:tc>
          <w:tcPr>
            <w:tcW w:w="922" w:type="pct"/>
            <w:tcBorders>
              <w:top w:val="single" w:sz="8" w:space="0" w:color="152935"/>
              <w:left w:val="nil"/>
              <w:bottom w:val="single" w:sz="8" w:space="0" w:color="AEAEAE"/>
              <w:right w:val="single" w:sz="8" w:space="0" w:color="E0E0E0"/>
            </w:tcBorders>
            <w:shd w:val="clear" w:color="auto" w:fill="auto"/>
          </w:tcPr>
          <w:p w14:paraId="266A0AF1"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88.279</w:t>
            </w:r>
          </w:p>
        </w:tc>
        <w:tc>
          <w:tcPr>
            <w:tcW w:w="643" w:type="pct"/>
            <w:tcBorders>
              <w:top w:val="single" w:sz="8" w:space="0" w:color="152935"/>
              <w:left w:val="single" w:sz="8" w:space="0" w:color="E0E0E0"/>
              <w:bottom w:val="single" w:sz="8" w:space="0" w:color="AEAEAE"/>
              <w:right w:val="single" w:sz="8" w:space="0" w:color="E0E0E0"/>
            </w:tcBorders>
            <w:shd w:val="clear" w:color="auto" w:fill="auto"/>
          </w:tcPr>
          <w:p w14:paraId="4D3273DA"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1</w:t>
            </w:r>
          </w:p>
        </w:tc>
        <w:tc>
          <w:tcPr>
            <w:tcW w:w="883" w:type="pct"/>
            <w:tcBorders>
              <w:top w:val="single" w:sz="8" w:space="0" w:color="152935"/>
              <w:left w:val="single" w:sz="8" w:space="0" w:color="E0E0E0"/>
              <w:bottom w:val="single" w:sz="8" w:space="0" w:color="AEAEAE"/>
              <w:right w:val="single" w:sz="8" w:space="0" w:color="E0E0E0"/>
            </w:tcBorders>
            <w:shd w:val="clear" w:color="auto" w:fill="auto"/>
          </w:tcPr>
          <w:p w14:paraId="239343CB"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88.279</w:t>
            </w:r>
          </w:p>
        </w:tc>
        <w:tc>
          <w:tcPr>
            <w:tcW w:w="643" w:type="pct"/>
            <w:tcBorders>
              <w:top w:val="single" w:sz="8" w:space="0" w:color="152935"/>
              <w:left w:val="single" w:sz="8" w:space="0" w:color="E0E0E0"/>
              <w:bottom w:val="single" w:sz="8" w:space="0" w:color="AEAEAE"/>
              <w:right w:val="single" w:sz="8" w:space="0" w:color="E0E0E0"/>
            </w:tcBorders>
            <w:shd w:val="clear" w:color="auto" w:fill="auto"/>
          </w:tcPr>
          <w:p w14:paraId="639C952A"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392.200</w:t>
            </w:r>
          </w:p>
        </w:tc>
        <w:tc>
          <w:tcPr>
            <w:tcW w:w="643" w:type="pct"/>
            <w:tcBorders>
              <w:top w:val="single" w:sz="8" w:space="0" w:color="152935"/>
              <w:left w:val="single" w:sz="8" w:space="0" w:color="E0E0E0"/>
              <w:bottom w:val="single" w:sz="8" w:space="0" w:color="AEAEAE"/>
              <w:right w:val="nil"/>
            </w:tcBorders>
            <w:shd w:val="clear" w:color="auto" w:fill="auto"/>
          </w:tcPr>
          <w:p w14:paraId="091364F9"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.000</w:t>
            </w:r>
            <w:r w:rsidRPr="00EB11D3">
              <w:rPr>
                <w:rFonts w:eastAsia="DengXian"/>
                <w:szCs w:val="24"/>
                <w:vertAlign w:val="superscript"/>
                <w:lang w:eastAsia="zh-CN"/>
              </w:rPr>
              <w:t>b</w:t>
            </w:r>
          </w:p>
        </w:tc>
      </w:tr>
      <w:tr w:rsidR="003859C9" w:rsidRPr="00EB11D3" w14:paraId="58FCE4A4" w14:textId="77777777" w:rsidTr="00007E09">
        <w:trPr>
          <w:cantSplit/>
        </w:trPr>
        <w:tc>
          <w:tcPr>
            <w:tcW w:w="459" w:type="pct"/>
            <w:vMerge/>
            <w:tcBorders>
              <w:top w:val="single" w:sz="8" w:space="0" w:color="152935"/>
              <w:left w:val="nil"/>
              <w:bottom w:val="nil"/>
              <w:right w:val="nil"/>
            </w:tcBorders>
            <w:shd w:val="clear" w:color="auto" w:fill="auto"/>
          </w:tcPr>
          <w:p w14:paraId="73B07674" w14:textId="77777777" w:rsidR="003859C9" w:rsidRPr="00EB11D3" w:rsidRDefault="003859C9" w:rsidP="003859C9">
            <w:pPr>
              <w:shd w:val="clear" w:color="auto" w:fill="FFFFFF"/>
              <w:spacing w:after="0" w:line="240" w:lineRule="auto"/>
              <w:jc w:val="left"/>
              <w:rPr>
                <w:rFonts w:eastAsia="DengXian"/>
                <w:szCs w:val="24"/>
                <w:lang w:eastAsia="zh-CN"/>
              </w:rPr>
            </w:pPr>
          </w:p>
        </w:tc>
        <w:tc>
          <w:tcPr>
            <w:tcW w:w="806" w:type="pct"/>
            <w:tcBorders>
              <w:top w:val="single" w:sz="8" w:space="0" w:color="AEAEAE"/>
              <w:left w:val="nil"/>
              <w:bottom w:val="single" w:sz="8" w:space="0" w:color="AEAEAE"/>
              <w:right w:val="nil"/>
            </w:tcBorders>
            <w:shd w:val="clear" w:color="auto" w:fill="auto"/>
          </w:tcPr>
          <w:p w14:paraId="53BD35A1"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Residual</w:t>
            </w:r>
          </w:p>
        </w:tc>
        <w:tc>
          <w:tcPr>
            <w:tcW w:w="922" w:type="pct"/>
            <w:tcBorders>
              <w:top w:val="single" w:sz="8" w:space="0" w:color="AEAEAE"/>
              <w:left w:val="nil"/>
              <w:bottom w:val="single" w:sz="8" w:space="0" w:color="AEAEAE"/>
              <w:right w:val="single" w:sz="8" w:space="0" w:color="E0E0E0"/>
            </w:tcBorders>
            <w:shd w:val="clear" w:color="auto" w:fill="auto"/>
          </w:tcPr>
          <w:p w14:paraId="1CBF3423"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55.821</w:t>
            </w:r>
          </w:p>
        </w:tc>
        <w:tc>
          <w:tcPr>
            <w:tcW w:w="643" w:type="pct"/>
            <w:tcBorders>
              <w:top w:val="single" w:sz="8" w:space="0" w:color="AEAEAE"/>
              <w:left w:val="single" w:sz="8" w:space="0" w:color="E0E0E0"/>
              <w:bottom w:val="single" w:sz="8" w:space="0" w:color="AEAEAE"/>
              <w:right w:val="single" w:sz="8" w:space="0" w:color="E0E0E0"/>
            </w:tcBorders>
            <w:shd w:val="clear" w:color="auto" w:fill="auto"/>
          </w:tcPr>
          <w:p w14:paraId="6E3FE39A"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248</w:t>
            </w:r>
          </w:p>
        </w:tc>
        <w:tc>
          <w:tcPr>
            <w:tcW w:w="883" w:type="pct"/>
            <w:tcBorders>
              <w:top w:val="single" w:sz="8" w:space="0" w:color="AEAEAE"/>
              <w:left w:val="single" w:sz="8" w:space="0" w:color="E0E0E0"/>
              <w:bottom w:val="single" w:sz="8" w:space="0" w:color="AEAEAE"/>
              <w:right w:val="single" w:sz="8" w:space="0" w:color="E0E0E0"/>
            </w:tcBorders>
            <w:shd w:val="clear" w:color="auto" w:fill="auto"/>
          </w:tcPr>
          <w:p w14:paraId="240B7053"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.225</w:t>
            </w:r>
          </w:p>
        </w:tc>
        <w:tc>
          <w:tcPr>
            <w:tcW w:w="643" w:type="pct"/>
            <w:tcBorders>
              <w:top w:val="single" w:sz="8" w:space="0" w:color="AEAEAE"/>
              <w:left w:val="single" w:sz="8" w:space="0" w:color="E0E0E0"/>
              <w:bottom w:val="single" w:sz="8" w:space="0" w:color="AEAEAE"/>
              <w:right w:val="single" w:sz="8" w:space="0" w:color="E0E0E0"/>
            </w:tcBorders>
            <w:shd w:val="clear" w:color="auto" w:fill="auto"/>
            <w:vAlign w:val="center"/>
          </w:tcPr>
          <w:p w14:paraId="65E0F0D9" w14:textId="77777777" w:rsidR="003859C9" w:rsidRPr="00EB11D3" w:rsidRDefault="003859C9" w:rsidP="003859C9">
            <w:pPr>
              <w:shd w:val="clear" w:color="auto" w:fill="FFFFFF"/>
              <w:spacing w:after="0" w:line="240" w:lineRule="auto"/>
              <w:jc w:val="left"/>
              <w:rPr>
                <w:rFonts w:eastAsia="DengXian"/>
                <w:szCs w:val="24"/>
                <w:lang w:eastAsia="zh-CN"/>
              </w:rPr>
            </w:pPr>
          </w:p>
        </w:tc>
        <w:tc>
          <w:tcPr>
            <w:tcW w:w="643" w:type="pct"/>
            <w:tcBorders>
              <w:top w:val="single" w:sz="8" w:space="0" w:color="AEAEAE"/>
              <w:left w:val="single" w:sz="8" w:space="0" w:color="E0E0E0"/>
              <w:bottom w:val="single" w:sz="8" w:space="0" w:color="AEAEAE"/>
              <w:right w:val="nil"/>
            </w:tcBorders>
            <w:shd w:val="clear" w:color="auto" w:fill="auto"/>
            <w:vAlign w:val="center"/>
          </w:tcPr>
          <w:p w14:paraId="0184A6BA" w14:textId="77777777" w:rsidR="003859C9" w:rsidRPr="00EB11D3" w:rsidRDefault="003859C9" w:rsidP="003859C9">
            <w:pPr>
              <w:shd w:val="clear" w:color="auto" w:fill="FFFFFF"/>
              <w:spacing w:after="0" w:line="240" w:lineRule="auto"/>
              <w:jc w:val="left"/>
              <w:rPr>
                <w:rFonts w:eastAsia="DengXian"/>
                <w:szCs w:val="24"/>
                <w:lang w:eastAsia="zh-CN"/>
              </w:rPr>
            </w:pPr>
          </w:p>
        </w:tc>
      </w:tr>
      <w:tr w:rsidR="003859C9" w:rsidRPr="00EB11D3" w14:paraId="033ADBCC" w14:textId="77777777" w:rsidTr="00007E09">
        <w:trPr>
          <w:cantSplit/>
        </w:trPr>
        <w:tc>
          <w:tcPr>
            <w:tcW w:w="459" w:type="pct"/>
            <w:vMerge/>
            <w:tcBorders>
              <w:top w:val="single" w:sz="8" w:space="0" w:color="152935"/>
              <w:left w:val="nil"/>
              <w:bottom w:val="nil"/>
              <w:right w:val="nil"/>
            </w:tcBorders>
            <w:shd w:val="clear" w:color="auto" w:fill="auto"/>
          </w:tcPr>
          <w:p w14:paraId="78DC54D2" w14:textId="77777777" w:rsidR="003859C9" w:rsidRPr="00EB11D3" w:rsidRDefault="003859C9" w:rsidP="003859C9">
            <w:pPr>
              <w:shd w:val="clear" w:color="auto" w:fill="FFFFFF"/>
              <w:spacing w:after="0" w:line="240" w:lineRule="auto"/>
              <w:jc w:val="left"/>
              <w:rPr>
                <w:rFonts w:eastAsia="DengXian"/>
                <w:szCs w:val="24"/>
                <w:lang w:eastAsia="zh-CN"/>
              </w:rPr>
            </w:pPr>
          </w:p>
        </w:tc>
        <w:tc>
          <w:tcPr>
            <w:tcW w:w="806" w:type="pct"/>
            <w:tcBorders>
              <w:top w:val="single" w:sz="8" w:space="0" w:color="AEAEAE"/>
              <w:left w:val="nil"/>
              <w:bottom w:val="nil"/>
              <w:right w:val="nil"/>
            </w:tcBorders>
            <w:shd w:val="clear" w:color="auto" w:fill="auto"/>
          </w:tcPr>
          <w:p w14:paraId="37AF0183"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Total</w:t>
            </w:r>
          </w:p>
        </w:tc>
        <w:tc>
          <w:tcPr>
            <w:tcW w:w="922" w:type="pct"/>
            <w:tcBorders>
              <w:top w:val="single" w:sz="8" w:space="0" w:color="AEAEAE"/>
              <w:left w:val="nil"/>
              <w:bottom w:val="nil"/>
              <w:right w:val="single" w:sz="8" w:space="0" w:color="E0E0E0"/>
            </w:tcBorders>
            <w:shd w:val="clear" w:color="auto" w:fill="auto"/>
          </w:tcPr>
          <w:p w14:paraId="4FD9D6C8"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144.100</w:t>
            </w:r>
          </w:p>
        </w:tc>
        <w:tc>
          <w:tcPr>
            <w:tcW w:w="643" w:type="pct"/>
            <w:tcBorders>
              <w:top w:val="single" w:sz="8" w:space="0" w:color="AEAEAE"/>
              <w:left w:val="single" w:sz="8" w:space="0" w:color="E0E0E0"/>
              <w:bottom w:val="nil"/>
              <w:right w:val="single" w:sz="8" w:space="0" w:color="E0E0E0"/>
            </w:tcBorders>
            <w:shd w:val="clear" w:color="auto" w:fill="auto"/>
          </w:tcPr>
          <w:p w14:paraId="7311887A"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249</w:t>
            </w:r>
          </w:p>
        </w:tc>
        <w:tc>
          <w:tcPr>
            <w:tcW w:w="883" w:type="pct"/>
            <w:tcBorders>
              <w:top w:val="single" w:sz="8" w:space="0" w:color="AEAEAE"/>
              <w:left w:val="single" w:sz="8" w:space="0" w:color="E0E0E0"/>
              <w:bottom w:val="nil"/>
              <w:right w:val="single" w:sz="8" w:space="0" w:color="E0E0E0"/>
            </w:tcBorders>
            <w:shd w:val="clear" w:color="auto" w:fill="auto"/>
            <w:vAlign w:val="center"/>
          </w:tcPr>
          <w:p w14:paraId="02AD97A7" w14:textId="77777777" w:rsidR="003859C9" w:rsidRPr="00EB11D3" w:rsidRDefault="003859C9" w:rsidP="003859C9">
            <w:pPr>
              <w:shd w:val="clear" w:color="auto" w:fill="FFFFFF"/>
              <w:spacing w:after="0" w:line="240" w:lineRule="auto"/>
              <w:jc w:val="left"/>
              <w:rPr>
                <w:rFonts w:eastAsia="DengXian"/>
                <w:szCs w:val="24"/>
                <w:lang w:eastAsia="zh-CN"/>
              </w:rPr>
            </w:pPr>
          </w:p>
        </w:tc>
        <w:tc>
          <w:tcPr>
            <w:tcW w:w="643" w:type="pct"/>
            <w:tcBorders>
              <w:top w:val="single" w:sz="8" w:space="0" w:color="AEAEAE"/>
              <w:left w:val="single" w:sz="8" w:space="0" w:color="E0E0E0"/>
              <w:bottom w:val="nil"/>
              <w:right w:val="single" w:sz="8" w:space="0" w:color="E0E0E0"/>
            </w:tcBorders>
            <w:shd w:val="clear" w:color="auto" w:fill="auto"/>
            <w:vAlign w:val="center"/>
          </w:tcPr>
          <w:p w14:paraId="589F815D" w14:textId="77777777" w:rsidR="003859C9" w:rsidRPr="00EB11D3" w:rsidRDefault="003859C9" w:rsidP="003859C9">
            <w:pPr>
              <w:shd w:val="clear" w:color="auto" w:fill="FFFFFF"/>
              <w:spacing w:after="0" w:line="240" w:lineRule="auto"/>
              <w:jc w:val="left"/>
              <w:rPr>
                <w:rFonts w:eastAsia="DengXian"/>
                <w:szCs w:val="24"/>
                <w:lang w:eastAsia="zh-CN"/>
              </w:rPr>
            </w:pPr>
          </w:p>
        </w:tc>
        <w:tc>
          <w:tcPr>
            <w:tcW w:w="643" w:type="pct"/>
            <w:tcBorders>
              <w:top w:val="single" w:sz="8" w:space="0" w:color="AEAEAE"/>
              <w:left w:val="single" w:sz="8" w:space="0" w:color="E0E0E0"/>
              <w:bottom w:val="nil"/>
              <w:right w:val="nil"/>
            </w:tcBorders>
            <w:shd w:val="clear" w:color="auto" w:fill="auto"/>
            <w:vAlign w:val="center"/>
          </w:tcPr>
          <w:p w14:paraId="7A32A041" w14:textId="77777777" w:rsidR="003859C9" w:rsidRPr="00EB11D3" w:rsidRDefault="003859C9" w:rsidP="003859C9">
            <w:pPr>
              <w:shd w:val="clear" w:color="auto" w:fill="FFFFFF"/>
              <w:spacing w:after="0" w:line="240" w:lineRule="auto"/>
              <w:jc w:val="left"/>
              <w:rPr>
                <w:rFonts w:eastAsia="DengXian"/>
                <w:szCs w:val="24"/>
                <w:lang w:eastAsia="zh-CN"/>
              </w:rPr>
            </w:pPr>
          </w:p>
        </w:tc>
      </w:tr>
      <w:tr w:rsidR="003859C9" w:rsidRPr="00EB11D3" w14:paraId="68F5EFE8" w14:textId="77777777" w:rsidTr="00007E09">
        <w:trPr>
          <w:cantSplit/>
        </w:trPr>
        <w:tc>
          <w:tcPr>
            <w:tcW w:w="459" w:type="pct"/>
            <w:vMerge w:val="restart"/>
            <w:tcBorders>
              <w:top w:val="single" w:sz="8" w:space="0" w:color="AEAEAE"/>
              <w:left w:val="nil"/>
              <w:bottom w:val="single" w:sz="8" w:space="0" w:color="152935"/>
              <w:right w:val="nil"/>
            </w:tcBorders>
            <w:shd w:val="clear" w:color="auto" w:fill="auto"/>
          </w:tcPr>
          <w:p w14:paraId="040ED018"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2</w:t>
            </w:r>
          </w:p>
        </w:tc>
        <w:tc>
          <w:tcPr>
            <w:tcW w:w="806" w:type="pct"/>
            <w:tcBorders>
              <w:top w:val="single" w:sz="8" w:space="0" w:color="AEAEAE"/>
              <w:left w:val="nil"/>
              <w:bottom w:val="single" w:sz="8" w:space="0" w:color="AEAEAE"/>
              <w:right w:val="nil"/>
            </w:tcBorders>
            <w:shd w:val="clear" w:color="auto" w:fill="auto"/>
          </w:tcPr>
          <w:p w14:paraId="4751D7ED"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Regression</w:t>
            </w:r>
          </w:p>
        </w:tc>
        <w:tc>
          <w:tcPr>
            <w:tcW w:w="922" w:type="pct"/>
            <w:tcBorders>
              <w:top w:val="single" w:sz="8" w:space="0" w:color="AEAEAE"/>
              <w:left w:val="nil"/>
              <w:bottom w:val="single" w:sz="8" w:space="0" w:color="AEAEAE"/>
              <w:right w:val="single" w:sz="8" w:space="0" w:color="E0E0E0"/>
            </w:tcBorders>
            <w:shd w:val="clear" w:color="auto" w:fill="auto"/>
          </w:tcPr>
          <w:p w14:paraId="29D57A35"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115.883</w:t>
            </w:r>
          </w:p>
        </w:tc>
        <w:tc>
          <w:tcPr>
            <w:tcW w:w="643" w:type="pct"/>
            <w:tcBorders>
              <w:top w:val="single" w:sz="8" w:space="0" w:color="AEAEAE"/>
              <w:left w:val="single" w:sz="8" w:space="0" w:color="E0E0E0"/>
              <w:bottom w:val="single" w:sz="8" w:space="0" w:color="AEAEAE"/>
              <w:right w:val="single" w:sz="8" w:space="0" w:color="E0E0E0"/>
            </w:tcBorders>
            <w:shd w:val="clear" w:color="auto" w:fill="auto"/>
          </w:tcPr>
          <w:p w14:paraId="7DBE10A7"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3</w:t>
            </w:r>
          </w:p>
        </w:tc>
        <w:tc>
          <w:tcPr>
            <w:tcW w:w="883" w:type="pct"/>
            <w:tcBorders>
              <w:top w:val="single" w:sz="8" w:space="0" w:color="AEAEAE"/>
              <w:left w:val="single" w:sz="8" w:space="0" w:color="E0E0E0"/>
              <w:bottom w:val="single" w:sz="8" w:space="0" w:color="AEAEAE"/>
              <w:right w:val="single" w:sz="8" w:space="0" w:color="E0E0E0"/>
            </w:tcBorders>
            <w:shd w:val="clear" w:color="auto" w:fill="auto"/>
          </w:tcPr>
          <w:p w14:paraId="7F91C8DB"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38.628</w:t>
            </w:r>
          </w:p>
        </w:tc>
        <w:tc>
          <w:tcPr>
            <w:tcW w:w="643" w:type="pct"/>
            <w:tcBorders>
              <w:top w:val="single" w:sz="8" w:space="0" w:color="AEAEAE"/>
              <w:left w:val="single" w:sz="8" w:space="0" w:color="E0E0E0"/>
              <w:bottom w:val="single" w:sz="8" w:space="0" w:color="AEAEAE"/>
              <w:right w:val="single" w:sz="8" w:space="0" w:color="E0E0E0"/>
            </w:tcBorders>
            <w:shd w:val="clear" w:color="auto" w:fill="auto"/>
          </w:tcPr>
          <w:p w14:paraId="16D372DF"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336.759</w:t>
            </w:r>
          </w:p>
        </w:tc>
        <w:tc>
          <w:tcPr>
            <w:tcW w:w="643" w:type="pct"/>
            <w:tcBorders>
              <w:top w:val="single" w:sz="8" w:space="0" w:color="AEAEAE"/>
              <w:left w:val="single" w:sz="8" w:space="0" w:color="E0E0E0"/>
              <w:bottom w:val="single" w:sz="8" w:space="0" w:color="AEAEAE"/>
              <w:right w:val="nil"/>
            </w:tcBorders>
            <w:shd w:val="clear" w:color="auto" w:fill="auto"/>
          </w:tcPr>
          <w:p w14:paraId="48EA8B7C"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.000</w:t>
            </w:r>
            <w:r w:rsidRPr="00EB11D3">
              <w:rPr>
                <w:rFonts w:eastAsia="DengXian"/>
                <w:szCs w:val="24"/>
                <w:vertAlign w:val="superscript"/>
                <w:lang w:eastAsia="zh-CN"/>
              </w:rPr>
              <w:t>c</w:t>
            </w:r>
          </w:p>
        </w:tc>
      </w:tr>
      <w:tr w:rsidR="003859C9" w:rsidRPr="00EB11D3" w14:paraId="226A8E9F" w14:textId="77777777" w:rsidTr="00007E09">
        <w:trPr>
          <w:cantSplit/>
        </w:trPr>
        <w:tc>
          <w:tcPr>
            <w:tcW w:w="459" w:type="pct"/>
            <w:vMerge/>
            <w:tcBorders>
              <w:top w:val="single" w:sz="8" w:space="0" w:color="AEAEAE"/>
              <w:left w:val="nil"/>
              <w:bottom w:val="single" w:sz="8" w:space="0" w:color="152935"/>
              <w:right w:val="nil"/>
            </w:tcBorders>
            <w:shd w:val="clear" w:color="auto" w:fill="auto"/>
          </w:tcPr>
          <w:p w14:paraId="3E018BA5" w14:textId="77777777" w:rsidR="003859C9" w:rsidRPr="00EB11D3" w:rsidRDefault="003859C9" w:rsidP="003859C9">
            <w:pPr>
              <w:shd w:val="clear" w:color="auto" w:fill="FFFFFF"/>
              <w:spacing w:after="0" w:line="240" w:lineRule="auto"/>
              <w:jc w:val="left"/>
              <w:rPr>
                <w:rFonts w:eastAsia="DengXian"/>
                <w:szCs w:val="24"/>
                <w:lang w:eastAsia="zh-CN"/>
              </w:rPr>
            </w:pPr>
          </w:p>
        </w:tc>
        <w:tc>
          <w:tcPr>
            <w:tcW w:w="806" w:type="pct"/>
            <w:tcBorders>
              <w:top w:val="single" w:sz="8" w:space="0" w:color="AEAEAE"/>
              <w:left w:val="nil"/>
              <w:bottom w:val="single" w:sz="8" w:space="0" w:color="AEAEAE"/>
              <w:right w:val="nil"/>
            </w:tcBorders>
            <w:shd w:val="clear" w:color="auto" w:fill="auto"/>
          </w:tcPr>
          <w:p w14:paraId="5C571627"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Residual</w:t>
            </w:r>
          </w:p>
        </w:tc>
        <w:tc>
          <w:tcPr>
            <w:tcW w:w="922" w:type="pct"/>
            <w:tcBorders>
              <w:top w:val="single" w:sz="8" w:space="0" w:color="AEAEAE"/>
              <w:left w:val="nil"/>
              <w:bottom w:val="single" w:sz="8" w:space="0" w:color="AEAEAE"/>
              <w:right w:val="single" w:sz="8" w:space="0" w:color="E0E0E0"/>
            </w:tcBorders>
            <w:shd w:val="clear" w:color="auto" w:fill="auto"/>
          </w:tcPr>
          <w:p w14:paraId="13F9AE83"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28.217</w:t>
            </w:r>
          </w:p>
        </w:tc>
        <w:tc>
          <w:tcPr>
            <w:tcW w:w="643" w:type="pct"/>
            <w:tcBorders>
              <w:top w:val="single" w:sz="8" w:space="0" w:color="AEAEAE"/>
              <w:left w:val="single" w:sz="8" w:space="0" w:color="E0E0E0"/>
              <w:bottom w:val="single" w:sz="8" w:space="0" w:color="AEAEAE"/>
              <w:right w:val="single" w:sz="8" w:space="0" w:color="E0E0E0"/>
            </w:tcBorders>
            <w:shd w:val="clear" w:color="auto" w:fill="auto"/>
          </w:tcPr>
          <w:p w14:paraId="6CA890FC"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246</w:t>
            </w:r>
          </w:p>
        </w:tc>
        <w:tc>
          <w:tcPr>
            <w:tcW w:w="883" w:type="pct"/>
            <w:tcBorders>
              <w:top w:val="single" w:sz="8" w:space="0" w:color="AEAEAE"/>
              <w:left w:val="single" w:sz="8" w:space="0" w:color="E0E0E0"/>
              <w:bottom w:val="single" w:sz="8" w:space="0" w:color="AEAEAE"/>
              <w:right w:val="single" w:sz="8" w:space="0" w:color="E0E0E0"/>
            </w:tcBorders>
            <w:shd w:val="clear" w:color="auto" w:fill="auto"/>
          </w:tcPr>
          <w:p w14:paraId="19CEF2A2"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.115</w:t>
            </w:r>
          </w:p>
        </w:tc>
        <w:tc>
          <w:tcPr>
            <w:tcW w:w="643" w:type="pct"/>
            <w:tcBorders>
              <w:top w:val="single" w:sz="8" w:space="0" w:color="AEAEAE"/>
              <w:left w:val="single" w:sz="8" w:space="0" w:color="E0E0E0"/>
              <w:bottom w:val="single" w:sz="8" w:space="0" w:color="AEAEAE"/>
              <w:right w:val="single" w:sz="8" w:space="0" w:color="E0E0E0"/>
            </w:tcBorders>
            <w:shd w:val="clear" w:color="auto" w:fill="auto"/>
            <w:vAlign w:val="center"/>
          </w:tcPr>
          <w:p w14:paraId="333EF7A9" w14:textId="77777777" w:rsidR="003859C9" w:rsidRPr="00EB11D3" w:rsidRDefault="003859C9" w:rsidP="003859C9">
            <w:pPr>
              <w:shd w:val="clear" w:color="auto" w:fill="FFFFFF"/>
              <w:spacing w:after="0" w:line="240" w:lineRule="auto"/>
              <w:jc w:val="left"/>
              <w:rPr>
                <w:rFonts w:eastAsia="DengXian"/>
                <w:szCs w:val="24"/>
                <w:lang w:eastAsia="zh-CN"/>
              </w:rPr>
            </w:pPr>
          </w:p>
        </w:tc>
        <w:tc>
          <w:tcPr>
            <w:tcW w:w="643" w:type="pct"/>
            <w:tcBorders>
              <w:top w:val="single" w:sz="8" w:space="0" w:color="AEAEAE"/>
              <w:left w:val="single" w:sz="8" w:space="0" w:color="E0E0E0"/>
              <w:bottom w:val="single" w:sz="8" w:space="0" w:color="AEAEAE"/>
              <w:right w:val="nil"/>
            </w:tcBorders>
            <w:shd w:val="clear" w:color="auto" w:fill="auto"/>
            <w:vAlign w:val="center"/>
          </w:tcPr>
          <w:p w14:paraId="11AFDAD3" w14:textId="77777777" w:rsidR="003859C9" w:rsidRPr="00EB11D3" w:rsidRDefault="003859C9" w:rsidP="003859C9">
            <w:pPr>
              <w:shd w:val="clear" w:color="auto" w:fill="FFFFFF"/>
              <w:spacing w:after="0" w:line="240" w:lineRule="auto"/>
              <w:jc w:val="left"/>
              <w:rPr>
                <w:rFonts w:eastAsia="DengXian"/>
                <w:szCs w:val="24"/>
                <w:lang w:eastAsia="zh-CN"/>
              </w:rPr>
            </w:pPr>
          </w:p>
        </w:tc>
      </w:tr>
      <w:tr w:rsidR="003859C9" w:rsidRPr="00EB11D3" w14:paraId="7C30A3C7" w14:textId="77777777" w:rsidTr="00007E09">
        <w:trPr>
          <w:cantSplit/>
        </w:trPr>
        <w:tc>
          <w:tcPr>
            <w:tcW w:w="459" w:type="pct"/>
            <w:vMerge/>
            <w:tcBorders>
              <w:top w:val="single" w:sz="8" w:space="0" w:color="AEAEAE"/>
              <w:left w:val="nil"/>
              <w:bottom w:val="single" w:sz="8" w:space="0" w:color="152935"/>
              <w:right w:val="nil"/>
            </w:tcBorders>
            <w:shd w:val="clear" w:color="auto" w:fill="auto"/>
          </w:tcPr>
          <w:p w14:paraId="6CEE258D" w14:textId="77777777" w:rsidR="003859C9" w:rsidRPr="00EB11D3" w:rsidRDefault="003859C9" w:rsidP="003859C9">
            <w:pPr>
              <w:shd w:val="clear" w:color="auto" w:fill="FFFFFF"/>
              <w:spacing w:after="0" w:line="240" w:lineRule="auto"/>
              <w:jc w:val="left"/>
              <w:rPr>
                <w:rFonts w:eastAsia="DengXian"/>
                <w:szCs w:val="24"/>
                <w:lang w:eastAsia="zh-CN"/>
              </w:rPr>
            </w:pPr>
          </w:p>
        </w:tc>
        <w:tc>
          <w:tcPr>
            <w:tcW w:w="806" w:type="pct"/>
            <w:tcBorders>
              <w:top w:val="single" w:sz="8" w:space="0" w:color="AEAEAE"/>
              <w:left w:val="nil"/>
              <w:bottom w:val="single" w:sz="8" w:space="0" w:color="152935"/>
              <w:right w:val="nil"/>
            </w:tcBorders>
            <w:shd w:val="clear" w:color="auto" w:fill="auto"/>
          </w:tcPr>
          <w:p w14:paraId="0723907B"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Total</w:t>
            </w:r>
          </w:p>
        </w:tc>
        <w:tc>
          <w:tcPr>
            <w:tcW w:w="922" w:type="pct"/>
            <w:tcBorders>
              <w:top w:val="single" w:sz="8" w:space="0" w:color="AEAEAE"/>
              <w:left w:val="nil"/>
              <w:bottom w:val="single" w:sz="8" w:space="0" w:color="152935"/>
              <w:right w:val="single" w:sz="8" w:space="0" w:color="E0E0E0"/>
            </w:tcBorders>
            <w:shd w:val="clear" w:color="auto" w:fill="auto"/>
          </w:tcPr>
          <w:p w14:paraId="7A6A74B4"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144.100</w:t>
            </w:r>
          </w:p>
        </w:tc>
        <w:tc>
          <w:tcPr>
            <w:tcW w:w="643" w:type="pct"/>
            <w:tcBorders>
              <w:top w:val="single" w:sz="8" w:space="0" w:color="AEAEAE"/>
              <w:left w:val="single" w:sz="8" w:space="0" w:color="E0E0E0"/>
              <w:bottom w:val="single" w:sz="8" w:space="0" w:color="152935"/>
              <w:right w:val="single" w:sz="8" w:space="0" w:color="E0E0E0"/>
            </w:tcBorders>
            <w:shd w:val="clear" w:color="auto" w:fill="auto"/>
          </w:tcPr>
          <w:p w14:paraId="610C1C2B"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249</w:t>
            </w:r>
          </w:p>
        </w:tc>
        <w:tc>
          <w:tcPr>
            <w:tcW w:w="883" w:type="pct"/>
            <w:tcBorders>
              <w:top w:val="single" w:sz="8" w:space="0" w:color="AEAEAE"/>
              <w:left w:val="single" w:sz="8" w:space="0" w:color="E0E0E0"/>
              <w:bottom w:val="single" w:sz="8" w:space="0" w:color="152935"/>
              <w:right w:val="single" w:sz="8" w:space="0" w:color="E0E0E0"/>
            </w:tcBorders>
            <w:shd w:val="clear" w:color="auto" w:fill="auto"/>
            <w:vAlign w:val="center"/>
          </w:tcPr>
          <w:p w14:paraId="28A18459" w14:textId="77777777" w:rsidR="003859C9" w:rsidRPr="00EB11D3" w:rsidRDefault="003859C9" w:rsidP="003859C9">
            <w:pPr>
              <w:shd w:val="clear" w:color="auto" w:fill="FFFFFF"/>
              <w:spacing w:after="0" w:line="240" w:lineRule="auto"/>
              <w:jc w:val="left"/>
              <w:rPr>
                <w:rFonts w:eastAsia="DengXian"/>
                <w:szCs w:val="24"/>
                <w:lang w:eastAsia="zh-CN"/>
              </w:rPr>
            </w:pPr>
          </w:p>
        </w:tc>
        <w:tc>
          <w:tcPr>
            <w:tcW w:w="643" w:type="pct"/>
            <w:tcBorders>
              <w:top w:val="single" w:sz="8" w:space="0" w:color="AEAEAE"/>
              <w:left w:val="single" w:sz="8" w:space="0" w:color="E0E0E0"/>
              <w:bottom w:val="single" w:sz="8" w:space="0" w:color="152935"/>
              <w:right w:val="single" w:sz="8" w:space="0" w:color="E0E0E0"/>
            </w:tcBorders>
            <w:shd w:val="clear" w:color="auto" w:fill="auto"/>
            <w:vAlign w:val="center"/>
          </w:tcPr>
          <w:p w14:paraId="575F254B" w14:textId="77777777" w:rsidR="003859C9" w:rsidRPr="00EB11D3" w:rsidRDefault="003859C9" w:rsidP="003859C9">
            <w:pPr>
              <w:shd w:val="clear" w:color="auto" w:fill="FFFFFF"/>
              <w:spacing w:after="0" w:line="240" w:lineRule="auto"/>
              <w:jc w:val="left"/>
              <w:rPr>
                <w:rFonts w:eastAsia="DengXian"/>
                <w:szCs w:val="24"/>
                <w:lang w:eastAsia="zh-CN"/>
              </w:rPr>
            </w:pPr>
          </w:p>
        </w:tc>
        <w:tc>
          <w:tcPr>
            <w:tcW w:w="643" w:type="pct"/>
            <w:tcBorders>
              <w:top w:val="single" w:sz="8" w:space="0" w:color="AEAEAE"/>
              <w:left w:val="single" w:sz="8" w:space="0" w:color="E0E0E0"/>
              <w:bottom w:val="single" w:sz="8" w:space="0" w:color="152935"/>
              <w:right w:val="nil"/>
            </w:tcBorders>
            <w:shd w:val="clear" w:color="auto" w:fill="auto"/>
            <w:vAlign w:val="center"/>
          </w:tcPr>
          <w:p w14:paraId="78269BB7" w14:textId="77777777" w:rsidR="003859C9" w:rsidRPr="00EB11D3" w:rsidRDefault="003859C9" w:rsidP="003859C9">
            <w:pPr>
              <w:shd w:val="clear" w:color="auto" w:fill="FFFFFF"/>
              <w:spacing w:after="0" w:line="240" w:lineRule="auto"/>
              <w:jc w:val="left"/>
              <w:rPr>
                <w:rFonts w:eastAsia="DengXian"/>
                <w:szCs w:val="24"/>
                <w:lang w:eastAsia="zh-CN"/>
              </w:rPr>
            </w:pPr>
          </w:p>
        </w:tc>
      </w:tr>
      <w:tr w:rsidR="003859C9" w:rsidRPr="00EB11D3" w14:paraId="5B7B293A" w14:textId="77777777" w:rsidTr="00007E09">
        <w:trPr>
          <w:cantSplit/>
        </w:trPr>
        <w:tc>
          <w:tcPr>
            <w:tcW w:w="5000" w:type="pct"/>
            <w:gridSpan w:val="7"/>
            <w:tcBorders>
              <w:top w:val="nil"/>
              <w:left w:val="nil"/>
              <w:bottom w:val="nil"/>
              <w:right w:val="nil"/>
            </w:tcBorders>
            <w:shd w:val="clear" w:color="auto" w:fill="auto"/>
          </w:tcPr>
          <w:p w14:paraId="71080380"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a. Dependent Variable: Organisational Performance</w:t>
            </w:r>
          </w:p>
        </w:tc>
      </w:tr>
      <w:tr w:rsidR="003859C9" w:rsidRPr="00EB11D3" w14:paraId="5A6594F4" w14:textId="77777777" w:rsidTr="00007E09">
        <w:trPr>
          <w:cantSplit/>
        </w:trPr>
        <w:tc>
          <w:tcPr>
            <w:tcW w:w="5000" w:type="pct"/>
            <w:gridSpan w:val="7"/>
            <w:tcBorders>
              <w:top w:val="nil"/>
              <w:left w:val="nil"/>
              <w:bottom w:val="nil"/>
              <w:right w:val="nil"/>
            </w:tcBorders>
            <w:shd w:val="clear" w:color="auto" w:fill="auto"/>
          </w:tcPr>
          <w:p w14:paraId="1EE98D49"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b. Predictors: (Constant), Corporate governance</w:t>
            </w:r>
          </w:p>
          <w:p w14:paraId="00DDDCA0"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c. Predictors: (Constant), Corporate governance, Government Regulations</w:t>
            </w:r>
          </w:p>
        </w:tc>
      </w:tr>
      <w:tr w:rsidR="003859C9" w:rsidRPr="00EB11D3" w14:paraId="0153EB41" w14:textId="77777777" w:rsidTr="00007E09">
        <w:trPr>
          <w:cantSplit/>
        </w:trPr>
        <w:tc>
          <w:tcPr>
            <w:tcW w:w="5000" w:type="pct"/>
            <w:gridSpan w:val="7"/>
            <w:tcBorders>
              <w:top w:val="nil"/>
              <w:left w:val="nil"/>
              <w:bottom w:val="nil"/>
              <w:right w:val="nil"/>
            </w:tcBorders>
            <w:shd w:val="clear" w:color="auto" w:fill="auto"/>
          </w:tcPr>
          <w:p w14:paraId="061042A4"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c. Predictors: (Constant), Corporate governance, Government Regulations, Service Innovation</w:t>
            </w:r>
          </w:p>
          <w:p w14:paraId="38D93F08"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 xml:space="preserve">      </w:t>
            </w:r>
          </w:p>
        </w:tc>
      </w:tr>
    </w:tbl>
    <w:p w14:paraId="0B74CBD2"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Analysis of Variance consists of calculations that provide information about levels of variability within a regression model and form a basis for tests of significance. The F-Calculated for model one was (1, 248) = 392.200, p&lt;0.05, which is greater than F-Critical (3, 246). </w:t>
      </w:r>
      <w:bookmarkStart w:id="966" w:name="_Hlk125763722"/>
      <w:r w:rsidRPr="00EB11D3">
        <w:rPr>
          <w:rFonts w:eastAsia="Cambria"/>
          <w:szCs w:val="24"/>
        </w:rPr>
        <w:t xml:space="preserve">The F-Calculated for model two was (3, 246) = 336.759. </w:t>
      </w:r>
      <w:bookmarkEnd w:id="966"/>
      <w:r w:rsidRPr="00EB11D3">
        <w:rPr>
          <w:rFonts w:eastAsia="Cambria"/>
          <w:szCs w:val="24"/>
        </w:rPr>
        <w:t>Therefore, the results confirm that the regression model one, two and three are significant in overall.</w:t>
      </w:r>
      <w:bookmarkStart w:id="967" w:name="_Toc100987985"/>
      <w:bookmarkStart w:id="968" w:name="_Toc126666774"/>
    </w:p>
    <w:p w14:paraId="1ABBFB67" w14:textId="77777777" w:rsidR="003859C9" w:rsidRPr="00EB11D3" w:rsidRDefault="003859C9" w:rsidP="003859C9">
      <w:pPr>
        <w:shd w:val="clear" w:color="auto" w:fill="FFFFFF"/>
        <w:spacing w:after="160" w:line="360" w:lineRule="auto"/>
        <w:rPr>
          <w:rFonts w:eastAsia="Cambria"/>
          <w:szCs w:val="24"/>
        </w:rPr>
      </w:pPr>
      <w:bookmarkStart w:id="969" w:name="_Toc177387970"/>
      <w:r w:rsidRPr="00EB11D3">
        <w:rPr>
          <w:rFonts w:eastAsia="Times New Roman"/>
          <w:b/>
          <w:bCs/>
          <w:szCs w:val="24"/>
        </w:rPr>
        <w:t xml:space="preserve">Table </w:t>
      </w:r>
      <w:r w:rsidRPr="00EB11D3">
        <w:rPr>
          <w:rFonts w:eastAsia="Times New Roman"/>
          <w:b/>
          <w:bCs/>
          <w:szCs w:val="24"/>
        </w:rPr>
        <w:fldChar w:fldCharType="begin"/>
      </w:r>
      <w:r w:rsidRPr="00EB11D3">
        <w:rPr>
          <w:rFonts w:eastAsia="Times New Roman"/>
          <w:b/>
          <w:bCs/>
          <w:szCs w:val="24"/>
        </w:rPr>
        <w:instrText xml:space="preserve"> SEQ Table \* ARABIC </w:instrText>
      </w:r>
      <w:r w:rsidRPr="00EB11D3">
        <w:rPr>
          <w:rFonts w:eastAsia="Times New Roman"/>
          <w:b/>
          <w:bCs/>
          <w:szCs w:val="24"/>
        </w:rPr>
        <w:fldChar w:fldCharType="separate"/>
      </w:r>
      <w:r w:rsidRPr="00EB11D3">
        <w:rPr>
          <w:rFonts w:eastAsia="Times New Roman"/>
          <w:b/>
          <w:bCs/>
          <w:noProof/>
          <w:szCs w:val="24"/>
        </w:rPr>
        <w:t>39</w:t>
      </w:r>
      <w:r w:rsidRPr="00EB11D3">
        <w:rPr>
          <w:rFonts w:eastAsia="Times New Roman"/>
          <w:b/>
          <w:bCs/>
          <w:szCs w:val="24"/>
        </w:rPr>
        <w:fldChar w:fldCharType="end"/>
      </w:r>
      <w:r w:rsidRPr="00EB11D3">
        <w:rPr>
          <w:rFonts w:eastAsia="Times New Roman"/>
          <w:b/>
          <w:bCs/>
          <w:szCs w:val="24"/>
        </w:rPr>
        <w:t>: Regression Coefficients for Mediat</w:t>
      </w:r>
      <w:bookmarkEnd w:id="967"/>
      <w:r w:rsidRPr="00EB11D3">
        <w:rPr>
          <w:rFonts w:eastAsia="Times New Roman"/>
          <w:b/>
          <w:bCs/>
          <w:szCs w:val="24"/>
        </w:rPr>
        <w:t>ed Moderat</w:t>
      </w:r>
      <w:r w:rsidR="00865D7E">
        <w:rPr>
          <w:rFonts w:eastAsia="Times New Roman"/>
          <w:b/>
          <w:bCs/>
          <w:szCs w:val="24"/>
        </w:rPr>
        <w:t>ion</w:t>
      </w:r>
      <w:r w:rsidRPr="00EB11D3">
        <w:rPr>
          <w:rFonts w:eastAsia="Times New Roman"/>
          <w:b/>
          <w:bCs/>
          <w:szCs w:val="24"/>
        </w:rPr>
        <w:t xml:space="preserve"> Effect</w:t>
      </w:r>
      <w:bookmarkEnd w:id="968"/>
      <w:bookmarkEnd w:id="969"/>
    </w:p>
    <w:tbl>
      <w:tblPr>
        <w:tblW w:w="5000" w:type="pct"/>
        <w:tblCellMar>
          <w:left w:w="0" w:type="dxa"/>
          <w:right w:w="0" w:type="dxa"/>
        </w:tblCellMar>
        <w:tblLook w:val="0000" w:firstRow="0" w:lastRow="0" w:firstColumn="0" w:lastColumn="0" w:noHBand="0" w:noVBand="0"/>
      </w:tblPr>
      <w:tblGrid>
        <w:gridCol w:w="735"/>
        <w:gridCol w:w="2447"/>
        <w:gridCol w:w="1331"/>
        <w:gridCol w:w="1331"/>
        <w:gridCol w:w="1468"/>
        <w:gridCol w:w="1024"/>
        <w:gridCol w:w="1024"/>
      </w:tblGrid>
      <w:tr w:rsidR="003859C9" w:rsidRPr="00EB11D3" w14:paraId="2EB7A4A4" w14:textId="77777777" w:rsidTr="00007E09">
        <w:trPr>
          <w:cantSplit/>
        </w:trPr>
        <w:tc>
          <w:tcPr>
            <w:tcW w:w="5000" w:type="pct"/>
            <w:gridSpan w:val="7"/>
            <w:tcBorders>
              <w:top w:val="nil"/>
              <w:left w:val="nil"/>
              <w:bottom w:val="single" w:sz="4" w:space="0" w:color="auto"/>
              <w:right w:val="nil"/>
            </w:tcBorders>
            <w:shd w:val="clear" w:color="auto" w:fill="auto"/>
            <w:vAlign w:val="center"/>
          </w:tcPr>
          <w:p w14:paraId="38A861AB" w14:textId="77777777" w:rsidR="003859C9" w:rsidRPr="00EB11D3" w:rsidRDefault="003859C9" w:rsidP="003859C9">
            <w:pPr>
              <w:shd w:val="clear" w:color="auto" w:fill="FFFFFF"/>
              <w:spacing w:after="0" w:line="240" w:lineRule="auto"/>
              <w:jc w:val="center"/>
              <w:rPr>
                <w:rFonts w:eastAsia="DengXian"/>
                <w:szCs w:val="24"/>
                <w:lang w:eastAsia="zh-CN"/>
              </w:rPr>
            </w:pPr>
            <w:r w:rsidRPr="00EB11D3">
              <w:rPr>
                <w:rFonts w:eastAsia="DengXian"/>
                <w:b/>
                <w:bCs/>
                <w:szCs w:val="24"/>
                <w:lang w:eastAsia="zh-CN"/>
              </w:rPr>
              <w:t>Coefficients</w:t>
            </w:r>
            <w:r w:rsidRPr="00EB11D3">
              <w:rPr>
                <w:rFonts w:eastAsia="DengXian"/>
                <w:b/>
                <w:bCs/>
                <w:szCs w:val="24"/>
                <w:vertAlign w:val="superscript"/>
                <w:lang w:eastAsia="zh-CN"/>
              </w:rPr>
              <w:t>a</w:t>
            </w:r>
          </w:p>
        </w:tc>
      </w:tr>
      <w:tr w:rsidR="003859C9" w:rsidRPr="00EB11D3" w14:paraId="2D1E41D4" w14:textId="77777777" w:rsidTr="00007E09">
        <w:trPr>
          <w:cantSplit/>
        </w:trPr>
        <w:tc>
          <w:tcPr>
            <w:tcW w:w="1700" w:type="pct"/>
            <w:gridSpan w:val="2"/>
            <w:vMerge w:val="restart"/>
            <w:tcBorders>
              <w:top w:val="single" w:sz="4" w:space="0" w:color="auto"/>
              <w:left w:val="nil"/>
              <w:bottom w:val="nil"/>
              <w:right w:val="nil"/>
            </w:tcBorders>
            <w:shd w:val="clear" w:color="auto" w:fill="auto"/>
            <w:vAlign w:val="bottom"/>
          </w:tcPr>
          <w:p w14:paraId="5633FCB2"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Model</w:t>
            </w:r>
          </w:p>
        </w:tc>
        <w:tc>
          <w:tcPr>
            <w:tcW w:w="1422" w:type="pct"/>
            <w:gridSpan w:val="2"/>
            <w:tcBorders>
              <w:top w:val="single" w:sz="4" w:space="0" w:color="auto"/>
              <w:left w:val="nil"/>
              <w:bottom w:val="nil"/>
              <w:right w:val="single" w:sz="8" w:space="0" w:color="E0E0E0"/>
            </w:tcBorders>
            <w:shd w:val="clear" w:color="auto" w:fill="auto"/>
            <w:vAlign w:val="bottom"/>
          </w:tcPr>
          <w:p w14:paraId="23721FB1"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Unstandardized Coefficients</w:t>
            </w:r>
          </w:p>
        </w:tc>
        <w:tc>
          <w:tcPr>
            <w:tcW w:w="784" w:type="pct"/>
            <w:tcBorders>
              <w:top w:val="single" w:sz="4" w:space="0" w:color="auto"/>
              <w:left w:val="single" w:sz="8" w:space="0" w:color="E0E0E0"/>
              <w:bottom w:val="nil"/>
              <w:right w:val="single" w:sz="8" w:space="0" w:color="E0E0E0"/>
            </w:tcBorders>
            <w:shd w:val="clear" w:color="auto" w:fill="auto"/>
            <w:vAlign w:val="bottom"/>
          </w:tcPr>
          <w:p w14:paraId="6C3699C5"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Standardized Coefficients</w:t>
            </w:r>
          </w:p>
        </w:tc>
        <w:tc>
          <w:tcPr>
            <w:tcW w:w="547" w:type="pct"/>
            <w:vMerge w:val="restart"/>
            <w:tcBorders>
              <w:top w:val="single" w:sz="4" w:space="0" w:color="auto"/>
              <w:left w:val="single" w:sz="8" w:space="0" w:color="E0E0E0"/>
              <w:bottom w:val="nil"/>
              <w:right w:val="single" w:sz="8" w:space="0" w:color="E0E0E0"/>
            </w:tcBorders>
            <w:shd w:val="clear" w:color="auto" w:fill="auto"/>
            <w:vAlign w:val="bottom"/>
          </w:tcPr>
          <w:p w14:paraId="05B61DEB"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t</w:t>
            </w:r>
          </w:p>
        </w:tc>
        <w:tc>
          <w:tcPr>
            <w:tcW w:w="547" w:type="pct"/>
            <w:vMerge w:val="restart"/>
            <w:tcBorders>
              <w:top w:val="single" w:sz="4" w:space="0" w:color="auto"/>
              <w:left w:val="single" w:sz="8" w:space="0" w:color="E0E0E0"/>
              <w:bottom w:val="nil"/>
              <w:right w:val="nil"/>
            </w:tcBorders>
            <w:shd w:val="clear" w:color="auto" w:fill="auto"/>
            <w:vAlign w:val="bottom"/>
          </w:tcPr>
          <w:p w14:paraId="36A683E2"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Sig.</w:t>
            </w:r>
          </w:p>
        </w:tc>
      </w:tr>
      <w:tr w:rsidR="003859C9" w:rsidRPr="00EB11D3" w14:paraId="2B4B0CD2" w14:textId="77777777" w:rsidTr="00007E09">
        <w:trPr>
          <w:cantSplit/>
        </w:trPr>
        <w:tc>
          <w:tcPr>
            <w:tcW w:w="1700" w:type="pct"/>
            <w:gridSpan w:val="2"/>
            <w:vMerge/>
            <w:tcBorders>
              <w:top w:val="nil"/>
              <w:left w:val="nil"/>
              <w:bottom w:val="nil"/>
              <w:right w:val="nil"/>
            </w:tcBorders>
            <w:shd w:val="clear" w:color="auto" w:fill="auto"/>
            <w:vAlign w:val="bottom"/>
          </w:tcPr>
          <w:p w14:paraId="7CD03BDA" w14:textId="77777777" w:rsidR="003859C9" w:rsidRPr="00EB11D3" w:rsidRDefault="003859C9" w:rsidP="003859C9">
            <w:pPr>
              <w:shd w:val="clear" w:color="auto" w:fill="FFFFFF"/>
              <w:spacing w:after="0" w:line="240" w:lineRule="auto"/>
              <w:jc w:val="left"/>
              <w:rPr>
                <w:rFonts w:eastAsia="DengXian"/>
                <w:szCs w:val="24"/>
                <w:lang w:eastAsia="zh-CN"/>
              </w:rPr>
            </w:pPr>
          </w:p>
        </w:tc>
        <w:tc>
          <w:tcPr>
            <w:tcW w:w="711" w:type="pct"/>
            <w:tcBorders>
              <w:top w:val="nil"/>
              <w:left w:val="nil"/>
              <w:bottom w:val="single" w:sz="8" w:space="0" w:color="152935"/>
              <w:right w:val="single" w:sz="8" w:space="0" w:color="E0E0E0"/>
            </w:tcBorders>
            <w:shd w:val="clear" w:color="auto" w:fill="auto"/>
            <w:vAlign w:val="bottom"/>
          </w:tcPr>
          <w:p w14:paraId="5B95123B"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B</w:t>
            </w:r>
          </w:p>
        </w:tc>
        <w:tc>
          <w:tcPr>
            <w:tcW w:w="711" w:type="pct"/>
            <w:tcBorders>
              <w:top w:val="nil"/>
              <w:left w:val="single" w:sz="8" w:space="0" w:color="E0E0E0"/>
              <w:bottom w:val="single" w:sz="8" w:space="0" w:color="152935"/>
              <w:right w:val="single" w:sz="8" w:space="0" w:color="E0E0E0"/>
            </w:tcBorders>
            <w:shd w:val="clear" w:color="auto" w:fill="auto"/>
            <w:vAlign w:val="bottom"/>
          </w:tcPr>
          <w:p w14:paraId="00E93AD4"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Std. Error</w:t>
            </w:r>
          </w:p>
        </w:tc>
        <w:tc>
          <w:tcPr>
            <w:tcW w:w="784" w:type="pct"/>
            <w:tcBorders>
              <w:top w:val="nil"/>
              <w:left w:val="single" w:sz="8" w:space="0" w:color="E0E0E0"/>
              <w:bottom w:val="single" w:sz="8" w:space="0" w:color="152935"/>
              <w:right w:val="single" w:sz="8" w:space="0" w:color="E0E0E0"/>
            </w:tcBorders>
            <w:shd w:val="clear" w:color="auto" w:fill="auto"/>
            <w:vAlign w:val="bottom"/>
          </w:tcPr>
          <w:p w14:paraId="0E827EE1"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Beta</w:t>
            </w:r>
          </w:p>
        </w:tc>
        <w:tc>
          <w:tcPr>
            <w:tcW w:w="547" w:type="pct"/>
            <w:vMerge/>
            <w:tcBorders>
              <w:top w:val="nil"/>
              <w:left w:val="single" w:sz="8" w:space="0" w:color="E0E0E0"/>
              <w:bottom w:val="nil"/>
              <w:right w:val="single" w:sz="8" w:space="0" w:color="E0E0E0"/>
            </w:tcBorders>
            <w:shd w:val="clear" w:color="auto" w:fill="auto"/>
            <w:vAlign w:val="bottom"/>
          </w:tcPr>
          <w:p w14:paraId="3F4A497E" w14:textId="77777777" w:rsidR="003859C9" w:rsidRPr="00EB11D3" w:rsidRDefault="003859C9" w:rsidP="003859C9">
            <w:pPr>
              <w:shd w:val="clear" w:color="auto" w:fill="FFFFFF"/>
              <w:spacing w:after="0" w:line="240" w:lineRule="auto"/>
              <w:jc w:val="left"/>
              <w:rPr>
                <w:rFonts w:eastAsia="DengXian"/>
                <w:szCs w:val="24"/>
                <w:lang w:eastAsia="zh-CN"/>
              </w:rPr>
            </w:pPr>
          </w:p>
        </w:tc>
        <w:tc>
          <w:tcPr>
            <w:tcW w:w="547" w:type="pct"/>
            <w:vMerge/>
            <w:tcBorders>
              <w:top w:val="nil"/>
              <w:left w:val="single" w:sz="8" w:space="0" w:color="E0E0E0"/>
              <w:bottom w:val="nil"/>
              <w:right w:val="nil"/>
            </w:tcBorders>
            <w:shd w:val="clear" w:color="auto" w:fill="auto"/>
            <w:vAlign w:val="bottom"/>
          </w:tcPr>
          <w:p w14:paraId="1FF23E41" w14:textId="77777777" w:rsidR="003859C9" w:rsidRPr="00EB11D3" w:rsidRDefault="003859C9" w:rsidP="003859C9">
            <w:pPr>
              <w:shd w:val="clear" w:color="auto" w:fill="FFFFFF"/>
              <w:spacing w:after="0" w:line="240" w:lineRule="auto"/>
              <w:jc w:val="left"/>
              <w:rPr>
                <w:rFonts w:eastAsia="DengXian"/>
                <w:szCs w:val="24"/>
                <w:lang w:eastAsia="zh-CN"/>
              </w:rPr>
            </w:pPr>
          </w:p>
        </w:tc>
      </w:tr>
      <w:tr w:rsidR="003859C9" w:rsidRPr="00EB11D3" w14:paraId="7A4D263D" w14:textId="77777777" w:rsidTr="00007E09">
        <w:trPr>
          <w:cantSplit/>
        </w:trPr>
        <w:tc>
          <w:tcPr>
            <w:tcW w:w="393" w:type="pct"/>
            <w:vMerge w:val="restart"/>
            <w:tcBorders>
              <w:top w:val="single" w:sz="8" w:space="0" w:color="152935"/>
              <w:left w:val="nil"/>
              <w:bottom w:val="nil"/>
              <w:right w:val="nil"/>
            </w:tcBorders>
            <w:shd w:val="clear" w:color="auto" w:fill="auto"/>
          </w:tcPr>
          <w:p w14:paraId="79379985"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1</w:t>
            </w:r>
          </w:p>
        </w:tc>
        <w:tc>
          <w:tcPr>
            <w:tcW w:w="1307" w:type="pct"/>
            <w:tcBorders>
              <w:top w:val="single" w:sz="8" w:space="0" w:color="152935"/>
              <w:left w:val="nil"/>
              <w:bottom w:val="single" w:sz="8" w:space="0" w:color="AEAEAE"/>
              <w:right w:val="nil"/>
            </w:tcBorders>
            <w:shd w:val="clear" w:color="auto" w:fill="auto"/>
          </w:tcPr>
          <w:p w14:paraId="65097D39"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(Constant)</w:t>
            </w:r>
          </w:p>
        </w:tc>
        <w:tc>
          <w:tcPr>
            <w:tcW w:w="711" w:type="pct"/>
            <w:tcBorders>
              <w:top w:val="single" w:sz="8" w:space="0" w:color="152935"/>
              <w:left w:val="nil"/>
              <w:bottom w:val="single" w:sz="8" w:space="0" w:color="AEAEAE"/>
              <w:right w:val="single" w:sz="8" w:space="0" w:color="E0E0E0"/>
            </w:tcBorders>
            <w:shd w:val="clear" w:color="auto" w:fill="auto"/>
          </w:tcPr>
          <w:p w14:paraId="3815E1ED"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1.299</w:t>
            </w:r>
          </w:p>
        </w:tc>
        <w:tc>
          <w:tcPr>
            <w:tcW w:w="711" w:type="pct"/>
            <w:tcBorders>
              <w:top w:val="single" w:sz="8" w:space="0" w:color="152935"/>
              <w:left w:val="single" w:sz="8" w:space="0" w:color="E0E0E0"/>
              <w:bottom w:val="single" w:sz="8" w:space="0" w:color="AEAEAE"/>
              <w:right w:val="single" w:sz="8" w:space="0" w:color="E0E0E0"/>
            </w:tcBorders>
            <w:shd w:val="clear" w:color="auto" w:fill="auto"/>
          </w:tcPr>
          <w:p w14:paraId="3A89225B"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.095</w:t>
            </w:r>
          </w:p>
        </w:tc>
        <w:tc>
          <w:tcPr>
            <w:tcW w:w="784" w:type="pct"/>
            <w:tcBorders>
              <w:top w:val="single" w:sz="8" w:space="0" w:color="152935"/>
              <w:left w:val="single" w:sz="8" w:space="0" w:color="E0E0E0"/>
              <w:bottom w:val="single" w:sz="8" w:space="0" w:color="AEAEAE"/>
              <w:right w:val="single" w:sz="8" w:space="0" w:color="E0E0E0"/>
            </w:tcBorders>
            <w:shd w:val="clear" w:color="auto" w:fill="auto"/>
            <w:vAlign w:val="center"/>
          </w:tcPr>
          <w:p w14:paraId="39F7CE0F" w14:textId="77777777" w:rsidR="003859C9" w:rsidRPr="00EB11D3" w:rsidRDefault="003859C9" w:rsidP="003859C9">
            <w:pPr>
              <w:shd w:val="clear" w:color="auto" w:fill="FFFFFF"/>
              <w:spacing w:after="0" w:line="240" w:lineRule="auto"/>
              <w:jc w:val="left"/>
              <w:rPr>
                <w:rFonts w:eastAsia="DengXian"/>
                <w:szCs w:val="24"/>
                <w:lang w:eastAsia="zh-CN"/>
              </w:rPr>
            </w:pPr>
          </w:p>
        </w:tc>
        <w:tc>
          <w:tcPr>
            <w:tcW w:w="547" w:type="pct"/>
            <w:tcBorders>
              <w:top w:val="single" w:sz="8" w:space="0" w:color="152935"/>
              <w:left w:val="single" w:sz="8" w:space="0" w:color="E0E0E0"/>
              <w:bottom w:val="single" w:sz="8" w:space="0" w:color="AEAEAE"/>
              <w:right w:val="single" w:sz="8" w:space="0" w:color="E0E0E0"/>
            </w:tcBorders>
            <w:shd w:val="clear" w:color="auto" w:fill="auto"/>
          </w:tcPr>
          <w:p w14:paraId="72A8D67C"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13.680</w:t>
            </w:r>
          </w:p>
        </w:tc>
        <w:tc>
          <w:tcPr>
            <w:tcW w:w="547" w:type="pct"/>
            <w:tcBorders>
              <w:top w:val="single" w:sz="8" w:space="0" w:color="152935"/>
              <w:left w:val="single" w:sz="8" w:space="0" w:color="E0E0E0"/>
              <w:bottom w:val="single" w:sz="8" w:space="0" w:color="AEAEAE"/>
              <w:right w:val="nil"/>
            </w:tcBorders>
            <w:shd w:val="clear" w:color="auto" w:fill="auto"/>
          </w:tcPr>
          <w:p w14:paraId="5239465C"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.000</w:t>
            </w:r>
          </w:p>
        </w:tc>
      </w:tr>
      <w:tr w:rsidR="003859C9" w:rsidRPr="00EB11D3" w14:paraId="6A5FC1DB" w14:textId="77777777" w:rsidTr="00007E09">
        <w:trPr>
          <w:cantSplit/>
        </w:trPr>
        <w:tc>
          <w:tcPr>
            <w:tcW w:w="393" w:type="pct"/>
            <w:vMerge/>
            <w:tcBorders>
              <w:top w:val="single" w:sz="8" w:space="0" w:color="152935"/>
              <w:left w:val="nil"/>
              <w:bottom w:val="nil"/>
              <w:right w:val="nil"/>
            </w:tcBorders>
            <w:shd w:val="clear" w:color="auto" w:fill="auto"/>
          </w:tcPr>
          <w:p w14:paraId="7CC0E4CC" w14:textId="77777777" w:rsidR="003859C9" w:rsidRPr="00EB11D3" w:rsidRDefault="003859C9" w:rsidP="003859C9">
            <w:pPr>
              <w:shd w:val="clear" w:color="auto" w:fill="FFFFFF"/>
              <w:spacing w:after="0" w:line="240" w:lineRule="auto"/>
              <w:jc w:val="left"/>
              <w:rPr>
                <w:rFonts w:eastAsia="DengXian"/>
                <w:szCs w:val="24"/>
                <w:lang w:eastAsia="zh-CN"/>
              </w:rPr>
            </w:pPr>
          </w:p>
        </w:tc>
        <w:tc>
          <w:tcPr>
            <w:tcW w:w="1307" w:type="pct"/>
            <w:tcBorders>
              <w:top w:val="single" w:sz="8" w:space="0" w:color="AEAEAE"/>
              <w:left w:val="nil"/>
              <w:bottom w:val="nil"/>
              <w:right w:val="nil"/>
            </w:tcBorders>
            <w:shd w:val="clear" w:color="auto" w:fill="auto"/>
          </w:tcPr>
          <w:p w14:paraId="0F1662DE"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Corporate governance</w:t>
            </w:r>
          </w:p>
        </w:tc>
        <w:tc>
          <w:tcPr>
            <w:tcW w:w="711" w:type="pct"/>
            <w:tcBorders>
              <w:top w:val="single" w:sz="8" w:space="0" w:color="AEAEAE"/>
              <w:left w:val="nil"/>
              <w:bottom w:val="nil"/>
              <w:right w:val="single" w:sz="8" w:space="0" w:color="E0E0E0"/>
            </w:tcBorders>
            <w:shd w:val="clear" w:color="auto" w:fill="auto"/>
          </w:tcPr>
          <w:p w14:paraId="68DBA2C2"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.646</w:t>
            </w:r>
          </w:p>
        </w:tc>
        <w:tc>
          <w:tcPr>
            <w:tcW w:w="711" w:type="pct"/>
            <w:tcBorders>
              <w:top w:val="single" w:sz="8" w:space="0" w:color="AEAEAE"/>
              <w:left w:val="single" w:sz="8" w:space="0" w:color="E0E0E0"/>
              <w:bottom w:val="nil"/>
              <w:right w:val="single" w:sz="8" w:space="0" w:color="E0E0E0"/>
            </w:tcBorders>
            <w:shd w:val="clear" w:color="auto" w:fill="auto"/>
          </w:tcPr>
          <w:p w14:paraId="4CFFCA96"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.033</w:t>
            </w:r>
          </w:p>
        </w:tc>
        <w:tc>
          <w:tcPr>
            <w:tcW w:w="784" w:type="pct"/>
            <w:tcBorders>
              <w:top w:val="single" w:sz="8" w:space="0" w:color="AEAEAE"/>
              <w:left w:val="single" w:sz="8" w:space="0" w:color="E0E0E0"/>
              <w:bottom w:val="nil"/>
              <w:right w:val="single" w:sz="8" w:space="0" w:color="E0E0E0"/>
            </w:tcBorders>
            <w:shd w:val="clear" w:color="auto" w:fill="auto"/>
          </w:tcPr>
          <w:p w14:paraId="0C0BBBBB"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.783</w:t>
            </w:r>
          </w:p>
        </w:tc>
        <w:tc>
          <w:tcPr>
            <w:tcW w:w="547" w:type="pct"/>
            <w:tcBorders>
              <w:top w:val="single" w:sz="8" w:space="0" w:color="AEAEAE"/>
              <w:left w:val="single" w:sz="8" w:space="0" w:color="E0E0E0"/>
              <w:bottom w:val="nil"/>
              <w:right w:val="single" w:sz="8" w:space="0" w:color="E0E0E0"/>
            </w:tcBorders>
            <w:shd w:val="clear" w:color="auto" w:fill="auto"/>
          </w:tcPr>
          <w:p w14:paraId="392DA33D"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19.804</w:t>
            </w:r>
          </w:p>
        </w:tc>
        <w:tc>
          <w:tcPr>
            <w:tcW w:w="547" w:type="pct"/>
            <w:tcBorders>
              <w:top w:val="single" w:sz="8" w:space="0" w:color="AEAEAE"/>
              <w:left w:val="single" w:sz="8" w:space="0" w:color="E0E0E0"/>
              <w:bottom w:val="nil"/>
              <w:right w:val="nil"/>
            </w:tcBorders>
            <w:shd w:val="clear" w:color="auto" w:fill="auto"/>
          </w:tcPr>
          <w:p w14:paraId="26DC3EBE"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.000</w:t>
            </w:r>
          </w:p>
        </w:tc>
      </w:tr>
      <w:tr w:rsidR="003859C9" w:rsidRPr="00EB11D3" w14:paraId="2DA7330D" w14:textId="77777777" w:rsidTr="00007E09">
        <w:trPr>
          <w:cantSplit/>
        </w:trPr>
        <w:tc>
          <w:tcPr>
            <w:tcW w:w="393" w:type="pct"/>
            <w:vMerge w:val="restart"/>
            <w:tcBorders>
              <w:top w:val="single" w:sz="8" w:space="0" w:color="AEAEAE"/>
              <w:left w:val="nil"/>
              <w:bottom w:val="single" w:sz="8" w:space="0" w:color="152935"/>
              <w:right w:val="nil"/>
            </w:tcBorders>
            <w:shd w:val="clear" w:color="auto" w:fill="auto"/>
          </w:tcPr>
          <w:p w14:paraId="769CEFA8"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2</w:t>
            </w:r>
          </w:p>
        </w:tc>
        <w:tc>
          <w:tcPr>
            <w:tcW w:w="1307" w:type="pct"/>
            <w:tcBorders>
              <w:top w:val="single" w:sz="8" w:space="0" w:color="AEAEAE"/>
              <w:left w:val="nil"/>
              <w:bottom w:val="single" w:sz="8" w:space="0" w:color="AEAEAE"/>
              <w:right w:val="nil"/>
            </w:tcBorders>
            <w:shd w:val="clear" w:color="auto" w:fill="auto"/>
          </w:tcPr>
          <w:p w14:paraId="7DA2FEF5"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(Constant)</w:t>
            </w:r>
          </w:p>
        </w:tc>
        <w:tc>
          <w:tcPr>
            <w:tcW w:w="711" w:type="pct"/>
            <w:tcBorders>
              <w:top w:val="single" w:sz="8" w:space="0" w:color="AEAEAE"/>
              <w:left w:val="nil"/>
              <w:bottom w:val="single" w:sz="8" w:space="0" w:color="AEAEAE"/>
              <w:right w:val="single" w:sz="8" w:space="0" w:color="E0E0E0"/>
            </w:tcBorders>
            <w:shd w:val="clear" w:color="auto" w:fill="auto"/>
          </w:tcPr>
          <w:p w14:paraId="711BF1AA"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.345</w:t>
            </w:r>
          </w:p>
        </w:tc>
        <w:tc>
          <w:tcPr>
            <w:tcW w:w="711" w:type="pct"/>
            <w:tcBorders>
              <w:top w:val="single" w:sz="8" w:space="0" w:color="AEAEAE"/>
              <w:left w:val="single" w:sz="8" w:space="0" w:color="E0E0E0"/>
              <w:bottom w:val="single" w:sz="8" w:space="0" w:color="AEAEAE"/>
              <w:right w:val="single" w:sz="8" w:space="0" w:color="E0E0E0"/>
            </w:tcBorders>
            <w:shd w:val="clear" w:color="auto" w:fill="auto"/>
          </w:tcPr>
          <w:p w14:paraId="5812FFEA"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.093</w:t>
            </w:r>
          </w:p>
        </w:tc>
        <w:tc>
          <w:tcPr>
            <w:tcW w:w="784" w:type="pct"/>
            <w:tcBorders>
              <w:top w:val="single" w:sz="8" w:space="0" w:color="AEAEAE"/>
              <w:left w:val="single" w:sz="8" w:space="0" w:color="E0E0E0"/>
              <w:bottom w:val="single" w:sz="8" w:space="0" w:color="AEAEAE"/>
              <w:right w:val="single" w:sz="8" w:space="0" w:color="E0E0E0"/>
            </w:tcBorders>
            <w:shd w:val="clear" w:color="auto" w:fill="auto"/>
            <w:vAlign w:val="center"/>
          </w:tcPr>
          <w:p w14:paraId="6BF0A945" w14:textId="77777777" w:rsidR="003859C9" w:rsidRPr="00EB11D3" w:rsidRDefault="003859C9" w:rsidP="003859C9">
            <w:pPr>
              <w:shd w:val="clear" w:color="auto" w:fill="FFFFFF"/>
              <w:spacing w:after="0" w:line="240" w:lineRule="auto"/>
              <w:jc w:val="left"/>
              <w:rPr>
                <w:rFonts w:eastAsia="DengXian"/>
                <w:szCs w:val="24"/>
                <w:lang w:eastAsia="zh-CN"/>
              </w:rPr>
            </w:pPr>
          </w:p>
        </w:tc>
        <w:tc>
          <w:tcPr>
            <w:tcW w:w="547" w:type="pct"/>
            <w:tcBorders>
              <w:top w:val="single" w:sz="8" w:space="0" w:color="AEAEAE"/>
              <w:left w:val="single" w:sz="8" w:space="0" w:color="E0E0E0"/>
              <w:bottom w:val="single" w:sz="8" w:space="0" w:color="AEAEAE"/>
              <w:right w:val="single" w:sz="8" w:space="0" w:color="E0E0E0"/>
            </w:tcBorders>
            <w:shd w:val="clear" w:color="auto" w:fill="auto"/>
          </w:tcPr>
          <w:p w14:paraId="0A9AA02D"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3.732</w:t>
            </w:r>
          </w:p>
        </w:tc>
        <w:tc>
          <w:tcPr>
            <w:tcW w:w="547" w:type="pct"/>
            <w:tcBorders>
              <w:top w:val="single" w:sz="8" w:space="0" w:color="AEAEAE"/>
              <w:left w:val="single" w:sz="8" w:space="0" w:color="E0E0E0"/>
              <w:bottom w:val="single" w:sz="8" w:space="0" w:color="AEAEAE"/>
              <w:right w:val="nil"/>
            </w:tcBorders>
            <w:shd w:val="clear" w:color="auto" w:fill="auto"/>
          </w:tcPr>
          <w:p w14:paraId="68FF853C"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.000</w:t>
            </w:r>
          </w:p>
        </w:tc>
      </w:tr>
      <w:tr w:rsidR="003859C9" w:rsidRPr="00EB11D3" w14:paraId="3972E71E" w14:textId="77777777" w:rsidTr="00007E09">
        <w:trPr>
          <w:cantSplit/>
        </w:trPr>
        <w:tc>
          <w:tcPr>
            <w:tcW w:w="393" w:type="pct"/>
            <w:vMerge/>
            <w:tcBorders>
              <w:top w:val="single" w:sz="8" w:space="0" w:color="AEAEAE"/>
              <w:left w:val="nil"/>
              <w:bottom w:val="single" w:sz="8" w:space="0" w:color="152935"/>
              <w:right w:val="nil"/>
            </w:tcBorders>
            <w:shd w:val="clear" w:color="auto" w:fill="auto"/>
          </w:tcPr>
          <w:p w14:paraId="025E54EA" w14:textId="77777777" w:rsidR="003859C9" w:rsidRPr="00EB11D3" w:rsidRDefault="003859C9" w:rsidP="003859C9">
            <w:pPr>
              <w:shd w:val="clear" w:color="auto" w:fill="FFFFFF"/>
              <w:spacing w:after="0" w:line="240" w:lineRule="auto"/>
              <w:jc w:val="left"/>
              <w:rPr>
                <w:rFonts w:eastAsia="DengXian"/>
                <w:szCs w:val="24"/>
                <w:lang w:eastAsia="zh-CN"/>
              </w:rPr>
            </w:pPr>
          </w:p>
        </w:tc>
        <w:tc>
          <w:tcPr>
            <w:tcW w:w="1307" w:type="pct"/>
            <w:tcBorders>
              <w:top w:val="single" w:sz="8" w:space="0" w:color="AEAEAE"/>
              <w:left w:val="nil"/>
              <w:bottom w:val="single" w:sz="8" w:space="0" w:color="AEAEAE"/>
              <w:right w:val="nil"/>
            </w:tcBorders>
            <w:shd w:val="clear" w:color="auto" w:fill="auto"/>
          </w:tcPr>
          <w:p w14:paraId="77EC4AA7"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Corporate governance</w:t>
            </w:r>
          </w:p>
        </w:tc>
        <w:tc>
          <w:tcPr>
            <w:tcW w:w="711" w:type="pct"/>
            <w:tcBorders>
              <w:top w:val="single" w:sz="8" w:space="0" w:color="AEAEAE"/>
              <w:left w:val="nil"/>
              <w:bottom w:val="single" w:sz="8" w:space="0" w:color="AEAEAE"/>
              <w:right w:val="single" w:sz="8" w:space="0" w:color="E0E0E0"/>
            </w:tcBorders>
            <w:shd w:val="clear" w:color="auto" w:fill="auto"/>
          </w:tcPr>
          <w:p w14:paraId="3EF8EAF9"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.153</w:t>
            </w:r>
          </w:p>
        </w:tc>
        <w:tc>
          <w:tcPr>
            <w:tcW w:w="711" w:type="pct"/>
            <w:tcBorders>
              <w:top w:val="single" w:sz="8" w:space="0" w:color="AEAEAE"/>
              <w:left w:val="single" w:sz="8" w:space="0" w:color="E0E0E0"/>
              <w:bottom w:val="single" w:sz="8" w:space="0" w:color="AEAEAE"/>
              <w:right w:val="single" w:sz="8" w:space="0" w:color="E0E0E0"/>
            </w:tcBorders>
            <w:shd w:val="clear" w:color="auto" w:fill="auto"/>
          </w:tcPr>
          <w:p w14:paraId="6E5B1810"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.044</w:t>
            </w:r>
          </w:p>
        </w:tc>
        <w:tc>
          <w:tcPr>
            <w:tcW w:w="784" w:type="pct"/>
            <w:tcBorders>
              <w:top w:val="single" w:sz="8" w:space="0" w:color="AEAEAE"/>
              <w:left w:val="single" w:sz="8" w:space="0" w:color="E0E0E0"/>
              <w:bottom w:val="single" w:sz="8" w:space="0" w:color="AEAEAE"/>
              <w:right w:val="single" w:sz="8" w:space="0" w:color="E0E0E0"/>
            </w:tcBorders>
            <w:shd w:val="clear" w:color="auto" w:fill="auto"/>
          </w:tcPr>
          <w:p w14:paraId="37B71433"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.186</w:t>
            </w:r>
          </w:p>
        </w:tc>
        <w:tc>
          <w:tcPr>
            <w:tcW w:w="547" w:type="pct"/>
            <w:tcBorders>
              <w:top w:val="single" w:sz="8" w:space="0" w:color="AEAEAE"/>
              <w:left w:val="single" w:sz="8" w:space="0" w:color="E0E0E0"/>
              <w:bottom w:val="single" w:sz="8" w:space="0" w:color="AEAEAE"/>
              <w:right w:val="single" w:sz="8" w:space="0" w:color="E0E0E0"/>
            </w:tcBorders>
            <w:shd w:val="clear" w:color="auto" w:fill="auto"/>
          </w:tcPr>
          <w:p w14:paraId="058EC212"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3.462</w:t>
            </w:r>
          </w:p>
        </w:tc>
        <w:tc>
          <w:tcPr>
            <w:tcW w:w="547" w:type="pct"/>
            <w:tcBorders>
              <w:top w:val="single" w:sz="8" w:space="0" w:color="AEAEAE"/>
              <w:left w:val="single" w:sz="8" w:space="0" w:color="E0E0E0"/>
              <w:bottom w:val="single" w:sz="8" w:space="0" w:color="AEAEAE"/>
              <w:right w:val="nil"/>
            </w:tcBorders>
            <w:shd w:val="clear" w:color="auto" w:fill="auto"/>
          </w:tcPr>
          <w:p w14:paraId="50B7E256"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.001</w:t>
            </w:r>
          </w:p>
        </w:tc>
      </w:tr>
      <w:tr w:rsidR="003859C9" w:rsidRPr="00EB11D3" w14:paraId="23B5B950" w14:textId="77777777" w:rsidTr="00007E09">
        <w:trPr>
          <w:cantSplit/>
        </w:trPr>
        <w:tc>
          <w:tcPr>
            <w:tcW w:w="393" w:type="pct"/>
            <w:vMerge/>
            <w:tcBorders>
              <w:top w:val="single" w:sz="8" w:space="0" w:color="AEAEAE"/>
              <w:left w:val="nil"/>
              <w:bottom w:val="single" w:sz="8" w:space="0" w:color="152935"/>
              <w:right w:val="nil"/>
            </w:tcBorders>
            <w:shd w:val="clear" w:color="auto" w:fill="auto"/>
          </w:tcPr>
          <w:p w14:paraId="081936A1" w14:textId="77777777" w:rsidR="003859C9" w:rsidRPr="00EB11D3" w:rsidRDefault="003859C9" w:rsidP="003859C9">
            <w:pPr>
              <w:shd w:val="clear" w:color="auto" w:fill="FFFFFF"/>
              <w:spacing w:after="0" w:line="240" w:lineRule="auto"/>
              <w:jc w:val="left"/>
              <w:rPr>
                <w:rFonts w:eastAsia="DengXian"/>
                <w:szCs w:val="24"/>
                <w:lang w:eastAsia="zh-CN"/>
              </w:rPr>
            </w:pPr>
          </w:p>
        </w:tc>
        <w:tc>
          <w:tcPr>
            <w:tcW w:w="1307" w:type="pct"/>
            <w:tcBorders>
              <w:top w:val="single" w:sz="8" w:space="0" w:color="AEAEAE"/>
              <w:left w:val="nil"/>
              <w:bottom w:val="single" w:sz="8" w:space="0" w:color="AEAEAE"/>
              <w:right w:val="nil"/>
            </w:tcBorders>
            <w:shd w:val="clear" w:color="auto" w:fill="auto"/>
          </w:tcPr>
          <w:p w14:paraId="4A5171F7"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Service Innovation</w:t>
            </w:r>
          </w:p>
        </w:tc>
        <w:tc>
          <w:tcPr>
            <w:tcW w:w="711" w:type="pct"/>
            <w:tcBorders>
              <w:top w:val="single" w:sz="8" w:space="0" w:color="AEAEAE"/>
              <w:left w:val="nil"/>
              <w:bottom w:val="single" w:sz="8" w:space="0" w:color="AEAEAE"/>
              <w:right w:val="single" w:sz="8" w:space="0" w:color="E0E0E0"/>
            </w:tcBorders>
            <w:shd w:val="clear" w:color="auto" w:fill="auto"/>
          </w:tcPr>
          <w:p w14:paraId="318DE267"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.790</w:t>
            </w:r>
          </w:p>
        </w:tc>
        <w:tc>
          <w:tcPr>
            <w:tcW w:w="711" w:type="pct"/>
            <w:tcBorders>
              <w:top w:val="single" w:sz="8" w:space="0" w:color="AEAEAE"/>
              <w:left w:val="single" w:sz="8" w:space="0" w:color="E0E0E0"/>
              <w:bottom w:val="single" w:sz="8" w:space="0" w:color="AEAEAE"/>
              <w:right w:val="single" w:sz="8" w:space="0" w:color="E0E0E0"/>
            </w:tcBorders>
            <w:shd w:val="clear" w:color="auto" w:fill="auto"/>
          </w:tcPr>
          <w:p w14:paraId="2B3362CF"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.063</w:t>
            </w:r>
          </w:p>
        </w:tc>
        <w:tc>
          <w:tcPr>
            <w:tcW w:w="784" w:type="pct"/>
            <w:tcBorders>
              <w:top w:val="single" w:sz="8" w:space="0" w:color="AEAEAE"/>
              <w:left w:val="single" w:sz="8" w:space="0" w:color="E0E0E0"/>
              <w:bottom w:val="single" w:sz="8" w:space="0" w:color="AEAEAE"/>
              <w:right w:val="single" w:sz="8" w:space="0" w:color="E0E0E0"/>
            </w:tcBorders>
            <w:shd w:val="clear" w:color="auto" w:fill="auto"/>
          </w:tcPr>
          <w:p w14:paraId="6D626D6C"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.766</w:t>
            </w:r>
          </w:p>
        </w:tc>
        <w:tc>
          <w:tcPr>
            <w:tcW w:w="547" w:type="pct"/>
            <w:tcBorders>
              <w:top w:val="single" w:sz="8" w:space="0" w:color="AEAEAE"/>
              <w:left w:val="single" w:sz="8" w:space="0" w:color="E0E0E0"/>
              <w:bottom w:val="single" w:sz="8" w:space="0" w:color="AEAEAE"/>
              <w:right w:val="single" w:sz="8" w:space="0" w:color="E0E0E0"/>
            </w:tcBorders>
            <w:shd w:val="clear" w:color="auto" w:fill="auto"/>
          </w:tcPr>
          <w:p w14:paraId="740CBA59"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12.562</w:t>
            </w:r>
          </w:p>
        </w:tc>
        <w:tc>
          <w:tcPr>
            <w:tcW w:w="547" w:type="pct"/>
            <w:tcBorders>
              <w:top w:val="single" w:sz="8" w:space="0" w:color="AEAEAE"/>
              <w:left w:val="single" w:sz="8" w:space="0" w:color="E0E0E0"/>
              <w:bottom w:val="single" w:sz="8" w:space="0" w:color="AEAEAE"/>
              <w:right w:val="nil"/>
            </w:tcBorders>
            <w:shd w:val="clear" w:color="auto" w:fill="auto"/>
          </w:tcPr>
          <w:p w14:paraId="2755DAC0"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.000</w:t>
            </w:r>
          </w:p>
        </w:tc>
      </w:tr>
      <w:tr w:rsidR="003859C9" w:rsidRPr="00EB11D3" w14:paraId="1D2725E5" w14:textId="77777777" w:rsidTr="00007E09">
        <w:trPr>
          <w:cantSplit/>
        </w:trPr>
        <w:tc>
          <w:tcPr>
            <w:tcW w:w="393" w:type="pct"/>
            <w:vMerge/>
            <w:tcBorders>
              <w:top w:val="single" w:sz="8" w:space="0" w:color="AEAEAE"/>
              <w:left w:val="nil"/>
              <w:bottom w:val="single" w:sz="8" w:space="0" w:color="152935"/>
              <w:right w:val="nil"/>
            </w:tcBorders>
            <w:shd w:val="clear" w:color="auto" w:fill="auto"/>
          </w:tcPr>
          <w:p w14:paraId="0D93096F" w14:textId="77777777" w:rsidR="003859C9" w:rsidRPr="00EB11D3" w:rsidRDefault="003859C9" w:rsidP="003859C9">
            <w:pPr>
              <w:shd w:val="clear" w:color="auto" w:fill="FFFFFF"/>
              <w:spacing w:after="0" w:line="240" w:lineRule="auto"/>
              <w:jc w:val="left"/>
              <w:rPr>
                <w:rFonts w:eastAsia="DengXian"/>
                <w:szCs w:val="24"/>
                <w:lang w:eastAsia="zh-CN"/>
              </w:rPr>
            </w:pPr>
          </w:p>
        </w:tc>
        <w:tc>
          <w:tcPr>
            <w:tcW w:w="1307" w:type="pct"/>
            <w:tcBorders>
              <w:top w:val="single" w:sz="8" w:space="0" w:color="AEAEAE"/>
              <w:left w:val="nil"/>
              <w:bottom w:val="single" w:sz="8" w:space="0" w:color="152935"/>
              <w:right w:val="nil"/>
            </w:tcBorders>
            <w:shd w:val="clear" w:color="auto" w:fill="auto"/>
          </w:tcPr>
          <w:p w14:paraId="5CDD92DB"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Government Regulations</w:t>
            </w:r>
          </w:p>
        </w:tc>
        <w:tc>
          <w:tcPr>
            <w:tcW w:w="711" w:type="pct"/>
            <w:tcBorders>
              <w:top w:val="single" w:sz="8" w:space="0" w:color="AEAEAE"/>
              <w:left w:val="nil"/>
              <w:bottom w:val="single" w:sz="8" w:space="0" w:color="152935"/>
              <w:right w:val="single" w:sz="8" w:space="0" w:color="E0E0E0"/>
            </w:tcBorders>
            <w:shd w:val="clear" w:color="auto" w:fill="auto"/>
          </w:tcPr>
          <w:p w14:paraId="3B57C9DB"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-.029</w:t>
            </w:r>
          </w:p>
        </w:tc>
        <w:tc>
          <w:tcPr>
            <w:tcW w:w="711" w:type="pct"/>
            <w:tcBorders>
              <w:top w:val="single" w:sz="8" w:space="0" w:color="AEAEAE"/>
              <w:left w:val="single" w:sz="8" w:space="0" w:color="E0E0E0"/>
              <w:bottom w:val="single" w:sz="8" w:space="0" w:color="152935"/>
              <w:right w:val="single" w:sz="8" w:space="0" w:color="E0E0E0"/>
            </w:tcBorders>
            <w:shd w:val="clear" w:color="auto" w:fill="auto"/>
          </w:tcPr>
          <w:p w14:paraId="31E7986C"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.062</w:t>
            </w:r>
          </w:p>
        </w:tc>
        <w:tc>
          <w:tcPr>
            <w:tcW w:w="784" w:type="pct"/>
            <w:tcBorders>
              <w:top w:val="single" w:sz="8" w:space="0" w:color="AEAEAE"/>
              <w:left w:val="single" w:sz="8" w:space="0" w:color="E0E0E0"/>
              <w:bottom w:val="single" w:sz="8" w:space="0" w:color="152935"/>
              <w:right w:val="single" w:sz="8" w:space="0" w:color="E0E0E0"/>
            </w:tcBorders>
            <w:shd w:val="clear" w:color="auto" w:fill="auto"/>
          </w:tcPr>
          <w:p w14:paraId="1CCF341D"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-.030</w:t>
            </w:r>
          </w:p>
        </w:tc>
        <w:tc>
          <w:tcPr>
            <w:tcW w:w="547" w:type="pct"/>
            <w:tcBorders>
              <w:top w:val="single" w:sz="8" w:space="0" w:color="AEAEAE"/>
              <w:left w:val="single" w:sz="8" w:space="0" w:color="E0E0E0"/>
              <w:bottom w:val="single" w:sz="8" w:space="0" w:color="152935"/>
              <w:right w:val="single" w:sz="8" w:space="0" w:color="E0E0E0"/>
            </w:tcBorders>
            <w:shd w:val="clear" w:color="auto" w:fill="auto"/>
          </w:tcPr>
          <w:p w14:paraId="540EFDF2"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-.463</w:t>
            </w:r>
          </w:p>
        </w:tc>
        <w:tc>
          <w:tcPr>
            <w:tcW w:w="547" w:type="pct"/>
            <w:tcBorders>
              <w:top w:val="single" w:sz="8" w:space="0" w:color="AEAEAE"/>
              <w:left w:val="single" w:sz="8" w:space="0" w:color="E0E0E0"/>
              <w:bottom w:val="single" w:sz="8" w:space="0" w:color="152935"/>
              <w:right w:val="nil"/>
            </w:tcBorders>
            <w:shd w:val="clear" w:color="auto" w:fill="auto"/>
          </w:tcPr>
          <w:p w14:paraId="5E311CB5"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.643</w:t>
            </w:r>
          </w:p>
        </w:tc>
      </w:tr>
      <w:tr w:rsidR="003859C9" w:rsidRPr="00EB11D3" w14:paraId="5DD3F0C7" w14:textId="77777777" w:rsidTr="00007E09">
        <w:trPr>
          <w:cantSplit/>
        </w:trPr>
        <w:tc>
          <w:tcPr>
            <w:tcW w:w="5000" w:type="pct"/>
            <w:gridSpan w:val="7"/>
            <w:tcBorders>
              <w:top w:val="nil"/>
              <w:left w:val="nil"/>
              <w:bottom w:val="nil"/>
              <w:right w:val="nil"/>
            </w:tcBorders>
            <w:shd w:val="clear" w:color="auto" w:fill="auto"/>
          </w:tcPr>
          <w:p w14:paraId="01E58961" w14:textId="77777777" w:rsidR="003859C9" w:rsidRPr="00EB11D3" w:rsidRDefault="003859C9" w:rsidP="003859C9">
            <w:pPr>
              <w:shd w:val="clear" w:color="auto" w:fill="FFFFFF"/>
              <w:spacing w:after="0" w:line="240" w:lineRule="auto"/>
              <w:jc w:val="left"/>
              <w:rPr>
                <w:rFonts w:eastAsia="DengXian"/>
                <w:szCs w:val="24"/>
                <w:lang w:eastAsia="zh-CN"/>
              </w:rPr>
            </w:pPr>
            <w:r w:rsidRPr="00EB11D3">
              <w:rPr>
                <w:rFonts w:eastAsia="DengXian"/>
                <w:szCs w:val="24"/>
                <w:lang w:eastAsia="zh-CN"/>
              </w:rPr>
              <w:t>a. Dependent Variable: Organisational Performance</w:t>
            </w:r>
          </w:p>
        </w:tc>
      </w:tr>
    </w:tbl>
    <w:p w14:paraId="26C8F862" w14:textId="77777777" w:rsidR="003859C9" w:rsidRPr="00EB11D3" w:rsidRDefault="003859C9" w:rsidP="003859C9">
      <w:pPr>
        <w:shd w:val="clear" w:color="auto" w:fill="FFFFFF"/>
        <w:spacing w:after="0" w:line="240" w:lineRule="auto"/>
        <w:jc w:val="left"/>
        <w:rPr>
          <w:rFonts w:eastAsia="DengXian"/>
          <w:szCs w:val="24"/>
          <w:lang w:eastAsia="zh-CN"/>
        </w:rPr>
      </w:pPr>
    </w:p>
    <w:p w14:paraId="06ED9C46" w14:textId="77777777" w:rsidR="003859C9" w:rsidRPr="00EB11D3" w:rsidRDefault="003859C9" w:rsidP="003859C9">
      <w:pPr>
        <w:shd w:val="clear" w:color="auto" w:fill="FFFFFF"/>
        <w:spacing w:after="160" w:line="259" w:lineRule="auto"/>
        <w:jc w:val="left"/>
        <w:rPr>
          <w:rFonts w:eastAsia="Cambria"/>
          <w:szCs w:val="24"/>
        </w:rPr>
      </w:pPr>
      <w:r w:rsidRPr="00EB11D3">
        <w:rPr>
          <w:rFonts w:eastAsia="Cambria"/>
          <w:szCs w:val="24"/>
        </w:rPr>
        <w:t>The fitted model was;</w:t>
      </w:r>
    </w:p>
    <w:p w14:paraId="6490E6A5" w14:textId="77777777" w:rsidR="00693A40" w:rsidRPr="00EB11D3" w:rsidRDefault="00693A40" w:rsidP="00693A40">
      <w:pPr>
        <w:shd w:val="clear" w:color="auto" w:fill="FFFFFF"/>
        <w:rPr>
          <w:rFonts w:eastAsia="Calibri"/>
          <w:szCs w:val="24"/>
        </w:rPr>
      </w:pPr>
      <w:r w:rsidRPr="00EB11D3">
        <w:rPr>
          <w:rFonts w:eastAsia="Calibri"/>
          <w:szCs w:val="24"/>
        </w:rPr>
        <w:t>CG = α</w:t>
      </w:r>
      <w:r w:rsidRPr="00EB11D3">
        <w:rPr>
          <w:rFonts w:eastAsia="Calibri"/>
          <w:szCs w:val="24"/>
          <w:vertAlign w:val="subscript"/>
        </w:rPr>
        <w:t>0</w:t>
      </w:r>
      <w:r w:rsidRPr="00EB11D3">
        <w:rPr>
          <w:rFonts w:eastAsia="Calibri"/>
          <w:szCs w:val="24"/>
        </w:rPr>
        <w:t xml:space="preserve"> + β</w:t>
      </w:r>
      <w:r w:rsidRPr="00EB11D3">
        <w:rPr>
          <w:rFonts w:eastAsia="Calibri"/>
          <w:szCs w:val="24"/>
          <w:vertAlign w:val="subscript"/>
        </w:rPr>
        <w:t>1</w:t>
      </w:r>
      <w:r w:rsidRPr="00EB11D3">
        <w:rPr>
          <w:rFonts w:eastAsia="Calibri"/>
          <w:szCs w:val="24"/>
        </w:rPr>
        <w:t xml:space="preserve">GR + ε </w:t>
      </w:r>
    </w:p>
    <w:p w14:paraId="25ED3125" w14:textId="77777777" w:rsidR="00693A40" w:rsidRPr="00EB11D3" w:rsidRDefault="00693A40" w:rsidP="00693A40">
      <w:pPr>
        <w:shd w:val="clear" w:color="auto" w:fill="FFFFFF"/>
        <w:rPr>
          <w:rFonts w:eastAsia="Calibri"/>
          <w:szCs w:val="24"/>
        </w:rPr>
      </w:pPr>
      <w:r w:rsidRPr="00EB11D3">
        <w:rPr>
          <w:rFonts w:eastAsia="Calibri"/>
          <w:szCs w:val="24"/>
        </w:rPr>
        <w:t>OP = α0+ β</w:t>
      </w:r>
      <w:r w:rsidRPr="00EB11D3">
        <w:rPr>
          <w:rFonts w:eastAsia="Calibri"/>
          <w:szCs w:val="24"/>
          <w:vertAlign w:val="subscript"/>
        </w:rPr>
        <w:t>1</w:t>
      </w:r>
      <w:r w:rsidRPr="00EB11D3">
        <w:rPr>
          <w:rFonts w:eastAsia="Calibri"/>
          <w:szCs w:val="24"/>
        </w:rPr>
        <w:t>CG+ β</w:t>
      </w:r>
      <w:r w:rsidRPr="00EB11D3">
        <w:rPr>
          <w:rFonts w:eastAsia="Calibri"/>
          <w:szCs w:val="24"/>
          <w:vertAlign w:val="subscript"/>
        </w:rPr>
        <w:t>2</w:t>
      </w:r>
      <w:r w:rsidRPr="00EB11D3">
        <w:rPr>
          <w:rFonts w:eastAsia="Calibri"/>
          <w:szCs w:val="24"/>
        </w:rPr>
        <w:t>SI+β</w:t>
      </w:r>
      <w:r w:rsidRPr="00EB11D3">
        <w:rPr>
          <w:rFonts w:eastAsia="Calibri"/>
          <w:szCs w:val="24"/>
          <w:vertAlign w:val="subscript"/>
        </w:rPr>
        <w:t>3</w:t>
      </w:r>
      <w:r w:rsidRPr="00EB11D3">
        <w:rPr>
          <w:rFonts w:eastAsia="Calibri"/>
          <w:szCs w:val="24"/>
        </w:rPr>
        <w:t xml:space="preserve"> CG*SI + ε </w:t>
      </w:r>
    </w:p>
    <w:p w14:paraId="17830CD2" w14:textId="77777777" w:rsidR="00693A40" w:rsidRPr="00EB11D3" w:rsidRDefault="00693A40" w:rsidP="00693A40">
      <w:pPr>
        <w:shd w:val="clear" w:color="auto" w:fill="FFFFFF"/>
        <w:rPr>
          <w:rFonts w:eastAsia="Calibri"/>
          <w:szCs w:val="24"/>
        </w:rPr>
      </w:pPr>
      <w:r w:rsidRPr="00EB11D3">
        <w:rPr>
          <w:rFonts w:eastAsia="Calibri"/>
          <w:szCs w:val="24"/>
        </w:rPr>
        <w:t xml:space="preserve">OP = 0.345+ 0.153CG+ 0.790SI+ (-0.029) CG*SI + ε </w:t>
      </w:r>
    </w:p>
    <w:p w14:paraId="198F867E" w14:textId="77777777" w:rsidR="003859C9" w:rsidRPr="00EB11D3" w:rsidRDefault="003859C9" w:rsidP="003859C9">
      <w:pPr>
        <w:shd w:val="clear" w:color="auto" w:fill="FFFFFF"/>
        <w:spacing w:after="160" w:line="259" w:lineRule="auto"/>
        <w:rPr>
          <w:rFonts w:eastAsia="Calibri"/>
          <w:szCs w:val="24"/>
        </w:rPr>
      </w:pPr>
      <w:r w:rsidRPr="00EB11D3">
        <w:rPr>
          <w:rFonts w:eastAsia="Calibri"/>
          <w:szCs w:val="24"/>
        </w:rPr>
        <w:t>Where:</w:t>
      </w:r>
    </w:p>
    <w:p w14:paraId="32275E13"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 xml:space="preserve">OP = Organisational performance of </w:t>
      </w:r>
      <w:r w:rsidRPr="00EB11D3">
        <w:rPr>
          <w:rFonts w:eastAsia="Calibri"/>
          <w:szCs w:val="24"/>
          <w:lang w:val="en"/>
        </w:rPr>
        <w:t>faith-based hospital in Kenya</w:t>
      </w:r>
      <w:r w:rsidRPr="00EB11D3">
        <w:rPr>
          <w:rFonts w:eastAsia="Calibri"/>
          <w:szCs w:val="24"/>
        </w:rPr>
        <w:t>; CG = Corporate Governance; GR = Government Regulations; SI = Service Innovation; α</w:t>
      </w:r>
      <w:r w:rsidRPr="00EB11D3">
        <w:rPr>
          <w:rFonts w:eastAsia="Calibri"/>
          <w:szCs w:val="24"/>
          <w:vertAlign w:val="subscript"/>
        </w:rPr>
        <w:t>0</w:t>
      </w:r>
      <w:r w:rsidRPr="00EB11D3">
        <w:rPr>
          <w:rFonts w:eastAsia="Calibri"/>
          <w:szCs w:val="24"/>
        </w:rPr>
        <w:t xml:space="preserve"> = constant (intercept); β=Coefficient parameters to be determined, composite* =interaction term, ε = Error/disturbance)</w:t>
      </w:r>
    </w:p>
    <w:p w14:paraId="2B50D1A0"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The regression of coefficients results depicted in Table 39 shows that in step one, the regression model of corporate governance on service innovation was significant with β=0.646, p=0.000&lt;0.05. In step two, the results show that the regression model of corporate governance service innovation, government regulations and the interaction term service innovation*government regulations on </w:t>
      </w:r>
      <w:r w:rsidR="006D5C62" w:rsidRPr="00EB11D3">
        <w:rPr>
          <w:rFonts w:eastAsia="Cambria"/>
          <w:szCs w:val="24"/>
        </w:rPr>
        <w:t>organisational performance of Faith-Based Hospitals</w:t>
      </w:r>
      <w:r w:rsidRPr="00EB11D3">
        <w:rPr>
          <w:rFonts w:eastAsia="Cambria"/>
          <w:szCs w:val="24"/>
        </w:rPr>
        <w:t xml:space="preserve"> in Kenya was significant with t =3.732, p&lt;0.05: t =3.462, p&lt;0.05: t = 12.562, p&lt;0.05.  Since, the p value for the </w:t>
      </w:r>
      <w:r w:rsidR="000E20B9" w:rsidRPr="00EB11D3">
        <w:rPr>
          <w:rFonts w:eastAsia="Cambria"/>
          <w:szCs w:val="24"/>
        </w:rPr>
        <w:t>mediated</w:t>
      </w:r>
      <w:r w:rsidR="000E20B9">
        <w:rPr>
          <w:rFonts w:eastAsia="Cambria"/>
          <w:szCs w:val="24"/>
        </w:rPr>
        <w:t xml:space="preserve"> </w:t>
      </w:r>
      <w:r w:rsidR="000E20B9" w:rsidRPr="00EB11D3">
        <w:rPr>
          <w:rFonts w:eastAsia="Cambria"/>
          <w:szCs w:val="24"/>
        </w:rPr>
        <w:t>moderat</w:t>
      </w:r>
      <w:r w:rsidR="000E20B9">
        <w:rPr>
          <w:rFonts w:eastAsia="Cambria"/>
          <w:szCs w:val="24"/>
        </w:rPr>
        <w:t>ion</w:t>
      </w:r>
      <w:r w:rsidRPr="00EB11D3">
        <w:rPr>
          <w:rFonts w:eastAsia="Calibri"/>
          <w:szCs w:val="24"/>
          <w:lang w:val="en-GB" w:eastAsia="en-GB"/>
        </w:rPr>
        <w:t xml:space="preserve"> </w:t>
      </w:r>
      <w:r w:rsidRPr="00EB11D3">
        <w:rPr>
          <w:rFonts w:eastAsia="Cambria"/>
          <w:szCs w:val="24"/>
        </w:rPr>
        <w:t>term (SI*GR) was significant, the study rejected the null hypotheses that there is no significant mediated moderat</w:t>
      </w:r>
      <w:r w:rsidR="00E61AB9">
        <w:rPr>
          <w:rFonts w:eastAsia="Cambria"/>
          <w:szCs w:val="24"/>
        </w:rPr>
        <w:t>ion</w:t>
      </w:r>
      <w:r w:rsidRPr="00EB11D3">
        <w:rPr>
          <w:rFonts w:eastAsia="Cambria"/>
          <w:szCs w:val="24"/>
        </w:rPr>
        <w:t xml:space="preserve"> effect on the relationship between corporate governance and </w:t>
      </w:r>
      <w:r w:rsidR="006D5C62" w:rsidRPr="00EB11D3">
        <w:rPr>
          <w:rFonts w:eastAsia="Cambria"/>
          <w:szCs w:val="24"/>
        </w:rPr>
        <w:t>organisational performance of Faith-Based Hospitals</w:t>
      </w:r>
      <w:r w:rsidRPr="00EB11D3">
        <w:rPr>
          <w:rFonts w:eastAsia="Cambria"/>
          <w:szCs w:val="24"/>
        </w:rPr>
        <w:t xml:space="preserve"> in Kenya. The researcher therefore concluded that there is indeed a significant mediated moderat</w:t>
      </w:r>
      <w:r w:rsidR="00E61AB9">
        <w:rPr>
          <w:rFonts w:eastAsia="Cambria"/>
          <w:szCs w:val="24"/>
        </w:rPr>
        <w:t>ion</w:t>
      </w:r>
      <w:r w:rsidRPr="00EB11D3">
        <w:rPr>
          <w:rFonts w:eastAsia="Cambria"/>
          <w:szCs w:val="24"/>
        </w:rPr>
        <w:t xml:space="preserve"> effect on the relationship between corporate governance and </w:t>
      </w:r>
      <w:r w:rsidR="006D5C62" w:rsidRPr="00EB11D3">
        <w:rPr>
          <w:rFonts w:eastAsia="Cambria"/>
          <w:szCs w:val="24"/>
        </w:rPr>
        <w:t>organisational performance of Faith-Based Hospitals</w:t>
      </w:r>
      <w:r w:rsidRPr="00EB11D3">
        <w:rPr>
          <w:rFonts w:eastAsia="Cambria"/>
          <w:szCs w:val="24"/>
        </w:rPr>
        <w:t xml:space="preserve"> in Kenya.</w:t>
      </w:r>
    </w:p>
    <w:p w14:paraId="5686AEFB" w14:textId="77777777" w:rsidR="003859C9" w:rsidRPr="00EB11D3" w:rsidRDefault="003859C9" w:rsidP="003859C9">
      <w:pPr>
        <w:keepNext/>
        <w:keepLines/>
        <w:spacing w:before="40" w:after="0" w:line="360" w:lineRule="auto"/>
        <w:jc w:val="left"/>
        <w:outlineLvl w:val="1"/>
        <w:rPr>
          <w:rFonts w:eastAsia="Times New Roman"/>
          <w:szCs w:val="26"/>
        </w:rPr>
      </w:pPr>
      <w:bookmarkStart w:id="970" w:name="_Toc103414526"/>
      <w:bookmarkStart w:id="971" w:name="_Toc126071149"/>
      <w:bookmarkStart w:id="972" w:name="_Toc177387890"/>
      <w:r w:rsidRPr="00EB11D3">
        <w:rPr>
          <w:rFonts w:eastAsia="Times New Roman"/>
          <w:b/>
          <w:szCs w:val="26"/>
        </w:rPr>
        <w:t>4.</w:t>
      </w:r>
      <w:r w:rsidR="004373D8">
        <w:rPr>
          <w:rFonts w:eastAsia="Times New Roman"/>
          <w:b/>
          <w:szCs w:val="26"/>
        </w:rPr>
        <w:t>7</w:t>
      </w:r>
      <w:r w:rsidRPr="00EB11D3">
        <w:rPr>
          <w:rFonts w:eastAsia="Times New Roman"/>
          <w:b/>
          <w:szCs w:val="26"/>
        </w:rPr>
        <w:t xml:space="preserve"> Chapter Summary</w:t>
      </w:r>
      <w:bookmarkEnd w:id="970"/>
      <w:bookmarkEnd w:id="971"/>
      <w:bookmarkEnd w:id="972"/>
    </w:p>
    <w:p w14:paraId="07F3B472" w14:textId="77777777" w:rsidR="009B60BB"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This chapter presented the analysis of the data collected and discussion of the findings. The study utilised descriptive statistics, correlation analysis and regression analysis. The chapter also presented the findings and summary of the hypotheses. Correlation and regression analysis results confirmed a </w:t>
      </w:r>
      <w:r w:rsidR="006D5C62" w:rsidRPr="00EB11D3">
        <w:rPr>
          <w:rFonts w:eastAsia="Cambria"/>
          <w:szCs w:val="24"/>
        </w:rPr>
        <w:t>significant effect of corporate governance on organisational performance of Faith-Based Hospitals</w:t>
      </w:r>
      <w:r w:rsidRPr="00EB11D3">
        <w:rPr>
          <w:rFonts w:eastAsia="Cambria"/>
          <w:szCs w:val="24"/>
          <w:lang w:val="en"/>
        </w:rPr>
        <w:t xml:space="preserve"> in Kenya, and the mediating effect of service innovation on the relationship between corporate governance and </w:t>
      </w:r>
      <w:r w:rsidR="006D5C62" w:rsidRPr="00EB11D3">
        <w:rPr>
          <w:rFonts w:eastAsia="Cambria"/>
          <w:szCs w:val="24"/>
        </w:rPr>
        <w:t>organisational performance of Faith-Based Hospitals</w:t>
      </w:r>
      <w:r w:rsidRPr="00EB11D3">
        <w:rPr>
          <w:rFonts w:eastAsia="Cambria"/>
          <w:szCs w:val="24"/>
          <w:lang w:val="en"/>
        </w:rPr>
        <w:t xml:space="preserve"> in Kenya.  The moderating effect of government regulations on the relationship between corporate governance and </w:t>
      </w:r>
      <w:r w:rsidR="006D5C62" w:rsidRPr="00EB11D3">
        <w:rPr>
          <w:rFonts w:eastAsia="Cambria"/>
          <w:szCs w:val="24"/>
        </w:rPr>
        <w:t>organisational performance of Faith-Based Hospitals</w:t>
      </w:r>
      <w:r w:rsidRPr="00EB11D3">
        <w:rPr>
          <w:rFonts w:eastAsia="Cambria"/>
          <w:szCs w:val="24"/>
          <w:lang w:val="en"/>
        </w:rPr>
        <w:t xml:space="preserve"> in Kenya </w:t>
      </w:r>
      <w:r w:rsidRPr="00EB11D3">
        <w:rPr>
          <w:rFonts w:eastAsia="Cambria"/>
          <w:szCs w:val="24"/>
        </w:rPr>
        <w:t xml:space="preserve">was confirmed. Lastly, </w:t>
      </w:r>
      <w:r w:rsidRPr="00EB11D3">
        <w:rPr>
          <w:rFonts w:eastAsia="Cambria"/>
          <w:szCs w:val="24"/>
          <w:lang w:val="en"/>
        </w:rPr>
        <w:t xml:space="preserve">the </w:t>
      </w:r>
      <w:r w:rsidR="00E70D07" w:rsidRPr="00EB11D3">
        <w:rPr>
          <w:rFonts w:eastAsia="Cambria"/>
          <w:szCs w:val="24"/>
          <w:lang w:val="en"/>
        </w:rPr>
        <w:t xml:space="preserve">mediated moderation </w:t>
      </w:r>
      <w:r w:rsidRPr="00EB11D3">
        <w:rPr>
          <w:rFonts w:eastAsia="Cambria"/>
          <w:szCs w:val="24"/>
          <w:lang w:val="en"/>
        </w:rPr>
        <w:t xml:space="preserve">effect of service innovation and government regulation on the relationship between corporate governance and </w:t>
      </w:r>
      <w:r w:rsidR="006D5C62" w:rsidRPr="00EB11D3">
        <w:rPr>
          <w:rFonts w:eastAsia="Cambria"/>
          <w:szCs w:val="24"/>
          <w:lang w:val="en"/>
        </w:rPr>
        <w:t>organisational performance of Faith-Based Hospitals</w:t>
      </w:r>
      <w:r w:rsidRPr="00EB11D3">
        <w:rPr>
          <w:rFonts w:eastAsia="Cambria"/>
          <w:szCs w:val="24"/>
          <w:lang w:val="en"/>
        </w:rPr>
        <w:t xml:space="preserve"> in Kenya </w:t>
      </w:r>
      <w:r w:rsidRPr="00EB11D3">
        <w:rPr>
          <w:rFonts w:eastAsia="Cambria"/>
          <w:szCs w:val="24"/>
        </w:rPr>
        <w:t xml:space="preserve">was confirmed. </w:t>
      </w:r>
      <w:bookmarkStart w:id="973" w:name="_Toc78303063"/>
      <w:bookmarkStart w:id="974" w:name="_Toc84504766"/>
      <w:bookmarkStart w:id="975" w:name="_Toc126071150"/>
      <w:bookmarkStart w:id="976" w:name="_Toc94528935"/>
    </w:p>
    <w:p w14:paraId="2B5E240D" w14:textId="77777777" w:rsidR="003859C9" w:rsidRPr="00EB11D3" w:rsidRDefault="003859C9" w:rsidP="005C6D5E">
      <w:pPr>
        <w:pStyle w:val="Heading1"/>
        <w:spacing w:before="0" w:line="360" w:lineRule="auto"/>
      </w:pPr>
      <w:r w:rsidRPr="00EB11D3">
        <w:rPr>
          <w:rFonts w:eastAsia="Calibri"/>
        </w:rPr>
        <w:br w:type="page"/>
      </w:r>
      <w:bookmarkStart w:id="977" w:name="_Toc177387891"/>
      <w:r w:rsidRPr="00EB11D3">
        <w:t>CHAPTER FIVE</w:t>
      </w:r>
      <w:bookmarkStart w:id="978" w:name="_Toc84504767"/>
      <w:bookmarkStart w:id="979" w:name="_Toc78303064"/>
      <w:bookmarkEnd w:id="973"/>
      <w:bookmarkEnd w:id="974"/>
      <w:bookmarkEnd w:id="975"/>
      <w:bookmarkEnd w:id="977"/>
    </w:p>
    <w:p w14:paraId="5599C7C2" w14:textId="77777777" w:rsidR="003859C9" w:rsidRPr="00EB11D3" w:rsidRDefault="005C6D5E" w:rsidP="005C6D5E">
      <w:pPr>
        <w:pStyle w:val="Heading1"/>
        <w:spacing w:before="0" w:line="360" w:lineRule="auto"/>
      </w:pPr>
      <w:bookmarkStart w:id="980" w:name="_Toc126071151"/>
      <w:bookmarkStart w:id="981" w:name="_Toc177387892"/>
      <w:r>
        <w:t>SUMMARY, CO</w:t>
      </w:r>
      <w:r w:rsidR="000E20B9">
        <w:t>N</w:t>
      </w:r>
      <w:r>
        <w:t>CLUSIONS AND RECOMMENDATI</w:t>
      </w:r>
      <w:r w:rsidR="003859C9" w:rsidRPr="00EB11D3">
        <w:t>ON</w:t>
      </w:r>
      <w:bookmarkEnd w:id="976"/>
      <w:bookmarkEnd w:id="978"/>
      <w:bookmarkEnd w:id="979"/>
      <w:bookmarkEnd w:id="980"/>
      <w:r>
        <w:t>S</w:t>
      </w:r>
      <w:bookmarkEnd w:id="981"/>
    </w:p>
    <w:p w14:paraId="079150CC" w14:textId="77777777" w:rsidR="003859C9" w:rsidRPr="00EB11D3" w:rsidRDefault="003859C9" w:rsidP="003859C9">
      <w:pPr>
        <w:shd w:val="clear" w:color="auto" w:fill="FFFFFF"/>
        <w:spacing w:after="160" w:line="360" w:lineRule="auto"/>
        <w:rPr>
          <w:rFonts w:eastAsia="Calibri"/>
          <w:b/>
          <w:bCs/>
          <w:szCs w:val="24"/>
        </w:rPr>
      </w:pPr>
      <w:bookmarkStart w:id="982" w:name="_Toc78303066"/>
      <w:bookmarkStart w:id="983" w:name="_Toc84504769"/>
      <w:r w:rsidRPr="00EB11D3">
        <w:rPr>
          <w:rFonts w:eastAsia="Calibri"/>
          <w:szCs w:val="24"/>
        </w:rPr>
        <w:t xml:space="preserve">This chapter has been designed to discuss study findings. The respective sections are structured to discuss findings on corporate governance and organisational performance, mediating effect of service innovation, moderating effect of government regulations and </w:t>
      </w:r>
      <w:r w:rsidR="000E20B9" w:rsidRPr="00EB11D3">
        <w:rPr>
          <w:rFonts w:eastAsia="Cambria"/>
          <w:szCs w:val="24"/>
        </w:rPr>
        <w:t>mediated</w:t>
      </w:r>
      <w:r w:rsidR="000E20B9">
        <w:rPr>
          <w:rFonts w:eastAsia="Cambria"/>
          <w:szCs w:val="24"/>
        </w:rPr>
        <w:t xml:space="preserve"> </w:t>
      </w:r>
      <w:r w:rsidR="000E20B9" w:rsidRPr="00EB11D3">
        <w:rPr>
          <w:rFonts w:eastAsia="Cambria"/>
          <w:szCs w:val="24"/>
        </w:rPr>
        <w:t>moderat</w:t>
      </w:r>
      <w:r w:rsidR="000E20B9">
        <w:rPr>
          <w:rFonts w:eastAsia="Cambria"/>
          <w:szCs w:val="24"/>
        </w:rPr>
        <w:t>ion</w:t>
      </w:r>
      <w:r w:rsidRPr="00EB11D3">
        <w:rPr>
          <w:rFonts w:eastAsia="Calibri"/>
          <w:szCs w:val="24"/>
        </w:rPr>
        <w:t xml:space="preserve"> effect. The discussions include interpretation of findings and comparisons with reviewed literature for purposes of illuminating areas of consistency and incongruities. It also outlines the revised model based on the findings of the study. </w:t>
      </w:r>
    </w:p>
    <w:p w14:paraId="6CD54420" w14:textId="77777777" w:rsidR="005C6D5E" w:rsidRDefault="00865D7E" w:rsidP="005C6D5E">
      <w:pPr>
        <w:shd w:val="clear" w:color="auto" w:fill="FFFFFF"/>
        <w:spacing w:before="100" w:beforeAutospacing="1" w:after="100" w:afterAutospacing="1" w:line="240" w:lineRule="auto"/>
        <w:jc w:val="left"/>
        <w:outlineLvl w:val="1"/>
        <w:rPr>
          <w:rFonts w:eastAsia="Times New Roman"/>
          <w:b/>
          <w:bCs/>
          <w:szCs w:val="36"/>
        </w:rPr>
      </w:pPr>
      <w:bookmarkStart w:id="984" w:name="_Toc177387893"/>
      <w:bookmarkStart w:id="985" w:name="_Toc94528937"/>
      <w:bookmarkStart w:id="986" w:name="_Toc126071153"/>
      <w:r w:rsidRPr="00EB11D3">
        <w:rPr>
          <w:rFonts w:eastAsia="Times New Roman"/>
          <w:b/>
          <w:bCs/>
          <w:szCs w:val="36"/>
        </w:rPr>
        <w:t>5.</w:t>
      </w:r>
      <w:r>
        <w:rPr>
          <w:rFonts w:eastAsia="Times New Roman"/>
          <w:b/>
          <w:bCs/>
          <w:szCs w:val="36"/>
        </w:rPr>
        <w:t>0 Introduction</w:t>
      </w:r>
      <w:bookmarkEnd w:id="984"/>
    </w:p>
    <w:p w14:paraId="4CA36B4C" w14:textId="77777777" w:rsidR="005C6D5E" w:rsidRPr="005C6D5E" w:rsidRDefault="005C6D5E" w:rsidP="005C6D5E">
      <w:pPr>
        <w:spacing w:line="360" w:lineRule="auto"/>
      </w:pPr>
      <w:r w:rsidRPr="005C6D5E">
        <w:t xml:space="preserve">The main objective of the study was to examine relationship between corporate governance, service innovation, government regulations and </w:t>
      </w:r>
      <w:bookmarkStart w:id="987" w:name="_Hlk113756419"/>
      <w:r w:rsidRPr="005C6D5E">
        <w:t>organizational Performance of</w:t>
      </w:r>
      <w:bookmarkEnd w:id="987"/>
      <w:r w:rsidRPr="005C6D5E">
        <w:t xml:space="preserve"> faith-based hospitals in Kenya. Specifically, the study sought to establish the relationship between corporate governance and organizational Performance of faith-based hospitals in Kenya; to examine the mediating effect of service innovation on the relationship between corporate governance and organizational Performance of faith-based hospitals in Kenya; to determine the moderating effect of government regulations on the relationship between corporate governance and organizational Performance of faith-based hospitals in Kenya. The last objective was to determine the </w:t>
      </w:r>
      <w:r w:rsidR="000E20B9" w:rsidRPr="00EB11D3">
        <w:rPr>
          <w:rFonts w:eastAsia="Cambria"/>
          <w:szCs w:val="24"/>
        </w:rPr>
        <w:t>mediated</w:t>
      </w:r>
      <w:r w:rsidR="000E20B9">
        <w:rPr>
          <w:rFonts w:eastAsia="Cambria"/>
          <w:szCs w:val="24"/>
        </w:rPr>
        <w:t xml:space="preserve"> </w:t>
      </w:r>
      <w:r w:rsidR="000E20B9" w:rsidRPr="00EB11D3">
        <w:rPr>
          <w:rFonts w:eastAsia="Cambria"/>
          <w:szCs w:val="24"/>
        </w:rPr>
        <w:t>moderat</w:t>
      </w:r>
      <w:r w:rsidR="000E20B9">
        <w:rPr>
          <w:rFonts w:eastAsia="Cambria"/>
          <w:szCs w:val="24"/>
        </w:rPr>
        <w:t>ion</w:t>
      </w:r>
      <w:r w:rsidR="000E20B9" w:rsidRPr="005C6D5E">
        <w:t xml:space="preserve"> </w:t>
      </w:r>
      <w:r w:rsidRPr="005C6D5E">
        <w:t>effect on the relationship between corporate governance and organizational Performance of faith-based hospitals in Kenya. This chapter presents the summary of study comprising of study objectives, hypotheses, findings and conclusions. The conclusions also indicating whether the objectives of the study were achieved.</w:t>
      </w:r>
    </w:p>
    <w:p w14:paraId="34581D33" w14:textId="77777777" w:rsidR="003859C9" w:rsidRPr="00EB11D3" w:rsidRDefault="00444C11" w:rsidP="00444C11">
      <w:pPr>
        <w:shd w:val="clear" w:color="auto" w:fill="FFFFFF"/>
        <w:spacing w:before="100" w:beforeAutospacing="1" w:after="100" w:afterAutospacing="1" w:line="240" w:lineRule="auto"/>
        <w:jc w:val="left"/>
        <w:outlineLvl w:val="1"/>
        <w:rPr>
          <w:rFonts w:eastAsia="Times New Roman"/>
          <w:b/>
          <w:bCs/>
          <w:szCs w:val="36"/>
        </w:rPr>
      </w:pPr>
      <w:bookmarkStart w:id="988" w:name="_Toc177387894"/>
      <w:r w:rsidRPr="00EB11D3">
        <w:rPr>
          <w:rFonts w:eastAsia="Times New Roman"/>
          <w:b/>
          <w:bCs/>
          <w:szCs w:val="36"/>
        </w:rPr>
        <w:t>5.</w:t>
      </w:r>
      <w:r w:rsidR="005C6D5E">
        <w:rPr>
          <w:rFonts w:eastAsia="Times New Roman"/>
          <w:b/>
          <w:bCs/>
          <w:szCs w:val="36"/>
        </w:rPr>
        <w:t>1</w:t>
      </w:r>
      <w:r w:rsidRPr="00EB11D3">
        <w:rPr>
          <w:rFonts w:eastAsia="Times New Roman"/>
          <w:b/>
          <w:bCs/>
          <w:szCs w:val="36"/>
        </w:rPr>
        <w:t xml:space="preserve"> </w:t>
      </w:r>
      <w:r w:rsidR="005B7962">
        <w:rPr>
          <w:rFonts w:eastAsia="Times New Roman"/>
          <w:b/>
          <w:bCs/>
          <w:szCs w:val="36"/>
        </w:rPr>
        <w:t>Summary</w:t>
      </w:r>
      <w:r w:rsidR="003859C9" w:rsidRPr="00EB11D3">
        <w:rPr>
          <w:rFonts w:eastAsia="Times New Roman"/>
          <w:b/>
          <w:bCs/>
          <w:szCs w:val="36"/>
        </w:rPr>
        <w:t xml:space="preserve"> of Findings</w:t>
      </w:r>
      <w:bookmarkEnd w:id="982"/>
      <w:bookmarkEnd w:id="983"/>
      <w:bookmarkEnd w:id="985"/>
      <w:bookmarkEnd w:id="986"/>
      <w:bookmarkEnd w:id="988"/>
    </w:p>
    <w:p w14:paraId="3364F828" w14:textId="77777777" w:rsidR="003859C9" w:rsidRPr="00EB11D3" w:rsidRDefault="003859C9" w:rsidP="00200C33">
      <w:pPr>
        <w:shd w:val="clear" w:color="auto" w:fill="FFFFFF"/>
        <w:spacing w:after="160" w:line="360" w:lineRule="auto"/>
        <w:rPr>
          <w:rFonts w:eastAsia="Calibri"/>
          <w:szCs w:val="24"/>
        </w:rPr>
      </w:pPr>
      <w:r w:rsidRPr="00EB11D3">
        <w:rPr>
          <w:rFonts w:eastAsia="Calibri"/>
          <w:szCs w:val="24"/>
        </w:rPr>
        <w:t xml:space="preserve">The study results established that there was a positive and </w:t>
      </w:r>
      <w:r w:rsidR="006D5C62" w:rsidRPr="00EB11D3">
        <w:rPr>
          <w:rFonts w:eastAsia="Calibri"/>
          <w:szCs w:val="24"/>
        </w:rPr>
        <w:t>significant effect of corporate governance on organisational performance of Faith-Based Hospitals</w:t>
      </w:r>
      <w:r w:rsidRPr="00EB11D3">
        <w:rPr>
          <w:rFonts w:eastAsia="Calibri"/>
          <w:szCs w:val="24"/>
          <w:lang w:val="en"/>
        </w:rPr>
        <w:t xml:space="preserve"> in Kenya</w:t>
      </w:r>
      <w:r w:rsidRPr="00EB11D3">
        <w:rPr>
          <w:rFonts w:eastAsia="Calibri"/>
          <w:szCs w:val="24"/>
        </w:rPr>
        <w:t xml:space="preserve">. However, there exists partial mediation effect of service innovation on the relationship between corporate governance and </w:t>
      </w:r>
      <w:r w:rsidR="006D5C62" w:rsidRPr="00EB11D3">
        <w:rPr>
          <w:rFonts w:eastAsia="Calibri"/>
          <w:szCs w:val="24"/>
          <w:lang w:val="en"/>
        </w:rPr>
        <w:t>organisational performance of Faith-Based Hospitals</w:t>
      </w:r>
      <w:r w:rsidRPr="00EB11D3">
        <w:rPr>
          <w:rFonts w:eastAsia="Calibri"/>
          <w:szCs w:val="24"/>
          <w:lang w:val="en"/>
        </w:rPr>
        <w:t xml:space="preserve"> </w:t>
      </w:r>
      <w:r w:rsidRPr="00EB11D3">
        <w:rPr>
          <w:rFonts w:eastAsia="Calibri"/>
          <w:szCs w:val="24"/>
        </w:rPr>
        <w:t xml:space="preserve">in Kenya. The study findings also revealed a significant moderating effect of government regulations on the relationship between corporate governance and </w:t>
      </w:r>
      <w:r w:rsidR="006D5C62" w:rsidRPr="00EB11D3">
        <w:rPr>
          <w:rFonts w:eastAsia="Calibri"/>
          <w:szCs w:val="24"/>
          <w:lang w:val="en"/>
        </w:rPr>
        <w:t>organisational performance of Faith-Based Hospitals</w:t>
      </w:r>
      <w:r w:rsidRPr="00EB11D3">
        <w:rPr>
          <w:rFonts w:eastAsia="Calibri"/>
          <w:szCs w:val="24"/>
          <w:lang w:val="en"/>
        </w:rPr>
        <w:t xml:space="preserve"> in Kenya. </w:t>
      </w:r>
      <w:r w:rsidRPr="00EB11D3">
        <w:rPr>
          <w:rFonts w:eastAsia="Calibri"/>
          <w:szCs w:val="24"/>
        </w:rPr>
        <w:t>Further, significant mediated moderat</w:t>
      </w:r>
      <w:r w:rsidR="00043B2E">
        <w:rPr>
          <w:rFonts w:eastAsia="Calibri"/>
          <w:szCs w:val="24"/>
        </w:rPr>
        <w:t>ion</w:t>
      </w:r>
      <w:r w:rsidRPr="00EB11D3">
        <w:rPr>
          <w:rFonts w:eastAsia="Calibri"/>
          <w:szCs w:val="24"/>
        </w:rPr>
        <w:t xml:space="preserve"> effect on the relationship between corporate governance and </w:t>
      </w:r>
      <w:r w:rsidR="006D5C62" w:rsidRPr="00EB11D3">
        <w:rPr>
          <w:rFonts w:eastAsia="Calibri"/>
          <w:szCs w:val="24"/>
          <w:lang w:val="en"/>
        </w:rPr>
        <w:t>organisational performance of Faith-Based Hospitals</w:t>
      </w:r>
      <w:r w:rsidRPr="00EB11D3">
        <w:rPr>
          <w:rFonts w:eastAsia="Calibri"/>
          <w:szCs w:val="24"/>
          <w:lang w:val="en"/>
        </w:rPr>
        <w:t xml:space="preserve"> in Kenya </w:t>
      </w:r>
      <w:r w:rsidRPr="00EB11D3">
        <w:rPr>
          <w:rFonts w:eastAsia="Calibri"/>
          <w:szCs w:val="24"/>
        </w:rPr>
        <w:t>was confirmed.</w:t>
      </w:r>
    </w:p>
    <w:p w14:paraId="4390ED13" w14:textId="77777777" w:rsidR="003859C9" w:rsidRPr="00EB11D3" w:rsidRDefault="003859C9" w:rsidP="00823CEA">
      <w:pPr>
        <w:keepNext/>
        <w:keepLines/>
        <w:shd w:val="clear" w:color="auto" w:fill="FFFFFF"/>
        <w:spacing w:before="40" w:line="360" w:lineRule="auto"/>
        <w:outlineLvl w:val="2"/>
        <w:rPr>
          <w:rFonts w:eastAsia="Times New Roman"/>
          <w:b/>
          <w:bCs/>
          <w:szCs w:val="24"/>
          <w:lang w:val="en-GB"/>
        </w:rPr>
      </w:pPr>
      <w:bookmarkStart w:id="989" w:name="_Toc164151276"/>
      <w:bookmarkStart w:id="990" w:name="_Toc168673468"/>
      <w:bookmarkStart w:id="991" w:name="_Toc168737909"/>
      <w:bookmarkStart w:id="992" w:name="_Toc171602663"/>
      <w:bookmarkStart w:id="993" w:name="_Toc171603490"/>
      <w:bookmarkStart w:id="994" w:name="_Toc177387895"/>
      <w:bookmarkStart w:id="995" w:name="_Toc117772223"/>
      <w:bookmarkStart w:id="996" w:name="_Toc117773083"/>
      <w:bookmarkStart w:id="997" w:name="_Toc124240262"/>
      <w:bookmarkStart w:id="998" w:name="_Toc126071154"/>
      <w:r w:rsidRPr="00EB11D3">
        <w:rPr>
          <w:rFonts w:eastAsia="Times New Roman"/>
          <w:b/>
          <w:bCs/>
          <w:szCs w:val="24"/>
          <w:lang w:val="en-GB"/>
        </w:rPr>
        <w:t>5.</w:t>
      </w:r>
      <w:r w:rsidR="005C6D5E">
        <w:rPr>
          <w:rFonts w:eastAsia="Times New Roman"/>
          <w:b/>
          <w:bCs/>
          <w:szCs w:val="24"/>
          <w:lang w:val="en-GB"/>
        </w:rPr>
        <w:t>1</w:t>
      </w:r>
      <w:r w:rsidRPr="00EB11D3">
        <w:rPr>
          <w:rFonts w:eastAsia="Times New Roman"/>
          <w:b/>
          <w:bCs/>
          <w:szCs w:val="24"/>
          <w:lang w:val="en-GB"/>
        </w:rPr>
        <w:t xml:space="preserve">.1 </w:t>
      </w:r>
      <w:r w:rsidR="00083F07" w:rsidRPr="00EB11D3">
        <w:rPr>
          <w:rFonts w:eastAsia="Times New Roman"/>
          <w:b/>
          <w:bCs/>
          <w:szCs w:val="24"/>
          <w:lang w:val="en-GB"/>
        </w:rPr>
        <w:t xml:space="preserve">Effect of </w:t>
      </w:r>
      <w:r w:rsidRPr="00EB11D3">
        <w:rPr>
          <w:rFonts w:eastAsia="Times New Roman"/>
          <w:b/>
          <w:bCs/>
          <w:szCs w:val="24"/>
        </w:rPr>
        <w:t xml:space="preserve">Corporate Governance </w:t>
      </w:r>
      <w:r w:rsidR="00083F07" w:rsidRPr="00EB11D3">
        <w:rPr>
          <w:rFonts w:eastAsia="Times New Roman"/>
          <w:b/>
          <w:bCs/>
          <w:szCs w:val="24"/>
          <w:lang w:val="en-GB"/>
        </w:rPr>
        <w:t>on</w:t>
      </w:r>
      <w:r w:rsidRPr="00EB11D3">
        <w:rPr>
          <w:rFonts w:eastAsia="Times New Roman"/>
          <w:b/>
          <w:bCs/>
          <w:szCs w:val="24"/>
          <w:lang w:val="en-GB"/>
        </w:rPr>
        <w:t xml:space="preserve"> Organisational Performance</w:t>
      </w:r>
      <w:bookmarkEnd w:id="989"/>
      <w:bookmarkEnd w:id="990"/>
      <w:bookmarkEnd w:id="991"/>
      <w:bookmarkEnd w:id="992"/>
      <w:bookmarkEnd w:id="993"/>
      <w:bookmarkEnd w:id="994"/>
      <w:r w:rsidRPr="00EB11D3">
        <w:rPr>
          <w:rFonts w:eastAsia="Times New Roman"/>
          <w:b/>
          <w:bCs/>
          <w:szCs w:val="24"/>
          <w:lang w:val="en-GB"/>
        </w:rPr>
        <w:t xml:space="preserve">  </w:t>
      </w:r>
      <w:bookmarkEnd w:id="995"/>
      <w:bookmarkEnd w:id="996"/>
      <w:bookmarkEnd w:id="997"/>
      <w:bookmarkEnd w:id="998"/>
    </w:p>
    <w:p w14:paraId="29E3C3E0" w14:textId="77777777" w:rsidR="003859C9" w:rsidRPr="00EB11D3" w:rsidRDefault="003859C9" w:rsidP="00823CEA">
      <w:pPr>
        <w:shd w:val="clear" w:color="auto" w:fill="FFFFFF"/>
        <w:spacing w:line="360" w:lineRule="auto"/>
        <w:rPr>
          <w:rFonts w:eastAsia="DengXian"/>
          <w:szCs w:val="24"/>
          <w:lang w:eastAsia="zh-CN"/>
        </w:rPr>
      </w:pPr>
      <w:bookmarkStart w:id="999" w:name="_Hlk170495836"/>
      <w:r w:rsidRPr="00EB11D3">
        <w:rPr>
          <w:rFonts w:eastAsia="Calibri"/>
          <w:szCs w:val="24"/>
        </w:rPr>
        <w:t xml:space="preserve">The first objective of the study was to establish the </w:t>
      </w:r>
      <w:r w:rsidR="00AB027E" w:rsidRPr="00EB11D3">
        <w:rPr>
          <w:rFonts w:eastAsia="Calibri"/>
          <w:szCs w:val="24"/>
        </w:rPr>
        <w:t>effect of</w:t>
      </w:r>
      <w:r w:rsidRPr="00EB11D3">
        <w:rPr>
          <w:rFonts w:eastAsia="Calibri"/>
          <w:szCs w:val="24"/>
        </w:rPr>
        <w:t xml:space="preserve"> </w:t>
      </w:r>
      <w:r w:rsidRPr="00EB11D3">
        <w:rPr>
          <w:rFonts w:eastAsia="Times New Roman"/>
          <w:bCs/>
          <w:szCs w:val="24"/>
          <w:lang w:val="en"/>
        </w:rPr>
        <w:t xml:space="preserve">corporate governance on </w:t>
      </w:r>
      <w:r w:rsidR="006D5C62" w:rsidRPr="00EB11D3">
        <w:rPr>
          <w:rFonts w:eastAsia="Times New Roman"/>
          <w:bCs/>
          <w:szCs w:val="24"/>
        </w:rPr>
        <w:t>organisational performance of Faith-Based Hospitals</w:t>
      </w:r>
      <w:r w:rsidRPr="00EB11D3">
        <w:rPr>
          <w:rFonts w:eastAsia="Times New Roman"/>
          <w:bCs/>
          <w:szCs w:val="24"/>
          <w:lang w:val="en"/>
        </w:rPr>
        <w:t xml:space="preserve"> in Kenya. </w:t>
      </w:r>
      <w:r w:rsidRPr="00EB11D3">
        <w:rPr>
          <w:rFonts w:eastAsia="DengXian"/>
          <w:szCs w:val="24"/>
          <w:lang w:eastAsia="zh-CN"/>
        </w:rPr>
        <w:t>Corporate governance (CG) has become a rapidly expanding activity in enterprises in recent years, and its significance has been emphasized globally. Even nations that do not currently have regulations governing the use of CG in enterprises have embraced it. The fact that CG forms the foundation of an organization's operational architecture explains its widespread appeal. Since the owners are dedicated to utilizing the mechanisms and principles, which in the broadest sense equate to effective monitoring of a company's activities, especially when the principles of disclosure and transparency are adopted, it is anticipated that the adoption and implementation of the Quality Assurance (QA) practice will benefit the owners. Therefore, when a company decides to adopt and implement CG, this move might positively affect decisions pertaining to both present and potential investors. Apart from the analysis done by the experts, owners and shareholders can also examine and assess judgments made on a daily basis because the information is readily available. This highlights the CG's distinct and significant function in relation to how these processes affect businesses' performance. Numerous studies demonstrate the connection between CG and business performance, yet the findings are variable and sometimes positive, both good and bad for the performance of the company.</w:t>
      </w:r>
    </w:p>
    <w:p w14:paraId="21DE3747" w14:textId="77777777" w:rsidR="003859C9" w:rsidRPr="00EB11D3" w:rsidRDefault="00426198" w:rsidP="003859C9">
      <w:pPr>
        <w:shd w:val="clear" w:color="auto" w:fill="FFFFFF"/>
        <w:spacing w:after="160" w:line="360" w:lineRule="auto"/>
        <w:rPr>
          <w:rFonts w:eastAsia="Times New Roman"/>
          <w:bCs/>
          <w:szCs w:val="24"/>
        </w:rPr>
      </w:pPr>
      <w:r w:rsidRPr="00426198">
        <w:rPr>
          <w:rFonts w:eastAsia="Calibri"/>
          <w:szCs w:val="24"/>
          <w:lang w:val="en-GB" w:eastAsia="en-GB"/>
        </w:rPr>
        <w:t xml:space="preserve">The statistical relevance of the independent variable (corporate governance) on the dependent variable (organisational performance) faith-based hospitals in Kenya was examined using a </w:t>
      </w:r>
      <w:r w:rsidR="00FD7F54">
        <w:rPr>
          <w:rFonts w:eastAsia="Calibri"/>
          <w:szCs w:val="24"/>
          <w:lang w:val="en-GB" w:eastAsia="en-GB"/>
        </w:rPr>
        <w:t xml:space="preserve">simple </w:t>
      </w:r>
      <w:r w:rsidRPr="00426198">
        <w:rPr>
          <w:rFonts w:eastAsia="Calibri"/>
          <w:szCs w:val="24"/>
          <w:lang w:val="en-GB" w:eastAsia="en-GB"/>
        </w:rPr>
        <w:t xml:space="preserve">regression model. The first </w:t>
      </w:r>
      <w:r w:rsidR="00FD7F54">
        <w:rPr>
          <w:rFonts w:eastAsia="Calibri"/>
          <w:szCs w:val="24"/>
          <w:lang w:val="en-GB" w:eastAsia="en-GB"/>
        </w:rPr>
        <w:t xml:space="preserve">null </w:t>
      </w:r>
      <w:r w:rsidRPr="00426198">
        <w:rPr>
          <w:rFonts w:eastAsia="Calibri"/>
          <w:szCs w:val="24"/>
          <w:lang w:val="en-GB" w:eastAsia="en-GB"/>
        </w:rPr>
        <w:t xml:space="preserve">hypothesis claimed that there is no meaningful correlation between corporate governance and the organisational </w:t>
      </w:r>
      <w:r w:rsidR="00FD7F54">
        <w:rPr>
          <w:rFonts w:eastAsia="Calibri"/>
          <w:szCs w:val="24"/>
          <w:lang w:val="en-GB" w:eastAsia="en-GB"/>
        </w:rPr>
        <w:t>performance</w:t>
      </w:r>
      <w:r w:rsidRPr="00426198">
        <w:rPr>
          <w:rFonts w:eastAsia="Calibri"/>
          <w:szCs w:val="24"/>
          <w:lang w:val="en-GB" w:eastAsia="en-GB"/>
        </w:rPr>
        <w:t xml:space="preserve"> of faith-based hospitals</w:t>
      </w:r>
      <w:r w:rsidR="00FD7F54">
        <w:rPr>
          <w:rFonts w:eastAsia="Calibri"/>
          <w:szCs w:val="24"/>
          <w:lang w:val="en-GB" w:eastAsia="en-GB"/>
        </w:rPr>
        <w:t xml:space="preserve"> in Kenya</w:t>
      </w:r>
      <w:r w:rsidRPr="00426198">
        <w:rPr>
          <w:rFonts w:eastAsia="Calibri"/>
          <w:szCs w:val="24"/>
          <w:lang w:val="en-GB" w:eastAsia="en-GB"/>
        </w:rPr>
        <w:t xml:space="preserve">. </w:t>
      </w:r>
      <w:r w:rsidR="00FD7F54" w:rsidRPr="00426198">
        <w:rPr>
          <w:rFonts w:eastAsia="Calibri"/>
          <w:szCs w:val="24"/>
          <w:lang w:val="en-GB" w:eastAsia="en-GB"/>
        </w:rPr>
        <w:t xml:space="preserve">Corporate </w:t>
      </w:r>
      <w:r w:rsidRPr="00426198">
        <w:rPr>
          <w:rFonts w:eastAsia="Calibri"/>
          <w:szCs w:val="24"/>
          <w:lang w:val="en-GB" w:eastAsia="en-GB"/>
        </w:rPr>
        <w:t xml:space="preserve">governance </w:t>
      </w:r>
      <w:r w:rsidR="00FD7F54">
        <w:rPr>
          <w:rFonts w:eastAsia="Calibri"/>
          <w:szCs w:val="24"/>
          <w:lang w:val="en-GB" w:eastAsia="en-GB"/>
        </w:rPr>
        <w:t>was regressed against</w:t>
      </w:r>
      <w:r w:rsidRPr="00426198">
        <w:rPr>
          <w:rFonts w:eastAsia="Calibri"/>
          <w:szCs w:val="24"/>
          <w:lang w:val="en-GB" w:eastAsia="en-GB"/>
        </w:rPr>
        <w:t xml:space="preserve"> organisational performance of faith-based hospitals </w:t>
      </w:r>
      <w:r w:rsidR="00FD7F54">
        <w:rPr>
          <w:rFonts w:eastAsia="Calibri"/>
          <w:szCs w:val="24"/>
          <w:lang w:val="en-GB" w:eastAsia="en-GB"/>
        </w:rPr>
        <w:t xml:space="preserve">in Kenya </w:t>
      </w:r>
      <w:r w:rsidR="0069148D">
        <w:rPr>
          <w:rFonts w:eastAsia="Calibri"/>
          <w:szCs w:val="24"/>
          <w:lang w:val="en-GB" w:eastAsia="en-GB"/>
        </w:rPr>
        <w:t>and the</w:t>
      </w:r>
      <w:r w:rsidRPr="00426198">
        <w:rPr>
          <w:rFonts w:eastAsia="Calibri"/>
          <w:szCs w:val="24"/>
          <w:lang w:val="en-GB" w:eastAsia="en-GB"/>
        </w:rPr>
        <w:t xml:space="preserve"> results demonstrate that organisational performance stays at 1.299 when corporate governance is maintained. Organisational </w:t>
      </w:r>
      <w:r w:rsidR="0069148D">
        <w:rPr>
          <w:rFonts w:eastAsia="Calibri"/>
          <w:szCs w:val="24"/>
          <w:lang w:val="en-GB" w:eastAsia="en-GB"/>
        </w:rPr>
        <w:t>performance</w:t>
      </w:r>
      <w:r w:rsidRPr="00426198">
        <w:rPr>
          <w:rFonts w:eastAsia="Calibri"/>
          <w:szCs w:val="24"/>
          <w:lang w:val="en-GB" w:eastAsia="en-GB"/>
        </w:rPr>
        <w:t xml:space="preserve"> is improved by following sound corporate governance principles and practices. Given that the p-value of less than 0.05 is smaller than the cr</w:t>
      </w:r>
      <w:r w:rsidR="0069148D">
        <w:rPr>
          <w:rFonts w:eastAsia="Calibri"/>
          <w:szCs w:val="24"/>
          <w:lang w:val="en-GB" w:eastAsia="en-GB"/>
        </w:rPr>
        <w:t>itical</w:t>
      </w:r>
      <w:r w:rsidRPr="00426198">
        <w:rPr>
          <w:rFonts w:eastAsia="Calibri"/>
          <w:szCs w:val="24"/>
          <w:lang w:val="en-GB" w:eastAsia="en-GB"/>
        </w:rPr>
        <w:t xml:space="preserve"> value, the null hypothesis</w:t>
      </w:r>
      <w:r>
        <w:rPr>
          <w:rFonts w:eastAsia="Calibri"/>
          <w:szCs w:val="24"/>
          <w:lang w:val="en-GB" w:eastAsia="en-GB"/>
        </w:rPr>
        <w:t xml:space="preserve"> -</w:t>
      </w:r>
      <w:r w:rsidRPr="00426198">
        <w:rPr>
          <w:rFonts w:eastAsia="Calibri"/>
          <w:szCs w:val="24"/>
          <w:lang w:val="en-GB" w:eastAsia="en-GB"/>
        </w:rPr>
        <w:t xml:space="preserve">which posited that corporate governance had </w:t>
      </w:r>
      <w:r w:rsidR="0069148D">
        <w:rPr>
          <w:rFonts w:eastAsia="Calibri"/>
          <w:szCs w:val="24"/>
          <w:lang w:val="en-GB" w:eastAsia="en-GB"/>
        </w:rPr>
        <w:t>significant effect</w:t>
      </w:r>
      <w:r w:rsidRPr="00426198">
        <w:rPr>
          <w:rFonts w:eastAsia="Calibri"/>
          <w:szCs w:val="24"/>
          <w:lang w:val="en-GB" w:eastAsia="en-GB"/>
        </w:rPr>
        <w:t xml:space="preserve"> on the organisational performance of faith-based hospitals in Kenya</w:t>
      </w:r>
      <w:r>
        <w:rPr>
          <w:rFonts w:eastAsia="Calibri"/>
          <w:szCs w:val="24"/>
          <w:lang w:val="en-GB" w:eastAsia="en-GB"/>
        </w:rPr>
        <w:t xml:space="preserve"> - </w:t>
      </w:r>
      <w:r w:rsidRPr="00426198">
        <w:rPr>
          <w:rFonts w:eastAsia="Calibri"/>
          <w:szCs w:val="24"/>
          <w:lang w:val="en-GB" w:eastAsia="en-GB"/>
        </w:rPr>
        <w:t xml:space="preserve">was rejected. The study came to the conclusion that corporate governance significantly affects </w:t>
      </w:r>
      <w:r w:rsidR="0069148D">
        <w:rPr>
          <w:rFonts w:eastAsia="Calibri"/>
          <w:szCs w:val="24"/>
          <w:lang w:val="en-GB" w:eastAsia="en-GB"/>
        </w:rPr>
        <w:t xml:space="preserve">the performance of </w:t>
      </w:r>
      <w:r w:rsidRPr="00426198">
        <w:rPr>
          <w:rFonts w:eastAsia="Calibri"/>
          <w:szCs w:val="24"/>
          <w:lang w:val="en-GB" w:eastAsia="en-GB"/>
        </w:rPr>
        <w:t>faith-based hospitals</w:t>
      </w:r>
      <w:r w:rsidR="0069148D">
        <w:rPr>
          <w:rFonts w:eastAsia="Calibri"/>
          <w:szCs w:val="24"/>
          <w:lang w:val="en-GB" w:eastAsia="en-GB"/>
        </w:rPr>
        <w:t xml:space="preserve"> in Kenya</w:t>
      </w:r>
      <w:r w:rsidRPr="00426198">
        <w:rPr>
          <w:rFonts w:eastAsia="Calibri"/>
          <w:szCs w:val="24"/>
          <w:lang w:val="en-GB" w:eastAsia="en-GB"/>
        </w:rPr>
        <w:t>.</w:t>
      </w:r>
    </w:p>
    <w:p w14:paraId="64FB5C88" w14:textId="77777777" w:rsidR="000F6AC2" w:rsidRPr="00EB11D3" w:rsidRDefault="000F6AC2" w:rsidP="000F6AC2">
      <w:pPr>
        <w:shd w:val="clear" w:color="auto" w:fill="FFFFFF"/>
        <w:spacing w:after="160" w:line="360" w:lineRule="auto"/>
        <w:rPr>
          <w:rFonts w:eastAsia="Times New Roman"/>
          <w:bCs/>
          <w:szCs w:val="24"/>
        </w:rPr>
      </w:pPr>
      <w:r w:rsidRPr="00EB11D3">
        <w:rPr>
          <w:rFonts w:eastAsia="Times New Roman"/>
          <w:bCs/>
          <w:szCs w:val="24"/>
        </w:rPr>
        <w:t>The findings of this study are in agreement with those of Oino (2019), who found that improved risk management, enhanced auditing and compliance, and more disclosure and transparency all had a positive impact on the financial performance of financial institutions. Furthermore, when there was an increase in the amount of auditing within the banking industry as well as the degree of compliance with banking regulations, the financial performance of banks improved.</w:t>
      </w:r>
      <w:r w:rsidR="005665AF" w:rsidRPr="00EB11D3">
        <w:rPr>
          <w:rFonts w:eastAsia="Times New Roman"/>
          <w:bCs/>
          <w:szCs w:val="24"/>
        </w:rPr>
        <w:t xml:space="preserve"> This is further supported by Khan, Zahid, Saleem and Sági (2021) who indicated that board composition had a significant effect on the performance. Additionally</w:t>
      </w:r>
      <w:r w:rsidR="00B3443D" w:rsidRPr="00EB11D3">
        <w:rPr>
          <w:rFonts w:eastAsia="Times New Roman"/>
          <w:bCs/>
          <w:szCs w:val="24"/>
        </w:rPr>
        <w:t>,</w:t>
      </w:r>
      <w:r w:rsidR="005665AF" w:rsidRPr="00EB11D3">
        <w:rPr>
          <w:rFonts w:eastAsia="Times New Roman"/>
          <w:bCs/>
          <w:szCs w:val="24"/>
        </w:rPr>
        <w:t xml:space="preserve"> the CEO characteristics </w:t>
      </w:r>
      <w:r w:rsidR="00B3443D" w:rsidRPr="00EB11D3">
        <w:rPr>
          <w:rFonts w:eastAsia="Times New Roman"/>
          <w:bCs/>
          <w:szCs w:val="24"/>
        </w:rPr>
        <w:t>was found to have a positive moderating effect on the relationship between board composition and accountability in the firm.</w:t>
      </w:r>
      <w:r w:rsidR="006D251A" w:rsidRPr="00EB11D3">
        <w:rPr>
          <w:rFonts w:eastAsia="Times New Roman"/>
          <w:bCs/>
          <w:szCs w:val="24"/>
        </w:rPr>
        <w:t xml:space="preserve"> The performance of the firm was found to be affected by the gender diversity and CEO duality. Equally, the result</w:t>
      </w:r>
      <w:r w:rsidR="004844F2" w:rsidRPr="00EB11D3">
        <w:rPr>
          <w:rFonts w:eastAsia="Times New Roman"/>
          <w:bCs/>
          <w:szCs w:val="24"/>
        </w:rPr>
        <w:t xml:space="preserve">s revealed that </w:t>
      </w:r>
      <w:r w:rsidR="00C10864" w:rsidRPr="00EB11D3">
        <w:rPr>
          <w:rFonts w:eastAsia="Times New Roman"/>
          <w:bCs/>
          <w:szCs w:val="24"/>
        </w:rPr>
        <w:t>board size and diversity had a significant effect on performance.</w:t>
      </w:r>
    </w:p>
    <w:bookmarkEnd w:id="999"/>
    <w:p w14:paraId="1A19C106" w14:textId="77777777" w:rsidR="00C64B3D" w:rsidRPr="00EB11D3" w:rsidRDefault="007C6996" w:rsidP="00C64B3D">
      <w:pPr>
        <w:spacing w:after="0" w:line="360" w:lineRule="auto"/>
        <w:rPr>
          <w:rFonts w:eastAsia="Times New Roman"/>
          <w:szCs w:val="24"/>
        </w:rPr>
      </w:pPr>
      <w:r w:rsidRPr="00EB11D3">
        <w:rPr>
          <w:rFonts w:eastAsia="Times New Roman"/>
          <w:bCs/>
          <w:szCs w:val="24"/>
        </w:rPr>
        <w:t xml:space="preserve">Naciti (2019) findings support </w:t>
      </w:r>
      <w:r w:rsidR="002F68A3" w:rsidRPr="00EB11D3">
        <w:rPr>
          <w:rFonts w:eastAsia="Times New Roman"/>
          <w:bCs/>
          <w:szCs w:val="24"/>
        </w:rPr>
        <w:t xml:space="preserve">the current study by linking </w:t>
      </w:r>
      <w:r w:rsidRPr="00EB11D3">
        <w:rPr>
          <w:rFonts w:eastAsia="Times New Roman"/>
          <w:bCs/>
          <w:szCs w:val="24"/>
        </w:rPr>
        <w:t xml:space="preserve">board composition </w:t>
      </w:r>
      <w:r w:rsidR="002F68A3" w:rsidRPr="00EB11D3">
        <w:rPr>
          <w:rFonts w:eastAsia="Times New Roman"/>
          <w:bCs/>
          <w:szCs w:val="24"/>
        </w:rPr>
        <w:t>and</w:t>
      </w:r>
      <w:r w:rsidRPr="00EB11D3">
        <w:rPr>
          <w:rFonts w:eastAsia="Times New Roman"/>
          <w:bCs/>
          <w:szCs w:val="24"/>
        </w:rPr>
        <w:t xml:space="preserve"> performance. </w:t>
      </w:r>
      <w:r w:rsidR="00C64B3D" w:rsidRPr="00EB11D3">
        <w:rPr>
          <w:rFonts w:eastAsia="Times New Roman"/>
          <w:szCs w:val="24"/>
        </w:rPr>
        <w:t>Performance was found to be influenced by companies that had a greater diversity on their board of directors and a distinction between the positions of chair and CEO. Having a higher number of indirect directors has a significant effect on the overall performance of the firm.</w:t>
      </w:r>
      <w:r w:rsidR="006D2915" w:rsidRPr="00EB11D3">
        <w:rPr>
          <w:rFonts w:eastAsia="Times New Roman"/>
          <w:szCs w:val="24"/>
        </w:rPr>
        <w:t xml:space="preserve"> Similarly, </w:t>
      </w:r>
      <w:r w:rsidR="00474C6A" w:rsidRPr="00EB11D3">
        <w:rPr>
          <w:rFonts w:eastAsia="Times New Roman"/>
          <w:szCs w:val="24"/>
        </w:rPr>
        <w:t xml:space="preserve">Abu Qa’dan and Suwaidan (2019) study gave a link between </w:t>
      </w:r>
      <w:r w:rsidR="00B47497" w:rsidRPr="00EB11D3">
        <w:rPr>
          <w:rFonts w:eastAsia="Times New Roman"/>
          <w:szCs w:val="24"/>
        </w:rPr>
        <w:t>b</w:t>
      </w:r>
      <w:r w:rsidR="00474C6A" w:rsidRPr="00EB11D3">
        <w:rPr>
          <w:rFonts w:eastAsia="Times New Roman"/>
          <w:szCs w:val="24"/>
        </w:rPr>
        <w:t>oard composition</w:t>
      </w:r>
      <w:r w:rsidR="00B47497" w:rsidRPr="00EB11D3">
        <w:rPr>
          <w:rFonts w:eastAsia="Times New Roman"/>
          <w:szCs w:val="24"/>
        </w:rPr>
        <w:t xml:space="preserve"> and the performance.</w:t>
      </w:r>
      <w:r w:rsidR="00474C6A" w:rsidRPr="00EB11D3">
        <w:rPr>
          <w:rFonts w:eastAsia="Times New Roman"/>
          <w:szCs w:val="24"/>
        </w:rPr>
        <w:t xml:space="preserve"> </w:t>
      </w:r>
      <w:r w:rsidR="00B47497" w:rsidRPr="00EB11D3">
        <w:rPr>
          <w:rFonts w:eastAsia="Times New Roman"/>
          <w:szCs w:val="24"/>
        </w:rPr>
        <w:t xml:space="preserve">Performance was also influenced by the </w:t>
      </w:r>
      <w:r w:rsidR="00474C6A" w:rsidRPr="00EB11D3">
        <w:rPr>
          <w:rFonts w:eastAsia="Times New Roman"/>
          <w:szCs w:val="24"/>
        </w:rPr>
        <w:t>ownership structure and corporate social responsibility disclosure</w:t>
      </w:r>
      <w:r w:rsidR="00B47497" w:rsidRPr="00EB11D3">
        <w:rPr>
          <w:rFonts w:eastAsia="Times New Roman"/>
          <w:szCs w:val="24"/>
        </w:rPr>
        <w:t xml:space="preserve"> (CSR)</w:t>
      </w:r>
      <w:r w:rsidR="005D260C" w:rsidRPr="00EB11D3">
        <w:rPr>
          <w:rFonts w:eastAsia="Times New Roman"/>
          <w:szCs w:val="24"/>
        </w:rPr>
        <w:t>. On a contrary to this study findings, Biswas, Mansi and Pandey (2018) established a negative association between board gender diversity and environmental performance.</w:t>
      </w:r>
      <w:r w:rsidR="00EA78C1" w:rsidRPr="00EB11D3">
        <w:rPr>
          <w:rFonts w:eastAsia="Times New Roman"/>
          <w:szCs w:val="24"/>
        </w:rPr>
        <w:t xml:space="preserve"> Similarly, Zhuang, Chang and Lee (2018) study revealed a negative correlation between gender diversity and performance of the firm.</w:t>
      </w:r>
      <w:r w:rsidR="00B41D4F" w:rsidRPr="00EB11D3">
        <w:rPr>
          <w:rFonts w:eastAsia="Times New Roman"/>
          <w:szCs w:val="24"/>
        </w:rPr>
        <w:t xml:space="preserve"> The currents study findings contradict the study by Assenga, Aly and Hussainey (2018) who revealed a negative correlation between board characteristics and performance.</w:t>
      </w:r>
    </w:p>
    <w:p w14:paraId="690EC111" w14:textId="77777777" w:rsidR="003859C9" w:rsidRPr="00EB11D3" w:rsidRDefault="003859C9" w:rsidP="00823CEA">
      <w:pPr>
        <w:pStyle w:val="Heading3"/>
        <w:spacing w:after="240"/>
      </w:pPr>
      <w:bookmarkStart w:id="1000" w:name="_Toc164151277"/>
      <w:bookmarkStart w:id="1001" w:name="_Toc168673469"/>
      <w:bookmarkStart w:id="1002" w:name="_Toc168737910"/>
      <w:bookmarkStart w:id="1003" w:name="_Toc171602664"/>
      <w:bookmarkStart w:id="1004" w:name="_Toc171603491"/>
      <w:bookmarkStart w:id="1005" w:name="_Toc177387896"/>
      <w:r w:rsidRPr="00EB11D3">
        <w:t>5.</w:t>
      </w:r>
      <w:r w:rsidR="005C6D5E">
        <w:t>1</w:t>
      </w:r>
      <w:r w:rsidRPr="00EB11D3">
        <w:t xml:space="preserve">.2 Mediating </w:t>
      </w:r>
      <w:r w:rsidR="005F6DA0" w:rsidRPr="00EB11D3">
        <w:t>E</w:t>
      </w:r>
      <w:r w:rsidRPr="00EB11D3">
        <w:t>ffect of Service Innovation</w:t>
      </w:r>
      <w:bookmarkEnd w:id="1000"/>
      <w:bookmarkEnd w:id="1001"/>
      <w:bookmarkEnd w:id="1002"/>
      <w:bookmarkEnd w:id="1003"/>
      <w:bookmarkEnd w:id="1004"/>
      <w:bookmarkEnd w:id="1005"/>
    </w:p>
    <w:p w14:paraId="7611AAB9" w14:textId="77777777" w:rsidR="003859C9" w:rsidRPr="00EB11D3" w:rsidRDefault="003859C9" w:rsidP="00823CEA">
      <w:pPr>
        <w:shd w:val="clear" w:color="auto" w:fill="FFFFFF"/>
        <w:spacing w:after="240" w:line="360" w:lineRule="auto"/>
        <w:rPr>
          <w:rFonts w:eastAsia="Times New Roman"/>
          <w:szCs w:val="24"/>
        </w:rPr>
      </w:pPr>
      <w:r w:rsidRPr="00EB11D3">
        <w:rPr>
          <w:rFonts w:eastAsia="Times New Roman"/>
          <w:bCs/>
          <w:szCs w:val="24"/>
          <w:lang w:val="en-GB"/>
        </w:rPr>
        <w:t xml:space="preserve">The second objective of the study was to examine the mediating effect of service innovation on the relationship between corporate governance and </w:t>
      </w:r>
      <w:r w:rsidR="006D5C62" w:rsidRPr="00EB11D3">
        <w:rPr>
          <w:rFonts w:eastAsia="Times New Roman"/>
          <w:bCs/>
          <w:szCs w:val="24"/>
          <w:lang w:val="en-GB"/>
        </w:rPr>
        <w:t>organisational performance of Faith-Based Hospitals</w:t>
      </w:r>
      <w:r w:rsidRPr="00EB11D3">
        <w:rPr>
          <w:rFonts w:eastAsia="Times New Roman"/>
          <w:bCs/>
          <w:szCs w:val="24"/>
          <w:lang w:val="en-GB"/>
        </w:rPr>
        <w:t xml:space="preserve"> in Kenya.</w:t>
      </w:r>
      <w:r w:rsidRPr="00EB11D3">
        <w:rPr>
          <w:rFonts w:eastAsia="Times New Roman"/>
          <w:szCs w:val="24"/>
        </w:rPr>
        <w:t xml:space="preserve"> </w:t>
      </w:r>
      <w:r w:rsidRPr="00EB11D3">
        <w:rPr>
          <w:rFonts w:eastAsia="Times New Roman"/>
          <w:bCs/>
          <w:szCs w:val="24"/>
        </w:rPr>
        <w:t>Service innovation has become a vital tactic for businesses in all sectors to stand out from the competition, draw in and keep consumers, and maintain a competitive edge in today's fast-paced, customer-focused business climate. By concentrating on innovation in service offerings, businesses can increase market share and generate new revenue streams in addition to satisfying the evolving needs of consumers. Using technological breakthroughs to create digital solutions that improve customer satisfaction and expedite service delivery is one facet of service innovation. For instance, businesses can enhance operational efficiency, personalize services, and provide customers with seamless omni-channel experiences by integrating automation, artificial intelligence, and data analytics technology.</w:t>
      </w:r>
      <w:r w:rsidRPr="00EB11D3">
        <w:rPr>
          <w:rFonts w:eastAsia="Times New Roman"/>
          <w:szCs w:val="24"/>
        </w:rPr>
        <w:t xml:space="preserve"> </w:t>
      </w:r>
    </w:p>
    <w:p w14:paraId="1ECF7D96" w14:textId="77777777" w:rsidR="00200C33" w:rsidRPr="00EB11D3" w:rsidRDefault="007557D9" w:rsidP="00200C33">
      <w:pPr>
        <w:shd w:val="clear" w:color="auto" w:fill="FFFFFF"/>
        <w:spacing w:before="240" w:after="0" w:line="360" w:lineRule="auto"/>
        <w:rPr>
          <w:rFonts w:eastAsia="Times New Roman"/>
          <w:szCs w:val="24"/>
        </w:rPr>
      </w:pPr>
      <w:r>
        <w:rPr>
          <w:rFonts w:eastAsia="Times New Roman"/>
          <w:szCs w:val="24"/>
        </w:rPr>
        <w:t xml:space="preserve">The study results </w:t>
      </w:r>
      <w:r w:rsidR="008B2EE1">
        <w:rPr>
          <w:rFonts w:eastAsia="Times New Roman"/>
          <w:szCs w:val="24"/>
        </w:rPr>
        <w:t>are</w:t>
      </w:r>
      <w:r>
        <w:rPr>
          <w:rFonts w:eastAsia="Times New Roman"/>
          <w:szCs w:val="24"/>
        </w:rPr>
        <w:t xml:space="preserve"> buttressed by </w:t>
      </w:r>
      <w:r w:rsidRPr="00EB11D3">
        <w:rPr>
          <w:rFonts w:eastAsia="Times New Roman"/>
          <w:szCs w:val="24"/>
        </w:rPr>
        <w:t xml:space="preserve">Khan </w:t>
      </w:r>
      <w:r>
        <w:rPr>
          <w:rFonts w:eastAsia="Times New Roman"/>
          <w:szCs w:val="24"/>
        </w:rPr>
        <w:t xml:space="preserve">and </w:t>
      </w:r>
      <w:r w:rsidRPr="00EB11D3">
        <w:rPr>
          <w:rFonts w:eastAsia="Times New Roman"/>
          <w:szCs w:val="24"/>
        </w:rPr>
        <w:t>Naeem</w:t>
      </w:r>
      <w:r>
        <w:rPr>
          <w:rFonts w:eastAsia="Times New Roman"/>
          <w:szCs w:val="24"/>
        </w:rPr>
        <w:t xml:space="preserve"> (</w:t>
      </w:r>
      <w:r w:rsidRPr="00EB11D3">
        <w:rPr>
          <w:rFonts w:eastAsia="Times New Roman"/>
          <w:szCs w:val="24"/>
        </w:rPr>
        <w:t>2018</w:t>
      </w:r>
      <w:r>
        <w:rPr>
          <w:rFonts w:eastAsia="Times New Roman"/>
          <w:szCs w:val="24"/>
        </w:rPr>
        <w:t xml:space="preserve">) </w:t>
      </w:r>
      <w:r w:rsidR="008B2EE1">
        <w:rPr>
          <w:rFonts w:eastAsia="Times New Roman"/>
          <w:szCs w:val="24"/>
        </w:rPr>
        <w:t>who</w:t>
      </w:r>
      <w:r>
        <w:rPr>
          <w:rFonts w:eastAsia="Times New Roman"/>
          <w:szCs w:val="24"/>
        </w:rPr>
        <w:t xml:space="preserve"> observe that, to</w:t>
      </w:r>
      <w:r w:rsidR="003859C9" w:rsidRPr="00EB11D3">
        <w:rPr>
          <w:rFonts w:eastAsia="Times New Roman"/>
          <w:szCs w:val="24"/>
        </w:rPr>
        <w:t xml:space="preserve"> boost client happiness, service innovations frequently strive to match or surpass their expectations. Customer loyalty and market share are increased when satisfied customers are more inclined to use the service again and refer it to others. By personalizing the client experience, innovative services can improve the efficiency, convenience, and enjoyment of encounters. Businesses that successfully innovate in their services can set themselves apart from rivals. This uniqueness, which makes the company stand out in the marketplace, can take the form of distinctive features, greater quality, or innovative distribution methods. Market share and revenue are frequently enhanced by a competitive advantage. Enhancing operational procedures can also be the subject of service innovation. Introducing new technology or procedures can improve productivity, cut expenses, and streamline processes. Operational efficiency can be greatly increased by, for instance, implementing digital technologies for customer relationship management or using data analytics for service personalization. </w:t>
      </w:r>
    </w:p>
    <w:p w14:paraId="19119912" w14:textId="77777777" w:rsidR="00200C33" w:rsidRPr="00EB11D3" w:rsidRDefault="008B2EE1" w:rsidP="00200C33">
      <w:pPr>
        <w:shd w:val="clear" w:color="auto" w:fill="FFFFFF"/>
        <w:spacing w:before="240" w:after="0" w:line="360" w:lineRule="auto"/>
        <w:rPr>
          <w:rFonts w:eastAsia="Times New Roman"/>
          <w:szCs w:val="24"/>
        </w:rPr>
      </w:pPr>
      <w:r w:rsidRPr="00EB11D3">
        <w:rPr>
          <w:rFonts w:eastAsia="Times New Roman"/>
          <w:szCs w:val="24"/>
        </w:rPr>
        <w:t xml:space="preserve">Bustinza, et al. </w:t>
      </w:r>
      <w:r>
        <w:rPr>
          <w:rFonts w:eastAsia="Times New Roman"/>
          <w:szCs w:val="24"/>
        </w:rPr>
        <w:t>(</w:t>
      </w:r>
      <w:r w:rsidRPr="00EB11D3">
        <w:rPr>
          <w:rFonts w:eastAsia="Times New Roman"/>
          <w:szCs w:val="24"/>
        </w:rPr>
        <w:t>2018)</w:t>
      </w:r>
      <w:r>
        <w:rPr>
          <w:rFonts w:eastAsia="Times New Roman"/>
          <w:szCs w:val="24"/>
        </w:rPr>
        <w:t xml:space="preserve"> study findings agree with the findings of the current study which observes that o</w:t>
      </w:r>
      <w:r w:rsidR="003859C9" w:rsidRPr="00EB11D3">
        <w:rPr>
          <w:rFonts w:eastAsia="Times New Roman"/>
          <w:szCs w:val="24"/>
        </w:rPr>
        <w:t>rganizations can reach new clientele or markets by launching new services or enhancing current ones. This growth may result in more sources of income. Innovation can also create chances for service diversity, which lowers reliance on a particular service line and lowers risk. An organizational culture of adaptation and continual development is fostered via service innovation. Proactive innovators are in a better position to react to shifts in the market, consumer tastes, and technology developments. Resilience is essential to long-term success and sustainability. An organization can attract more prospective and present employees by embracing innovation. Talented people searching for exciting work environments are likely to be drawn to a culture that promotes experimentation, innovation, and learning. Furthermore, workers who participate in creative projects frequently express greater levels of engagement and job happiness. A company's standing as a pioneer in its industry can be improved by implementing innovative services successfully. Gaining recognition for innovation has the potential to improve a brand's reputation, draw in investors, and generate favorable press coverage</w:t>
      </w:r>
      <w:r>
        <w:rPr>
          <w:rFonts w:eastAsia="Times New Roman"/>
          <w:szCs w:val="24"/>
        </w:rPr>
        <w:t>.</w:t>
      </w:r>
      <w:r w:rsidR="003859C9" w:rsidRPr="00EB11D3">
        <w:rPr>
          <w:rFonts w:eastAsia="Times New Roman"/>
          <w:szCs w:val="24"/>
        </w:rPr>
        <w:t xml:space="preserve"> </w:t>
      </w:r>
    </w:p>
    <w:p w14:paraId="5329F625" w14:textId="77777777" w:rsidR="00E0675F" w:rsidRPr="00EB11D3" w:rsidRDefault="003859C9" w:rsidP="00E0675F">
      <w:pPr>
        <w:shd w:val="clear" w:color="auto" w:fill="FFFFFF"/>
        <w:spacing w:before="240" w:after="0" w:line="360" w:lineRule="auto"/>
        <w:rPr>
          <w:rFonts w:eastAsia="Times New Roman"/>
          <w:bCs/>
          <w:szCs w:val="24"/>
        </w:rPr>
      </w:pPr>
      <w:r w:rsidRPr="00EB11D3">
        <w:rPr>
          <w:rFonts w:eastAsia="Times New Roman"/>
          <w:szCs w:val="24"/>
        </w:rPr>
        <w:t xml:space="preserve">Hameed, Nisar, and Wu (2021) </w:t>
      </w:r>
      <w:r w:rsidR="00121011">
        <w:rPr>
          <w:rFonts w:eastAsia="Times New Roman"/>
          <w:szCs w:val="24"/>
        </w:rPr>
        <w:t xml:space="preserve">findings on </w:t>
      </w:r>
      <w:r w:rsidRPr="00EB11D3">
        <w:rPr>
          <w:rFonts w:eastAsia="Times New Roman"/>
          <w:szCs w:val="24"/>
        </w:rPr>
        <w:t>the connections between external knowledge, internal innovation, businesses' open innovation performance, service innovation, and business performance</w:t>
      </w:r>
      <w:r w:rsidR="00BE6A2D">
        <w:rPr>
          <w:rFonts w:eastAsia="Times New Roman"/>
          <w:szCs w:val="24"/>
        </w:rPr>
        <w:t xml:space="preserve"> are reiterated in the current study</w:t>
      </w:r>
      <w:r w:rsidRPr="00EB11D3">
        <w:rPr>
          <w:rFonts w:eastAsia="Times New Roman"/>
          <w:szCs w:val="24"/>
        </w:rPr>
        <w:t xml:space="preserve">. The results demonstrate that business performance and service innovation are positively impacted by a firm's open innovation performance. Additionally, they demonstrate how organizations' open innovation performance is positively impacted by both internal and external innovation, which in turn leads to business performance and service innovation. </w:t>
      </w:r>
      <w:r w:rsidRPr="00EB11D3">
        <w:rPr>
          <w:rFonts w:eastAsia="Times New Roman"/>
          <w:bCs/>
          <w:szCs w:val="24"/>
        </w:rPr>
        <w:t xml:space="preserve">Furthermore, innovative methods to service design, delivery, and customer interaction are all included in the category of service innovation, which goes beyond technical breakthroughs. This could entail developing new service delivery models in collaboration with clients, integrating sustainability and social responsibility ideas into service offerings, and co-creating with them. The significance of service innovation in boosting organizational performance and competitiveness has been highlighted by recent studies. </w:t>
      </w:r>
    </w:p>
    <w:p w14:paraId="0BD4C289" w14:textId="77777777" w:rsidR="00B77B28" w:rsidRPr="00EB11D3" w:rsidRDefault="00CD5AF8" w:rsidP="00E0675F">
      <w:pPr>
        <w:shd w:val="clear" w:color="auto" w:fill="FFFFFF"/>
        <w:spacing w:before="240" w:after="0" w:line="360" w:lineRule="auto"/>
        <w:rPr>
          <w:rFonts w:eastAsia="Times New Roman"/>
          <w:bCs/>
          <w:szCs w:val="24"/>
        </w:rPr>
      </w:pPr>
      <w:bookmarkStart w:id="1006" w:name="_Hlk170921886"/>
      <w:r w:rsidRPr="00EB11D3">
        <w:rPr>
          <w:rFonts w:eastAsia="Times New Roman"/>
          <w:bCs/>
          <w:szCs w:val="24"/>
        </w:rPr>
        <w:t>The outcomes also mirror the findings of Xie, Wang, and García (2021), which demonstrated that higher customer engagement levels significantly improve service innovation performance. The results of the study also revealed that relationship learning modulates the link between. Furthermore, it has been noted that greater knowledge absorptive capacity both considerably increases the impact of customer involvement in service innovation on relationship learning and increases the indirect effects of customer involvement in service innovation on service innovation performance through relationship learning.</w:t>
      </w:r>
      <w:r w:rsidR="008D09FB" w:rsidRPr="00EB11D3">
        <w:rPr>
          <w:rFonts w:eastAsia="Times New Roman"/>
          <w:bCs/>
          <w:szCs w:val="24"/>
        </w:rPr>
        <w:t xml:space="preserve"> </w:t>
      </w:r>
      <w:bookmarkEnd w:id="1006"/>
      <w:r w:rsidR="008D09FB" w:rsidRPr="00EB11D3">
        <w:rPr>
          <w:rFonts w:eastAsia="Times New Roman"/>
          <w:bCs/>
          <w:szCs w:val="24"/>
        </w:rPr>
        <w:t xml:space="preserve">In order for businesses to succeed in the face of fiercely competitive business environments, service innovation drives them to create goods, technologies, and services that cater to consumer preferences (Heirati </w:t>
      </w:r>
      <w:r w:rsidR="00722AAB" w:rsidRPr="00EB11D3">
        <w:rPr>
          <w:rFonts w:eastAsia="Times New Roman"/>
          <w:bCs/>
          <w:szCs w:val="24"/>
        </w:rPr>
        <w:t>&amp;</w:t>
      </w:r>
      <w:r w:rsidR="008D09FB" w:rsidRPr="00EB11D3">
        <w:rPr>
          <w:rFonts w:eastAsia="Times New Roman"/>
          <w:bCs/>
          <w:szCs w:val="24"/>
        </w:rPr>
        <w:t xml:space="preserve"> Siahtiri, 2019</w:t>
      </w:r>
      <w:r w:rsidR="00722AAB" w:rsidRPr="00EB11D3">
        <w:rPr>
          <w:rFonts w:eastAsia="Times New Roman"/>
          <w:bCs/>
          <w:szCs w:val="24"/>
        </w:rPr>
        <w:t>; Casidy et al., 2020;</w:t>
      </w:r>
      <w:r w:rsidR="008D09FB" w:rsidRPr="00EB11D3">
        <w:rPr>
          <w:rFonts w:eastAsia="Times New Roman"/>
          <w:bCs/>
          <w:szCs w:val="24"/>
        </w:rPr>
        <w:t xml:space="preserve"> Ndubisi et al., 2020). Many businesses strive to connect their resources and operations with other value-creating entities, such as clients, in order to enhance the efficacy of service innovation (Anning-Dorson et al., 2018, Iden et al., 2020).</w:t>
      </w:r>
    </w:p>
    <w:p w14:paraId="7C37B41E" w14:textId="77777777" w:rsidR="00CE3D3E" w:rsidRPr="00EB11D3" w:rsidRDefault="00CE3D3E" w:rsidP="005C3867">
      <w:pPr>
        <w:spacing w:after="0" w:line="360" w:lineRule="auto"/>
        <w:rPr>
          <w:rFonts w:eastAsia="Times New Roman"/>
          <w:bCs/>
          <w:szCs w:val="24"/>
        </w:rPr>
      </w:pPr>
    </w:p>
    <w:p w14:paraId="0005E581" w14:textId="77777777" w:rsidR="003859C9" w:rsidRPr="00EB11D3" w:rsidRDefault="00E0675F" w:rsidP="007A1295">
      <w:pPr>
        <w:spacing w:after="0" w:line="360" w:lineRule="auto"/>
        <w:rPr>
          <w:rFonts w:eastAsia="Times New Roman"/>
          <w:bCs/>
          <w:szCs w:val="24"/>
        </w:rPr>
      </w:pPr>
      <w:r w:rsidRPr="00EB11D3">
        <w:rPr>
          <w:rFonts w:eastAsia="Times New Roman"/>
          <w:bCs/>
          <w:szCs w:val="24"/>
        </w:rPr>
        <w:t>The study findings are supported by Khan, Ahmad, Abdul Halim</w:t>
      </w:r>
      <w:r w:rsidR="0079268B" w:rsidRPr="00EB11D3">
        <w:rPr>
          <w:rFonts w:eastAsia="Times New Roman"/>
          <w:bCs/>
          <w:szCs w:val="24"/>
        </w:rPr>
        <w:t xml:space="preserve"> and</w:t>
      </w:r>
      <w:r w:rsidRPr="00EB11D3">
        <w:rPr>
          <w:rFonts w:eastAsia="Times New Roman"/>
          <w:bCs/>
          <w:szCs w:val="24"/>
        </w:rPr>
        <w:t xml:space="preserve"> Ahmad</w:t>
      </w:r>
      <w:r w:rsidR="0079268B" w:rsidRPr="00EB11D3">
        <w:rPr>
          <w:rFonts w:eastAsia="Times New Roman"/>
          <w:bCs/>
          <w:szCs w:val="24"/>
        </w:rPr>
        <w:t xml:space="preserve"> </w:t>
      </w:r>
      <w:r w:rsidR="003859C9" w:rsidRPr="00EB11D3">
        <w:rPr>
          <w:rFonts w:eastAsia="Times New Roman"/>
          <w:bCs/>
          <w:szCs w:val="24"/>
        </w:rPr>
        <w:t>(2022) study</w:t>
      </w:r>
      <w:r w:rsidRPr="00EB11D3">
        <w:rPr>
          <w:rFonts w:eastAsia="Times New Roman"/>
          <w:bCs/>
          <w:szCs w:val="24"/>
        </w:rPr>
        <w:t xml:space="preserve"> which</w:t>
      </w:r>
      <w:r w:rsidR="007A1295" w:rsidRPr="00EB11D3">
        <w:rPr>
          <w:rFonts w:eastAsia="Times New Roman"/>
          <w:bCs/>
          <w:szCs w:val="24"/>
        </w:rPr>
        <w:t xml:space="preserve"> </w:t>
      </w:r>
      <w:r w:rsidRPr="00EB11D3">
        <w:rPr>
          <w:rFonts w:eastAsia="Times New Roman"/>
          <w:bCs/>
          <w:szCs w:val="24"/>
        </w:rPr>
        <w:t xml:space="preserve">indicated </w:t>
      </w:r>
      <w:r w:rsidR="005C3867" w:rsidRPr="00EB11D3">
        <w:rPr>
          <w:rFonts w:eastAsia="Times New Roman"/>
          <w:szCs w:val="24"/>
        </w:rPr>
        <w:t>who suggested that open innovation has a mediating role in the link between</w:t>
      </w:r>
      <w:r w:rsidR="007A1295" w:rsidRPr="00EB11D3">
        <w:rPr>
          <w:rFonts w:eastAsia="Times New Roman"/>
          <w:szCs w:val="24"/>
        </w:rPr>
        <w:t xml:space="preserve"> </w:t>
      </w:r>
      <w:r w:rsidR="005C3867" w:rsidRPr="00EB11D3">
        <w:rPr>
          <w:rFonts w:eastAsia="Times New Roman"/>
          <w:bCs/>
          <w:szCs w:val="24"/>
        </w:rPr>
        <w:t xml:space="preserve">innovation performance and service innovation </w:t>
      </w:r>
      <w:r w:rsidR="007A1295" w:rsidRPr="00EB11D3">
        <w:rPr>
          <w:rFonts w:eastAsia="Times New Roman"/>
          <w:bCs/>
          <w:szCs w:val="24"/>
        </w:rPr>
        <w:t>orientation.</w:t>
      </w:r>
      <w:r w:rsidR="00B82737">
        <w:rPr>
          <w:rFonts w:eastAsia="Times New Roman"/>
          <w:bCs/>
          <w:szCs w:val="24"/>
        </w:rPr>
        <w:t xml:space="preserve"> </w:t>
      </w:r>
      <w:r w:rsidR="007A1295" w:rsidRPr="00EB11D3">
        <w:rPr>
          <w:rFonts w:eastAsia="Times New Roman"/>
          <w:bCs/>
          <w:szCs w:val="24"/>
        </w:rPr>
        <w:t>The</w:t>
      </w:r>
      <w:r w:rsidR="003859C9" w:rsidRPr="00EB11D3">
        <w:rPr>
          <w:rFonts w:eastAsia="Times New Roman"/>
          <w:bCs/>
          <w:szCs w:val="24"/>
        </w:rPr>
        <w:t xml:space="preserve"> results demonstrate</w:t>
      </w:r>
      <w:r w:rsidR="005C3867" w:rsidRPr="00EB11D3">
        <w:rPr>
          <w:rFonts w:eastAsia="Times New Roman"/>
          <w:bCs/>
          <w:szCs w:val="24"/>
        </w:rPr>
        <w:t>d</w:t>
      </w:r>
      <w:r w:rsidR="00B82737">
        <w:rPr>
          <w:rFonts w:eastAsia="Times New Roman"/>
          <w:bCs/>
          <w:szCs w:val="24"/>
        </w:rPr>
        <w:t xml:space="preserve"> </w:t>
      </w:r>
      <w:r w:rsidR="005C3867" w:rsidRPr="00EB11D3">
        <w:rPr>
          <w:rFonts w:eastAsia="Times New Roman"/>
          <w:bCs/>
          <w:szCs w:val="24"/>
        </w:rPr>
        <w:t>innovation performance of an organization was influenced by open innovation</w:t>
      </w:r>
      <w:r w:rsidR="003859C9" w:rsidRPr="00EB11D3">
        <w:rPr>
          <w:rFonts w:eastAsia="Times New Roman"/>
          <w:bCs/>
          <w:szCs w:val="24"/>
        </w:rPr>
        <w:t>.</w:t>
      </w:r>
      <w:r w:rsidR="007A1295" w:rsidRPr="00EB11D3">
        <w:rPr>
          <w:rFonts w:eastAsia="Times New Roman"/>
          <w:bCs/>
          <w:szCs w:val="24"/>
        </w:rPr>
        <w:t xml:space="preserve"> </w:t>
      </w:r>
      <w:r w:rsidR="003859C9" w:rsidRPr="00EB11D3">
        <w:rPr>
          <w:rFonts w:eastAsia="Times New Roman"/>
          <w:bCs/>
          <w:szCs w:val="24"/>
        </w:rPr>
        <w:t xml:space="preserve">The findings are consistent with </w:t>
      </w:r>
      <w:r w:rsidR="00A2132C" w:rsidRPr="00EB11D3">
        <w:rPr>
          <w:rFonts w:eastAsia="Times New Roman"/>
          <w:bCs/>
          <w:szCs w:val="24"/>
        </w:rPr>
        <w:t>Blommerde (2022</w:t>
      </w:r>
      <w:r w:rsidR="003859C9" w:rsidRPr="00EB11D3">
        <w:rPr>
          <w:rFonts w:eastAsia="Times New Roman"/>
          <w:bCs/>
          <w:szCs w:val="24"/>
        </w:rPr>
        <w:t xml:space="preserve">) who studied the relationship between </w:t>
      </w:r>
      <w:r w:rsidR="00A2132C" w:rsidRPr="00EB11D3">
        <w:rPr>
          <w:rFonts w:eastAsia="Times New Roman"/>
          <w:bCs/>
          <w:szCs w:val="24"/>
        </w:rPr>
        <w:t>Service innovation and performance in micro, small, and medium-sized enterprises (MSMEs)</w:t>
      </w:r>
      <w:r w:rsidR="003859C9" w:rsidRPr="00EB11D3">
        <w:rPr>
          <w:rFonts w:eastAsia="Times New Roman"/>
          <w:bCs/>
          <w:szCs w:val="24"/>
        </w:rPr>
        <w:t xml:space="preserve">. </w:t>
      </w:r>
      <w:r w:rsidR="00E10BA7" w:rsidRPr="00EB11D3">
        <w:rPr>
          <w:rFonts w:eastAsia="Times New Roman"/>
          <w:bCs/>
          <w:szCs w:val="24"/>
        </w:rPr>
        <w:t xml:space="preserve">The study result indicates a positive correlation between service innovation and performance. The findings also demonstrate that the </w:t>
      </w:r>
      <w:r w:rsidR="00B82737">
        <w:rPr>
          <w:rFonts w:eastAsia="Times New Roman"/>
          <w:bCs/>
          <w:szCs w:val="24"/>
        </w:rPr>
        <w:t>s</w:t>
      </w:r>
      <w:r w:rsidR="00E10BA7" w:rsidRPr="00EB11D3">
        <w:rPr>
          <w:rFonts w:eastAsia="Times New Roman"/>
          <w:bCs/>
          <w:szCs w:val="24"/>
        </w:rPr>
        <w:t xml:space="preserve">ervice innovation-performance relationship's magnitude is not significantly different for MSMEs of varying sizes. No discernible differences were found between any of the groups, despite the expectation that this association would be stronger for larger organisations with more resources than their smaller competitors. </w:t>
      </w:r>
      <w:r w:rsidR="007A1295" w:rsidRPr="00EB11D3">
        <w:rPr>
          <w:rFonts w:eastAsia="Times New Roman"/>
          <w:bCs/>
          <w:szCs w:val="24"/>
        </w:rPr>
        <w:t>The study's findings provide empirical evidence of the degree to which service innovation initiatives genuinely impact MSMEs of all sizes' overall performance, which helps guide judgements on the creation or application of innovative competitive strategies.</w:t>
      </w:r>
    </w:p>
    <w:p w14:paraId="7D422A0D" w14:textId="77777777" w:rsidR="004D57B3" w:rsidRPr="00EB11D3" w:rsidRDefault="004D57B3" w:rsidP="007A1295">
      <w:pPr>
        <w:spacing w:after="0" w:line="360" w:lineRule="auto"/>
        <w:rPr>
          <w:rFonts w:eastAsia="Times New Roman"/>
          <w:bCs/>
          <w:szCs w:val="24"/>
        </w:rPr>
      </w:pPr>
    </w:p>
    <w:p w14:paraId="6E542AA9" w14:textId="77777777" w:rsidR="004D57B3" w:rsidRPr="00EB11D3" w:rsidRDefault="004D57B3" w:rsidP="007A1295">
      <w:pPr>
        <w:spacing w:after="0" w:line="360" w:lineRule="auto"/>
        <w:rPr>
          <w:rFonts w:eastAsia="Times New Roman"/>
          <w:bCs/>
          <w:szCs w:val="24"/>
        </w:rPr>
      </w:pPr>
      <w:r w:rsidRPr="00EB11D3">
        <w:rPr>
          <w:rFonts w:eastAsia="Times New Roman"/>
          <w:bCs/>
          <w:szCs w:val="24"/>
        </w:rPr>
        <w:t>This study’s results are in line with that by Bhat and Sharma (2022) that aligned the role of technological innovation in the hospitality industry by examining the link between service innovation and firm performance.  All constructs of the integrated model appear to be positively related, and the findings provide management guidance and implications for the hospitality sector.</w:t>
      </w:r>
      <w:r w:rsidR="0039205D" w:rsidRPr="00EB11D3">
        <w:t xml:space="preserve"> </w:t>
      </w:r>
      <w:r w:rsidR="0039205D" w:rsidRPr="00EB11D3">
        <w:rPr>
          <w:rFonts w:eastAsia="Times New Roman"/>
          <w:bCs/>
          <w:szCs w:val="24"/>
        </w:rPr>
        <w:t>It is clear how important co-creation is when developing services with clients in order to benefit the company through higher performance. One can attain more fruitful outcomes by concentrating on jointly constructing and innovating the offerings.</w:t>
      </w:r>
      <w:r w:rsidR="0039205D" w:rsidRPr="00EB11D3">
        <w:t xml:space="preserve"> </w:t>
      </w:r>
      <w:r w:rsidR="0039205D" w:rsidRPr="00EB11D3">
        <w:rPr>
          <w:rFonts w:eastAsia="Times New Roman"/>
          <w:bCs/>
          <w:szCs w:val="24"/>
        </w:rPr>
        <w:t>The study adds to the body of literature by demonstrating how the hospitality industry may benefit from technological innovation by taking into account the opinions of relevant stakeholders while designing and deploying new technology. According to the study, effectively incorporating customers in innovation activities can improve overall performance from the perspectives of organisational and technological innovation.</w:t>
      </w:r>
      <w:r w:rsidR="003A7C69" w:rsidRPr="00EB11D3">
        <w:rPr>
          <w:rFonts w:eastAsia="Times New Roman"/>
          <w:bCs/>
          <w:szCs w:val="24"/>
        </w:rPr>
        <w:t xml:space="preserve"> It is imperative for organisations to consistently implement new technologies in order to meet the diverse wants of their clientele and maintain a competitive edge over their competitors.</w:t>
      </w:r>
      <w:r w:rsidR="0062298B" w:rsidRPr="00EB11D3">
        <w:rPr>
          <w:rFonts w:eastAsia="Times New Roman"/>
          <w:bCs/>
          <w:szCs w:val="24"/>
        </w:rPr>
        <w:t xml:space="preserve"> Additionally, the findings imply that raising the proficiency of the service organization's involvement capability will improve the performance of the entire business and customer pleasure.</w:t>
      </w:r>
    </w:p>
    <w:p w14:paraId="2DF57946" w14:textId="77777777" w:rsidR="0039205D" w:rsidRPr="00EB11D3" w:rsidRDefault="0039205D" w:rsidP="007A1295">
      <w:pPr>
        <w:spacing w:after="0" w:line="360" w:lineRule="auto"/>
        <w:rPr>
          <w:rFonts w:eastAsia="Times New Roman"/>
          <w:bCs/>
          <w:szCs w:val="24"/>
        </w:rPr>
      </w:pPr>
    </w:p>
    <w:p w14:paraId="3D3A5137" w14:textId="77777777" w:rsidR="003859C9" w:rsidRPr="00EB11D3" w:rsidRDefault="00AD2C80" w:rsidP="003859C9">
      <w:pPr>
        <w:shd w:val="clear" w:color="auto" w:fill="FFFFFF"/>
        <w:spacing w:after="160" w:line="360" w:lineRule="auto"/>
        <w:rPr>
          <w:rFonts w:eastAsia="Times New Roman"/>
          <w:bCs/>
          <w:szCs w:val="24"/>
        </w:rPr>
      </w:pPr>
      <w:bookmarkStart w:id="1007" w:name="_Hlk170921794"/>
      <w:r w:rsidRPr="00EB11D3">
        <w:rPr>
          <w:rFonts w:eastAsia="Times New Roman"/>
          <w:bCs/>
          <w:szCs w:val="24"/>
        </w:rPr>
        <w:t>The study results are also consistent</w:t>
      </w:r>
      <w:r w:rsidR="003859C9" w:rsidRPr="00EB11D3">
        <w:rPr>
          <w:rFonts w:eastAsia="Times New Roman"/>
          <w:bCs/>
          <w:szCs w:val="24"/>
        </w:rPr>
        <w:t xml:space="preserve"> </w:t>
      </w:r>
      <w:r w:rsidRPr="00EB11D3">
        <w:rPr>
          <w:rFonts w:eastAsia="Times New Roman"/>
          <w:bCs/>
          <w:szCs w:val="24"/>
        </w:rPr>
        <w:t xml:space="preserve">with that </w:t>
      </w:r>
      <w:r w:rsidR="00952287">
        <w:rPr>
          <w:rFonts w:eastAsia="Times New Roman"/>
          <w:bCs/>
          <w:szCs w:val="24"/>
        </w:rPr>
        <w:t>of</w:t>
      </w:r>
      <w:r w:rsidRPr="00EB11D3">
        <w:rPr>
          <w:rFonts w:eastAsia="Times New Roman"/>
          <w:bCs/>
          <w:szCs w:val="24"/>
        </w:rPr>
        <w:t xml:space="preserve"> </w:t>
      </w:r>
      <w:r w:rsidR="003859C9" w:rsidRPr="00EB11D3">
        <w:rPr>
          <w:rFonts w:eastAsia="Times New Roman"/>
          <w:bCs/>
          <w:szCs w:val="24"/>
        </w:rPr>
        <w:t>Feng, Ma, and Jiang (2021)</w:t>
      </w:r>
      <w:r w:rsidR="00952287">
        <w:rPr>
          <w:rFonts w:eastAsia="Times New Roman"/>
          <w:bCs/>
          <w:szCs w:val="24"/>
        </w:rPr>
        <w:t xml:space="preserve"> who observe that</w:t>
      </w:r>
      <w:r w:rsidR="003859C9" w:rsidRPr="00EB11D3">
        <w:rPr>
          <w:rFonts w:eastAsia="Times New Roman"/>
          <w:bCs/>
          <w:szCs w:val="24"/>
        </w:rPr>
        <w:t xml:space="preserve"> service innovation significantly improves a company's performance. Furthermore, contextual moderators (firm type, innovation type, customer variables, and attitudes toward risk) and measurement moderators (economic area and performance measurement) have an impact on the link between service innovation and firm performance.</w:t>
      </w:r>
      <w:r w:rsidR="001E54D7" w:rsidRPr="00EB11D3">
        <w:rPr>
          <w:rFonts w:eastAsia="Times New Roman"/>
          <w:bCs/>
          <w:szCs w:val="24"/>
        </w:rPr>
        <w:t xml:space="preserve"> The meta-analysis's findings show that the kind of firm has a major impact on the association between service innovation and performance, with manufacturing firms seeing a greater contribution from service innovation in enhancing performance.</w:t>
      </w:r>
    </w:p>
    <w:bookmarkEnd w:id="1007"/>
    <w:p w14:paraId="014A7C35" w14:textId="77777777" w:rsidR="003859C9" w:rsidRPr="00EB11D3" w:rsidRDefault="00072F70" w:rsidP="003859C9">
      <w:pPr>
        <w:shd w:val="clear" w:color="auto" w:fill="FFFFFF"/>
        <w:spacing w:after="160" w:line="360" w:lineRule="auto"/>
        <w:rPr>
          <w:rFonts w:eastAsia="Times New Roman"/>
          <w:bCs/>
          <w:szCs w:val="24"/>
        </w:rPr>
      </w:pPr>
      <w:r w:rsidRPr="00EB11D3">
        <w:rPr>
          <w:rFonts w:eastAsia="Times New Roman"/>
          <w:bCs/>
          <w:szCs w:val="24"/>
        </w:rPr>
        <w:t xml:space="preserve">This study is agreement with that by </w:t>
      </w:r>
      <w:r w:rsidR="003859C9" w:rsidRPr="00EB11D3">
        <w:rPr>
          <w:rFonts w:eastAsia="Times New Roman"/>
          <w:bCs/>
          <w:szCs w:val="24"/>
        </w:rPr>
        <w:t>Gupta and Sehgal (20</w:t>
      </w:r>
      <w:r w:rsidR="005208EE" w:rsidRPr="00EB11D3">
        <w:rPr>
          <w:rFonts w:eastAsia="Times New Roman"/>
          <w:bCs/>
          <w:szCs w:val="24"/>
        </w:rPr>
        <w:t>20</w:t>
      </w:r>
      <w:r w:rsidR="003859C9" w:rsidRPr="00EB11D3">
        <w:rPr>
          <w:rFonts w:eastAsia="Times New Roman"/>
          <w:bCs/>
          <w:szCs w:val="24"/>
        </w:rPr>
        <w:t>)</w:t>
      </w:r>
      <w:r w:rsidRPr="00EB11D3">
        <w:rPr>
          <w:rFonts w:eastAsia="Times New Roman"/>
          <w:bCs/>
          <w:szCs w:val="24"/>
        </w:rPr>
        <w:t xml:space="preserve"> which argue that </w:t>
      </w:r>
      <w:r w:rsidR="003859C9" w:rsidRPr="00EB11D3">
        <w:rPr>
          <w:rFonts w:eastAsia="Times New Roman"/>
          <w:bCs/>
          <w:szCs w:val="24"/>
        </w:rPr>
        <w:t>the single factor that significantly and favorably influences both incremental and radical innovation is client orientation. Performance within an organization is also found to be closely correlated with service innovation. The results additionally indicated that service innovation has to act as a moderator in the connection between an organization's performance and its market orientation.</w:t>
      </w:r>
      <w:r w:rsidR="00F75EC8" w:rsidRPr="00EB11D3">
        <w:rPr>
          <w:rFonts w:eastAsia="Times New Roman"/>
          <w:bCs/>
          <w:szCs w:val="24"/>
        </w:rPr>
        <w:t xml:space="preserve"> The study further reiterates that </w:t>
      </w:r>
      <w:r w:rsidR="00A36740" w:rsidRPr="00EB11D3">
        <w:rPr>
          <w:rFonts w:eastAsia="Times New Roman"/>
          <w:bCs/>
          <w:szCs w:val="24"/>
        </w:rPr>
        <w:t>service innovations</w:t>
      </w:r>
      <w:r w:rsidR="00F75EC8" w:rsidRPr="00EB11D3">
        <w:rPr>
          <w:rFonts w:eastAsia="Times New Roman"/>
          <w:bCs/>
          <w:szCs w:val="24"/>
        </w:rPr>
        <w:t xml:space="preserve"> may end up being a significant and appealing strategic choice for many healthcare service providers as a result of the quick advancements in technology, rising patient expectations, and heightened competition (particularly in the private healthcare sector). Healthcare organisations must adopt a proactive, customer-oriented strategy to generate value through </w:t>
      </w:r>
      <w:r w:rsidR="00A36740" w:rsidRPr="00EB11D3">
        <w:rPr>
          <w:rFonts w:eastAsia="Times New Roman"/>
          <w:bCs/>
          <w:szCs w:val="24"/>
        </w:rPr>
        <w:t>service innovation</w:t>
      </w:r>
      <w:r w:rsidR="00F75EC8" w:rsidRPr="00EB11D3">
        <w:rPr>
          <w:rFonts w:eastAsia="Times New Roman"/>
          <w:bCs/>
          <w:szCs w:val="24"/>
        </w:rPr>
        <w:t>s that can be incremental or radical in order to acquire a competitive edge and better meet the latent demands of their consumers.</w:t>
      </w:r>
    </w:p>
    <w:p w14:paraId="218BACD6" w14:textId="77777777" w:rsidR="003859C9" w:rsidRPr="00EB11D3" w:rsidRDefault="003859C9" w:rsidP="001A1540">
      <w:pPr>
        <w:shd w:val="clear" w:color="auto" w:fill="FFFFFF"/>
        <w:spacing w:after="160" w:line="360" w:lineRule="auto"/>
        <w:rPr>
          <w:rFonts w:eastAsia="Times New Roman"/>
          <w:bCs/>
          <w:szCs w:val="24"/>
        </w:rPr>
      </w:pPr>
      <w:r w:rsidRPr="00EB11D3">
        <w:rPr>
          <w:rFonts w:eastAsia="Times New Roman"/>
          <w:bCs/>
          <w:szCs w:val="24"/>
        </w:rPr>
        <w:t xml:space="preserve">The </w:t>
      </w:r>
      <w:r w:rsidR="004C710A" w:rsidRPr="00EB11D3">
        <w:rPr>
          <w:rFonts w:eastAsia="Times New Roman"/>
          <w:bCs/>
          <w:szCs w:val="24"/>
        </w:rPr>
        <w:t>study results</w:t>
      </w:r>
      <w:r w:rsidR="0015344A" w:rsidRPr="00EB11D3">
        <w:rPr>
          <w:rFonts w:eastAsia="Times New Roman"/>
          <w:bCs/>
          <w:szCs w:val="24"/>
        </w:rPr>
        <w:t xml:space="preserve"> agree with that by</w:t>
      </w:r>
      <w:r w:rsidRPr="00EB11D3">
        <w:rPr>
          <w:rFonts w:eastAsia="Times New Roman"/>
          <w:bCs/>
          <w:szCs w:val="24"/>
        </w:rPr>
        <w:t xml:space="preserve"> Ibrahim, Yusheng, and Adam, (2022) </w:t>
      </w:r>
      <w:r w:rsidR="0015344A" w:rsidRPr="00EB11D3">
        <w:rPr>
          <w:rFonts w:eastAsia="Times New Roman"/>
          <w:bCs/>
          <w:szCs w:val="24"/>
        </w:rPr>
        <w:t xml:space="preserve">which </w:t>
      </w:r>
      <w:r w:rsidRPr="00EB11D3">
        <w:rPr>
          <w:rFonts w:eastAsia="Times New Roman"/>
          <w:bCs/>
          <w:szCs w:val="24"/>
        </w:rPr>
        <w:t xml:space="preserve">showed a strong and favorable correlation between organizational success and service innovation. The study also showed that productivity and job satisfaction among employees had a beneficial impact on the performance of the organization. The study also showed that the relationship between service innovation and organizational performance may be mediated by job satisfaction and staff productivity. </w:t>
      </w:r>
    </w:p>
    <w:p w14:paraId="06724E56" w14:textId="77777777" w:rsidR="000C0E7D" w:rsidRPr="00EB11D3" w:rsidRDefault="000C0E7D" w:rsidP="000C0E7D">
      <w:pPr>
        <w:shd w:val="clear" w:color="auto" w:fill="FFFFFF"/>
        <w:spacing w:after="160" w:line="360" w:lineRule="auto"/>
        <w:rPr>
          <w:rFonts w:eastAsia="Times New Roman"/>
          <w:bCs/>
          <w:szCs w:val="24"/>
        </w:rPr>
      </w:pPr>
      <w:bookmarkStart w:id="1008" w:name="_Toc117772225"/>
      <w:bookmarkStart w:id="1009" w:name="_Toc117773085"/>
      <w:bookmarkStart w:id="1010" w:name="_Toc124240264"/>
      <w:bookmarkStart w:id="1011" w:name="_Toc126071156"/>
      <w:bookmarkStart w:id="1012" w:name="_Toc164151278"/>
      <w:bookmarkStart w:id="1013" w:name="_Toc168673470"/>
      <w:bookmarkStart w:id="1014" w:name="_Toc168737911"/>
      <w:r>
        <w:rPr>
          <w:rFonts w:eastAsia="Times New Roman"/>
          <w:bCs/>
          <w:szCs w:val="24"/>
        </w:rPr>
        <w:t xml:space="preserve">The study findings further concur with that of </w:t>
      </w:r>
      <w:r w:rsidRPr="00EB11D3">
        <w:rPr>
          <w:rFonts w:eastAsia="Times New Roman"/>
          <w:bCs/>
          <w:szCs w:val="24"/>
        </w:rPr>
        <w:t xml:space="preserve">Kneip, Rasch </w:t>
      </w:r>
      <w:r>
        <w:rPr>
          <w:rFonts w:eastAsia="Times New Roman"/>
          <w:bCs/>
          <w:szCs w:val="24"/>
        </w:rPr>
        <w:t>and</w:t>
      </w:r>
      <w:r w:rsidRPr="00EB11D3">
        <w:rPr>
          <w:rFonts w:eastAsia="Times New Roman"/>
          <w:bCs/>
          <w:szCs w:val="24"/>
        </w:rPr>
        <w:t xml:space="preserve"> Bauer</w:t>
      </w:r>
      <w:r>
        <w:rPr>
          <w:rFonts w:eastAsia="Times New Roman"/>
          <w:bCs/>
          <w:szCs w:val="24"/>
        </w:rPr>
        <w:t xml:space="preserve"> (</w:t>
      </w:r>
      <w:r w:rsidRPr="00EB11D3">
        <w:rPr>
          <w:rFonts w:eastAsia="Times New Roman"/>
          <w:bCs/>
          <w:szCs w:val="24"/>
        </w:rPr>
        <w:t>2020</w:t>
      </w:r>
      <w:r>
        <w:rPr>
          <w:rFonts w:eastAsia="Times New Roman"/>
          <w:bCs/>
          <w:szCs w:val="24"/>
        </w:rPr>
        <w:t>) which revealed that</w:t>
      </w:r>
      <w:r w:rsidRPr="00EB11D3">
        <w:rPr>
          <w:rFonts w:eastAsia="Times New Roman"/>
          <w:bCs/>
          <w:szCs w:val="24"/>
        </w:rPr>
        <w:t xml:space="preserve"> </w:t>
      </w:r>
      <w:r>
        <w:rPr>
          <w:rFonts w:eastAsia="Times New Roman"/>
          <w:bCs/>
          <w:szCs w:val="24"/>
        </w:rPr>
        <w:t xml:space="preserve">the </w:t>
      </w:r>
      <w:r w:rsidRPr="00EB11D3">
        <w:rPr>
          <w:rFonts w:eastAsia="Times New Roman"/>
          <w:bCs/>
          <w:szCs w:val="24"/>
        </w:rPr>
        <w:t>environment for service innovation is also influenced by governmental laws. Businesses may be subject to particular regulatory frameworks governing product standards, licensing requirements, data privacy, intellectual property rights, and other factors relating to service providing, depending on the industry and the sort of services given. These rules have the potential to both encourage and impede innovation in the service industry. Regulations that safeguard intellectual property rights and encourage competition, for example, may encourage businesses to spend money on Research and Design (R&amp;D), which could result in the launch of new and enhanced services.  On the other hand, laws that are too onerous or antiquated can hinder innovation by increasing the cost of compliance and making it more difficult for businesses to adjust to shifting market conditions.</w:t>
      </w:r>
      <w:r w:rsidRPr="00EB11D3">
        <w:rPr>
          <w:rFonts w:eastAsia="Times New Roman"/>
          <w:szCs w:val="24"/>
        </w:rPr>
        <w:t xml:space="preserve"> </w:t>
      </w:r>
      <w:r w:rsidRPr="00EB11D3">
        <w:rPr>
          <w:rFonts w:eastAsia="Times New Roman"/>
          <w:bCs/>
          <w:szCs w:val="24"/>
        </w:rPr>
        <w:t>Furthermore, by influencing the business environment in which organizations operate, government laws have a direct effect on organizational performance. Taxation, labor laws, commerce, environmental protection, and health and safety regulations can all have a big impact on a business's cost structure, access to markets, and overall competitiveness. Many times, in order to comply with these requirements, businesses must commit resources and implement particular procedures, which may have an impact on their productivity, profitability, and long-term sustainability (Schilke &amp; Benner, 2020).</w:t>
      </w:r>
    </w:p>
    <w:p w14:paraId="6A33E7E2" w14:textId="77777777" w:rsidR="00CA1E78" w:rsidRDefault="000C0E7D" w:rsidP="00CA1E78">
      <w:pPr>
        <w:shd w:val="clear" w:color="auto" w:fill="FFFFFF"/>
        <w:spacing w:after="160" w:line="360" w:lineRule="auto"/>
        <w:rPr>
          <w:rFonts w:eastAsia="Times New Roman"/>
          <w:bCs/>
          <w:szCs w:val="24"/>
        </w:rPr>
      </w:pPr>
      <w:r>
        <w:rPr>
          <w:rFonts w:eastAsia="Times New Roman"/>
          <w:bCs/>
          <w:szCs w:val="24"/>
        </w:rPr>
        <w:t xml:space="preserve">The study results agree with that of </w:t>
      </w:r>
      <w:r w:rsidRPr="00EB11D3">
        <w:rPr>
          <w:rFonts w:eastAsia="Times New Roman"/>
          <w:bCs/>
          <w:szCs w:val="24"/>
        </w:rPr>
        <w:t>Gu, Li, Wang, Yang</w:t>
      </w:r>
      <w:r>
        <w:rPr>
          <w:rFonts w:eastAsia="Times New Roman"/>
          <w:bCs/>
          <w:szCs w:val="24"/>
        </w:rPr>
        <w:t xml:space="preserve"> and </w:t>
      </w:r>
      <w:r w:rsidRPr="00EB11D3">
        <w:rPr>
          <w:rFonts w:eastAsia="Times New Roman"/>
          <w:bCs/>
          <w:szCs w:val="24"/>
        </w:rPr>
        <w:t>Yu</w:t>
      </w:r>
      <w:r>
        <w:rPr>
          <w:rFonts w:eastAsia="Times New Roman"/>
          <w:bCs/>
          <w:szCs w:val="24"/>
        </w:rPr>
        <w:t xml:space="preserve"> (</w:t>
      </w:r>
      <w:r w:rsidRPr="00EB11D3">
        <w:rPr>
          <w:rFonts w:eastAsia="Times New Roman"/>
          <w:bCs/>
          <w:szCs w:val="24"/>
        </w:rPr>
        <w:t>2019</w:t>
      </w:r>
      <w:r>
        <w:rPr>
          <w:rFonts w:eastAsia="Times New Roman"/>
          <w:bCs/>
          <w:szCs w:val="24"/>
        </w:rPr>
        <w:t>) which indicated that s</w:t>
      </w:r>
      <w:r w:rsidRPr="00EB11D3">
        <w:rPr>
          <w:rFonts w:eastAsia="Times New Roman"/>
          <w:bCs/>
          <w:szCs w:val="24"/>
        </w:rPr>
        <w:t>tudies demonstrating the use of electronic health records (EHRs), telemedicine, and artificial intelligence in hospital management systems highlight the prominence of technological improvements in particular. In the end, these technologies promote better patient care by streamlining administrative procedures and supporting data-driven decision making</w:t>
      </w:r>
      <w:r>
        <w:rPr>
          <w:rFonts w:eastAsia="Times New Roman"/>
          <w:bCs/>
          <w:szCs w:val="24"/>
        </w:rPr>
        <w:t>.</w:t>
      </w:r>
      <w:r w:rsidRPr="00EB11D3">
        <w:rPr>
          <w:rFonts w:eastAsia="Times New Roman"/>
          <w:bCs/>
          <w:szCs w:val="24"/>
        </w:rPr>
        <w:t xml:space="preserve"> </w:t>
      </w:r>
      <w:r>
        <w:rPr>
          <w:rFonts w:eastAsia="Times New Roman"/>
          <w:bCs/>
          <w:szCs w:val="24"/>
        </w:rPr>
        <w:t xml:space="preserve">This was further supported by </w:t>
      </w:r>
      <w:r w:rsidRPr="00EB11D3">
        <w:rPr>
          <w:rFonts w:eastAsia="Times New Roman"/>
          <w:bCs/>
          <w:szCs w:val="24"/>
        </w:rPr>
        <w:t xml:space="preserve">Vyas </w:t>
      </w:r>
      <w:r>
        <w:rPr>
          <w:rFonts w:eastAsia="Times New Roman"/>
          <w:bCs/>
          <w:szCs w:val="24"/>
        </w:rPr>
        <w:t>and</w:t>
      </w:r>
      <w:r w:rsidRPr="00EB11D3">
        <w:rPr>
          <w:rFonts w:eastAsia="Times New Roman"/>
          <w:bCs/>
          <w:szCs w:val="24"/>
        </w:rPr>
        <w:t xml:space="preserve"> Bhargava</w:t>
      </w:r>
      <w:r>
        <w:rPr>
          <w:rFonts w:eastAsia="Times New Roman"/>
          <w:bCs/>
          <w:szCs w:val="24"/>
        </w:rPr>
        <w:t xml:space="preserve"> (</w:t>
      </w:r>
      <w:r w:rsidRPr="00EB11D3">
        <w:rPr>
          <w:rFonts w:eastAsia="Times New Roman"/>
          <w:bCs/>
          <w:szCs w:val="24"/>
        </w:rPr>
        <w:t>2021)</w:t>
      </w:r>
      <w:r>
        <w:rPr>
          <w:rFonts w:eastAsia="Times New Roman"/>
          <w:bCs/>
          <w:szCs w:val="24"/>
        </w:rPr>
        <w:t xml:space="preserve"> who observed </w:t>
      </w:r>
      <w:r w:rsidRPr="00EB11D3">
        <w:rPr>
          <w:rFonts w:eastAsia="Times New Roman"/>
          <w:bCs/>
          <w:szCs w:val="24"/>
        </w:rPr>
        <w:t xml:space="preserve">structural and organisational developments have become more well-known. Novel approaches to human resource management, such as team-based care models and leadership techniques that put employee engagement and satisfaction first, have been studied by hospital management academics. Srivastava </w:t>
      </w:r>
      <w:r>
        <w:rPr>
          <w:rFonts w:eastAsia="Times New Roman"/>
          <w:bCs/>
          <w:szCs w:val="24"/>
        </w:rPr>
        <w:t>and</w:t>
      </w:r>
      <w:r w:rsidRPr="00EB11D3">
        <w:rPr>
          <w:rFonts w:eastAsia="Times New Roman"/>
          <w:bCs/>
          <w:szCs w:val="24"/>
        </w:rPr>
        <w:t xml:space="preserve"> Prakash</w:t>
      </w:r>
      <w:r>
        <w:rPr>
          <w:rFonts w:eastAsia="Times New Roman"/>
          <w:bCs/>
          <w:szCs w:val="24"/>
        </w:rPr>
        <w:t xml:space="preserve"> (</w:t>
      </w:r>
      <w:r w:rsidRPr="00EB11D3">
        <w:rPr>
          <w:rFonts w:eastAsia="Times New Roman"/>
          <w:bCs/>
          <w:szCs w:val="24"/>
        </w:rPr>
        <w:t>2019</w:t>
      </w:r>
      <w:r>
        <w:rPr>
          <w:rFonts w:eastAsia="Times New Roman"/>
          <w:bCs/>
          <w:szCs w:val="24"/>
        </w:rPr>
        <w:t>)</w:t>
      </w:r>
      <w:r w:rsidR="00CA1E78">
        <w:rPr>
          <w:rFonts w:eastAsia="Times New Roman"/>
          <w:bCs/>
          <w:szCs w:val="24"/>
        </w:rPr>
        <w:t xml:space="preserve"> study results collaborate the current study findings by</w:t>
      </w:r>
      <w:r>
        <w:rPr>
          <w:rFonts w:eastAsia="Times New Roman"/>
          <w:bCs/>
          <w:szCs w:val="24"/>
        </w:rPr>
        <w:t xml:space="preserve"> observ</w:t>
      </w:r>
      <w:r w:rsidR="00CA1E78">
        <w:rPr>
          <w:rFonts w:eastAsia="Times New Roman"/>
          <w:bCs/>
          <w:szCs w:val="24"/>
        </w:rPr>
        <w:t>ing</w:t>
      </w:r>
      <w:r>
        <w:rPr>
          <w:rFonts w:eastAsia="Times New Roman"/>
          <w:bCs/>
          <w:szCs w:val="24"/>
        </w:rPr>
        <w:t xml:space="preserve"> that c</w:t>
      </w:r>
      <w:r w:rsidRPr="00EB11D3">
        <w:rPr>
          <w:rFonts w:eastAsia="Times New Roman"/>
          <w:bCs/>
          <w:szCs w:val="24"/>
        </w:rPr>
        <w:t>are coordination frameworks have been developed as a result of the emphasis on a patient-centric approach, guaranteeing a smooth and cooperative healthcare delivery system inside hospitals.</w:t>
      </w:r>
      <w:r w:rsidR="00CA1E78">
        <w:rPr>
          <w:rFonts w:eastAsia="Times New Roman"/>
          <w:bCs/>
          <w:szCs w:val="24"/>
        </w:rPr>
        <w:t xml:space="preserve"> </w:t>
      </w:r>
    </w:p>
    <w:p w14:paraId="6453B8DB" w14:textId="77777777" w:rsidR="000C0E7D" w:rsidRDefault="000C0E7D" w:rsidP="00CA1E78">
      <w:pPr>
        <w:shd w:val="clear" w:color="auto" w:fill="FFFFFF"/>
        <w:spacing w:after="160" w:line="360" w:lineRule="auto"/>
        <w:rPr>
          <w:rFonts w:eastAsia="Times New Roman"/>
          <w:szCs w:val="24"/>
        </w:rPr>
      </w:pPr>
      <w:r w:rsidRPr="00EB11D3">
        <w:t>The study results align with those of Omaghomi, Akomolafe, Ogugua, Daraojimba, and Elufioye (2024), who note that the ever-evolving field of hospital management is at a critical juncture where innovation and transformation intersect. The study examined the importance of advancements in hospital administration, emphasising their crucial role in tackling present difficulties and determining the future of healthcare provision. The study presented a wide range of improvements, including the incorporation of technology, techniques for managing human resources, and advancements in patient care. Although these advancements provide great potential, obstacles such as reluctance to adapt, limited financial resources, and compatibility problems require careful deliberation and strategic methods. The discussion on potential solutions yielded valuable insights into effectively tackling these difficulties, with a particular focus on change management, financial planning, and fostering collaborative efforts. The future of hospital management is filled with promising opportunities. Potential areas for future study and innovation, such as the incorporation of artificial intelligence, blockchain technology, and patient-generated health data, offer the chance to completely transform healthcare practices. The rise of the Internet of Things, virtual and augmented reality, and the expansion of telemedicine services indicate a move towards healthcare facilities that are more focused on the patient, efficient, and technologically advanced.</w:t>
      </w:r>
      <w:r>
        <w:t xml:space="preserve"> </w:t>
      </w:r>
      <w:r w:rsidRPr="00EB11D3">
        <w:t>As hospitals navigate through unfamiliar territory, it becomes clear that a comprehensive and cooperative strategy is crucial. Hospitals may establish themselves as leaders in providing exceptional, patient-focused healthcare by cultivating an environment that encourages innovation, actively participating in ongoing research, and wholeheartedly adopting new and developing technologies. The future of hospital management holds the prospect of overcoming existing obstacles and ushering in an era of healthcare excellence that values innovation, efficiency, and improved patient outcomes</w:t>
      </w:r>
    </w:p>
    <w:p w14:paraId="7AE7936E" w14:textId="77777777" w:rsidR="008778FE" w:rsidRDefault="000C0E7D" w:rsidP="000C0E7D">
      <w:pPr>
        <w:spacing w:after="0" w:line="360" w:lineRule="auto"/>
        <w:rPr>
          <w:rFonts w:eastAsia="Times New Roman"/>
          <w:szCs w:val="24"/>
        </w:rPr>
      </w:pPr>
      <w:r>
        <w:rPr>
          <w:rFonts w:eastAsia="Times New Roman"/>
          <w:szCs w:val="24"/>
        </w:rPr>
        <w:t xml:space="preserve">The findings are buttressed by that of </w:t>
      </w:r>
      <w:r w:rsidRPr="00EB11D3">
        <w:rPr>
          <w:rFonts w:eastAsia="Times New Roman"/>
          <w:szCs w:val="24"/>
        </w:rPr>
        <w:t xml:space="preserve">Bhagat and Kanyal (2024) </w:t>
      </w:r>
      <w:r>
        <w:rPr>
          <w:rFonts w:eastAsia="Times New Roman"/>
          <w:szCs w:val="24"/>
        </w:rPr>
        <w:t xml:space="preserve">which </w:t>
      </w:r>
      <w:r w:rsidRPr="00EB11D3">
        <w:rPr>
          <w:rFonts w:eastAsia="Times New Roman"/>
          <w:szCs w:val="24"/>
        </w:rPr>
        <w:t>pushes for a proactive strategy, asking interested parties to support careful regulation, prioritise ethical standards, encourage cooperation, engage in education, and embrace an innovative culture. By working together, the healthcare sector can effectively traverse this revolutionary era and make sure AI helps offer healthcare that is more efficient, patient-centered, and accessible.</w:t>
      </w:r>
      <w:r>
        <w:rPr>
          <w:rFonts w:eastAsia="Times New Roman"/>
          <w:szCs w:val="24"/>
        </w:rPr>
        <w:t xml:space="preserve"> </w:t>
      </w:r>
      <w:r w:rsidRPr="00EB11D3">
        <w:rPr>
          <w:rFonts w:eastAsia="Times New Roman"/>
          <w:szCs w:val="24"/>
        </w:rPr>
        <w:t xml:space="preserve">It is crucial to remember that empirical data indicates artificial intelligence (AI) greatly improves patient care, lowers cost, and increases the effectiveness of healthcare worldwide (Alowais et al., 2023). </w:t>
      </w:r>
      <w:r w:rsidR="008778FE">
        <w:rPr>
          <w:rFonts w:eastAsia="Times New Roman"/>
          <w:szCs w:val="24"/>
        </w:rPr>
        <w:t xml:space="preserve">The </w:t>
      </w:r>
      <w:r w:rsidRPr="00EB11D3">
        <w:rPr>
          <w:rFonts w:eastAsia="Times New Roman"/>
          <w:szCs w:val="24"/>
        </w:rPr>
        <w:t xml:space="preserve">AI's enormous potential is demonstrated by how it has revolutionised patient record analysis, medical imaging, and research article scrutiny. </w:t>
      </w:r>
    </w:p>
    <w:p w14:paraId="210FD60E" w14:textId="77777777" w:rsidR="008778FE" w:rsidRDefault="008778FE" w:rsidP="000C0E7D">
      <w:pPr>
        <w:spacing w:after="0" w:line="360" w:lineRule="auto"/>
        <w:rPr>
          <w:rFonts w:eastAsia="Times New Roman"/>
          <w:szCs w:val="24"/>
        </w:rPr>
      </w:pPr>
    </w:p>
    <w:p w14:paraId="77938A8F" w14:textId="77777777" w:rsidR="009A1666" w:rsidRDefault="000C0E7D" w:rsidP="000C0E7D">
      <w:pPr>
        <w:spacing w:after="0" w:line="360" w:lineRule="auto"/>
        <w:rPr>
          <w:rFonts w:eastAsia="Times New Roman"/>
          <w:szCs w:val="24"/>
        </w:rPr>
      </w:pPr>
      <w:r>
        <w:rPr>
          <w:rFonts w:eastAsia="Times New Roman"/>
          <w:szCs w:val="24"/>
        </w:rPr>
        <w:t>T</w:t>
      </w:r>
      <w:r w:rsidRPr="00EB11D3">
        <w:rPr>
          <w:rFonts w:eastAsia="Times New Roman"/>
          <w:szCs w:val="24"/>
        </w:rPr>
        <w:t>echnologies play a critical role in enabling the early detection of diseases and supporting more effective therapies by skillfully spotting complex patterns and potential health problems (</w:t>
      </w:r>
      <w:r w:rsidRPr="00EB11D3">
        <w:rPr>
          <w:rFonts w:eastAsia="Times New Roman"/>
          <w:bCs/>
          <w:szCs w:val="24"/>
        </w:rPr>
        <w:t>Kumar, Chauhan &amp; Awasthi, 2023</w:t>
      </w:r>
      <w:r w:rsidRPr="00EB11D3">
        <w:rPr>
          <w:rFonts w:eastAsia="Times New Roman"/>
          <w:szCs w:val="24"/>
        </w:rPr>
        <w:t xml:space="preserve">). The field of medicine is changing as a result of the integration of AI through machine learning, digital data collection, and sophisticated computing infrastructures. A variety of cutting-edge tools, such as the Internet of Things (IoT), machine learning, smart sensors, robotics, big data analytics, and more, are being adopted by hospitals and healthcare providers globally as a result of this technological advancement (Haleem, Javaid, Singh, &amp; Suman, 2022; Tavares et al., 2023). A flexible and all-encompassing framework that covers a range of healthcare-related topics has been created as a result of the adoption of these technologies. These topics include disease detection and prevention, diagnostic evaluation, healthcare management, assisting patients in making decisions, and even medical research (Bohr &amp; Memarzadeh, 2020; Olawade et al., 2023). </w:t>
      </w:r>
    </w:p>
    <w:p w14:paraId="723787FB" w14:textId="77777777" w:rsidR="008B4A7A" w:rsidRPr="000F47B0" w:rsidRDefault="0054138F" w:rsidP="0054138F">
      <w:pPr>
        <w:spacing w:before="240" w:line="360" w:lineRule="auto"/>
        <w:rPr>
          <w:rFonts w:eastAsia="Times New Roman"/>
          <w:szCs w:val="24"/>
        </w:rPr>
      </w:pPr>
      <w:r w:rsidRPr="000F47B0">
        <w:rPr>
          <w:rFonts w:eastAsia="Times New Roman"/>
          <w:szCs w:val="24"/>
        </w:rPr>
        <w:t xml:space="preserve">The findings are further corroborated by Tajeddini et al. (2020), whose findings suggested that committed front-line employees and leadership are shown to be the primary antecedents of service innovation. Knowledge management and infusing creativity throughout the organisation are also essential factors in the success of service innovation. Additionally, the findings indicate that businesses have the potential to capitalise on the advantages that are linked with human-related aspects in order to improve their service innovation habits and boost their overall business performance. </w:t>
      </w:r>
      <w:r w:rsidR="006510A8" w:rsidRPr="000F47B0">
        <w:rPr>
          <w:rFonts w:eastAsia="Times New Roman"/>
          <w:szCs w:val="24"/>
        </w:rPr>
        <w:t>This is supported</w:t>
      </w:r>
      <w:r w:rsidR="002A0EF0" w:rsidRPr="000F47B0">
        <w:rPr>
          <w:rFonts w:eastAsia="Times New Roman"/>
          <w:szCs w:val="24"/>
        </w:rPr>
        <w:t xml:space="preserve"> by the works by </w:t>
      </w:r>
      <w:r w:rsidRPr="000F47B0">
        <w:rPr>
          <w:rFonts w:eastAsia="Times New Roman"/>
          <w:szCs w:val="24"/>
        </w:rPr>
        <w:t xml:space="preserve">Martin-Rios et al. (2019), who stated that hospitality is the least innovative service activity. Furthermore, the data indicate that the only factor that has a positive correlation with sales turnover in hotels is the implementation of complex innovation strategies that place equal emphasis on technology and non-technological innovation. The study comes to the conclusion that the level of innovation differs from one industry to another, and that the tactics that are used to innovate might have various effects on performance depending on the respective industry. </w:t>
      </w:r>
      <w:r w:rsidR="00250CF7" w:rsidRPr="000F47B0">
        <w:rPr>
          <w:rFonts w:eastAsia="Times New Roman"/>
          <w:szCs w:val="24"/>
        </w:rPr>
        <w:t xml:space="preserve">The results are in line with those by Kurtmollaiev and Pedersen (2022) </w:t>
      </w:r>
      <w:r w:rsidRPr="000F47B0">
        <w:rPr>
          <w:rFonts w:eastAsia="Times New Roman"/>
          <w:szCs w:val="24"/>
        </w:rPr>
        <w:t>who observed that the primary challenges that hinder the advancement of service innovation research are lexical cross-contamination, parallelism in approaches, the weight of the new service development perspective, and the legacy of new product development. To overcome these problems, the study proposed a more defined pluralism of ideas and presented potential for productive interactions across them.</w:t>
      </w:r>
      <w:r w:rsidR="00250CF7" w:rsidRPr="000F47B0">
        <w:rPr>
          <w:rFonts w:eastAsia="Times New Roman"/>
          <w:szCs w:val="24"/>
        </w:rPr>
        <w:t xml:space="preserve"> </w:t>
      </w:r>
    </w:p>
    <w:p w14:paraId="5768A7EF" w14:textId="77777777" w:rsidR="0054138F" w:rsidRPr="000F47B0" w:rsidRDefault="0054138F" w:rsidP="00094CDA">
      <w:pPr>
        <w:spacing w:line="360" w:lineRule="auto"/>
        <w:rPr>
          <w:rFonts w:eastAsia="Times New Roman"/>
          <w:szCs w:val="24"/>
        </w:rPr>
      </w:pPr>
      <w:r w:rsidRPr="000F47B0">
        <w:rPr>
          <w:rFonts w:eastAsia="Times New Roman"/>
          <w:szCs w:val="24"/>
        </w:rPr>
        <w:t xml:space="preserve">Achiro, Laura, and Obwona (2022) express their agreement with the findings of this study by observing that board expertise, particularly nurses, board meetings, board diversity, CEO gender, and academic directors have a significant negative impact on the financial performance of National Health Service (NHS) hospitals in England. On the other hand, numerous directorships have a big positive impact on the non-financial performance of English National Health Service hospitals. On the other hand, board expertise, particularly nurses and board diversity, have a major negative impact on the non-financial performance of English NHS hospitals. At the level of the hospital type, additional empirical findings reveal that the expertise of the board, particularly the presence of nurses on the board, diversity on the board, and gender of the CEO all have a significant negative impact on the financial success of NHS trusts. </w:t>
      </w:r>
    </w:p>
    <w:p w14:paraId="64FF707C" w14:textId="77777777" w:rsidR="00F037B5" w:rsidRPr="000F47B0" w:rsidRDefault="0054138F" w:rsidP="00094CDA">
      <w:pPr>
        <w:spacing w:line="360" w:lineRule="auto"/>
        <w:rPr>
          <w:rFonts w:eastAsia="Times New Roman"/>
          <w:szCs w:val="24"/>
        </w:rPr>
      </w:pPr>
      <w:r w:rsidRPr="000F47B0">
        <w:rPr>
          <w:rFonts w:eastAsia="Times New Roman"/>
          <w:szCs w:val="24"/>
        </w:rPr>
        <w:t>In a similar vein, the gender of the chief executive officer has been shown to have a significant negative impact on the financial success of NHS foundation trusts. In terms of non-financial performance, multiple directorships and honoured directors have a significant positive impact on the performance of NHS foundation trusts. On the other hand, board expertise, particularly nurses, and board diversity reveal a significant and negative impact on the performance of NHS foundation trusts in terms of non-financial performance. It is important to note that none of the metrics used to evaluate corporate governance have a major impact on the non-financial performance of NHS trusts.</w:t>
      </w:r>
      <w:r w:rsidR="000F7F0E">
        <w:rPr>
          <w:rFonts w:eastAsia="Times New Roman"/>
          <w:szCs w:val="24"/>
        </w:rPr>
        <w:t xml:space="preserve"> </w:t>
      </w:r>
      <w:r w:rsidRPr="000F47B0">
        <w:rPr>
          <w:rFonts w:eastAsia="DengXian Light"/>
          <w:bCs/>
          <w:szCs w:val="24"/>
        </w:rPr>
        <w:t xml:space="preserve">In addition, Puni and Anlesinya (2020) discovered that the inclusion of both insiders and outsiders on the board of directors of a corporation improves the company's financial performance. This finding lends more support to the findings of the study. In a similar vein, the size of the board, the frequency of board meetings, and the concentration of shareholders and ownership structure all had a significantly favourable effect on the company's financial success. On the other hand, the existence of board committees was found to have a potentially detrimental effect on financial performance, whilst the inclusion of a dual CEO did not have any effect on financial performance. </w:t>
      </w:r>
      <w:r w:rsidR="000F47B0" w:rsidRPr="000F47B0">
        <w:rPr>
          <w:rFonts w:eastAsia="DengXian Light"/>
          <w:bCs/>
          <w:szCs w:val="24"/>
        </w:rPr>
        <w:t>This is further reiterated by Fallah and Mojarrad (2019) who indicated that audit committee composition, board tenure and ownership concentration positively influence CSR disclosure level with ownership concentration as the most influential variable, that is, in companies with majority shareholders ownership, managers tend to disclose more CSR information.  Corporate governance procedures have been found to be connected with business success in numerous theoretical and empirical studies done in the context of emerging economies Well-functioning corporate governance processes in emerging economies are of fundamental relevance for both local enterprises and international investors that are interested in pursuing the huge prospects for investment and growth that such emerging economies present From the standpoint of local enterprises, findings suggest that firms in developing economies (compared with their counterparts in industrialised countries) are devalued in financial markets because of their weak governance. Improvements in corporate governance can strengthen investor confidence for enterprises in emerging economies and expand these firms’ access to finance. To overcome challenges of corporate governance, numerous internal or external techniques might be implemented. Primary internal mechanisms are the equity ownership structure of the firm and board of directors, whilst primary external mechanisms are the legal system and the external market for corporate control. External and internal governance mechanisms are complementary to each other i.e. countries where market for corporate control are not that much prevalent and enforcement of corporate government regulations through legal system are weak, provides a strong case for internal governance mechanisms to be at the forefront for improving corporate performance.</w:t>
      </w:r>
    </w:p>
    <w:p w14:paraId="368B3E22" w14:textId="77777777" w:rsidR="000769D8" w:rsidRDefault="000F47B0" w:rsidP="00094CDA">
      <w:pPr>
        <w:spacing w:line="360" w:lineRule="auto"/>
        <w:rPr>
          <w:rFonts w:eastAsia="Times New Roman"/>
          <w:szCs w:val="24"/>
        </w:rPr>
      </w:pPr>
      <w:r w:rsidRPr="000F47B0">
        <w:rPr>
          <w:rFonts w:eastAsia="Times New Roman"/>
          <w:szCs w:val="24"/>
        </w:rPr>
        <w:t xml:space="preserve">The study findings accord with that by Abang’a, Tauringana, Wang’ombe and Achiro (2022) who reported that board meetings, board skill and gender diversity individual components of corporate governance are significantly and positively connected with capital budget realization ratio (CBRR). Moreover, the study reveals that aggregate corporate governance disclosure index, board sub-committees, board size and independent non-executive directors are positive but insignificantly connected to CBRR. Blevins, Ragozzino and Eckardt (2022) study also supported the current study by the assertion that corporate governance practices - such as independent boards, chief executive officer oversight, and transparency - enhance the degree to which donor contributions are allocated toward a charity’s mission. Overall, the broader application and benefits of corporate governance and </w:t>
      </w:r>
      <w:r>
        <w:rPr>
          <w:rFonts w:eastAsia="Times New Roman"/>
          <w:szCs w:val="24"/>
        </w:rPr>
        <w:t>building</w:t>
      </w:r>
      <w:r w:rsidRPr="000F47B0">
        <w:rPr>
          <w:rFonts w:eastAsia="Times New Roman"/>
          <w:szCs w:val="24"/>
        </w:rPr>
        <w:t xml:space="preserve"> on research emphasising ties between for-profit and nonprofit businesses w</w:t>
      </w:r>
      <w:r>
        <w:rPr>
          <w:rFonts w:eastAsia="Times New Roman"/>
          <w:szCs w:val="24"/>
        </w:rPr>
        <w:t>ere</w:t>
      </w:r>
      <w:r w:rsidRPr="000F47B0">
        <w:rPr>
          <w:rFonts w:eastAsia="Times New Roman"/>
          <w:szCs w:val="24"/>
        </w:rPr>
        <w:t xml:space="preserve"> reviewed.</w:t>
      </w:r>
    </w:p>
    <w:p w14:paraId="16DB6636" w14:textId="77777777" w:rsidR="000C0E7D" w:rsidRPr="00EB11D3" w:rsidRDefault="000C0E7D" w:rsidP="000C0E7D">
      <w:pPr>
        <w:spacing w:after="0" w:line="360" w:lineRule="auto"/>
        <w:rPr>
          <w:rFonts w:eastAsia="Times New Roman"/>
          <w:szCs w:val="24"/>
        </w:rPr>
      </w:pPr>
      <w:r w:rsidRPr="00EB11D3">
        <w:rPr>
          <w:rFonts w:eastAsia="Times New Roman"/>
          <w:szCs w:val="24"/>
        </w:rPr>
        <w:t>Th</w:t>
      </w:r>
      <w:r w:rsidR="009A1666">
        <w:rPr>
          <w:rFonts w:eastAsia="Times New Roman"/>
          <w:szCs w:val="24"/>
        </w:rPr>
        <w:t>e</w:t>
      </w:r>
      <w:r w:rsidRPr="00EB11D3">
        <w:rPr>
          <w:rFonts w:eastAsia="Times New Roman"/>
          <w:szCs w:val="24"/>
        </w:rPr>
        <w:t xml:space="preserve"> combination of technology and medicine to produce more precise, efficient, and customised healthcare solutions is a step </w:t>
      </w:r>
      <w:r w:rsidR="000F47B0">
        <w:rPr>
          <w:rFonts w:eastAsia="Times New Roman"/>
          <w:szCs w:val="24"/>
        </w:rPr>
        <w:t>toward</w:t>
      </w:r>
      <w:r w:rsidRPr="00EB11D3">
        <w:rPr>
          <w:rFonts w:eastAsia="Times New Roman"/>
          <w:szCs w:val="24"/>
        </w:rPr>
        <w:t xml:space="preserve"> smart healthcare (Garcia et al., 2024).</w:t>
      </w:r>
      <w:r w:rsidR="009A1666">
        <w:rPr>
          <w:rFonts w:eastAsia="Times New Roman"/>
          <w:szCs w:val="24"/>
        </w:rPr>
        <w:t xml:space="preserve"> </w:t>
      </w:r>
      <w:r w:rsidRPr="00EB11D3">
        <w:rPr>
          <w:rFonts w:eastAsia="Times New Roman"/>
          <w:szCs w:val="24"/>
        </w:rPr>
        <w:t>These sophisticated algorithms have outperformed traditional diagnostic techniques in their ability to diagnose chronic illnesses (such as cancer and heart disease). AI is also essential to pharmaceutical research and development since it provides a path towards the development of more accurate and potent therapies. The quick creation of the COVID-19 vaccine (Ghosh et al., 2020) is a good illustration of this, demonstrating how AI may advance pharmaceutical inventions quickly. Moreover, Johnson et al. (2021) highlights personalised medicine as an additional prospective use of AI in healthcare. This innovative method takes into account the distinct qualities of every patient, encompassing their genetic makeup, surroundings, and way of life (Garcia et al., 2024). Personalised medicine is revolutionising the healthcare industry by customising therapies to meet the needs of each patient, improving the accuracy and effectiveness of medical care. It does this by combining a wide range of data.</w:t>
      </w:r>
    </w:p>
    <w:p w14:paraId="79ECE082" w14:textId="77777777" w:rsidR="000C0E7D" w:rsidRPr="00EB11D3" w:rsidRDefault="000C0E7D" w:rsidP="000C0E7D">
      <w:pPr>
        <w:spacing w:after="0" w:line="360" w:lineRule="auto"/>
        <w:rPr>
          <w:rFonts w:eastAsia="Times New Roman"/>
          <w:szCs w:val="24"/>
        </w:rPr>
      </w:pPr>
    </w:p>
    <w:p w14:paraId="0F6DD297" w14:textId="77777777" w:rsidR="003859C9" w:rsidRPr="00EB11D3" w:rsidRDefault="003859C9" w:rsidP="00823CEA">
      <w:pPr>
        <w:pStyle w:val="Heading3"/>
        <w:spacing w:after="240"/>
      </w:pPr>
      <w:bookmarkStart w:id="1015" w:name="_Toc171602665"/>
      <w:bookmarkStart w:id="1016" w:name="_Toc171603492"/>
      <w:bookmarkStart w:id="1017" w:name="_Toc177387897"/>
      <w:r w:rsidRPr="00EB11D3">
        <w:t>5.</w:t>
      </w:r>
      <w:r w:rsidR="005C6D5E">
        <w:t>1</w:t>
      </w:r>
      <w:r w:rsidRPr="00EB11D3">
        <w:t xml:space="preserve">.3 Moderating Effect of </w:t>
      </w:r>
      <w:bookmarkEnd w:id="1008"/>
      <w:bookmarkEnd w:id="1009"/>
      <w:bookmarkEnd w:id="1010"/>
      <w:bookmarkEnd w:id="1011"/>
      <w:r w:rsidRPr="00EB11D3">
        <w:t>Government Regulations</w:t>
      </w:r>
      <w:bookmarkEnd w:id="1012"/>
      <w:bookmarkEnd w:id="1013"/>
      <w:bookmarkEnd w:id="1014"/>
      <w:bookmarkEnd w:id="1015"/>
      <w:bookmarkEnd w:id="1016"/>
      <w:bookmarkEnd w:id="1017"/>
    </w:p>
    <w:p w14:paraId="0334ABF9" w14:textId="77777777" w:rsidR="003859C9" w:rsidRPr="00EB11D3" w:rsidRDefault="003859C9" w:rsidP="00823CEA">
      <w:pPr>
        <w:shd w:val="clear" w:color="auto" w:fill="FFFFFF"/>
        <w:spacing w:after="240" w:line="360" w:lineRule="auto"/>
        <w:rPr>
          <w:rFonts w:eastAsia="Times New Roman"/>
          <w:bCs/>
          <w:szCs w:val="24"/>
        </w:rPr>
      </w:pPr>
      <w:r w:rsidRPr="00EB11D3">
        <w:rPr>
          <w:rFonts w:eastAsia="Times New Roman"/>
          <w:bCs/>
          <w:szCs w:val="24"/>
          <w:lang w:val="en-GB"/>
        </w:rPr>
        <w:t xml:space="preserve">The third objective of the study was to determine the moderating effect of </w:t>
      </w:r>
      <w:r w:rsidRPr="00EB11D3">
        <w:rPr>
          <w:rFonts w:eastAsia="Times New Roman"/>
          <w:bCs/>
          <w:szCs w:val="24"/>
        </w:rPr>
        <w:t xml:space="preserve">government regulations on the relationship between </w:t>
      </w:r>
      <w:r w:rsidRPr="00EB11D3">
        <w:rPr>
          <w:rFonts w:eastAsia="Times New Roman"/>
          <w:bCs/>
          <w:szCs w:val="24"/>
          <w:lang w:val="en"/>
        </w:rPr>
        <w:t xml:space="preserve">corporate governance </w:t>
      </w:r>
      <w:r w:rsidRPr="00EB11D3">
        <w:rPr>
          <w:rFonts w:eastAsia="Times New Roman"/>
          <w:bCs/>
          <w:szCs w:val="24"/>
        </w:rPr>
        <w:t xml:space="preserve">and organisational performance of faith-based hospital in Kenya. </w:t>
      </w:r>
      <w:r w:rsidR="00FF38A0">
        <w:rPr>
          <w:rFonts w:eastAsia="Times New Roman"/>
          <w:bCs/>
          <w:szCs w:val="24"/>
        </w:rPr>
        <w:t xml:space="preserve">The study findings revealed an enhancing moderation effect on the relationship between corporate governance and performance. </w:t>
      </w:r>
      <w:r w:rsidR="006E590A">
        <w:rPr>
          <w:rFonts w:eastAsia="Times New Roman"/>
          <w:bCs/>
          <w:szCs w:val="24"/>
        </w:rPr>
        <w:t xml:space="preserve">A significant correlation was established between corporate governance, government regulations and performance. These results agree with that of </w:t>
      </w:r>
      <w:r w:rsidR="006E590A" w:rsidRPr="00EB11D3">
        <w:rPr>
          <w:rFonts w:eastAsia="Times New Roman"/>
          <w:bCs/>
          <w:szCs w:val="24"/>
        </w:rPr>
        <w:t xml:space="preserve">Andrews </w:t>
      </w:r>
      <w:r w:rsidR="006E590A">
        <w:rPr>
          <w:rFonts w:eastAsia="Times New Roman"/>
          <w:bCs/>
          <w:szCs w:val="24"/>
        </w:rPr>
        <w:t>and</w:t>
      </w:r>
      <w:r w:rsidR="006E590A" w:rsidRPr="00EB11D3">
        <w:rPr>
          <w:rFonts w:eastAsia="Times New Roman"/>
          <w:bCs/>
          <w:szCs w:val="24"/>
        </w:rPr>
        <w:t xml:space="preserve"> Smith</w:t>
      </w:r>
      <w:r w:rsidR="006E590A">
        <w:rPr>
          <w:rFonts w:eastAsia="Times New Roman"/>
          <w:bCs/>
          <w:szCs w:val="24"/>
        </w:rPr>
        <w:t xml:space="preserve"> (</w:t>
      </w:r>
      <w:r w:rsidR="006E590A" w:rsidRPr="00EB11D3">
        <w:rPr>
          <w:rFonts w:eastAsia="Times New Roman"/>
          <w:bCs/>
          <w:szCs w:val="24"/>
        </w:rPr>
        <w:t>2021</w:t>
      </w:r>
      <w:r w:rsidR="006E590A">
        <w:rPr>
          <w:rFonts w:eastAsia="Times New Roman"/>
          <w:bCs/>
          <w:szCs w:val="24"/>
        </w:rPr>
        <w:t>) which revealed that c</w:t>
      </w:r>
      <w:r w:rsidRPr="00EB11D3">
        <w:rPr>
          <w:rFonts w:eastAsia="Times New Roman"/>
          <w:bCs/>
          <w:szCs w:val="24"/>
        </w:rPr>
        <w:t>orporate governance is one important area in which rules from the government have a big impact. Government regulations delineate standards and obligations with the objective of guaranteeing openness, responsibility, and moral conduct in businesses. These laws frequently set forth requirements for running business while protecting the interest of the consumers as well as the makeup and duties of corporate boards, financial reporting transparency requirements, shareholder engagement procedures, and shareholder engagement tools. Governments impose these restrictions in an effort to protect the interests of stakeholders and shareholders by reducing the likelihood of corporate malfeasance, fraud, and mismanagement.</w:t>
      </w:r>
    </w:p>
    <w:p w14:paraId="16B61D04" w14:textId="77777777" w:rsidR="005A4BCA" w:rsidRPr="00EB11D3" w:rsidRDefault="005A4BCA" w:rsidP="003859C9">
      <w:pPr>
        <w:shd w:val="clear" w:color="auto" w:fill="FFFFFF"/>
        <w:spacing w:after="160" w:line="360" w:lineRule="auto"/>
        <w:rPr>
          <w:rFonts w:eastAsia="Times New Roman"/>
          <w:bCs/>
          <w:szCs w:val="24"/>
        </w:rPr>
      </w:pPr>
      <w:r w:rsidRPr="00EB11D3">
        <w:rPr>
          <w:rFonts w:eastAsia="Times New Roman"/>
          <w:bCs/>
          <w:szCs w:val="24"/>
        </w:rPr>
        <w:t xml:space="preserve">The study findings are consistent </w:t>
      </w:r>
      <w:r w:rsidR="000C0BD7">
        <w:rPr>
          <w:rFonts w:eastAsia="Times New Roman"/>
          <w:bCs/>
          <w:szCs w:val="24"/>
        </w:rPr>
        <w:t>with</w:t>
      </w:r>
      <w:r w:rsidRPr="00EB11D3">
        <w:rPr>
          <w:rFonts w:eastAsia="Times New Roman"/>
          <w:bCs/>
          <w:szCs w:val="24"/>
        </w:rPr>
        <w:t xml:space="preserve"> that by Kuncoro, Sudrajat, Saroso, Syahchari and Moeke (2021) wh</w:t>
      </w:r>
      <w:r w:rsidR="003754B6" w:rsidRPr="00EB11D3">
        <w:rPr>
          <w:rFonts w:eastAsia="Times New Roman"/>
          <w:bCs/>
          <w:szCs w:val="24"/>
        </w:rPr>
        <w:t>ich</w:t>
      </w:r>
      <w:r w:rsidRPr="00EB11D3">
        <w:rPr>
          <w:rFonts w:eastAsia="Times New Roman"/>
          <w:bCs/>
          <w:szCs w:val="24"/>
        </w:rPr>
        <w:t xml:space="preserve"> </w:t>
      </w:r>
      <w:r w:rsidR="003754B6" w:rsidRPr="00EB11D3">
        <w:rPr>
          <w:rFonts w:eastAsia="Times New Roman"/>
          <w:bCs/>
          <w:szCs w:val="24"/>
        </w:rPr>
        <w:t>demonstrated that the performance of dry port firms was moderated by supply chain collaboration to a favourable and considerable extent by government regulation.</w:t>
      </w:r>
      <w:r w:rsidR="00D63983" w:rsidRPr="00EB11D3">
        <w:rPr>
          <w:rFonts w:eastAsia="Times New Roman"/>
          <w:bCs/>
          <w:szCs w:val="24"/>
        </w:rPr>
        <w:t xml:space="preserve"> The indicators of government regulation consisting of synchronization, benefits, availability, and transparency had a positive and significant effect in moderating the effect.</w:t>
      </w:r>
      <w:r w:rsidR="00F7054F" w:rsidRPr="00EB11D3">
        <w:rPr>
          <w:rFonts w:eastAsia="Times New Roman"/>
          <w:bCs/>
          <w:szCs w:val="24"/>
        </w:rPr>
        <w:t xml:space="preserve"> The study also notes that the presence of suitable and favourable legislation will significantly promote or increase cooperation among all stakeholders, which will improve these businesses' performance. To expedite the process of releasing products from the ports to the dry port and from the dry port to the consignee, it is also crucial to synchronise this regulation with other regulations, particularly those pertaining to import activities. Transparency is another crucial component of regulations, and it is imperative that all parties involved in the drafting process are included to prevent the creation of rules that would negatively impact or impede the stakeholders.</w:t>
      </w:r>
    </w:p>
    <w:p w14:paraId="6383E6B7" w14:textId="77777777" w:rsidR="003859C9" w:rsidRPr="00EB11D3" w:rsidRDefault="003859C9" w:rsidP="003859C9">
      <w:pPr>
        <w:shd w:val="clear" w:color="auto" w:fill="FFFFFF"/>
        <w:spacing w:after="160" w:line="360" w:lineRule="auto"/>
        <w:rPr>
          <w:rFonts w:eastAsia="Times New Roman"/>
          <w:bCs/>
          <w:szCs w:val="24"/>
        </w:rPr>
      </w:pPr>
      <w:r w:rsidRPr="00EB11D3">
        <w:rPr>
          <w:rFonts w:eastAsia="Times New Roman"/>
          <w:bCs/>
          <w:szCs w:val="24"/>
        </w:rPr>
        <w:t xml:space="preserve">The study </w:t>
      </w:r>
      <w:r w:rsidR="00890223">
        <w:rPr>
          <w:rFonts w:eastAsia="Times New Roman"/>
          <w:bCs/>
          <w:szCs w:val="24"/>
        </w:rPr>
        <w:t>results agree with that by</w:t>
      </w:r>
      <w:r w:rsidRPr="00EB11D3">
        <w:rPr>
          <w:rFonts w:eastAsia="Times New Roman"/>
          <w:bCs/>
          <w:szCs w:val="24"/>
        </w:rPr>
        <w:t xml:space="preserve"> Jaradat et al. (2018) </w:t>
      </w:r>
      <w:r w:rsidR="00890223">
        <w:rPr>
          <w:rFonts w:eastAsia="Times New Roman"/>
          <w:bCs/>
          <w:szCs w:val="24"/>
        </w:rPr>
        <w:t>which linked</w:t>
      </w:r>
      <w:r w:rsidRPr="00EB11D3">
        <w:rPr>
          <w:rFonts w:eastAsia="Times New Roman"/>
          <w:bCs/>
          <w:szCs w:val="24"/>
        </w:rPr>
        <w:t xml:space="preserve"> governmental re</w:t>
      </w:r>
      <w:r w:rsidR="005F4610">
        <w:rPr>
          <w:rFonts w:eastAsia="Times New Roman"/>
          <w:bCs/>
          <w:szCs w:val="24"/>
        </w:rPr>
        <w:t>gulations</w:t>
      </w:r>
      <w:r w:rsidRPr="00EB11D3">
        <w:rPr>
          <w:rFonts w:eastAsia="Times New Roman"/>
          <w:bCs/>
          <w:szCs w:val="24"/>
        </w:rPr>
        <w:t xml:space="preserve"> </w:t>
      </w:r>
      <w:r w:rsidR="00890223">
        <w:rPr>
          <w:rFonts w:eastAsia="Times New Roman"/>
          <w:bCs/>
          <w:szCs w:val="24"/>
        </w:rPr>
        <w:t>to the</w:t>
      </w:r>
      <w:r w:rsidRPr="00EB11D3">
        <w:rPr>
          <w:rFonts w:eastAsia="Times New Roman"/>
          <w:bCs/>
          <w:szCs w:val="24"/>
        </w:rPr>
        <w:t xml:space="preserve"> organizational performance. The results show that while government restrictions are not significantly correlated with organizational performance, financial accessibility limits have a detrimental impact on it.</w:t>
      </w:r>
      <w:r w:rsidR="00DE7001">
        <w:rPr>
          <w:rFonts w:eastAsia="Times New Roman"/>
          <w:bCs/>
          <w:szCs w:val="24"/>
        </w:rPr>
        <w:t xml:space="preserve"> This is further supported by </w:t>
      </w:r>
      <w:r w:rsidR="005F4610" w:rsidRPr="005F4610">
        <w:rPr>
          <w:szCs w:val="24"/>
          <w:lang w:eastAsia="zh-CN"/>
        </w:rPr>
        <w:t>Frederick</w:t>
      </w:r>
      <w:r w:rsidR="005F4610">
        <w:rPr>
          <w:szCs w:val="24"/>
          <w:lang w:eastAsia="zh-CN"/>
        </w:rPr>
        <w:t xml:space="preserve"> and </w:t>
      </w:r>
      <w:r w:rsidR="005F4610" w:rsidRPr="005F4610">
        <w:rPr>
          <w:szCs w:val="24"/>
          <w:lang w:eastAsia="zh-CN"/>
        </w:rPr>
        <w:t>Dibie</w:t>
      </w:r>
      <w:r w:rsidR="005F4610" w:rsidRPr="00EB11D3">
        <w:rPr>
          <w:rFonts w:eastAsia="Times New Roman"/>
          <w:bCs/>
          <w:szCs w:val="24"/>
        </w:rPr>
        <w:t xml:space="preserve"> </w:t>
      </w:r>
      <w:r w:rsidRPr="00EB11D3">
        <w:rPr>
          <w:rFonts w:eastAsia="Times New Roman"/>
          <w:bCs/>
          <w:szCs w:val="24"/>
        </w:rPr>
        <w:t xml:space="preserve">(2023) </w:t>
      </w:r>
      <w:r w:rsidR="00DE7001">
        <w:rPr>
          <w:rFonts w:eastAsia="Times New Roman"/>
          <w:bCs/>
          <w:szCs w:val="24"/>
        </w:rPr>
        <w:t>who linked</w:t>
      </w:r>
      <w:r w:rsidRPr="00EB11D3">
        <w:rPr>
          <w:rFonts w:eastAsia="Times New Roman"/>
          <w:bCs/>
          <w:szCs w:val="24"/>
        </w:rPr>
        <w:t xml:space="preserve"> government </w:t>
      </w:r>
      <w:r w:rsidR="00DE7001">
        <w:rPr>
          <w:rFonts w:eastAsia="Times New Roman"/>
          <w:bCs/>
          <w:szCs w:val="24"/>
        </w:rPr>
        <w:t>regulations</w:t>
      </w:r>
      <w:r w:rsidRPr="00EB11D3">
        <w:rPr>
          <w:rFonts w:eastAsia="Times New Roman"/>
          <w:bCs/>
          <w:szCs w:val="24"/>
        </w:rPr>
        <w:t xml:space="preserve"> </w:t>
      </w:r>
      <w:r w:rsidR="00C81402">
        <w:rPr>
          <w:rFonts w:eastAsia="Times New Roman"/>
          <w:bCs/>
          <w:szCs w:val="24"/>
        </w:rPr>
        <w:t>to the</w:t>
      </w:r>
      <w:r w:rsidRPr="00EB11D3">
        <w:rPr>
          <w:rFonts w:eastAsia="Times New Roman"/>
          <w:bCs/>
          <w:szCs w:val="24"/>
        </w:rPr>
        <w:t xml:space="preserve"> organizational performance. The findings of the research deepened our understanding of how laws and regulations affect the financial and economic </w:t>
      </w:r>
      <w:r w:rsidR="00C81402">
        <w:rPr>
          <w:rFonts w:eastAsia="Times New Roman"/>
          <w:bCs/>
          <w:szCs w:val="24"/>
        </w:rPr>
        <w:t>performance</w:t>
      </w:r>
      <w:r w:rsidRPr="00EB11D3">
        <w:rPr>
          <w:rFonts w:eastAsia="Times New Roman"/>
          <w:bCs/>
          <w:szCs w:val="24"/>
        </w:rPr>
        <w:t>. This knowledge is useful to scholars, practitioners, and policymakers who want to improve the systems that assist small enterprises. The findings highlight the necessity of well-balanced regulatory frameworks that support competition while reducing the possibility of negative consequences on the financial stability of SMEs.</w:t>
      </w:r>
    </w:p>
    <w:p w14:paraId="5636D72A" w14:textId="77777777" w:rsidR="003859C9" w:rsidRPr="00EB11D3" w:rsidRDefault="007D4958" w:rsidP="003859C9">
      <w:pPr>
        <w:shd w:val="clear" w:color="auto" w:fill="FFFFFF"/>
        <w:spacing w:after="160" w:line="360" w:lineRule="auto"/>
        <w:rPr>
          <w:rFonts w:eastAsia="Times New Roman"/>
          <w:bCs/>
          <w:szCs w:val="24"/>
        </w:rPr>
      </w:pPr>
      <w:r>
        <w:rPr>
          <w:rFonts w:eastAsia="Times New Roman"/>
          <w:bCs/>
          <w:szCs w:val="24"/>
        </w:rPr>
        <w:t xml:space="preserve">The study results also concur with that by </w:t>
      </w:r>
      <w:r w:rsidR="003859C9" w:rsidRPr="00EB11D3">
        <w:rPr>
          <w:rFonts w:eastAsia="Times New Roman"/>
          <w:bCs/>
          <w:szCs w:val="24"/>
        </w:rPr>
        <w:t>Othman, Shaarani, and Bahron's (2019)</w:t>
      </w:r>
      <w:r>
        <w:rPr>
          <w:rFonts w:eastAsia="Times New Roman"/>
          <w:bCs/>
          <w:szCs w:val="24"/>
        </w:rPr>
        <w:t xml:space="preserve"> which</w:t>
      </w:r>
      <w:r w:rsidR="003859C9" w:rsidRPr="00EB11D3">
        <w:rPr>
          <w:rFonts w:eastAsia="Times New Roman"/>
          <w:bCs/>
          <w:szCs w:val="24"/>
        </w:rPr>
        <w:t xml:space="preserve"> found a </w:t>
      </w:r>
      <w:r w:rsidR="00CA6302">
        <w:rPr>
          <w:rFonts w:eastAsia="Times New Roman"/>
          <w:bCs/>
          <w:szCs w:val="24"/>
        </w:rPr>
        <w:t>positive</w:t>
      </w:r>
      <w:r w:rsidR="003859C9" w:rsidRPr="00EB11D3">
        <w:rPr>
          <w:rFonts w:eastAsia="Times New Roman"/>
          <w:bCs/>
          <w:szCs w:val="24"/>
        </w:rPr>
        <w:t xml:space="preserve"> correlation between organizational performance and governmental </w:t>
      </w:r>
      <w:r>
        <w:rPr>
          <w:rFonts w:eastAsia="Times New Roman"/>
          <w:bCs/>
          <w:szCs w:val="24"/>
        </w:rPr>
        <w:t>regulations</w:t>
      </w:r>
      <w:r w:rsidR="003859C9" w:rsidRPr="00EB11D3">
        <w:rPr>
          <w:rFonts w:eastAsia="Times New Roman"/>
          <w:bCs/>
          <w:szCs w:val="24"/>
        </w:rPr>
        <w:t xml:space="preserve">. The </w:t>
      </w:r>
      <w:r w:rsidR="00CA6302">
        <w:rPr>
          <w:rFonts w:eastAsia="Times New Roman"/>
          <w:bCs/>
          <w:szCs w:val="24"/>
        </w:rPr>
        <w:t>results also</w:t>
      </w:r>
      <w:r w:rsidR="003859C9" w:rsidRPr="00EB11D3">
        <w:rPr>
          <w:rFonts w:eastAsia="Times New Roman"/>
          <w:bCs/>
          <w:szCs w:val="24"/>
        </w:rPr>
        <w:t xml:space="preserve"> demonstrated the </w:t>
      </w:r>
      <w:r w:rsidR="00CA6302">
        <w:rPr>
          <w:rFonts w:eastAsia="Times New Roman"/>
          <w:bCs/>
          <w:szCs w:val="24"/>
        </w:rPr>
        <w:t>need for</w:t>
      </w:r>
      <w:r w:rsidR="003859C9" w:rsidRPr="00EB11D3">
        <w:rPr>
          <w:rFonts w:eastAsia="Times New Roman"/>
          <w:bCs/>
          <w:szCs w:val="24"/>
        </w:rPr>
        <w:t xml:space="preserve"> controlling an organization's internal resources through human variables, such as knowledge, attitude, and sensitivity to governmental policies, as this improves organizational performance and is a contributing element.</w:t>
      </w:r>
      <w:r w:rsidR="00CA6302">
        <w:rPr>
          <w:rFonts w:eastAsia="Times New Roman"/>
          <w:bCs/>
          <w:szCs w:val="24"/>
        </w:rPr>
        <w:t xml:space="preserve"> This is further reiter</w:t>
      </w:r>
      <w:r w:rsidR="00116539">
        <w:rPr>
          <w:rFonts w:eastAsia="Times New Roman"/>
          <w:bCs/>
          <w:szCs w:val="24"/>
        </w:rPr>
        <w:t xml:space="preserve">ated by </w:t>
      </w:r>
      <w:bookmarkStart w:id="1018" w:name="_Toc117773086"/>
      <w:bookmarkStart w:id="1019" w:name="_Toc117772226"/>
      <w:bookmarkStart w:id="1020" w:name="_Toc124240265"/>
      <w:bookmarkStart w:id="1021" w:name="_Toc126071157"/>
      <w:r w:rsidR="003859C9" w:rsidRPr="00EB11D3">
        <w:rPr>
          <w:rFonts w:eastAsia="Times New Roman"/>
          <w:bCs/>
          <w:szCs w:val="24"/>
        </w:rPr>
        <w:t xml:space="preserve">Ogum and Jagongo, (2022) </w:t>
      </w:r>
      <w:r w:rsidR="00116539">
        <w:rPr>
          <w:rFonts w:eastAsia="Times New Roman"/>
          <w:bCs/>
          <w:szCs w:val="24"/>
        </w:rPr>
        <w:t xml:space="preserve">who linked government </w:t>
      </w:r>
      <w:r w:rsidR="00116539" w:rsidRPr="00EB11D3">
        <w:rPr>
          <w:rFonts w:eastAsia="Times New Roman"/>
          <w:bCs/>
          <w:szCs w:val="24"/>
        </w:rPr>
        <w:t>regulations</w:t>
      </w:r>
      <w:r w:rsidR="003859C9" w:rsidRPr="00EB11D3">
        <w:rPr>
          <w:rFonts w:eastAsia="Times New Roman"/>
          <w:bCs/>
          <w:szCs w:val="24"/>
        </w:rPr>
        <w:t xml:space="preserve"> </w:t>
      </w:r>
      <w:r w:rsidR="00116539">
        <w:rPr>
          <w:rFonts w:eastAsia="Times New Roman"/>
          <w:bCs/>
          <w:szCs w:val="24"/>
        </w:rPr>
        <w:t>to</w:t>
      </w:r>
      <w:r w:rsidR="003859C9" w:rsidRPr="00EB11D3">
        <w:rPr>
          <w:rFonts w:eastAsia="Times New Roman"/>
          <w:bCs/>
          <w:szCs w:val="24"/>
        </w:rPr>
        <w:t xml:space="preserve"> financial performance</w:t>
      </w:r>
      <w:r w:rsidR="00116539">
        <w:rPr>
          <w:rFonts w:eastAsia="Times New Roman"/>
          <w:bCs/>
          <w:szCs w:val="24"/>
        </w:rPr>
        <w:t xml:space="preserve">. The </w:t>
      </w:r>
      <w:r w:rsidR="003859C9" w:rsidRPr="00EB11D3">
        <w:rPr>
          <w:rFonts w:eastAsia="Times New Roman"/>
          <w:bCs/>
          <w:szCs w:val="24"/>
        </w:rPr>
        <w:t xml:space="preserve">results showed that </w:t>
      </w:r>
      <w:r w:rsidR="00116539">
        <w:rPr>
          <w:rFonts w:eastAsia="Times New Roman"/>
          <w:bCs/>
          <w:szCs w:val="24"/>
        </w:rPr>
        <w:t>adopting</w:t>
      </w:r>
      <w:r w:rsidR="003859C9" w:rsidRPr="00EB11D3">
        <w:rPr>
          <w:rFonts w:eastAsia="Times New Roman"/>
          <w:bCs/>
          <w:szCs w:val="24"/>
        </w:rPr>
        <w:t xml:space="preserve"> governance r</w:t>
      </w:r>
      <w:r w:rsidR="00116539">
        <w:rPr>
          <w:rFonts w:eastAsia="Times New Roman"/>
          <w:bCs/>
          <w:szCs w:val="24"/>
        </w:rPr>
        <w:t>egulations</w:t>
      </w:r>
      <w:r w:rsidR="003859C9" w:rsidRPr="00EB11D3">
        <w:rPr>
          <w:rFonts w:eastAsia="Times New Roman"/>
          <w:bCs/>
          <w:szCs w:val="24"/>
        </w:rPr>
        <w:t xml:space="preserve"> had improved financial performance. The establishment of independent board committees, the election of an independent board, the  vetting of directors and senior management, and the division of duties between the board and management were among the specific governance practices that showed a positive correlation with financial performance.</w:t>
      </w:r>
    </w:p>
    <w:p w14:paraId="10E95A8D" w14:textId="77777777" w:rsidR="003859C9" w:rsidRPr="00EB11D3" w:rsidRDefault="00116539" w:rsidP="003859C9">
      <w:pPr>
        <w:shd w:val="clear" w:color="auto" w:fill="FFFFFF"/>
        <w:spacing w:after="160" w:line="360" w:lineRule="auto"/>
        <w:rPr>
          <w:rFonts w:eastAsia="Times New Roman"/>
          <w:bCs/>
          <w:szCs w:val="24"/>
        </w:rPr>
      </w:pPr>
      <w:r w:rsidRPr="00EB11D3">
        <w:rPr>
          <w:rFonts w:eastAsia="Times New Roman"/>
          <w:bCs/>
          <w:szCs w:val="24"/>
        </w:rPr>
        <w:t xml:space="preserve">Ararat </w:t>
      </w:r>
      <w:r>
        <w:rPr>
          <w:rFonts w:eastAsia="Times New Roman"/>
          <w:bCs/>
          <w:szCs w:val="24"/>
        </w:rPr>
        <w:t>and</w:t>
      </w:r>
      <w:r w:rsidRPr="00EB11D3">
        <w:rPr>
          <w:rFonts w:eastAsia="Times New Roman"/>
          <w:bCs/>
          <w:szCs w:val="24"/>
        </w:rPr>
        <w:t xml:space="preserve"> Yurtoglu</w:t>
      </w:r>
      <w:r>
        <w:rPr>
          <w:rFonts w:eastAsia="Times New Roman"/>
          <w:bCs/>
          <w:szCs w:val="24"/>
        </w:rPr>
        <w:t xml:space="preserve"> (</w:t>
      </w:r>
      <w:r w:rsidRPr="00EB11D3">
        <w:rPr>
          <w:rFonts w:eastAsia="Times New Roman"/>
          <w:bCs/>
          <w:szCs w:val="24"/>
        </w:rPr>
        <w:t>2019)</w:t>
      </w:r>
      <w:r w:rsidR="00723A3C">
        <w:rPr>
          <w:rFonts w:eastAsia="Times New Roman"/>
          <w:bCs/>
          <w:szCs w:val="24"/>
        </w:rPr>
        <w:t xml:space="preserve"> agrees with the current study findings that g</w:t>
      </w:r>
      <w:r w:rsidR="003859C9" w:rsidRPr="00EB11D3">
        <w:rPr>
          <w:rFonts w:eastAsia="Times New Roman"/>
          <w:bCs/>
          <w:szCs w:val="24"/>
        </w:rPr>
        <w:t xml:space="preserve">overnment </w:t>
      </w:r>
      <w:r w:rsidR="00723A3C">
        <w:rPr>
          <w:rFonts w:eastAsia="Times New Roman"/>
          <w:bCs/>
          <w:szCs w:val="24"/>
        </w:rPr>
        <w:t>regulations</w:t>
      </w:r>
      <w:r w:rsidR="003859C9" w:rsidRPr="00EB11D3">
        <w:rPr>
          <w:rFonts w:eastAsia="Times New Roman"/>
          <w:bCs/>
          <w:szCs w:val="24"/>
        </w:rPr>
        <w:t xml:space="preserve"> frequently put compliance requirements on firms, which raises the expenses of regulatory adherence</w:t>
      </w:r>
      <w:r>
        <w:rPr>
          <w:rFonts w:eastAsia="Times New Roman"/>
          <w:bCs/>
          <w:szCs w:val="24"/>
        </w:rPr>
        <w:t xml:space="preserve">. </w:t>
      </w:r>
      <w:r w:rsidR="003859C9" w:rsidRPr="00EB11D3">
        <w:rPr>
          <w:rFonts w:eastAsia="Times New Roman"/>
          <w:bCs/>
          <w:szCs w:val="24"/>
        </w:rPr>
        <w:t xml:space="preserve">Profitability and operational effectiveness may be impacted by these compliance expenditures, especially for </w:t>
      </w:r>
      <w:r w:rsidR="00723A3C">
        <w:rPr>
          <w:rFonts w:eastAsia="Times New Roman"/>
          <w:bCs/>
          <w:szCs w:val="24"/>
        </w:rPr>
        <w:t>businesses</w:t>
      </w:r>
      <w:r w:rsidR="003859C9" w:rsidRPr="00EB11D3">
        <w:rPr>
          <w:rFonts w:eastAsia="Times New Roman"/>
          <w:bCs/>
          <w:szCs w:val="24"/>
        </w:rPr>
        <w:t xml:space="preserve"> with constrained funding. </w:t>
      </w:r>
      <w:r w:rsidR="00723A3C">
        <w:rPr>
          <w:rFonts w:eastAsia="Times New Roman"/>
          <w:bCs/>
          <w:szCs w:val="24"/>
        </w:rPr>
        <w:t>The r</w:t>
      </w:r>
      <w:r w:rsidR="003859C9" w:rsidRPr="00EB11D3">
        <w:rPr>
          <w:rFonts w:eastAsia="Times New Roman"/>
          <w:bCs/>
          <w:szCs w:val="24"/>
        </w:rPr>
        <w:t>egulations may also specify standards or procedures that enterprises must adhere to, which can have an impact on performance outcomes and operational practices.</w:t>
      </w:r>
    </w:p>
    <w:p w14:paraId="6343831A" w14:textId="77777777" w:rsidR="002549CF" w:rsidRDefault="00723A3C" w:rsidP="003859C9">
      <w:pPr>
        <w:shd w:val="clear" w:color="auto" w:fill="FFFFFF"/>
        <w:spacing w:after="160" w:line="360" w:lineRule="auto"/>
        <w:rPr>
          <w:rFonts w:eastAsia="Times New Roman"/>
          <w:bCs/>
          <w:szCs w:val="24"/>
        </w:rPr>
      </w:pPr>
      <w:r>
        <w:rPr>
          <w:rFonts w:eastAsia="Times New Roman"/>
          <w:bCs/>
          <w:szCs w:val="24"/>
        </w:rPr>
        <w:t xml:space="preserve">The study findings is buttressed by that of </w:t>
      </w:r>
      <w:r w:rsidR="003859C9" w:rsidRPr="00EB11D3">
        <w:rPr>
          <w:rFonts w:eastAsia="Times New Roman"/>
          <w:bCs/>
          <w:szCs w:val="24"/>
        </w:rPr>
        <w:t>Belloc and Pagano (2019)</w:t>
      </w:r>
      <w:r>
        <w:rPr>
          <w:rFonts w:eastAsia="Times New Roman"/>
          <w:bCs/>
          <w:szCs w:val="24"/>
        </w:rPr>
        <w:t xml:space="preserve"> who observed that </w:t>
      </w:r>
      <w:r w:rsidR="003859C9" w:rsidRPr="00EB11D3">
        <w:rPr>
          <w:rFonts w:eastAsia="Times New Roman"/>
          <w:bCs/>
          <w:szCs w:val="24"/>
        </w:rPr>
        <w:t>government r</w:t>
      </w:r>
      <w:r>
        <w:rPr>
          <w:rFonts w:eastAsia="Times New Roman"/>
          <w:bCs/>
          <w:szCs w:val="24"/>
        </w:rPr>
        <w:t>egulations</w:t>
      </w:r>
      <w:r w:rsidR="003859C9" w:rsidRPr="00EB11D3">
        <w:rPr>
          <w:rFonts w:eastAsia="Times New Roman"/>
          <w:bCs/>
          <w:szCs w:val="24"/>
        </w:rPr>
        <w:t xml:space="preserve"> can affect an organization's performance indirectly by influencing the competitive environment and promoting or impeding innovation. Industry innovation can be stimulated by regulatory frameworks that establish standards or create obstacles to entry. Environmental rules have the potential to stimulate the development of eco-friendly technologies, thereby providing firms that invest in sustainable practices with a competitive edge. On the other hand, excessively stringent laws may hinder innovation and make it more difficult for businesses to adjust to shifting market conditions.</w:t>
      </w:r>
      <w:r>
        <w:rPr>
          <w:rFonts w:eastAsia="Times New Roman"/>
          <w:bCs/>
          <w:szCs w:val="24"/>
        </w:rPr>
        <w:t xml:space="preserve"> </w:t>
      </w:r>
    </w:p>
    <w:p w14:paraId="300958E8" w14:textId="77777777" w:rsidR="003859C9" w:rsidRPr="00EB11D3" w:rsidRDefault="00723A3C" w:rsidP="003859C9">
      <w:pPr>
        <w:shd w:val="clear" w:color="auto" w:fill="FFFFFF"/>
        <w:spacing w:after="160" w:line="360" w:lineRule="auto"/>
        <w:rPr>
          <w:rFonts w:eastAsia="Times New Roman"/>
          <w:bCs/>
          <w:szCs w:val="24"/>
        </w:rPr>
      </w:pPr>
      <w:r w:rsidRPr="00EB11D3">
        <w:rPr>
          <w:rFonts w:eastAsia="Times New Roman"/>
          <w:bCs/>
          <w:szCs w:val="24"/>
        </w:rPr>
        <w:t xml:space="preserve">Paarlberg </w:t>
      </w:r>
      <w:r>
        <w:rPr>
          <w:rFonts w:eastAsia="Times New Roman"/>
          <w:bCs/>
          <w:szCs w:val="24"/>
        </w:rPr>
        <w:t xml:space="preserve">and </w:t>
      </w:r>
      <w:r w:rsidRPr="00EB11D3">
        <w:rPr>
          <w:rFonts w:eastAsia="Times New Roman"/>
          <w:bCs/>
          <w:szCs w:val="24"/>
        </w:rPr>
        <w:t>Perry</w:t>
      </w:r>
      <w:r>
        <w:rPr>
          <w:rFonts w:eastAsia="Times New Roman"/>
          <w:bCs/>
          <w:szCs w:val="24"/>
        </w:rPr>
        <w:t xml:space="preserve"> (</w:t>
      </w:r>
      <w:r w:rsidRPr="00EB11D3">
        <w:rPr>
          <w:rFonts w:eastAsia="Times New Roman"/>
          <w:bCs/>
          <w:szCs w:val="24"/>
        </w:rPr>
        <w:t>2020</w:t>
      </w:r>
      <w:r>
        <w:rPr>
          <w:rFonts w:eastAsia="Times New Roman"/>
          <w:bCs/>
          <w:szCs w:val="24"/>
        </w:rPr>
        <w:t>) also share the same observation that g</w:t>
      </w:r>
      <w:r w:rsidR="003859C9" w:rsidRPr="00EB11D3">
        <w:rPr>
          <w:rFonts w:eastAsia="Times New Roman"/>
          <w:bCs/>
          <w:szCs w:val="24"/>
        </w:rPr>
        <w:t>overnment r</w:t>
      </w:r>
      <w:r>
        <w:rPr>
          <w:rFonts w:eastAsia="Times New Roman"/>
          <w:bCs/>
          <w:szCs w:val="24"/>
        </w:rPr>
        <w:t>egulations</w:t>
      </w:r>
      <w:r w:rsidR="003859C9" w:rsidRPr="00EB11D3">
        <w:rPr>
          <w:rFonts w:eastAsia="Times New Roman"/>
          <w:bCs/>
          <w:szCs w:val="24"/>
        </w:rPr>
        <w:t xml:space="preserve"> have differing effects on the performance of organizations in different areas and businesses. For instance, sector-specific rules may present particular opportunities and challenges for highly regulated businesses like healthcare, finance, and energy. Market dynamics, investment choices, and overall performance outcomes can all be significantly impacted by changes in these industries' regulations.</w:t>
      </w:r>
      <w:r w:rsidR="002549CF">
        <w:rPr>
          <w:rFonts w:eastAsia="Times New Roman"/>
          <w:bCs/>
          <w:szCs w:val="24"/>
        </w:rPr>
        <w:t xml:space="preserve"> This finding is further supported by </w:t>
      </w:r>
      <w:r w:rsidR="003859C9" w:rsidRPr="00EB11D3">
        <w:rPr>
          <w:rFonts w:eastAsia="Times New Roman"/>
          <w:bCs/>
          <w:szCs w:val="24"/>
        </w:rPr>
        <w:t>Scherer, Palazzo and Seidl (2023)</w:t>
      </w:r>
      <w:r w:rsidR="002549CF">
        <w:rPr>
          <w:rFonts w:eastAsia="Times New Roman"/>
          <w:bCs/>
          <w:szCs w:val="24"/>
        </w:rPr>
        <w:t xml:space="preserve"> who established that</w:t>
      </w:r>
      <w:r w:rsidR="003859C9" w:rsidRPr="00EB11D3">
        <w:rPr>
          <w:rFonts w:eastAsia="Times New Roman"/>
          <w:bCs/>
          <w:szCs w:val="24"/>
        </w:rPr>
        <w:t xml:space="preserve"> businesses may encounter difficulties adhering to regulations in several countries in an increasingly worldwide economic environment. Through its effects on supply chain management, market access, and strategic decision-making, international trade agreements, standards, and laws can affect the success of a firm. The goal of regulatory harmonization initiatives is to simplify international compliance requirements, lower compliance costs, and improve organizational performance.</w:t>
      </w:r>
    </w:p>
    <w:p w14:paraId="71A49BAA" w14:textId="77777777" w:rsidR="003859C9" w:rsidRPr="00EB11D3" w:rsidRDefault="006E71FE" w:rsidP="003859C9">
      <w:pPr>
        <w:shd w:val="clear" w:color="auto" w:fill="FFFFFF"/>
        <w:spacing w:after="160" w:line="360" w:lineRule="auto"/>
        <w:rPr>
          <w:rFonts w:eastAsia="DengXian"/>
          <w:b/>
          <w:bCs/>
          <w:szCs w:val="24"/>
          <w:lang w:val="en-GB" w:eastAsia="zh-CN"/>
        </w:rPr>
      </w:pPr>
      <w:r>
        <w:rPr>
          <w:rFonts w:eastAsia="Times New Roman"/>
          <w:bCs/>
          <w:szCs w:val="24"/>
        </w:rPr>
        <w:t xml:space="preserve">In conclusion, the study findings are in line with those by </w:t>
      </w:r>
      <w:r w:rsidR="003859C9" w:rsidRPr="00EB11D3">
        <w:rPr>
          <w:rFonts w:eastAsia="Times New Roman"/>
          <w:bCs/>
          <w:szCs w:val="24"/>
        </w:rPr>
        <w:t xml:space="preserve">Tzenios (2019) </w:t>
      </w:r>
      <w:r w:rsidR="00242960">
        <w:rPr>
          <w:rFonts w:eastAsia="Times New Roman"/>
          <w:bCs/>
          <w:szCs w:val="24"/>
        </w:rPr>
        <w:t xml:space="preserve">which </w:t>
      </w:r>
      <w:r w:rsidR="003859C9" w:rsidRPr="00EB11D3">
        <w:rPr>
          <w:rFonts w:eastAsia="Times New Roman"/>
          <w:bCs/>
          <w:szCs w:val="24"/>
        </w:rPr>
        <w:t xml:space="preserve">argues that systemic issues include government rules and regulations, healthcare spending, and healthcare systems. Government laws and regulations can affect healthcare access by dictating who is qualified for certain services and programs, as well as how those services are provided. By determining who can and cannot afford to pay for care, healthcare funding can also have an impact on access to healthcare. The implementation of universal healthcare coverage, the growth of primary healthcare services, the enhancement of healthcare infrastructure, the application of rules and quality standards, the expansion of public health education, the consideration of social determinants of health, and the general planning and financing of the healthcare system were among the other policies that were covered. </w:t>
      </w:r>
      <w:bookmarkStart w:id="1022" w:name="_Hlk162346535"/>
      <w:r w:rsidR="003859C9" w:rsidRPr="00EB11D3">
        <w:rPr>
          <w:rFonts w:eastAsia="Times New Roman"/>
          <w:bCs/>
          <w:szCs w:val="24"/>
        </w:rPr>
        <w:t xml:space="preserve"> This study demonstrated how crucial it is to address these factors and how communities, governments, and healthcare providers must work together to guarantee that everyone has access to healthcare. To improve overall healthcare accessibility, it is imperative to address all levels of factors that may have a cumulative impact on an individual's ability to get medical treatment. Understanding these factors can influence programs and policies that improve underprivileged people's access to healthcare.</w:t>
      </w:r>
      <w:bookmarkEnd w:id="1022"/>
    </w:p>
    <w:p w14:paraId="52F4AB5D" w14:textId="77777777" w:rsidR="003859C9" w:rsidRPr="00EB11D3" w:rsidRDefault="003859C9" w:rsidP="00823CEA">
      <w:pPr>
        <w:pStyle w:val="Heading3"/>
        <w:spacing w:after="240"/>
      </w:pPr>
      <w:bookmarkStart w:id="1023" w:name="_Toc164151279"/>
      <w:bookmarkStart w:id="1024" w:name="_Toc168673471"/>
      <w:bookmarkStart w:id="1025" w:name="_Toc168737912"/>
      <w:bookmarkStart w:id="1026" w:name="_Toc171602666"/>
      <w:bookmarkStart w:id="1027" w:name="_Toc171603493"/>
      <w:bookmarkStart w:id="1028" w:name="_Toc177387898"/>
      <w:r w:rsidRPr="00EB11D3">
        <w:t>5.</w:t>
      </w:r>
      <w:r w:rsidR="005C6D5E">
        <w:t>1</w:t>
      </w:r>
      <w:r w:rsidRPr="00EB11D3">
        <w:t xml:space="preserve">.4 </w:t>
      </w:r>
      <w:r w:rsidR="00E70D07" w:rsidRPr="00EB11D3">
        <w:t xml:space="preserve">Mediated </w:t>
      </w:r>
      <w:r w:rsidR="00952287">
        <w:t>M</w:t>
      </w:r>
      <w:r w:rsidR="00E70D07" w:rsidRPr="00EB11D3">
        <w:t xml:space="preserve">oderation </w:t>
      </w:r>
      <w:r w:rsidRPr="00EB11D3">
        <w:t>Effect</w:t>
      </w:r>
      <w:bookmarkEnd w:id="1018"/>
      <w:bookmarkEnd w:id="1019"/>
      <w:bookmarkEnd w:id="1020"/>
      <w:bookmarkEnd w:id="1021"/>
      <w:bookmarkEnd w:id="1023"/>
      <w:bookmarkEnd w:id="1024"/>
      <w:bookmarkEnd w:id="1025"/>
      <w:bookmarkEnd w:id="1026"/>
      <w:bookmarkEnd w:id="1027"/>
      <w:bookmarkEnd w:id="1028"/>
    </w:p>
    <w:p w14:paraId="0F5EEA20" w14:textId="77777777" w:rsidR="003859C9" w:rsidRPr="00EB11D3" w:rsidRDefault="003859C9" w:rsidP="00823CEA">
      <w:pPr>
        <w:shd w:val="clear" w:color="auto" w:fill="FFFFFF"/>
        <w:spacing w:after="240" w:line="360" w:lineRule="auto"/>
        <w:rPr>
          <w:rFonts w:eastAsia="DengXian"/>
          <w:bCs/>
          <w:szCs w:val="24"/>
          <w:lang w:val="zh-CN" w:eastAsia="zh-CN"/>
        </w:rPr>
      </w:pPr>
      <w:r w:rsidRPr="00EB11D3">
        <w:rPr>
          <w:rFonts w:eastAsia="DengXian"/>
          <w:bCs/>
          <w:szCs w:val="24"/>
          <w:lang w:val="en-GB" w:eastAsia="zh-CN"/>
        </w:rPr>
        <w:t>The fourth objective of the study was to determine the</w:t>
      </w:r>
      <w:r w:rsidRPr="00EB11D3">
        <w:rPr>
          <w:szCs w:val="24"/>
          <w:lang w:val="zh-CN" w:eastAsia="zh-CN"/>
        </w:rPr>
        <w:t xml:space="preserve"> </w:t>
      </w:r>
      <w:r w:rsidR="00E70D07" w:rsidRPr="00EB11D3">
        <w:rPr>
          <w:rFonts w:eastAsia="DengXian"/>
          <w:bCs/>
          <w:szCs w:val="24"/>
          <w:lang w:val="zh-CN" w:eastAsia="zh-CN"/>
        </w:rPr>
        <w:t xml:space="preserve">mediated moderation </w:t>
      </w:r>
      <w:r w:rsidRPr="00EB11D3">
        <w:rPr>
          <w:rFonts w:eastAsia="DengXian"/>
          <w:bCs/>
          <w:szCs w:val="24"/>
          <w:lang w:val="zh-CN" w:eastAsia="zh-CN"/>
        </w:rPr>
        <w:t>effect of service</w:t>
      </w:r>
      <w:r w:rsidRPr="00EB11D3">
        <w:rPr>
          <w:rFonts w:eastAsia="DengXian"/>
          <w:bCs/>
          <w:szCs w:val="24"/>
          <w:lang w:val="en" w:eastAsia="zh-CN"/>
        </w:rPr>
        <w:t xml:space="preserve"> innovation and government regulation</w:t>
      </w:r>
      <w:r w:rsidRPr="00EB11D3">
        <w:rPr>
          <w:rFonts w:eastAsia="DengXian"/>
          <w:bCs/>
          <w:szCs w:val="24"/>
          <w:lang w:val="zh-CN" w:eastAsia="zh-CN"/>
        </w:rPr>
        <w:t xml:space="preserve"> on the relationship between corporate governance and </w:t>
      </w:r>
      <w:r w:rsidR="006D5C62" w:rsidRPr="00EB11D3">
        <w:rPr>
          <w:rFonts w:eastAsia="DengXian"/>
          <w:bCs/>
          <w:szCs w:val="24"/>
          <w:lang w:val="zh-CN" w:eastAsia="zh-CN"/>
        </w:rPr>
        <w:t>organisational performance of Faith-Based Hospitals</w:t>
      </w:r>
      <w:r w:rsidRPr="00EB11D3">
        <w:rPr>
          <w:rFonts w:eastAsia="DengXian"/>
          <w:bCs/>
          <w:szCs w:val="24"/>
          <w:lang w:val="zh-CN" w:eastAsia="zh-CN"/>
        </w:rPr>
        <w:t xml:space="preserve"> in Kenya</w:t>
      </w:r>
      <w:r w:rsidRPr="00EB11D3">
        <w:rPr>
          <w:rFonts w:eastAsia="DengXian"/>
          <w:bCs/>
          <w:szCs w:val="24"/>
          <w:lang w:eastAsia="zh-CN"/>
        </w:rPr>
        <w:t>.</w:t>
      </w:r>
    </w:p>
    <w:p w14:paraId="47489136" w14:textId="77777777" w:rsidR="003859C9" w:rsidRPr="00EB11D3" w:rsidRDefault="003859C9" w:rsidP="003859C9">
      <w:pPr>
        <w:shd w:val="clear" w:color="auto" w:fill="FFFFFF"/>
        <w:spacing w:after="160" w:line="360" w:lineRule="auto"/>
        <w:rPr>
          <w:rFonts w:eastAsia="DengXian"/>
          <w:bCs/>
          <w:szCs w:val="24"/>
          <w:lang w:eastAsia="zh-CN"/>
        </w:rPr>
      </w:pPr>
      <w:r w:rsidRPr="00EB11D3">
        <w:rPr>
          <w:rFonts w:eastAsia="DengXian"/>
          <w:bCs/>
          <w:szCs w:val="24"/>
          <w:lang w:eastAsia="zh-CN"/>
        </w:rPr>
        <w:t>Transparency, accountability, and ethics in organizational management are ensured by effective corporate governance. It creates safeguards to safeguard the interests of different parties, such as customers, workers, shareholders, and the general public. Robust corporate governance methodologies cultivate reliance and assurance among interested parties, a prerequisite for enduring organizational achievements. Service innovation is essential for businesses to stand out from the competition, obtain a competitive advantage, and maintain long-term growth. By creating a climate that is conducive to taking risks, being creative, and investing in R&amp;D, good corporate governance promotes service innovation.</w:t>
      </w:r>
      <w:r w:rsidRPr="00EB11D3">
        <w:rPr>
          <w:sz w:val="22"/>
          <w:shd w:val="clear" w:color="auto" w:fill="FFFFFF"/>
        </w:rPr>
        <w:t xml:space="preserve"> </w:t>
      </w:r>
      <w:r w:rsidRPr="00EB11D3">
        <w:rPr>
          <w:rFonts w:eastAsia="DengXian"/>
          <w:bCs/>
          <w:szCs w:val="24"/>
          <w:lang w:eastAsia="zh-CN"/>
        </w:rPr>
        <w:t>Regulations have a big impact on how corporate governance is done and how service innovation is developed. Corporate governance regulations guarantee openness, responsibility, and moral behavior in businesses. In addition, they establish criteria for environmental sustainability, safety, and product quality, all of which have an effect on the rate and course of service innovation. A company's financial success, operational effectiveness, market share, customer satisfaction, and staff productivity are just a few of the many aspects that make up its overall performance. By strengthening decision-making procedures, encouraging creativity and innovation, reducing risks, and establishing trust with stakeholders, good corporate governance, service innovation, and regulatory compliance can all lead to increased organizational performance (Imran et al., 2022).</w:t>
      </w:r>
    </w:p>
    <w:p w14:paraId="45F79850" w14:textId="77777777" w:rsidR="00431996" w:rsidRPr="00EB11D3" w:rsidRDefault="00431996" w:rsidP="00125875">
      <w:pPr>
        <w:shd w:val="clear" w:color="auto" w:fill="FFFFFF"/>
        <w:spacing w:before="240" w:after="160" w:line="360" w:lineRule="auto"/>
        <w:rPr>
          <w:rFonts w:eastAsia="DengXian"/>
          <w:bCs/>
          <w:szCs w:val="24"/>
          <w:lang w:eastAsia="zh-CN"/>
        </w:rPr>
      </w:pPr>
      <w:r w:rsidRPr="00EB11D3">
        <w:rPr>
          <w:rFonts w:eastAsia="DengXian"/>
          <w:bCs/>
          <w:szCs w:val="24"/>
          <w:lang w:eastAsia="zh-CN"/>
        </w:rPr>
        <w:t xml:space="preserve">This study findings concur with that by Miao, Khan, Ghauri and Zaman (2023) which indicated </w:t>
      </w:r>
      <w:r w:rsidR="00CA7708" w:rsidRPr="00EB11D3">
        <w:rPr>
          <w:rFonts w:eastAsia="DengXian"/>
          <w:bCs/>
          <w:szCs w:val="24"/>
          <w:lang w:eastAsia="zh-CN"/>
        </w:rPr>
        <w:t xml:space="preserve">a </w:t>
      </w:r>
      <w:r w:rsidR="00E47936" w:rsidRPr="00EB11D3">
        <w:rPr>
          <w:rFonts w:eastAsia="DengXian"/>
          <w:bCs/>
          <w:szCs w:val="24"/>
          <w:lang w:eastAsia="zh-CN"/>
        </w:rPr>
        <w:t xml:space="preserve">significant effect </w:t>
      </w:r>
      <w:r w:rsidR="00A062BA" w:rsidRPr="00EB11D3">
        <w:rPr>
          <w:rFonts w:eastAsia="DengXian"/>
          <w:bCs/>
          <w:szCs w:val="24"/>
          <w:lang w:eastAsia="zh-CN"/>
        </w:rPr>
        <w:t>of corporate</w:t>
      </w:r>
      <w:r w:rsidR="00CA7708" w:rsidRPr="00EB11D3">
        <w:rPr>
          <w:rFonts w:eastAsia="DengXian"/>
          <w:bCs/>
          <w:szCs w:val="24"/>
          <w:lang w:eastAsia="zh-CN"/>
        </w:rPr>
        <w:t xml:space="preserve"> governance</w:t>
      </w:r>
      <w:r w:rsidR="005147F4" w:rsidRPr="00EB11D3">
        <w:rPr>
          <w:rFonts w:eastAsia="DengXian"/>
          <w:bCs/>
          <w:szCs w:val="24"/>
          <w:lang w:eastAsia="zh-CN"/>
        </w:rPr>
        <w:t xml:space="preserve"> </w:t>
      </w:r>
      <w:r w:rsidR="00E47936" w:rsidRPr="00EB11D3">
        <w:rPr>
          <w:rFonts w:eastAsia="DengXian"/>
          <w:bCs/>
          <w:szCs w:val="24"/>
          <w:lang w:eastAsia="zh-CN"/>
        </w:rPr>
        <w:t>on</w:t>
      </w:r>
      <w:r w:rsidR="005147F4" w:rsidRPr="00EB11D3">
        <w:rPr>
          <w:rFonts w:eastAsia="DengXian"/>
          <w:bCs/>
          <w:szCs w:val="24"/>
          <w:lang w:eastAsia="zh-CN"/>
        </w:rPr>
        <w:t xml:space="preserve"> performance. </w:t>
      </w:r>
      <w:r w:rsidR="00E47936" w:rsidRPr="00EB11D3">
        <w:rPr>
          <w:rFonts w:eastAsia="DengXian"/>
          <w:bCs/>
          <w:szCs w:val="24"/>
          <w:lang w:eastAsia="zh-CN"/>
        </w:rPr>
        <w:t xml:space="preserve">Board gender diversity has negative correlation with performance while </w:t>
      </w:r>
      <w:r w:rsidR="00F625E2" w:rsidRPr="00EB11D3">
        <w:rPr>
          <w:rFonts w:eastAsia="DengXian"/>
          <w:bCs/>
          <w:szCs w:val="24"/>
          <w:lang w:eastAsia="zh-CN"/>
        </w:rPr>
        <w:t xml:space="preserve">firm age </w:t>
      </w:r>
      <w:r w:rsidR="00A062BA" w:rsidRPr="00EB11D3">
        <w:rPr>
          <w:rFonts w:eastAsia="DengXian"/>
          <w:bCs/>
          <w:szCs w:val="24"/>
          <w:lang w:eastAsia="zh-CN"/>
        </w:rPr>
        <w:t>and firm size has a positive link with performance.</w:t>
      </w:r>
      <w:r w:rsidR="00F92F3D" w:rsidRPr="00EB11D3">
        <w:rPr>
          <w:rFonts w:eastAsia="DengXian"/>
          <w:bCs/>
          <w:szCs w:val="24"/>
          <w:lang w:eastAsia="zh-CN"/>
        </w:rPr>
        <w:t xml:space="preserve"> The study further indicates a positive but an insignificant relationship between board gender diversity and performance.</w:t>
      </w:r>
      <w:r w:rsidR="00B661E1" w:rsidRPr="00EB11D3">
        <w:rPr>
          <w:rFonts w:eastAsia="DengXian"/>
          <w:bCs/>
          <w:szCs w:val="24"/>
          <w:lang w:eastAsia="zh-CN"/>
        </w:rPr>
        <w:t xml:space="preserve"> </w:t>
      </w:r>
      <w:r w:rsidR="00C750DC" w:rsidRPr="00EB11D3">
        <w:rPr>
          <w:rFonts w:eastAsia="DengXian"/>
          <w:bCs/>
          <w:szCs w:val="24"/>
          <w:lang w:eastAsia="zh-CN"/>
        </w:rPr>
        <w:t>It is worth knowing that t</w:t>
      </w:r>
      <w:r w:rsidR="00B661E1" w:rsidRPr="00EB11D3">
        <w:rPr>
          <w:rFonts w:eastAsia="DengXian"/>
          <w:bCs/>
          <w:szCs w:val="24"/>
          <w:lang w:eastAsia="zh-CN"/>
        </w:rPr>
        <w:t xml:space="preserve">he corporate governance of emerging market firms </w:t>
      </w:r>
      <w:r w:rsidR="00C05FDB" w:rsidRPr="00EB11D3">
        <w:rPr>
          <w:rFonts w:eastAsia="DengXian"/>
          <w:bCs/>
          <w:szCs w:val="24"/>
          <w:lang w:eastAsia="zh-CN"/>
        </w:rPr>
        <w:t>make</w:t>
      </w:r>
      <w:r w:rsidR="00B661E1" w:rsidRPr="00EB11D3">
        <w:rPr>
          <w:rFonts w:eastAsia="DengXian"/>
          <w:bCs/>
          <w:szCs w:val="24"/>
          <w:lang w:eastAsia="zh-CN"/>
        </w:rPr>
        <w:t xml:space="preserve"> their financial performance different from those of other firms in the same market.</w:t>
      </w:r>
      <w:r w:rsidR="00C05FDB" w:rsidRPr="00EB11D3">
        <w:rPr>
          <w:rFonts w:eastAsia="DengXian"/>
          <w:bCs/>
          <w:szCs w:val="24"/>
          <w:lang w:eastAsia="zh-CN"/>
        </w:rPr>
        <w:t xml:space="preserve"> Similarly, Martín and Herrero (2018) </w:t>
      </w:r>
      <w:r w:rsidR="00D0461E" w:rsidRPr="00EB11D3">
        <w:rPr>
          <w:rFonts w:eastAsia="DengXian"/>
          <w:bCs/>
          <w:szCs w:val="24"/>
          <w:lang w:eastAsia="zh-CN"/>
        </w:rPr>
        <w:t>support</w:t>
      </w:r>
      <w:r w:rsidR="00C05FDB" w:rsidRPr="00EB11D3">
        <w:rPr>
          <w:rFonts w:eastAsia="DengXian"/>
          <w:bCs/>
          <w:szCs w:val="24"/>
          <w:lang w:eastAsia="zh-CN"/>
        </w:rPr>
        <w:t xml:space="preserve"> the findings by stating that </w:t>
      </w:r>
      <w:r w:rsidR="00C33E94" w:rsidRPr="00EB11D3">
        <w:rPr>
          <w:rFonts w:eastAsia="DengXian"/>
          <w:bCs/>
          <w:szCs w:val="24"/>
          <w:lang w:eastAsia="zh-CN"/>
        </w:rPr>
        <w:t>the study had a negative and significant relationship between the independence of boards and performance.</w:t>
      </w:r>
      <w:r w:rsidR="00756108" w:rsidRPr="00EB11D3">
        <w:t xml:space="preserve"> </w:t>
      </w:r>
      <w:r w:rsidR="00756108" w:rsidRPr="00EB11D3">
        <w:rPr>
          <w:rFonts w:eastAsia="DengXian"/>
          <w:bCs/>
          <w:szCs w:val="24"/>
          <w:lang w:eastAsia="zh-CN"/>
        </w:rPr>
        <w:t>Additionally, Sarhan, Ntim, and Al-Najjar (2019) provided threefold support for the study's conclusions. First, company financial performance is positively impacted by board diversity, as indicated by the gender and nationality of the directors. Second, better governed companies have a larger correlation between board diversity and business performance than do poorly governed companies. Lastly, diversity on the board, as indicated by the gender, country, and ethnicity of the directors, improves pay-for-performance sensitivity but not executive compensation itself.</w:t>
      </w:r>
    </w:p>
    <w:p w14:paraId="469B0AC8" w14:textId="77777777" w:rsidR="003859C9" w:rsidRPr="00EB11D3" w:rsidRDefault="00057D11" w:rsidP="003859C9">
      <w:pPr>
        <w:shd w:val="clear" w:color="auto" w:fill="FFFFFF"/>
        <w:spacing w:after="160" w:line="360" w:lineRule="auto"/>
        <w:rPr>
          <w:rFonts w:eastAsia="Times New Roman"/>
          <w:bCs/>
          <w:szCs w:val="24"/>
        </w:rPr>
      </w:pPr>
      <w:r w:rsidRPr="00EB11D3">
        <w:rPr>
          <w:rFonts w:eastAsia="Times New Roman"/>
          <w:bCs/>
          <w:szCs w:val="24"/>
        </w:rPr>
        <w:t xml:space="preserve">The findings of the study are also supported by Iranmanesh, Kumar, Foroughi, Mavi and Min </w:t>
      </w:r>
      <w:r w:rsidR="003859C9" w:rsidRPr="00EB11D3">
        <w:rPr>
          <w:rFonts w:eastAsia="Times New Roman"/>
          <w:bCs/>
          <w:szCs w:val="24"/>
        </w:rPr>
        <w:t>(2021) examined the relationship between organizational structure and manufacturing organizations' innovation capability and operational performance, using innovation capability as a moderator. The findings indicate that innovative capability is positively and significantly impacted by formalization, informal social relationships, link mechanisms, and specialization. Moreover, there is evidence to establish the link between operational performance and innovative capability. Additionally, the effects of link mechanisms and informal social relationships on a firm's capacity for innovation are favorably moderated by innovation capabilities. The study's conclusions assist managers of manufacturing companies in improving their companies' capacity for innovation and operational effectiveness.</w:t>
      </w:r>
    </w:p>
    <w:p w14:paraId="44F96CB4" w14:textId="77777777" w:rsidR="003859C9" w:rsidRPr="00EB11D3" w:rsidRDefault="007D2EFA" w:rsidP="00A523C2">
      <w:pPr>
        <w:spacing w:after="0" w:line="360" w:lineRule="auto"/>
        <w:rPr>
          <w:rFonts w:eastAsia="Times New Roman"/>
          <w:bCs/>
          <w:szCs w:val="24"/>
        </w:rPr>
      </w:pPr>
      <w:r>
        <w:rPr>
          <w:rFonts w:eastAsia="Times New Roman"/>
          <w:szCs w:val="24"/>
        </w:rPr>
        <w:t xml:space="preserve">The study results are in line with that by </w:t>
      </w:r>
      <w:r w:rsidR="00A523C2" w:rsidRPr="00EB11D3">
        <w:rPr>
          <w:rFonts w:eastAsia="Times New Roman"/>
          <w:szCs w:val="24"/>
        </w:rPr>
        <w:t xml:space="preserve">Dobrzykowski and McFadden's (2020) study, which found that lean strategy affects process integration and that process integration affects operational efficiency and patient satisfaction, lends more support to the study conclusions. It was discovered that trust strengthens the beneficial association between lean strategy and process integration, making it stronger when doctors work for the hospital and weaker when they don't. A post hoc analysis showed that the relationship between process integration and patient satisfaction is also influenced by the employment of physicians. </w:t>
      </w:r>
      <w:r w:rsidR="00315730" w:rsidRPr="00EB11D3">
        <w:rPr>
          <w:rFonts w:eastAsia="Times New Roman"/>
          <w:bCs/>
          <w:szCs w:val="24"/>
        </w:rPr>
        <w:t>The results further concur with that by Imran, Ismail, Arshad, Zeb and Zahid (2022</w:t>
      </w:r>
      <w:r w:rsidR="003859C9" w:rsidRPr="00EB11D3">
        <w:rPr>
          <w:rFonts w:eastAsia="Times New Roman"/>
          <w:bCs/>
          <w:szCs w:val="24"/>
        </w:rPr>
        <w:t xml:space="preserve">) </w:t>
      </w:r>
      <w:r w:rsidR="00B07147" w:rsidRPr="00EB11D3">
        <w:rPr>
          <w:rFonts w:eastAsia="Times New Roman"/>
          <w:bCs/>
          <w:szCs w:val="24"/>
        </w:rPr>
        <w:t xml:space="preserve">which </w:t>
      </w:r>
      <w:r w:rsidR="003859C9" w:rsidRPr="00EB11D3">
        <w:rPr>
          <w:rFonts w:eastAsia="Times New Roman"/>
          <w:bCs/>
          <w:szCs w:val="24"/>
        </w:rPr>
        <w:t>examine</w:t>
      </w:r>
      <w:r w:rsidR="00B07147" w:rsidRPr="00EB11D3">
        <w:rPr>
          <w:rFonts w:eastAsia="Times New Roman"/>
          <w:bCs/>
          <w:szCs w:val="24"/>
        </w:rPr>
        <w:t>d</w:t>
      </w:r>
      <w:r w:rsidR="003859C9" w:rsidRPr="00EB11D3">
        <w:rPr>
          <w:rFonts w:eastAsia="Times New Roman"/>
          <w:bCs/>
          <w:szCs w:val="24"/>
        </w:rPr>
        <w:t xml:space="preserve"> the mediating role of innovation in the link between ITG and organizational performance in Pakistani petroleum services organizations. The findings showed that ITG has a favorable impact on both organizational performance and innovation. Performance inside an organization was positively impacted by innovation. The association between ITG and organizational performance was somewhat mediated by innovation. In this context, the study supports the strategic use of information technology (IT) to improve organizational performance and creativity.</w:t>
      </w:r>
    </w:p>
    <w:p w14:paraId="2FCC0B42" w14:textId="77777777" w:rsidR="005B20DD" w:rsidRPr="00EB11D3" w:rsidRDefault="005B20DD" w:rsidP="00A523C2">
      <w:pPr>
        <w:spacing w:after="0" w:line="360" w:lineRule="auto"/>
        <w:rPr>
          <w:rFonts w:eastAsia="Times New Roman"/>
          <w:bCs/>
          <w:szCs w:val="24"/>
        </w:rPr>
      </w:pPr>
    </w:p>
    <w:p w14:paraId="41D8C2F6" w14:textId="77777777" w:rsidR="003859C9" w:rsidRPr="00EB11D3" w:rsidRDefault="003859C9" w:rsidP="003859C9">
      <w:pPr>
        <w:shd w:val="clear" w:color="auto" w:fill="FFFFFF"/>
        <w:spacing w:after="160" w:line="360" w:lineRule="auto"/>
        <w:rPr>
          <w:rFonts w:eastAsia="Times New Roman"/>
          <w:bCs/>
          <w:iCs/>
          <w:szCs w:val="24"/>
        </w:rPr>
      </w:pPr>
      <w:r w:rsidRPr="00EB11D3">
        <w:rPr>
          <w:rFonts w:eastAsia="Times New Roman"/>
          <w:bCs/>
          <w:iCs/>
          <w:szCs w:val="24"/>
        </w:rPr>
        <w:t xml:space="preserve">Zahoor et al., (2024) </w:t>
      </w:r>
      <w:r w:rsidR="00846B85" w:rsidRPr="00EB11D3">
        <w:rPr>
          <w:rFonts w:eastAsia="Times New Roman"/>
          <w:bCs/>
          <w:iCs/>
          <w:szCs w:val="24"/>
        </w:rPr>
        <w:t xml:space="preserve">also supports the current study by linking </w:t>
      </w:r>
      <w:r w:rsidRPr="00EB11D3">
        <w:rPr>
          <w:rFonts w:eastAsia="Times New Roman"/>
          <w:bCs/>
          <w:iCs/>
          <w:szCs w:val="24"/>
        </w:rPr>
        <w:t>risk management, board effectiveness, innovation, and corporate governance</w:t>
      </w:r>
      <w:r w:rsidR="00091C8D" w:rsidRPr="00EB11D3">
        <w:rPr>
          <w:rFonts w:eastAsia="Times New Roman"/>
          <w:bCs/>
          <w:iCs/>
          <w:szCs w:val="24"/>
        </w:rPr>
        <w:t xml:space="preserve"> to performance</w:t>
      </w:r>
      <w:r w:rsidRPr="00EB11D3">
        <w:rPr>
          <w:rFonts w:eastAsia="Times New Roman"/>
          <w:bCs/>
          <w:iCs/>
          <w:szCs w:val="24"/>
        </w:rPr>
        <w:t>. It also examines how government policy and business governance function as moderators and mediators. This study primarily used the resource-based perspective theory and agency theory to investigate the relationship between corporate governance and business performance. Nonetheless, the findings show a strong relationship between corporate governance, innovation, risk management, and board effectiveness. The findings show that the relationship between risk management, board effectiveness, innovation, and the performance of the company was considerably mediated by corporate governance. More crucially, the performance of the corporation and corporate governance were considerably controlled by government policy.</w:t>
      </w:r>
    </w:p>
    <w:p w14:paraId="33BC24FE" w14:textId="77777777" w:rsidR="00827553" w:rsidRPr="00EB11D3" w:rsidRDefault="004E33B4" w:rsidP="00EB01C7">
      <w:pPr>
        <w:shd w:val="clear" w:color="auto" w:fill="FFFFFF"/>
        <w:spacing w:after="0" w:line="360" w:lineRule="auto"/>
        <w:rPr>
          <w:rFonts w:eastAsia="Times New Roman"/>
          <w:bCs/>
          <w:szCs w:val="24"/>
        </w:rPr>
      </w:pPr>
      <w:r w:rsidRPr="00EB11D3">
        <w:rPr>
          <w:rFonts w:eastAsia="Times New Roman"/>
          <w:bCs/>
          <w:szCs w:val="24"/>
        </w:rPr>
        <w:t xml:space="preserve">The current study’s finding is further supported by Saleem, Khan, Hasan and Ashfaq </w:t>
      </w:r>
      <w:r w:rsidR="003859C9" w:rsidRPr="00EB11D3">
        <w:rPr>
          <w:rFonts w:eastAsia="Times New Roman"/>
          <w:bCs/>
          <w:szCs w:val="24"/>
        </w:rPr>
        <w:t xml:space="preserve">(2021) </w:t>
      </w:r>
      <w:r w:rsidRPr="00EB11D3">
        <w:rPr>
          <w:rFonts w:eastAsia="Times New Roman"/>
          <w:bCs/>
          <w:szCs w:val="24"/>
        </w:rPr>
        <w:t xml:space="preserve">which </w:t>
      </w:r>
      <w:r w:rsidR="003859C9" w:rsidRPr="00EB11D3">
        <w:rPr>
          <w:rFonts w:eastAsia="Times New Roman"/>
          <w:bCs/>
          <w:szCs w:val="24"/>
        </w:rPr>
        <w:t xml:space="preserve">provided an explanation for the companies' utilisation of innovative management control and departure from conventional corporate governance </w:t>
      </w:r>
      <w:r w:rsidR="00E348B0" w:rsidRPr="00EB11D3">
        <w:rPr>
          <w:rFonts w:eastAsia="Times New Roman"/>
          <w:bCs/>
          <w:szCs w:val="24"/>
        </w:rPr>
        <w:t>practices</w:t>
      </w:r>
      <w:r w:rsidR="003859C9" w:rsidRPr="00EB11D3">
        <w:rPr>
          <w:rFonts w:eastAsia="Times New Roman"/>
          <w:bCs/>
          <w:szCs w:val="24"/>
        </w:rPr>
        <w:t>. Research reveals that a company's performance is impacted by deviations from governance practices. Thus, it can be concluded that companies that employ cutting-edge governance techniques typically maintain their competitive edge by setting the standard for governance. The results also generalize viewpoints on organizational ecology and the firm's entrepreneurial character.</w:t>
      </w:r>
      <w:r w:rsidR="00827553" w:rsidRPr="00EB11D3">
        <w:rPr>
          <w:rFonts w:eastAsia="Times New Roman"/>
          <w:szCs w:val="24"/>
        </w:rPr>
        <w:t xml:space="preserve"> </w:t>
      </w:r>
      <w:r w:rsidR="00827553" w:rsidRPr="00EB11D3">
        <w:rPr>
          <w:rFonts w:eastAsia="Times New Roman"/>
          <w:bCs/>
          <w:szCs w:val="24"/>
        </w:rPr>
        <w:t>Furthermore, the findings of the study are in agreement with the observations made by Szabo (2021), who highlighted the fact that the concept of governance is no longer confined to senior leadership teams. In point of fact, these ideas are currently exerting some degree of influence over each and every member and level of personnel within the organisation. The dilemmas that arise in organisational governance are frequently difficult to solve, involve a large number of stakeholder groups, and almost never have a straightforward answer that gets to the bottom of the issue. Despite the rising importance of governance in the healthcare sector, governance continues to play a fairly modest role in healthcare administration and management education.</w:t>
      </w:r>
    </w:p>
    <w:p w14:paraId="53E40501" w14:textId="77777777" w:rsidR="003859C9" w:rsidRPr="00EB11D3" w:rsidRDefault="003859C9" w:rsidP="00725CE4">
      <w:pPr>
        <w:shd w:val="clear" w:color="auto" w:fill="FFFFFF"/>
        <w:spacing w:after="0" w:line="360" w:lineRule="auto"/>
        <w:rPr>
          <w:rFonts w:eastAsia="Times New Roman"/>
          <w:bCs/>
          <w:szCs w:val="24"/>
        </w:rPr>
      </w:pPr>
    </w:p>
    <w:p w14:paraId="6DA0E44E" w14:textId="77777777" w:rsidR="003859C9" w:rsidRPr="00EB11D3" w:rsidRDefault="007D2EFA" w:rsidP="00B76596">
      <w:pPr>
        <w:spacing w:line="360" w:lineRule="auto"/>
        <w:rPr>
          <w:rFonts w:eastAsia="Times New Roman"/>
          <w:bCs/>
          <w:szCs w:val="24"/>
        </w:rPr>
      </w:pPr>
      <w:r>
        <w:rPr>
          <w:rFonts w:eastAsia="Times New Roman"/>
          <w:bCs/>
          <w:iCs/>
          <w:szCs w:val="24"/>
        </w:rPr>
        <w:t xml:space="preserve">The current study </w:t>
      </w:r>
      <w:r w:rsidR="005A24D7">
        <w:rPr>
          <w:rFonts w:eastAsia="Times New Roman"/>
          <w:bCs/>
          <w:iCs/>
          <w:szCs w:val="24"/>
        </w:rPr>
        <w:t xml:space="preserve">findings </w:t>
      </w:r>
      <w:r>
        <w:rPr>
          <w:rFonts w:eastAsia="Times New Roman"/>
          <w:bCs/>
          <w:iCs/>
          <w:szCs w:val="24"/>
        </w:rPr>
        <w:t xml:space="preserve">agree with that by </w:t>
      </w:r>
      <w:r w:rsidR="003859C9" w:rsidRPr="00EB11D3">
        <w:rPr>
          <w:rFonts w:eastAsia="Times New Roman"/>
          <w:bCs/>
          <w:iCs/>
          <w:szCs w:val="24"/>
        </w:rPr>
        <w:t xml:space="preserve">Pusparani, Moko, and Prabandari (2023) </w:t>
      </w:r>
      <w:r w:rsidR="005A24D7">
        <w:rPr>
          <w:rFonts w:eastAsia="Times New Roman"/>
          <w:bCs/>
          <w:iCs/>
          <w:szCs w:val="24"/>
        </w:rPr>
        <w:t xml:space="preserve">who </w:t>
      </w:r>
      <w:r w:rsidR="003859C9" w:rsidRPr="00EB11D3">
        <w:rPr>
          <w:rFonts w:eastAsia="Times New Roman"/>
          <w:bCs/>
          <w:iCs/>
          <w:szCs w:val="24"/>
        </w:rPr>
        <w:t>looked into the function of service innovation as a mediator.</w:t>
      </w:r>
      <w:r>
        <w:rPr>
          <w:rFonts w:eastAsia="Times New Roman"/>
          <w:bCs/>
          <w:iCs/>
          <w:szCs w:val="24"/>
        </w:rPr>
        <w:t xml:space="preserve"> </w:t>
      </w:r>
      <w:r w:rsidR="003859C9" w:rsidRPr="00EB11D3">
        <w:rPr>
          <w:rFonts w:eastAsia="Times New Roman"/>
          <w:bCs/>
          <w:iCs/>
          <w:szCs w:val="24"/>
        </w:rPr>
        <w:t>The results of this study show a strong and favorable relationship between an entrepreneurial mindset and an organization's capacity for learning as well as between service innovation and success. In terms of organizational performance, it is found that service innovation does not mediate the relationship between an entrepreneurial mindset and organizational learning capacity. It is hoped that the results of this investigation will significantly advance science and the stakeholders involved.</w:t>
      </w:r>
      <w:r w:rsidR="00B76596">
        <w:rPr>
          <w:rFonts w:eastAsia="Times New Roman"/>
          <w:bCs/>
          <w:iCs/>
          <w:szCs w:val="24"/>
        </w:rPr>
        <w:t xml:space="preserve"> </w:t>
      </w:r>
      <w:r w:rsidR="000870A7" w:rsidRPr="00EB11D3">
        <w:rPr>
          <w:szCs w:val="24"/>
          <w:shd w:val="clear" w:color="auto" w:fill="FFFFFF"/>
        </w:rPr>
        <w:t xml:space="preserve">Aswani and Mutunga (2023) </w:t>
      </w:r>
      <w:r w:rsidR="004E33B4" w:rsidRPr="00EB11D3">
        <w:rPr>
          <w:rFonts w:eastAsia="Times New Roman"/>
          <w:bCs/>
          <w:szCs w:val="24"/>
        </w:rPr>
        <w:t xml:space="preserve">study </w:t>
      </w:r>
      <w:r w:rsidR="00827553" w:rsidRPr="00EB11D3">
        <w:rPr>
          <w:rFonts w:eastAsia="Times New Roman"/>
          <w:bCs/>
          <w:szCs w:val="24"/>
        </w:rPr>
        <w:t>support</w:t>
      </w:r>
      <w:r w:rsidR="004E33B4" w:rsidRPr="00EB11D3">
        <w:rPr>
          <w:rFonts w:eastAsia="Times New Roman"/>
          <w:bCs/>
          <w:szCs w:val="24"/>
        </w:rPr>
        <w:t xml:space="preserve"> the current study by </w:t>
      </w:r>
      <w:r w:rsidR="003859C9" w:rsidRPr="00EB11D3">
        <w:rPr>
          <w:rFonts w:eastAsia="Times New Roman"/>
          <w:bCs/>
          <w:szCs w:val="24"/>
        </w:rPr>
        <w:t>examin</w:t>
      </w:r>
      <w:r w:rsidR="004E33B4" w:rsidRPr="00EB11D3">
        <w:rPr>
          <w:rFonts w:eastAsia="Times New Roman"/>
          <w:bCs/>
          <w:szCs w:val="24"/>
        </w:rPr>
        <w:t>ing</w:t>
      </w:r>
      <w:r w:rsidR="003859C9" w:rsidRPr="00EB11D3">
        <w:rPr>
          <w:rFonts w:eastAsia="Times New Roman"/>
          <w:bCs/>
          <w:szCs w:val="24"/>
        </w:rPr>
        <w:t xml:space="preserve"> how corporate governance </w:t>
      </w:r>
      <w:r w:rsidR="00F67452" w:rsidRPr="00EB11D3">
        <w:rPr>
          <w:rFonts w:eastAsia="Times New Roman"/>
          <w:bCs/>
          <w:szCs w:val="24"/>
        </w:rPr>
        <w:t xml:space="preserve">practices </w:t>
      </w:r>
      <w:r w:rsidR="003859C9" w:rsidRPr="00EB11D3">
        <w:rPr>
          <w:rFonts w:eastAsia="Times New Roman"/>
          <w:bCs/>
          <w:szCs w:val="24"/>
        </w:rPr>
        <w:t xml:space="preserve">can </w:t>
      </w:r>
      <w:r w:rsidR="004E33B4" w:rsidRPr="00EB11D3">
        <w:rPr>
          <w:rFonts w:eastAsia="Times New Roman"/>
          <w:bCs/>
          <w:szCs w:val="24"/>
        </w:rPr>
        <w:t>influence</w:t>
      </w:r>
      <w:r w:rsidR="003859C9" w:rsidRPr="00EB11D3">
        <w:rPr>
          <w:rFonts w:eastAsia="Times New Roman"/>
          <w:bCs/>
          <w:szCs w:val="24"/>
        </w:rPr>
        <w:t xml:space="preserve"> performance. </w:t>
      </w:r>
      <w:r w:rsidR="000870A7" w:rsidRPr="00EB11D3">
        <w:rPr>
          <w:rFonts w:eastAsia="Times New Roman"/>
          <w:bCs/>
          <w:szCs w:val="24"/>
        </w:rPr>
        <w:t xml:space="preserve">The </w:t>
      </w:r>
      <w:r w:rsidR="00F67452" w:rsidRPr="00EB11D3">
        <w:rPr>
          <w:rFonts w:eastAsia="Times New Roman"/>
          <w:bCs/>
          <w:szCs w:val="24"/>
        </w:rPr>
        <w:t xml:space="preserve">study </w:t>
      </w:r>
      <w:r w:rsidR="000870A7" w:rsidRPr="00EB11D3">
        <w:rPr>
          <w:rFonts w:eastAsia="Times New Roman"/>
          <w:bCs/>
          <w:szCs w:val="24"/>
        </w:rPr>
        <w:t>results indicated a weak positive significant association between board independence and the performance of Mombasa County's medium-sized businesses. Additionally, there was a strong correlation between performance and board size</w:t>
      </w:r>
      <w:r w:rsidR="003859C9" w:rsidRPr="00EB11D3">
        <w:rPr>
          <w:rFonts w:eastAsia="Times New Roman"/>
          <w:bCs/>
          <w:szCs w:val="24"/>
        </w:rPr>
        <w:t>.</w:t>
      </w:r>
      <w:r w:rsidR="007A25EE" w:rsidRPr="00EB11D3">
        <w:rPr>
          <w:rFonts w:eastAsia="Times New Roman"/>
          <w:bCs/>
          <w:szCs w:val="24"/>
        </w:rPr>
        <w:t xml:space="preserve"> There was also a positive association between the frequency of board meetings the operational efficiency of</w:t>
      </w:r>
      <w:r w:rsidR="00F67452" w:rsidRPr="00EB11D3">
        <w:rPr>
          <w:rFonts w:eastAsia="Times New Roman"/>
          <w:bCs/>
          <w:szCs w:val="24"/>
        </w:rPr>
        <w:t xml:space="preserve"> the businesses</w:t>
      </w:r>
      <w:r w:rsidR="007A25EE" w:rsidRPr="00EB11D3">
        <w:rPr>
          <w:rFonts w:eastAsia="Times New Roman"/>
          <w:bCs/>
          <w:szCs w:val="24"/>
        </w:rPr>
        <w:t>. The findings of the study indicate that the authorities ought to tighten its procedures in order to guarantee that the corporate governance disclosures that are included in annual reports are actually put into effect at the level of the company, rather than merely being assertions of good intentions. The standard for corporate governance will be dramatically raised as a result of this, which will ultimately lead to improved business performance. In general, corporate governance has a positive impact on all of the performance measurements that are utilised by an organisation. According to the findings of the study, in order to address the issues that are associated with corporate governance, researchers, managers, and policymakers in the small and medium-sized enterprise sector need to be more open and flexible.</w:t>
      </w:r>
    </w:p>
    <w:p w14:paraId="50638895" w14:textId="77777777" w:rsidR="000A27FB" w:rsidRPr="00EB11D3" w:rsidRDefault="00EA1B72" w:rsidP="000A27FB">
      <w:pPr>
        <w:shd w:val="clear" w:color="auto" w:fill="FFFFFF"/>
        <w:spacing w:after="160" w:line="360" w:lineRule="auto"/>
        <w:rPr>
          <w:rFonts w:eastAsia="Times New Roman"/>
          <w:bCs/>
          <w:szCs w:val="24"/>
        </w:rPr>
      </w:pPr>
      <w:r w:rsidRPr="00EB11D3">
        <w:rPr>
          <w:rFonts w:eastAsia="Times New Roman"/>
          <w:bCs/>
          <w:szCs w:val="24"/>
        </w:rPr>
        <w:t>The study's findings align with those of Widjaja (2020), who noted that appropriate corporate management and clinical governance are prerequisites for good hospital governance. The results demonstrated that the regulations governing chemists' roles in hospitals contained few restrictions. It was also observed that in appropriate hospital governance settings, chemists play two distinct but crucial functions that work in tandem.</w:t>
      </w:r>
      <w:r w:rsidR="00F16554" w:rsidRPr="00EB11D3">
        <w:rPr>
          <w:rFonts w:eastAsia="Times New Roman"/>
          <w:bCs/>
          <w:szCs w:val="24"/>
        </w:rPr>
        <w:t xml:space="preserve"> Further, the </w:t>
      </w:r>
      <w:r w:rsidR="00D460B8" w:rsidRPr="00EB11D3">
        <w:rPr>
          <w:rFonts w:eastAsia="Times New Roman"/>
          <w:bCs/>
          <w:szCs w:val="24"/>
        </w:rPr>
        <w:t>present study aligns with the research conducted by Alzahrani and Hakami (2022), which demonstrated a noteworthy influence of hospital management board, accountability, social responsibility, and transparency on the overall effectiveness of hospital organisations. While the hospital management board is one of the key components contributing to the success of the organisation, transparency is one of the major factors that impact the success of the organisation. In terms of healthcare, hospitals have a social obligation to provide their patients with high-quality care so that they will in turn become socially accountable for the care they get.</w:t>
      </w:r>
      <w:r w:rsidR="00833CD3" w:rsidRPr="00EB11D3">
        <w:rPr>
          <w:rFonts w:eastAsia="Times New Roman"/>
          <w:bCs/>
          <w:szCs w:val="24"/>
        </w:rPr>
        <w:t xml:space="preserve"> </w:t>
      </w:r>
    </w:p>
    <w:p w14:paraId="157BACE6" w14:textId="77777777" w:rsidR="000A27FB" w:rsidRPr="00EB11D3" w:rsidRDefault="000A27FB" w:rsidP="000A27FB">
      <w:pPr>
        <w:shd w:val="clear" w:color="auto" w:fill="FFFFFF"/>
        <w:spacing w:after="160" w:line="360" w:lineRule="auto"/>
        <w:rPr>
          <w:rFonts w:eastAsia="Times New Roman"/>
          <w:bCs/>
          <w:szCs w:val="24"/>
        </w:rPr>
      </w:pPr>
      <w:r w:rsidRPr="00EB11D3">
        <w:rPr>
          <w:rFonts w:eastAsia="Times New Roman"/>
          <w:bCs/>
          <w:szCs w:val="24"/>
        </w:rPr>
        <w:t>This is corroborated by Yin and Sheng's (2019) study, which finds that raising pre-innovation input will boost corporate performance in the near run in technology-intensive businesses. However, until innovation input is raised again, this will slow down innovation and ultimately lead to worse corporate performance. However, innovation input only improves corporate performance in capital-intensive companies in the short term; in the long run, however, improving corporate performance will lead to higher levels of innovation input. Labor-intensive industries similarly rely on early, substantial returns on innovation input, but this is not correlated with the company's performance in the long run. Within the executive incentive mechanism, salary incentive has a significant positive regulatory influence on the relationship between innovation input and business success.</w:t>
      </w:r>
      <w:bookmarkStart w:id="1029" w:name="_Toc94528938"/>
      <w:bookmarkStart w:id="1030" w:name="_Toc78303067"/>
      <w:bookmarkStart w:id="1031" w:name="_Toc84504770"/>
      <w:bookmarkStart w:id="1032" w:name="_Toc126071158"/>
      <w:r w:rsidR="00D15ADE" w:rsidRPr="00EB11D3">
        <w:rPr>
          <w:rFonts w:eastAsia="Times New Roman"/>
          <w:bCs/>
          <w:szCs w:val="24"/>
        </w:rPr>
        <w:t xml:space="preserve"> Asensio-López, Cabeza-García and González-Álvarez (2018) found no correlation on the relationship between corporate governance and innovation; instead, opposing views were identified, and the empirical data did not always support these views.</w:t>
      </w:r>
      <w:r w:rsidR="00BF054D" w:rsidRPr="00EB11D3">
        <w:rPr>
          <w:rFonts w:eastAsia="Times New Roman"/>
          <w:bCs/>
          <w:szCs w:val="24"/>
        </w:rPr>
        <w:t xml:space="preserve"> According to Malik, Younus, and Sattar's (2022) research, digital innovation has lessened the impact of board diversity and size, while the indirect effect results showed that board independence, committees, and the frequency of annual meetings were no longer in line with their intended directions.</w:t>
      </w:r>
    </w:p>
    <w:p w14:paraId="44A4B531" w14:textId="77777777" w:rsidR="005C7CC3" w:rsidRPr="00EB11D3" w:rsidRDefault="003B28FB" w:rsidP="000A27FB">
      <w:pPr>
        <w:shd w:val="clear" w:color="auto" w:fill="FFFFFF"/>
        <w:spacing w:after="160" w:line="360" w:lineRule="auto"/>
        <w:rPr>
          <w:rFonts w:eastAsia="Times New Roman"/>
          <w:bCs/>
          <w:szCs w:val="24"/>
        </w:rPr>
      </w:pPr>
      <w:r w:rsidRPr="00EB11D3">
        <w:rPr>
          <w:rFonts w:eastAsia="Times New Roman"/>
          <w:bCs/>
          <w:szCs w:val="24"/>
        </w:rPr>
        <w:t>The results are further supported by</w:t>
      </w:r>
      <w:r w:rsidR="00957719" w:rsidRPr="00EB11D3">
        <w:rPr>
          <w:rFonts w:eastAsia="Times New Roman"/>
          <w:bCs/>
          <w:szCs w:val="24"/>
        </w:rPr>
        <w:t xml:space="preserve"> Rahim, Panatik, and Li (2024</w:t>
      </w:r>
      <w:r w:rsidR="00936620" w:rsidRPr="00EB11D3">
        <w:rPr>
          <w:rFonts w:eastAsia="Times New Roman"/>
          <w:bCs/>
          <w:szCs w:val="24"/>
        </w:rPr>
        <w:t>) who</w:t>
      </w:r>
      <w:r w:rsidRPr="00EB11D3">
        <w:rPr>
          <w:rFonts w:eastAsia="Times New Roman"/>
          <w:bCs/>
          <w:szCs w:val="24"/>
        </w:rPr>
        <w:t xml:space="preserve"> argue that</w:t>
      </w:r>
      <w:r w:rsidR="00957719" w:rsidRPr="00EB11D3">
        <w:rPr>
          <w:rFonts w:eastAsia="Times New Roman"/>
          <w:bCs/>
          <w:szCs w:val="24"/>
        </w:rPr>
        <w:t xml:space="preserve"> good corporate governance is crucial for long-term, sustainable business growth and prosperous economies. Investors, shareholders, and other stakeholders place a high value on a company's success. Investors, in particular, use business performance as a criterion for selecting investment firms. Evidence demonstrates that corporate governance and technology innovation are major elements impacting business performance. Additionally, by fostering innovation in environmentally friendly technologies, digital transformation impacts corporate decision-making. Corporate governance is one of the essential factors of corporate performance that may assist to increase the long-term value of corporate, which will boost corporate performance. Companies with a large board of directors, equity incentives for executives, and a system of checks and balances across different levels of ownership are more likely to innovate technologically, according to studies of the internal mechanism. Technological innovation mediates the effect of corporate performance levels and plays a significant role in corporate governance (equity balances degree, board size, executive equity incentives), so a company's technological level is a good indicator of its ability to improve corporate performance.</w:t>
      </w:r>
    </w:p>
    <w:p w14:paraId="7DC7F722" w14:textId="77777777" w:rsidR="0070146B" w:rsidRDefault="00C56542" w:rsidP="0070146B">
      <w:pPr>
        <w:spacing w:line="360" w:lineRule="auto"/>
        <w:rPr>
          <w:rFonts w:eastAsia="Times New Roman"/>
          <w:szCs w:val="24"/>
        </w:rPr>
      </w:pPr>
      <w:r w:rsidRPr="00EB11D3">
        <w:rPr>
          <w:rFonts w:eastAsia="Times New Roman"/>
          <w:bCs/>
          <w:szCs w:val="24"/>
        </w:rPr>
        <w:t xml:space="preserve">The study findings are further bolstered by that by </w:t>
      </w:r>
      <w:r w:rsidRPr="00EB11D3">
        <w:rPr>
          <w:rFonts w:eastAsia="Times New Roman"/>
          <w:szCs w:val="24"/>
        </w:rPr>
        <w:t xml:space="preserve">Affes and Jarboui (2023), who note that establishing control and supervision frameworks to guarantee that management behaves in the best interests of shareholders is a key component of sound corporate governance. A transparent financial system, executive remuneration based on business success, the creation of an independent board of directors, and the sharing of pertinent information with shareholders are a few examples of this. Through the implementation of suitable incentives and controls, corporate governance may mitigate conflicts of interest and enhance the financial performance of the organisation by augmenting the company's value and providing a higher return on investment for shareholders. The study also showed that implementing sound corporate governance improves a company's ability to perform financially as determined by its return on equity. </w:t>
      </w:r>
      <w:r w:rsidR="00182646" w:rsidRPr="00EB11D3">
        <w:rPr>
          <w:rFonts w:eastAsia="Times New Roman"/>
          <w:szCs w:val="24"/>
        </w:rPr>
        <w:t xml:space="preserve"> </w:t>
      </w:r>
    </w:p>
    <w:p w14:paraId="7B60C77D" w14:textId="77777777" w:rsidR="00A57175" w:rsidRPr="00EB11D3" w:rsidRDefault="00A57175" w:rsidP="0070146B">
      <w:pPr>
        <w:spacing w:line="360" w:lineRule="auto"/>
        <w:rPr>
          <w:rFonts w:eastAsia="Times New Roman"/>
          <w:szCs w:val="24"/>
        </w:rPr>
      </w:pPr>
      <w:r w:rsidRPr="00EB11D3">
        <w:rPr>
          <w:rFonts w:eastAsia="Times New Roman"/>
          <w:szCs w:val="24"/>
        </w:rPr>
        <w:t xml:space="preserve">The findings of Alodat, Salleh, Hashim, and Sulong (2022) </w:t>
      </w:r>
      <w:r w:rsidR="00A07ECD">
        <w:rPr>
          <w:rFonts w:eastAsia="Times New Roman"/>
          <w:szCs w:val="24"/>
        </w:rPr>
        <w:t xml:space="preserve">agree with </w:t>
      </w:r>
      <w:r w:rsidRPr="00EB11D3">
        <w:rPr>
          <w:rFonts w:eastAsia="Times New Roman"/>
          <w:szCs w:val="24"/>
        </w:rPr>
        <w:t>the current study findings by indicating a statistically significant and positive correlation between the audit committee and board of directors characteristics and the two company performance indicators that were examined, namely return on equity (ROE) and Tobin's Q. Regarding ownership structure, there was a noteworthy and favourable correlation found between institutional and foreign ownership and return on equity. Tobin's Q, on the other hand, caused a negligible and unfavourable link between ownership kinds and business performance metrics.</w:t>
      </w:r>
      <w:r w:rsidR="00BF054D" w:rsidRPr="00EB11D3">
        <w:rPr>
          <w:rFonts w:eastAsia="Times New Roman"/>
          <w:szCs w:val="24"/>
        </w:rPr>
        <w:t xml:space="preserve"> </w:t>
      </w:r>
    </w:p>
    <w:p w14:paraId="4AD1F514" w14:textId="77777777" w:rsidR="00CB6C86" w:rsidRPr="00EB11D3" w:rsidRDefault="002B09F4" w:rsidP="00656988">
      <w:pPr>
        <w:spacing w:line="360" w:lineRule="auto"/>
        <w:rPr>
          <w:rFonts w:eastAsia="Times New Roman"/>
          <w:szCs w:val="24"/>
        </w:rPr>
      </w:pPr>
      <w:r>
        <w:rPr>
          <w:rFonts w:eastAsia="Times New Roman"/>
          <w:szCs w:val="24"/>
        </w:rPr>
        <w:t>The study results are further supported by</w:t>
      </w:r>
      <w:r w:rsidR="001F2910" w:rsidRPr="001F2910">
        <w:rPr>
          <w:rFonts w:eastAsia="Times New Roman"/>
          <w:szCs w:val="24"/>
        </w:rPr>
        <w:t xml:space="preserve"> Li, Li, and Gao (2019)</w:t>
      </w:r>
      <w:r>
        <w:rPr>
          <w:rFonts w:eastAsia="Times New Roman"/>
          <w:szCs w:val="24"/>
        </w:rPr>
        <w:t xml:space="preserve"> who observed that </w:t>
      </w:r>
      <w:r w:rsidR="001F2910" w:rsidRPr="001F2910">
        <w:rPr>
          <w:rFonts w:eastAsia="Times New Roman"/>
          <w:szCs w:val="24"/>
        </w:rPr>
        <w:t xml:space="preserve">the cultural factor significantly influences how service innovation and business performance are related to one another. Among these, there is a larger positive association between service innovation and performance in the context of low collectivism and low uncertainty avoidance. There is no discernible adjustment impact of power distance, long-term orientation, or short-term orientation on service innovation and business success. The link between service innovation and business performance is influenced by performance kinds. Under comprehensive performance, there is a stronger association between service innovation and company performance. The firm is greatly impacted by service innovation, which goes beyond improving financial or non-financial performance alone. The influence of service innovation on company performance is more thoroughly measured in the service innovation process the more performance categories are counted. Furthermore, there is a transformation link that exists between non-financial and financial performance. </w:t>
      </w:r>
    </w:p>
    <w:p w14:paraId="73B3E50B" w14:textId="77777777" w:rsidR="00CB6C86" w:rsidRPr="001F2910" w:rsidRDefault="00CB6C86" w:rsidP="00656988">
      <w:pPr>
        <w:spacing w:line="360" w:lineRule="auto"/>
        <w:rPr>
          <w:rFonts w:eastAsia="Times New Roman"/>
          <w:szCs w:val="24"/>
        </w:rPr>
      </w:pPr>
      <w:r w:rsidRPr="00CB6C86">
        <w:rPr>
          <w:rFonts w:eastAsia="Times New Roman"/>
          <w:szCs w:val="24"/>
        </w:rPr>
        <w:t xml:space="preserve">Woo, Kim, and Wang (2021) </w:t>
      </w:r>
      <w:r w:rsidR="00A07ECD">
        <w:rPr>
          <w:rFonts w:eastAsia="Times New Roman"/>
          <w:szCs w:val="24"/>
        </w:rPr>
        <w:t>support</w:t>
      </w:r>
      <w:r w:rsidRPr="00CB6C86">
        <w:rPr>
          <w:rFonts w:eastAsia="Times New Roman"/>
          <w:szCs w:val="24"/>
        </w:rPr>
        <w:t xml:space="preserve"> the</w:t>
      </w:r>
      <w:r w:rsidR="00A07ECD">
        <w:rPr>
          <w:rFonts w:eastAsia="Times New Roman"/>
          <w:szCs w:val="24"/>
        </w:rPr>
        <w:t xml:space="preserve"> study</w:t>
      </w:r>
      <w:r w:rsidRPr="00CB6C86">
        <w:rPr>
          <w:rFonts w:eastAsia="Times New Roman"/>
          <w:szCs w:val="24"/>
        </w:rPr>
        <w:t xml:space="preserve"> findings, stating that formal staff training, foreign ownership, company size, and cooperation are only a few of the critical factors deemed significant in determining the degree of service innovation in businesses. Nonetheless, as front-line workers are essential to innovation, research has advocated for a deeper analysis of employment-focused practices and a broader empirical knowledge of service innovation in the tourism industry. Businesses may use innovation to provide goods and/or services that set them apart from rivals and add value for consumers. There is no agreement on the process of service innovation, even with the increasing interest in the value creation of service innovation and the variety of definitions. </w:t>
      </w:r>
    </w:p>
    <w:p w14:paraId="5766BC99" w14:textId="77777777" w:rsidR="006A405B" w:rsidRPr="00EB11D3" w:rsidRDefault="006A405B" w:rsidP="006A405B">
      <w:pPr>
        <w:spacing w:after="0" w:line="360" w:lineRule="auto"/>
        <w:rPr>
          <w:rFonts w:eastAsia="Times New Roman"/>
          <w:szCs w:val="24"/>
        </w:rPr>
      </w:pPr>
      <w:r w:rsidRPr="00EB11D3">
        <w:rPr>
          <w:rFonts w:eastAsia="Times New Roman"/>
          <w:szCs w:val="24"/>
        </w:rPr>
        <w:t xml:space="preserve">The study is corroborated by Desmice, Yacob, and Lubis's (2022) finding that corporate governance in Indonesia is based on five principles. Openness in corporate entities, including decision-making, conducting business, and revealing significant and pertinent information, has been linked to transparency. The second component of corporate governance is accountability, which is making sure that business management is done correctly and measurably while taking stakeholders' interests into consideration. Accountability pertains to meeting customer expectations and adhering to legal requirements. The fifth requirement is fairness and equality, which is an attitude related to treating interested parties fairly in line with the standards and proportion of their demands. Independence is a condition of competent company management necessary to limit the interference from any party. </w:t>
      </w:r>
    </w:p>
    <w:p w14:paraId="1B5E1F1D" w14:textId="77777777" w:rsidR="000715AB" w:rsidRPr="00EB11D3" w:rsidRDefault="000715AB" w:rsidP="006A405B">
      <w:pPr>
        <w:spacing w:after="0" w:line="360" w:lineRule="auto"/>
        <w:rPr>
          <w:rFonts w:eastAsia="Times New Roman"/>
          <w:szCs w:val="24"/>
        </w:rPr>
      </w:pPr>
    </w:p>
    <w:p w14:paraId="04DC53BC" w14:textId="77777777" w:rsidR="002721C8" w:rsidRDefault="002721C8" w:rsidP="00656988">
      <w:pPr>
        <w:spacing w:line="360" w:lineRule="auto"/>
        <w:rPr>
          <w:rFonts w:eastAsia="Times New Roman"/>
          <w:szCs w:val="24"/>
        </w:rPr>
      </w:pPr>
      <w:r w:rsidRPr="002721C8">
        <w:rPr>
          <w:rFonts w:eastAsia="Times New Roman"/>
          <w:szCs w:val="24"/>
        </w:rPr>
        <w:t xml:space="preserve">The study findings are in line with that by </w:t>
      </w:r>
      <w:r w:rsidR="00605BCE" w:rsidRPr="002721C8">
        <w:rPr>
          <w:rFonts w:eastAsia="Times New Roman"/>
          <w:szCs w:val="24"/>
        </w:rPr>
        <w:t xml:space="preserve">Nagalingam et al. (2022) </w:t>
      </w:r>
      <w:r w:rsidRPr="002721C8">
        <w:rPr>
          <w:rFonts w:eastAsia="Times New Roman"/>
          <w:szCs w:val="24"/>
        </w:rPr>
        <w:t xml:space="preserve">who </w:t>
      </w:r>
      <w:r w:rsidR="00605BCE" w:rsidRPr="002721C8">
        <w:rPr>
          <w:rFonts w:eastAsia="Times New Roman"/>
          <w:szCs w:val="24"/>
        </w:rPr>
        <w:t>observe</w:t>
      </w:r>
      <w:r w:rsidRPr="002721C8">
        <w:rPr>
          <w:rFonts w:eastAsia="Times New Roman"/>
          <w:szCs w:val="24"/>
        </w:rPr>
        <w:t>d</w:t>
      </w:r>
      <w:r w:rsidR="00605BCE" w:rsidRPr="002721C8">
        <w:rPr>
          <w:rFonts w:eastAsia="Times New Roman"/>
          <w:szCs w:val="24"/>
        </w:rPr>
        <w:t xml:space="preserve"> a company's financial statements and management practices are subject to legal and regulatory scrutiny as part of corporate governance, which is defined as sound management practices that need forethought rather than a fast remedy</w:t>
      </w:r>
      <w:r w:rsidRPr="002721C8">
        <w:rPr>
          <w:rFonts w:eastAsia="Times New Roman"/>
          <w:szCs w:val="24"/>
        </w:rPr>
        <w:t>. This is also true</w:t>
      </w:r>
      <w:r w:rsidR="00605BCE" w:rsidRPr="002721C8">
        <w:rPr>
          <w:rFonts w:eastAsia="Times New Roman"/>
          <w:szCs w:val="24"/>
        </w:rPr>
        <w:t xml:space="preserve"> El Fawal </w:t>
      </w:r>
      <w:r w:rsidRPr="002721C8">
        <w:rPr>
          <w:rFonts w:eastAsia="Times New Roman"/>
          <w:szCs w:val="24"/>
        </w:rPr>
        <w:t>and</w:t>
      </w:r>
      <w:r w:rsidR="00605BCE" w:rsidRPr="002721C8">
        <w:rPr>
          <w:rFonts w:eastAsia="Times New Roman"/>
          <w:szCs w:val="24"/>
        </w:rPr>
        <w:t xml:space="preserve"> Mawlawi</w:t>
      </w:r>
      <w:r w:rsidRPr="002721C8">
        <w:rPr>
          <w:rFonts w:eastAsia="Times New Roman"/>
          <w:szCs w:val="24"/>
        </w:rPr>
        <w:t xml:space="preserve"> (</w:t>
      </w:r>
      <w:r w:rsidR="00605BCE" w:rsidRPr="002721C8">
        <w:rPr>
          <w:rFonts w:eastAsia="Times New Roman"/>
          <w:szCs w:val="24"/>
        </w:rPr>
        <w:t>2018)</w:t>
      </w:r>
      <w:r w:rsidRPr="002721C8">
        <w:rPr>
          <w:rFonts w:eastAsia="Times New Roman"/>
          <w:szCs w:val="24"/>
        </w:rPr>
        <w:t xml:space="preserve"> who observed that</w:t>
      </w:r>
      <w:r w:rsidR="00605BCE" w:rsidRPr="00EB11D3">
        <w:rPr>
          <w:rFonts w:eastAsia="Times New Roman"/>
          <w:szCs w:val="24"/>
        </w:rPr>
        <w:t>, management sets the policies that govern every aspect of business operations, including marketing, accounting, and finance performance, in order to maintain business performance, customer happiness, profitability, and the quality of helpful services. The intricacy of the business environment is reflected in the size of the boards. Expertise-rich, larger boards are more capable of rendering consistent decisions about corporate disclosure than are less capable boards. A larger board can reduce agency conflicts since its members can each serve the interests of various stakeholders. Furthermore, it provides increased access to a wider range of stakeholders, enabling a larger panel to reduce risks and uncertainties by improving transparency</w:t>
      </w:r>
      <w:r>
        <w:rPr>
          <w:rFonts w:eastAsia="Times New Roman"/>
          <w:szCs w:val="24"/>
        </w:rPr>
        <w:t>.</w:t>
      </w:r>
      <w:r w:rsidR="00605BCE" w:rsidRPr="00EB11D3">
        <w:rPr>
          <w:rFonts w:eastAsia="Times New Roman"/>
          <w:szCs w:val="24"/>
        </w:rPr>
        <w:t xml:space="preserve"> </w:t>
      </w:r>
    </w:p>
    <w:p w14:paraId="13850F9E" w14:textId="77777777" w:rsidR="00475318" w:rsidRPr="00EB11D3" w:rsidRDefault="002721C8" w:rsidP="00656988">
      <w:pPr>
        <w:spacing w:line="360" w:lineRule="auto"/>
        <w:rPr>
          <w:rFonts w:eastAsia="Times New Roman"/>
          <w:szCs w:val="24"/>
        </w:rPr>
      </w:pPr>
      <w:r>
        <w:rPr>
          <w:rFonts w:eastAsia="Times New Roman"/>
          <w:szCs w:val="24"/>
        </w:rPr>
        <w:t xml:space="preserve">The current study findings agree with that by </w:t>
      </w:r>
      <w:r w:rsidR="00605BCE" w:rsidRPr="00EB11D3">
        <w:rPr>
          <w:rFonts w:eastAsia="Times New Roman"/>
          <w:szCs w:val="24"/>
        </w:rPr>
        <w:t>Masud, Nurunnabi</w:t>
      </w:r>
      <w:r>
        <w:rPr>
          <w:rFonts w:eastAsia="Times New Roman"/>
          <w:szCs w:val="24"/>
        </w:rPr>
        <w:t xml:space="preserve"> and </w:t>
      </w:r>
      <w:r w:rsidR="00605BCE" w:rsidRPr="00EB11D3">
        <w:rPr>
          <w:rFonts w:eastAsia="Times New Roman"/>
          <w:szCs w:val="24"/>
        </w:rPr>
        <w:t>Bae</w:t>
      </w:r>
      <w:r>
        <w:rPr>
          <w:rFonts w:eastAsia="Times New Roman"/>
          <w:szCs w:val="24"/>
        </w:rPr>
        <w:t xml:space="preserve"> (</w:t>
      </w:r>
      <w:r w:rsidR="00605BCE" w:rsidRPr="00EB11D3">
        <w:rPr>
          <w:rFonts w:eastAsia="Times New Roman"/>
          <w:szCs w:val="24"/>
        </w:rPr>
        <w:t>2018)</w:t>
      </w:r>
      <w:r>
        <w:rPr>
          <w:rFonts w:eastAsia="Times New Roman"/>
          <w:szCs w:val="24"/>
        </w:rPr>
        <w:t xml:space="preserve"> which observed that</w:t>
      </w:r>
      <w:r w:rsidR="00605BCE" w:rsidRPr="00EB11D3">
        <w:rPr>
          <w:rFonts w:eastAsia="Times New Roman"/>
          <w:szCs w:val="24"/>
        </w:rPr>
        <w:t xml:space="preserve"> the organization's success or failure may be determined by the board's size. Large boards have demonstrated to have an impact on the board's culture, informational gaps, lack of management, and member equality even when the boards are unable to pinpoint the exact causes of board failure. </w:t>
      </w:r>
      <w:r w:rsidR="0067101A">
        <w:rPr>
          <w:rFonts w:eastAsia="Times New Roman"/>
          <w:szCs w:val="24"/>
        </w:rPr>
        <w:t xml:space="preserve">This is further corroborated by </w:t>
      </w:r>
      <w:r w:rsidR="00605BCE" w:rsidRPr="00EB11D3">
        <w:rPr>
          <w:rFonts w:eastAsia="Times New Roman"/>
          <w:szCs w:val="24"/>
        </w:rPr>
        <w:t xml:space="preserve">Bhat, Chen, Jebran, and Bhutto (2018) </w:t>
      </w:r>
      <w:r w:rsidR="0067101A">
        <w:rPr>
          <w:rFonts w:eastAsia="Times New Roman"/>
          <w:szCs w:val="24"/>
        </w:rPr>
        <w:t xml:space="preserve">who </w:t>
      </w:r>
      <w:r w:rsidR="00605BCE" w:rsidRPr="00EB11D3">
        <w:rPr>
          <w:rFonts w:eastAsia="Times New Roman"/>
          <w:szCs w:val="24"/>
        </w:rPr>
        <w:t>state</w:t>
      </w:r>
      <w:r w:rsidR="0067101A">
        <w:rPr>
          <w:rFonts w:eastAsia="Times New Roman"/>
          <w:szCs w:val="24"/>
        </w:rPr>
        <w:t>d</w:t>
      </w:r>
      <w:r w:rsidR="00605BCE" w:rsidRPr="00EB11D3">
        <w:rPr>
          <w:rFonts w:eastAsia="Times New Roman"/>
          <w:szCs w:val="24"/>
        </w:rPr>
        <w:t xml:space="preserve"> that for companies with sizable board sizes, the cost of organising and processing their businesses is high. Exorbitant expenses lower the organization's efficiency. On the other side, it keeps people from </w:t>
      </w:r>
      <w:r w:rsidR="0067101A">
        <w:rPr>
          <w:rFonts w:eastAsia="Times New Roman"/>
          <w:szCs w:val="24"/>
        </w:rPr>
        <w:t>free-riding</w:t>
      </w:r>
      <w:r w:rsidR="00605BCE" w:rsidRPr="00EB11D3">
        <w:rPr>
          <w:rFonts w:eastAsia="Times New Roman"/>
          <w:szCs w:val="24"/>
        </w:rPr>
        <w:t xml:space="preserve"> in businesses with smaller boards, which eventually improves performance. Large boards might be seen as having the potential to falsify account figures, which would place further pressure on the company's management.</w:t>
      </w:r>
    </w:p>
    <w:p w14:paraId="72B4DC57" w14:textId="77777777" w:rsidR="0067101A" w:rsidRDefault="0074482E" w:rsidP="00656988">
      <w:pPr>
        <w:spacing w:line="360" w:lineRule="auto"/>
        <w:rPr>
          <w:rFonts w:eastAsia="Times New Roman"/>
          <w:szCs w:val="24"/>
        </w:rPr>
      </w:pPr>
      <w:r w:rsidRPr="0074482E">
        <w:rPr>
          <w:rFonts w:eastAsia="Times New Roman"/>
          <w:szCs w:val="24"/>
        </w:rPr>
        <w:t xml:space="preserve">Shin, Kim, Jung, and Kim (2022) corroborate the findings by pointing out that manufacturing enterprises must manage the risks associated with rising expenses and exertion in order to reap the benefits of service innovation. Because of this, businesses with limited resources could not profit from service innovation and might suffer bigger losses as a result of higher input costs. Nevertheless, </w:t>
      </w:r>
      <w:r w:rsidRPr="00EB11D3">
        <w:rPr>
          <w:rFonts w:eastAsia="Times New Roman"/>
          <w:szCs w:val="24"/>
        </w:rPr>
        <w:t>many studies</w:t>
      </w:r>
      <w:r w:rsidRPr="0074482E">
        <w:rPr>
          <w:rFonts w:eastAsia="Times New Roman"/>
          <w:szCs w:val="24"/>
        </w:rPr>
        <w:t xml:space="preserve"> on service innovation in companies has concentrated on innovation performance rather than increases in innovation inputs; as a result, questions about the possibility of higher inputs from service innovation initiatives remain unaddressed. </w:t>
      </w:r>
    </w:p>
    <w:p w14:paraId="1F75DB6F" w14:textId="77777777" w:rsidR="002453AD" w:rsidRPr="00EB11D3" w:rsidRDefault="00BE65F2" w:rsidP="002453AD">
      <w:pPr>
        <w:spacing w:after="0" w:line="360" w:lineRule="auto"/>
        <w:rPr>
          <w:rFonts w:eastAsia="Times New Roman"/>
          <w:szCs w:val="24"/>
        </w:rPr>
      </w:pPr>
      <w:r w:rsidRPr="00EB11D3">
        <w:rPr>
          <w:rFonts w:eastAsia="Times New Roman"/>
          <w:szCs w:val="24"/>
        </w:rPr>
        <w:t xml:space="preserve">The study's findings however run counter to those of Kempner-Moreira, Freire, and Zilli (2020), who note that corporate governance doesn't automatically foster innovation. It must be taken into account in the organization's policies and strategy, as well as in an adjustment made to the organization's placement within the innovation context. In addition, it is imperative that the organisation be strategically and competently devoted to innovation, or else its efforts would be significantly diminished. Based on these findings, the study advances knowledge by outlining the factors that corporate governance should take into account to foster innovation. It is also said that good management of its core innovation skills, including mapping them and making sure the governance structure fosters an atmosphere that is supportive of their growth, is necessary to produce competitive results in terms of innovation. Funding for innovation and technology as well as </w:t>
      </w:r>
      <w:r w:rsidR="00495282" w:rsidRPr="00EB11D3">
        <w:rPr>
          <w:rFonts w:eastAsia="Times New Roman"/>
          <w:szCs w:val="24"/>
        </w:rPr>
        <w:t>Research and development (R&amp;D)</w:t>
      </w:r>
      <w:r w:rsidRPr="00EB11D3">
        <w:rPr>
          <w:rFonts w:eastAsia="Times New Roman"/>
          <w:szCs w:val="24"/>
        </w:rPr>
        <w:t xml:space="preserve"> investments are other factors to take into account. In addition, corporate governance has the responsibility of establishing systems for oversight and management of investments, guaranteeing their deliberate and efficient use and, ultimately, mitigating the risks associated with innovation.</w:t>
      </w:r>
      <w:r w:rsidR="002453AD" w:rsidRPr="00EB11D3">
        <w:rPr>
          <w:rFonts w:eastAsia="Times New Roman"/>
          <w:szCs w:val="24"/>
        </w:rPr>
        <w:t xml:space="preserve"> In companies with a large number of directors,</w:t>
      </w:r>
      <w:r w:rsidR="0067101A">
        <w:rPr>
          <w:rFonts w:eastAsia="Times New Roman"/>
          <w:szCs w:val="24"/>
        </w:rPr>
        <w:t xml:space="preserve"> </w:t>
      </w:r>
      <w:r w:rsidR="002453AD" w:rsidRPr="00EB11D3">
        <w:rPr>
          <w:rFonts w:eastAsia="Times New Roman"/>
          <w:szCs w:val="24"/>
        </w:rPr>
        <w:t>they allow access to a wide range of external resources, including the technical and financial</w:t>
      </w:r>
    </w:p>
    <w:p w14:paraId="07700579" w14:textId="77777777" w:rsidR="0074482E" w:rsidRPr="0074482E" w:rsidRDefault="002453AD" w:rsidP="00656988">
      <w:pPr>
        <w:spacing w:line="360" w:lineRule="auto"/>
        <w:rPr>
          <w:rFonts w:eastAsia="Times New Roman"/>
          <w:szCs w:val="24"/>
        </w:rPr>
      </w:pPr>
      <w:r w:rsidRPr="00EB11D3">
        <w:rPr>
          <w:rFonts w:eastAsia="Times New Roman"/>
          <w:szCs w:val="24"/>
        </w:rPr>
        <w:t>resources that are critical to innovation.</w:t>
      </w:r>
    </w:p>
    <w:p w14:paraId="6F8EA5C1" w14:textId="77777777" w:rsidR="003859C9" w:rsidRPr="00EB11D3" w:rsidRDefault="00C94E50" w:rsidP="00C94E50">
      <w:pPr>
        <w:pStyle w:val="Heading3"/>
      </w:pPr>
      <w:bookmarkStart w:id="1033" w:name="_Toc171602667"/>
      <w:bookmarkStart w:id="1034" w:name="_Toc171603494"/>
      <w:bookmarkStart w:id="1035" w:name="_Toc177387899"/>
      <w:r>
        <w:t>5.1.5</w:t>
      </w:r>
      <w:r w:rsidR="003859C9" w:rsidRPr="00EB11D3">
        <w:t xml:space="preserve"> Summary of Research Findings</w:t>
      </w:r>
      <w:bookmarkEnd w:id="1029"/>
      <w:bookmarkEnd w:id="1030"/>
      <w:bookmarkEnd w:id="1031"/>
      <w:bookmarkEnd w:id="1032"/>
      <w:bookmarkEnd w:id="1033"/>
      <w:bookmarkEnd w:id="1034"/>
      <w:bookmarkEnd w:id="1035"/>
    </w:p>
    <w:p w14:paraId="4E79E329" w14:textId="77777777" w:rsidR="003859C9" w:rsidRPr="00EB11D3" w:rsidRDefault="003859C9" w:rsidP="003859C9">
      <w:pPr>
        <w:shd w:val="clear" w:color="auto" w:fill="FFFFFF"/>
        <w:spacing w:after="160" w:line="360" w:lineRule="auto"/>
        <w:rPr>
          <w:rFonts w:eastAsia="Calibri"/>
          <w:szCs w:val="24"/>
          <w:lang w:val="en-GB" w:eastAsia="en-GB"/>
        </w:rPr>
      </w:pPr>
      <w:r w:rsidRPr="00EB11D3">
        <w:rPr>
          <w:rFonts w:eastAsia="Calibri"/>
          <w:szCs w:val="24"/>
          <w:lang w:val="en-GB" w:eastAsia="en-GB"/>
        </w:rPr>
        <w:t>Chapter five presented discussions of the findings of the study. The discussions and interpretations have been made using statistical knowledge and the existing body of theoretical and empirical literature. Based on the findings, hypothesis one, three and four were not confirmed, while hypothesis two presented partial mediation. The summary of the results is outlined in Table 40.</w:t>
      </w:r>
    </w:p>
    <w:p w14:paraId="350C7416" w14:textId="77777777" w:rsidR="003859C9" w:rsidRPr="002B5CDA" w:rsidRDefault="003859C9" w:rsidP="002B5CDA">
      <w:pPr>
        <w:spacing w:after="160" w:line="259" w:lineRule="auto"/>
        <w:jc w:val="left"/>
        <w:rPr>
          <w:rFonts w:eastAsia="Times New Roman"/>
          <w:b/>
          <w:bCs/>
          <w:szCs w:val="24"/>
          <w:lang w:val="en-GB" w:eastAsia="en-GB"/>
        </w:rPr>
      </w:pPr>
      <w:bookmarkStart w:id="1036" w:name="_Toc126666775"/>
      <w:r w:rsidRPr="00EB11D3">
        <w:rPr>
          <w:rFonts w:eastAsia="Times New Roman"/>
          <w:b/>
          <w:bCs/>
          <w:szCs w:val="24"/>
        </w:rPr>
        <w:br w:type="page"/>
      </w:r>
      <w:bookmarkStart w:id="1037" w:name="_Toc177387971"/>
      <w:r w:rsidRPr="00EB11D3">
        <w:rPr>
          <w:rFonts w:eastAsia="Times New Roman"/>
          <w:b/>
          <w:bCs/>
          <w:szCs w:val="24"/>
        </w:rPr>
        <w:t xml:space="preserve">Table </w:t>
      </w:r>
      <w:r w:rsidRPr="00EB11D3">
        <w:rPr>
          <w:rFonts w:eastAsia="Times New Roman"/>
          <w:b/>
          <w:bCs/>
          <w:szCs w:val="24"/>
        </w:rPr>
        <w:fldChar w:fldCharType="begin"/>
      </w:r>
      <w:r w:rsidRPr="00EB11D3">
        <w:rPr>
          <w:rFonts w:eastAsia="Times New Roman"/>
          <w:b/>
          <w:bCs/>
          <w:szCs w:val="24"/>
        </w:rPr>
        <w:instrText xml:space="preserve"> SEQ Table \* ARABIC </w:instrText>
      </w:r>
      <w:r w:rsidRPr="00EB11D3">
        <w:rPr>
          <w:rFonts w:eastAsia="Times New Roman"/>
          <w:b/>
          <w:bCs/>
          <w:szCs w:val="24"/>
        </w:rPr>
        <w:fldChar w:fldCharType="separate"/>
      </w:r>
      <w:r w:rsidRPr="00EB11D3">
        <w:rPr>
          <w:rFonts w:eastAsia="Times New Roman"/>
          <w:b/>
          <w:bCs/>
          <w:noProof/>
          <w:szCs w:val="24"/>
        </w:rPr>
        <w:t>40</w:t>
      </w:r>
      <w:r w:rsidRPr="00EB11D3">
        <w:rPr>
          <w:rFonts w:eastAsia="Times New Roman"/>
          <w:b/>
          <w:bCs/>
          <w:szCs w:val="24"/>
        </w:rPr>
        <w:fldChar w:fldCharType="end"/>
      </w:r>
      <w:r w:rsidRPr="00EB11D3">
        <w:rPr>
          <w:rFonts w:eastAsia="Times New Roman"/>
          <w:b/>
          <w:bCs/>
          <w:szCs w:val="24"/>
          <w:lang w:val="en-GB" w:eastAsia="en-GB"/>
        </w:rPr>
        <w:t xml:space="preserve">: Summary </w:t>
      </w:r>
      <w:r w:rsidRPr="00EB11D3">
        <w:rPr>
          <w:rFonts w:eastAsia="Times New Roman"/>
          <w:b/>
          <w:bCs/>
          <w:szCs w:val="24"/>
        </w:rPr>
        <w:t>of</w:t>
      </w:r>
      <w:r w:rsidRPr="00EB11D3">
        <w:rPr>
          <w:rFonts w:eastAsia="Times New Roman"/>
          <w:b/>
          <w:bCs/>
          <w:szCs w:val="24"/>
          <w:lang w:val="en-GB" w:eastAsia="en-GB"/>
        </w:rPr>
        <w:t xml:space="preserve"> Hypotheses</w:t>
      </w:r>
      <w:bookmarkEnd w:id="1036"/>
      <w:bookmarkEnd w:id="1037"/>
    </w:p>
    <w:tbl>
      <w:tblPr>
        <w:tblW w:w="5000" w:type="pct"/>
        <w:tblLayout w:type="fixed"/>
        <w:tblLook w:val="04A0" w:firstRow="1" w:lastRow="0" w:firstColumn="1" w:lastColumn="0" w:noHBand="0" w:noVBand="1"/>
      </w:tblPr>
      <w:tblGrid>
        <w:gridCol w:w="4388"/>
        <w:gridCol w:w="3315"/>
        <w:gridCol w:w="1657"/>
      </w:tblGrid>
      <w:tr w:rsidR="003859C9" w:rsidRPr="00EB11D3" w14:paraId="2959441D" w14:textId="77777777" w:rsidTr="00007E09">
        <w:trPr>
          <w:trHeight w:val="356"/>
          <w:tblHeader/>
        </w:trPr>
        <w:tc>
          <w:tcPr>
            <w:tcW w:w="2344" w:type="pct"/>
            <w:tcBorders>
              <w:top w:val="single" w:sz="4" w:space="0" w:color="auto"/>
              <w:bottom w:val="single" w:sz="4" w:space="0" w:color="666666"/>
            </w:tcBorders>
            <w:shd w:val="clear" w:color="auto" w:fill="auto"/>
            <w:noWrap/>
          </w:tcPr>
          <w:p w14:paraId="39CE41D1" w14:textId="77777777" w:rsidR="003859C9" w:rsidRPr="00EB11D3" w:rsidRDefault="003859C9" w:rsidP="003859C9">
            <w:pPr>
              <w:shd w:val="clear" w:color="auto" w:fill="FFFFFF"/>
              <w:spacing w:after="0" w:line="360" w:lineRule="auto"/>
              <w:jc w:val="left"/>
              <w:rPr>
                <w:rFonts w:eastAsia="Calibri"/>
                <w:b/>
                <w:szCs w:val="24"/>
                <w:lang w:val="en-GB"/>
              </w:rPr>
            </w:pPr>
            <w:r w:rsidRPr="00EB11D3">
              <w:rPr>
                <w:rFonts w:eastAsia="Calibri"/>
                <w:b/>
                <w:szCs w:val="24"/>
                <w:lang w:val="en-GB"/>
              </w:rPr>
              <w:t>Objectives</w:t>
            </w:r>
          </w:p>
        </w:tc>
        <w:tc>
          <w:tcPr>
            <w:tcW w:w="1771" w:type="pct"/>
            <w:tcBorders>
              <w:top w:val="single" w:sz="4" w:space="0" w:color="auto"/>
              <w:bottom w:val="single" w:sz="4" w:space="0" w:color="666666"/>
            </w:tcBorders>
            <w:shd w:val="clear" w:color="auto" w:fill="auto"/>
            <w:noWrap/>
          </w:tcPr>
          <w:p w14:paraId="38BFAFE4" w14:textId="77777777" w:rsidR="003859C9" w:rsidRPr="00EB11D3" w:rsidRDefault="003859C9" w:rsidP="003859C9">
            <w:pPr>
              <w:shd w:val="clear" w:color="auto" w:fill="FFFFFF"/>
              <w:spacing w:after="0" w:line="360" w:lineRule="auto"/>
              <w:jc w:val="left"/>
              <w:rPr>
                <w:rFonts w:eastAsia="Calibri"/>
                <w:b/>
                <w:szCs w:val="24"/>
                <w:lang w:val="en-GB"/>
              </w:rPr>
            </w:pPr>
            <w:r w:rsidRPr="00EB11D3">
              <w:rPr>
                <w:rFonts w:eastAsia="Calibri"/>
                <w:b/>
                <w:szCs w:val="24"/>
                <w:lang w:val="en-GB"/>
              </w:rPr>
              <w:t>Hypotheses</w:t>
            </w:r>
          </w:p>
        </w:tc>
        <w:tc>
          <w:tcPr>
            <w:tcW w:w="885" w:type="pct"/>
            <w:tcBorders>
              <w:top w:val="single" w:sz="4" w:space="0" w:color="auto"/>
              <w:bottom w:val="single" w:sz="4" w:space="0" w:color="666666"/>
            </w:tcBorders>
            <w:shd w:val="clear" w:color="auto" w:fill="auto"/>
            <w:noWrap/>
          </w:tcPr>
          <w:p w14:paraId="2CCB83D0" w14:textId="77777777" w:rsidR="003859C9" w:rsidRPr="00EB11D3" w:rsidRDefault="003859C9" w:rsidP="003859C9">
            <w:pPr>
              <w:shd w:val="clear" w:color="auto" w:fill="FFFFFF"/>
              <w:spacing w:after="0" w:line="360" w:lineRule="auto"/>
              <w:jc w:val="left"/>
              <w:rPr>
                <w:rFonts w:eastAsia="Calibri"/>
                <w:b/>
                <w:szCs w:val="24"/>
              </w:rPr>
            </w:pPr>
            <w:r w:rsidRPr="00EB11D3">
              <w:rPr>
                <w:rFonts w:eastAsia="Calibri"/>
                <w:b/>
                <w:szCs w:val="24"/>
              </w:rPr>
              <w:t xml:space="preserve">Hypotheses </w:t>
            </w:r>
          </w:p>
          <w:p w14:paraId="168C8F11" w14:textId="77777777" w:rsidR="003859C9" w:rsidRPr="00EB11D3" w:rsidRDefault="003859C9" w:rsidP="003859C9">
            <w:pPr>
              <w:shd w:val="clear" w:color="auto" w:fill="FFFFFF"/>
              <w:spacing w:after="0" w:line="360" w:lineRule="auto"/>
              <w:jc w:val="left"/>
              <w:rPr>
                <w:rFonts w:eastAsia="Calibri"/>
                <w:b/>
                <w:szCs w:val="24"/>
                <w:lang w:val="en-GB"/>
              </w:rPr>
            </w:pPr>
            <w:r w:rsidRPr="00EB11D3">
              <w:rPr>
                <w:rFonts w:eastAsia="Calibri"/>
                <w:b/>
                <w:szCs w:val="24"/>
              </w:rPr>
              <w:t>Test Results</w:t>
            </w:r>
          </w:p>
        </w:tc>
      </w:tr>
      <w:tr w:rsidR="003859C9" w:rsidRPr="00EB11D3" w14:paraId="5FB762CF" w14:textId="77777777" w:rsidTr="00823CEA">
        <w:trPr>
          <w:trHeight w:val="1565"/>
        </w:trPr>
        <w:tc>
          <w:tcPr>
            <w:tcW w:w="2344" w:type="pct"/>
            <w:shd w:val="clear" w:color="auto" w:fill="FFFFFF"/>
            <w:noWrap/>
          </w:tcPr>
          <w:p w14:paraId="6096C435" w14:textId="77777777" w:rsidR="003859C9" w:rsidRPr="00EB11D3" w:rsidRDefault="003859C9" w:rsidP="003859C9">
            <w:pPr>
              <w:shd w:val="clear" w:color="auto" w:fill="FFFFFF"/>
              <w:spacing w:after="0" w:line="240" w:lineRule="auto"/>
              <w:rPr>
                <w:rFonts w:eastAsia="Calibri"/>
                <w:b/>
                <w:szCs w:val="24"/>
              </w:rPr>
            </w:pPr>
            <w:r w:rsidRPr="00EB11D3">
              <w:rPr>
                <w:rFonts w:eastAsia="Calibri"/>
                <w:b/>
                <w:szCs w:val="24"/>
              </w:rPr>
              <w:t>Objective 1</w:t>
            </w:r>
          </w:p>
          <w:p w14:paraId="12F1FD86" w14:textId="77777777" w:rsidR="003859C9" w:rsidRPr="00EB11D3" w:rsidRDefault="003859C9" w:rsidP="00823CEA">
            <w:pPr>
              <w:spacing w:line="360" w:lineRule="auto"/>
              <w:contextualSpacing/>
              <w:rPr>
                <w:rFonts w:eastAsia="Calibri"/>
                <w:szCs w:val="24"/>
                <w:lang w:val="en-GB"/>
              </w:rPr>
            </w:pPr>
            <w:r w:rsidRPr="00EB11D3">
              <w:rPr>
                <w:szCs w:val="24"/>
                <w:lang w:val="en"/>
              </w:rPr>
              <w:t xml:space="preserve">To establish the effect of corporate governance on </w:t>
            </w:r>
            <w:r w:rsidR="006D5C62" w:rsidRPr="00EB11D3">
              <w:rPr>
                <w:szCs w:val="24"/>
              </w:rPr>
              <w:t>organisational performance of Faith-Based Hospitals</w:t>
            </w:r>
            <w:r w:rsidRPr="00EB11D3">
              <w:rPr>
                <w:szCs w:val="24"/>
                <w:lang w:val="en"/>
              </w:rPr>
              <w:t xml:space="preserve"> in Kenya.  </w:t>
            </w:r>
          </w:p>
        </w:tc>
        <w:tc>
          <w:tcPr>
            <w:tcW w:w="1771" w:type="pct"/>
            <w:shd w:val="clear" w:color="auto" w:fill="FFFFFF"/>
            <w:noWrap/>
          </w:tcPr>
          <w:p w14:paraId="6897B01B" w14:textId="77777777" w:rsidR="003859C9" w:rsidRPr="00EB11D3" w:rsidRDefault="003859C9" w:rsidP="003859C9">
            <w:pPr>
              <w:shd w:val="clear" w:color="auto" w:fill="FFFFFF"/>
              <w:spacing w:after="0" w:line="240" w:lineRule="auto"/>
              <w:contextualSpacing/>
              <w:rPr>
                <w:rFonts w:eastAsia="Calibri"/>
                <w:szCs w:val="24"/>
              </w:rPr>
            </w:pPr>
            <w:r w:rsidRPr="00EB11D3">
              <w:rPr>
                <w:rFonts w:eastAsia="Calibri"/>
                <w:szCs w:val="24"/>
              </w:rPr>
              <w:t>H</w:t>
            </w:r>
            <w:r w:rsidRPr="00EB11D3">
              <w:rPr>
                <w:rFonts w:eastAsia="Calibri"/>
                <w:szCs w:val="24"/>
                <w:vertAlign w:val="subscript"/>
              </w:rPr>
              <w:t>0</w:t>
            </w:r>
            <w:r w:rsidRPr="00EB11D3">
              <w:rPr>
                <w:rFonts w:eastAsia="Calibri"/>
                <w:b/>
                <w:szCs w:val="24"/>
                <w:vertAlign w:val="subscript"/>
              </w:rPr>
              <w:t>1:</w:t>
            </w:r>
            <w:r w:rsidRPr="00EB11D3">
              <w:rPr>
                <w:rFonts w:eastAsia="Calibri"/>
                <w:szCs w:val="24"/>
              </w:rPr>
              <w:t xml:space="preserve"> There is no </w:t>
            </w:r>
            <w:r w:rsidR="006D5C62" w:rsidRPr="00EB11D3">
              <w:rPr>
                <w:rFonts w:eastAsia="Calibri"/>
                <w:szCs w:val="24"/>
              </w:rPr>
              <w:t>significant effect of corporate governance on organisational performance of Faith-Based Hospitals</w:t>
            </w:r>
            <w:r w:rsidRPr="00EB11D3">
              <w:rPr>
                <w:rFonts w:eastAsia="Calibri"/>
                <w:szCs w:val="24"/>
                <w:lang w:val="en"/>
              </w:rPr>
              <w:t xml:space="preserve"> in Kenya</w:t>
            </w:r>
          </w:p>
        </w:tc>
        <w:tc>
          <w:tcPr>
            <w:tcW w:w="885" w:type="pct"/>
            <w:shd w:val="clear" w:color="auto" w:fill="FFFFFF"/>
            <w:noWrap/>
          </w:tcPr>
          <w:p w14:paraId="1E4BDF04" w14:textId="77777777" w:rsidR="003859C9" w:rsidRPr="00EB11D3" w:rsidRDefault="003859C9" w:rsidP="003859C9">
            <w:pPr>
              <w:shd w:val="clear" w:color="auto" w:fill="FFFFFF"/>
              <w:spacing w:after="0" w:line="240" w:lineRule="auto"/>
              <w:jc w:val="left"/>
              <w:rPr>
                <w:rFonts w:eastAsia="Calibri"/>
                <w:b/>
                <w:bCs/>
                <w:szCs w:val="24"/>
                <w:lang w:val="en-GB"/>
              </w:rPr>
            </w:pPr>
            <w:r w:rsidRPr="00EB11D3">
              <w:rPr>
                <w:rFonts w:eastAsia="Calibri"/>
                <w:b/>
                <w:bCs/>
                <w:szCs w:val="24"/>
              </w:rPr>
              <w:t>Rejected</w:t>
            </w:r>
          </w:p>
        </w:tc>
      </w:tr>
      <w:tr w:rsidR="003859C9" w:rsidRPr="00EB11D3" w14:paraId="1F3198C4" w14:textId="77777777" w:rsidTr="00823CEA">
        <w:trPr>
          <w:trHeight w:val="1827"/>
        </w:trPr>
        <w:tc>
          <w:tcPr>
            <w:tcW w:w="2344" w:type="pct"/>
            <w:shd w:val="clear" w:color="auto" w:fill="auto"/>
            <w:noWrap/>
          </w:tcPr>
          <w:p w14:paraId="19568E8C" w14:textId="77777777" w:rsidR="003859C9" w:rsidRPr="00EB11D3" w:rsidRDefault="003859C9" w:rsidP="003859C9">
            <w:pPr>
              <w:shd w:val="clear" w:color="auto" w:fill="FFFFFF"/>
              <w:spacing w:after="160" w:line="240" w:lineRule="auto"/>
              <w:rPr>
                <w:rFonts w:eastAsia="Calibri"/>
                <w:b/>
                <w:bCs/>
                <w:szCs w:val="24"/>
              </w:rPr>
            </w:pPr>
            <w:r w:rsidRPr="00EB11D3">
              <w:rPr>
                <w:rFonts w:eastAsia="Calibri"/>
                <w:b/>
                <w:bCs/>
                <w:szCs w:val="24"/>
              </w:rPr>
              <w:t>Objective 2</w:t>
            </w:r>
          </w:p>
          <w:p w14:paraId="28A74131" w14:textId="77777777" w:rsidR="003859C9" w:rsidRPr="00EB11D3" w:rsidRDefault="003859C9" w:rsidP="003859C9">
            <w:pPr>
              <w:shd w:val="clear" w:color="auto" w:fill="FFFFFF"/>
              <w:spacing w:after="160" w:line="240" w:lineRule="auto"/>
              <w:rPr>
                <w:rFonts w:eastAsia="Calibri"/>
                <w:szCs w:val="24"/>
              </w:rPr>
            </w:pPr>
            <w:r w:rsidRPr="00EB11D3">
              <w:rPr>
                <w:rFonts w:eastAsia="Calibri"/>
                <w:szCs w:val="24"/>
                <w:lang w:val="en"/>
              </w:rPr>
              <w:t xml:space="preserve">To determine the mediating effect of service innovation on the relationship between corporate governance and </w:t>
            </w:r>
            <w:r w:rsidR="006D5C62" w:rsidRPr="00EB11D3">
              <w:rPr>
                <w:rFonts w:eastAsia="Calibri"/>
                <w:szCs w:val="24"/>
              </w:rPr>
              <w:t>organisational performance of Faith-Based Hospitals</w:t>
            </w:r>
            <w:r w:rsidRPr="00EB11D3">
              <w:rPr>
                <w:rFonts w:eastAsia="Calibri"/>
                <w:szCs w:val="24"/>
                <w:lang w:val="en"/>
              </w:rPr>
              <w:t xml:space="preserve"> in Kenya.  </w:t>
            </w:r>
          </w:p>
        </w:tc>
        <w:tc>
          <w:tcPr>
            <w:tcW w:w="1771" w:type="pct"/>
            <w:shd w:val="clear" w:color="auto" w:fill="auto"/>
            <w:noWrap/>
          </w:tcPr>
          <w:p w14:paraId="337CAE59" w14:textId="77777777" w:rsidR="003859C9" w:rsidRPr="00EB11D3" w:rsidRDefault="003859C9" w:rsidP="003859C9">
            <w:pPr>
              <w:shd w:val="clear" w:color="auto" w:fill="FFFFFF"/>
              <w:spacing w:after="160" w:line="240" w:lineRule="auto"/>
              <w:rPr>
                <w:rFonts w:eastAsia="Calibri"/>
                <w:szCs w:val="24"/>
              </w:rPr>
            </w:pPr>
            <w:r w:rsidRPr="00EB11D3">
              <w:rPr>
                <w:rFonts w:eastAsia="Calibri"/>
                <w:szCs w:val="24"/>
              </w:rPr>
              <w:t>H</w:t>
            </w:r>
            <w:r w:rsidRPr="00EB11D3">
              <w:rPr>
                <w:rFonts w:eastAsia="Calibri"/>
                <w:szCs w:val="24"/>
                <w:vertAlign w:val="subscript"/>
              </w:rPr>
              <w:t xml:space="preserve">02: </w:t>
            </w:r>
            <w:r w:rsidRPr="00EB11D3">
              <w:rPr>
                <w:rFonts w:eastAsia="Calibri"/>
                <w:szCs w:val="24"/>
              </w:rPr>
              <w:t xml:space="preserve"> There is no significant mediating effect of service innovation on the relationship between corporate governance and </w:t>
            </w:r>
            <w:r w:rsidR="006D5C62" w:rsidRPr="00EB11D3">
              <w:rPr>
                <w:rFonts w:eastAsia="Calibri"/>
                <w:szCs w:val="24"/>
              </w:rPr>
              <w:t>organisational performance of Faith-Based Hospitals</w:t>
            </w:r>
            <w:r w:rsidRPr="00EB11D3">
              <w:rPr>
                <w:rFonts w:eastAsia="Calibri"/>
                <w:szCs w:val="24"/>
                <w:lang w:val="en"/>
              </w:rPr>
              <w:t xml:space="preserve"> in Kenya</w:t>
            </w:r>
          </w:p>
        </w:tc>
        <w:tc>
          <w:tcPr>
            <w:tcW w:w="885" w:type="pct"/>
            <w:shd w:val="clear" w:color="auto" w:fill="auto"/>
            <w:noWrap/>
          </w:tcPr>
          <w:p w14:paraId="513952FD" w14:textId="77777777" w:rsidR="003859C9" w:rsidRPr="00EB11D3" w:rsidRDefault="003859C9" w:rsidP="003859C9">
            <w:pPr>
              <w:shd w:val="clear" w:color="auto" w:fill="FFFFFF"/>
              <w:spacing w:after="0" w:line="240" w:lineRule="auto"/>
              <w:jc w:val="left"/>
              <w:rPr>
                <w:rFonts w:eastAsia="Calibri"/>
                <w:b/>
                <w:bCs/>
                <w:szCs w:val="24"/>
                <w:lang w:val="en-GB"/>
              </w:rPr>
            </w:pPr>
            <w:r w:rsidRPr="00EB11D3">
              <w:rPr>
                <w:rFonts w:eastAsia="Calibri"/>
                <w:b/>
                <w:bCs/>
                <w:szCs w:val="24"/>
              </w:rPr>
              <w:t>Rejected</w:t>
            </w:r>
          </w:p>
        </w:tc>
      </w:tr>
      <w:tr w:rsidR="003859C9" w:rsidRPr="00EB11D3" w14:paraId="4D8D9B00" w14:textId="77777777" w:rsidTr="00823CEA">
        <w:trPr>
          <w:trHeight w:val="2069"/>
        </w:trPr>
        <w:tc>
          <w:tcPr>
            <w:tcW w:w="2344" w:type="pct"/>
            <w:shd w:val="clear" w:color="auto" w:fill="auto"/>
            <w:noWrap/>
          </w:tcPr>
          <w:p w14:paraId="4CBE5D69" w14:textId="77777777" w:rsidR="003859C9" w:rsidRPr="00EB11D3" w:rsidRDefault="003859C9" w:rsidP="003859C9">
            <w:pPr>
              <w:shd w:val="clear" w:color="auto" w:fill="FFFFFF"/>
              <w:spacing w:after="160" w:line="240" w:lineRule="auto"/>
              <w:jc w:val="left"/>
              <w:rPr>
                <w:rFonts w:eastAsia="Calibri"/>
                <w:b/>
                <w:bCs/>
                <w:szCs w:val="24"/>
              </w:rPr>
            </w:pPr>
            <w:r w:rsidRPr="00EB11D3">
              <w:rPr>
                <w:rFonts w:eastAsia="Calibri"/>
                <w:b/>
                <w:bCs/>
                <w:szCs w:val="24"/>
              </w:rPr>
              <w:t>Objective 3</w:t>
            </w:r>
          </w:p>
          <w:p w14:paraId="3E12668D" w14:textId="77777777" w:rsidR="003859C9" w:rsidRPr="00EB11D3" w:rsidRDefault="003859C9" w:rsidP="00823CEA">
            <w:pPr>
              <w:shd w:val="clear" w:color="auto" w:fill="FFFFFF"/>
              <w:spacing w:after="160" w:line="240" w:lineRule="auto"/>
              <w:rPr>
                <w:rFonts w:eastAsia="Calibri"/>
                <w:szCs w:val="24"/>
                <w:lang w:val="en-GB"/>
              </w:rPr>
            </w:pPr>
            <w:r w:rsidRPr="00EB11D3">
              <w:rPr>
                <w:rFonts w:eastAsia="Calibri"/>
                <w:szCs w:val="24"/>
                <w:lang w:val="en"/>
              </w:rPr>
              <w:t xml:space="preserve">To examine the moderating effect of government regulations on the relationship between corporate governance and </w:t>
            </w:r>
            <w:r w:rsidR="006D5C62" w:rsidRPr="00EB11D3">
              <w:rPr>
                <w:rFonts w:eastAsia="Calibri"/>
                <w:szCs w:val="24"/>
              </w:rPr>
              <w:t>organisational performance of Faith-Based Hospitals</w:t>
            </w:r>
            <w:r w:rsidRPr="00EB11D3">
              <w:rPr>
                <w:rFonts w:eastAsia="Calibri"/>
                <w:szCs w:val="24"/>
                <w:lang w:val="en"/>
              </w:rPr>
              <w:t xml:space="preserve"> in Kenya.  </w:t>
            </w:r>
          </w:p>
        </w:tc>
        <w:tc>
          <w:tcPr>
            <w:tcW w:w="1771" w:type="pct"/>
            <w:shd w:val="clear" w:color="auto" w:fill="auto"/>
            <w:noWrap/>
          </w:tcPr>
          <w:p w14:paraId="62F50E28" w14:textId="77777777" w:rsidR="003859C9" w:rsidRPr="00EB11D3" w:rsidRDefault="003859C9" w:rsidP="003859C9">
            <w:pPr>
              <w:shd w:val="clear" w:color="auto" w:fill="FFFFFF"/>
              <w:spacing w:after="160" w:line="240" w:lineRule="auto"/>
              <w:rPr>
                <w:rFonts w:eastAsia="Calibri"/>
                <w:szCs w:val="24"/>
                <w:lang w:val="en-GB"/>
              </w:rPr>
            </w:pPr>
            <w:r w:rsidRPr="00EB11D3">
              <w:rPr>
                <w:rFonts w:eastAsia="Calibri"/>
                <w:szCs w:val="24"/>
              </w:rPr>
              <w:t>H</w:t>
            </w:r>
            <w:r w:rsidRPr="00EB11D3">
              <w:rPr>
                <w:rFonts w:eastAsia="Calibri"/>
                <w:szCs w:val="24"/>
                <w:vertAlign w:val="subscript"/>
              </w:rPr>
              <w:t xml:space="preserve">03: </w:t>
            </w:r>
            <w:r w:rsidRPr="00EB11D3">
              <w:rPr>
                <w:rFonts w:eastAsia="Calibri"/>
                <w:szCs w:val="24"/>
              </w:rPr>
              <w:t xml:space="preserve"> There is no significant moderating effect of government regulations on the relationship between corporate governance and </w:t>
            </w:r>
            <w:r w:rsidR="006D5C62" w:rsidRPr="00EB11D3">
              <w:rPr>
                <w:rFonts w:eastAsia="Calibri"/>
                <w:szCs w:val="24"/>
              </w:rPr>
              <w:t>organisational performance of Faith-Based Hospitals</w:t>
            </w:r>
            <w:r w:rsidRPr="00EB11D3">
              <w:rPr>
                <w:rFonts w:eastAsia="Calibri"/>
                <w:szCs w:val="24"/>
                <w:lang w:val="en"/>
              </w:rPr>
              <w:t xml:space="preserve"> in Kenya</w:t>
            </w:r>
          </w:p>
        </w:tc>
        <w:tc>
          <w:tcPr>
            <w:tcW w:w="885" w:type="pct"/>
            <w:shd w:val="clear" w:color="auto" w:fill="auto"/>
            <w:noWrap/>
          </w:tcPr>
          <w:p w14:paraId="6E2CF3B0" w14:textId="77777777" w:rsidR="003859C9" w:rsidRPr="00EB11D3" w:rsidRDefault="004F1E31" w:rsidP="003859C9">
            <w:pPr>
              <w:shd w:val="clear" w:color="auto" w:fill="FFFFFF"/>
              <w:spacing w:after="0" w:line="240" w:lineRule="auto"/>
              <w:jc w:val="left"/>
              <w:rPr>
                <w:rFonts w:eastAsia="Calibri"/>
                <w:b/>
                <w:bCs/>
                <w:szCs w:val="24"/>
                <w:lang w:val="en-GB"/>
              </w:rPr>
            </w:pPr>
            <w:r w:rsidRPr="00EB11D3">
              <w:rPr>
                <w:rFonts w:eastAsia="Calibri"/>
                <w:b/>
                <w:bCs/>
                <w:szCs w:val="24"/>
              </w:rPr>
              <w:t>Rejec</w:t>
            </w:r>
            <w:r w:rsidR="00E348B0" w:rsidRPr="00EB11D3">
              <w:rPr>
                <w:rFonts w:eastAsia="Calibri"/>
                <w:b/>
                <w:bCs/>
                <w:szCs w:val="24"/>
              </w:rPr>
              <w:t>t</w:t>
            </w:r>
            <w:r w:rsidR="003859C9" w:rsidRPr="00EB11D3">
              <w:rPr>
                <w:rFonts w:eastAsia="Calibri"/>
                <w:b/>
                <w:bCs/>
                <w:szCs w:val="24"/>
              </w:rPr>
              <w:t>ed</w:t>
            </w:r>
          </w:p>
        </w:tc>
      </w:tr>
      <w:tr w:rsidR="003859C9" w:rsidRPr="00EB11D3" w14:paraId="24A381BB" w14:textId="77777777" w:rsidTr="00823CEA">
        <w:trPr>
          <w:trHeight w:val="1737"/>
        </w:trPr>
        <w:tc>
          <w:tcPr>
            <w:tcW w:w="2344" w:type="pct"/>
            <w:tcBorders>
              <w:bottom w:val="single" w:sz="4" w:space="0" w:color="auto"/>
            </w:tcBorders>
            <w:shd w:val="clear" w:color="auto" w:fill="auto"/>
            <w:noWrap/>
          </w:tcPr>
          <w:p w14:paraId="4C8036C6" w14:textId="77777777" w:rsidR="003859C9" w:rsidRPr="00EB11D3" w:rsidRDefault="003859C9" w:rsidP="003859C9">
            <w:pPr>
              <w:shd w:val="clear" w:color="auto" w:fill="FFFFFF"/>
              <w:spacing w:after="160" w:line="240" w:lineRule="auto"/>
              <w:jc w:val="left"/>
              <w:rPr>
                <w:rFonts w:eastAsia="Calibri"/>
                <w:b/>
                <w:bCs/>
                <w:szCs w:val="24"/>
              </w:rPr>
            </w:pPr>
            <w:r w:rsidRPr="00EB11D3">
              <w:rPr>
                <w:rFonts w:eastAsia="Calibri"/>
                <w:b/>
                <w:bCs/>
                <w:szCs w:val="24"/>
              </w:rPr>
              <w:t>Objective 4</w:t>
            </w:r>
          </w:p>
          <w:p w14:paraId="6DC239B8" w14:textId="77777777" w:rsidR="003859C9" w:rsidRPr="00EB11D3" w:rsidRDefault="003859C9" w:rsidP="003859C9">
            <w:pPr>
              <w:shd w:val="clear" w:color="auto" w:fill="FFFFFF"/>
              <w:spacing w:after="160" w:line="240" w:lineRule="auto"/>
              <w:rPr>
                <w:rFonts w:eastAsia="Calibri"/>
                <w:szCs w:val="24"/>
                <w:lang w:val="en-GB"/>
              </w:rPr>
            </w:pPr>
            <w:r w:rsidRPr="00EB11D3">
              <w:rPr>
                <w:rFonts w:eastAsia="Calibri"/>
                <w:szCs w:val="24"/>
                <w:lang w:val="en"/>
              </w:rPr>
              <w:t xml:space="preserve">To determine the </w:t>
            </w:r>
            <w:r w:rsidR="00E70D07" w:rsidRPr="00EB11D3">
              <w:rPr>
                <w:rFonts w:eastAsia="Calibri"/>
                <w:szCs w:val="24"/>
                <w:lang w:val="en"/>
              </w:rPr>
              <w:t xml:space="preserve">mediated moderation </w:t>
            </w:r>
            <w:r w:rsidRPr="00EB11D3">
              <w:rPr>
                <w:rFonts w:eastAsia="Calibri"/>
                <w:szCs w:val="24"/>
                <w:lang w:val="en"/>
              </w:rPr>
              <w:t xml:space="preserve">effect of service innovation and government regulation on the relationship between corporate governance and </w:t>
            </w:r>
            <w:r w:rsidR="006D5C62" w:rsidRPr="00EB11D3">
              <w:rPr>
                <w:rFonts w:eastAsia="Calibri"/>
                <w:szCs w:val="24"/>
                <w:lang w:val="en"/>
              </w:rPr>
              <w:t>organisational performance of Faith-Based Hospitals</w:t>
            </w:r>
            <w:r w:rsidRPr="00EB11D3">
              <w:rPr>
                <w:rFonts w:eastAsia="Calibri"/>
                <w:szCs w:val="24"/>
                <w:lang w:val="en"/>
              </w:rPr>
              <w:t xml:space="preserve"> in Kenya.</w:t>
            </w:r>
          </w:p>
        </w:tc>
        <w:tc>
          <w:tcPr>
            <w:tcW w:w="1771" w:type="pct"/>
            <w:tcBorders>
              <w:bottom w:val="single" w:sz="4" w:space="0" w:color="auto"/>
            </w:tcBorders>
            <w:shd w:val="clear" w:color="auto" w:fill="auto"/>
            <w:noWrap/>
          </w:tcPr>
          <w:p w14:paraId="4F2D4858" w14:textId="77777777" w:rsidR="003859C9" w:rsidRPr="00EB11D3" w:rsidRDefault="003859C9" w:rsidP="003859C9">
            <w:pPr>
              <w:shd w:val="clear" w:color="auto" w:fill="FFFFFF"/>
              <w:spacing w:after="160" w:line="240" w:lineRule="auto"/>
              <w:rPr>
                <w:rFonts w:eastAsia="Calibri"/>
                <w:szCs w:val="24"/>
                <w:lang w:val="en-GB"/>
              </w:rPr>
            </w:pPr>
            <w:r w:rsidRPr="00EB11D3">
              <w:rPr>
                <w:rFonts w:eastAsia="Calibri"/>
                <w:szCs w:val="24"/>
              </w:rPr>
              <w:t>H0</w:t>
            </w:r>
            <w:r w:rsidRPr="00EB11D3">
              <w:rPr>
                <w:rFonts w:eastAsia="Calibri"/>
                <w:szCs w:val="24"/>
                <w:vertAlign w:val="subscript"/>
              </w:rPr>
              <w:t>4</w:t>
            </w:r>
            <w:r w:rsidRPr="00EB11D3">
              <w:rPr>
                <w:rFonts w:eastAsia="Calibri"/>
                <w:bCs/>
                <w:szCs w:val="24"/>
              </w:rPr>
              <w:t>:</w:t>
            </w:r>
            <w:r w:rsidRPr="00EB11D3">
              <w:rPr>
                <w:rFonts w:eastAsia="Calibri"/>
                <w:szCs w:val="24"/>
                <w:lang w:val="en-GB"/>
              </w:rPr>
              <w:t xml:space="preserve"> There is no significant </w:t>
            </w:r>
            <w:r w:rsidR="000E20B9" w:rsidRPr="00EB11D3">
              <w:rPr>
                <w:rFonts w:eastAsia="Cambria"/>
                <w:szCs w:val="24"/>
              </w:rPr>
              <w:t>mediated</w:t>
            </w:r>
            <w:r w:rsidR="000E20B9">
              <w:rPr>
                <w:rFonts w:eastAsia="Cambria"/>
                <w:szCs w:val="24"/>
              </w:rPr>
              <w:t xml:space="preserve"> </w:t>
            </w:r>
            <w:r w:rsidR="000E20B9" w:rsidRPr="00EB11D3">
              <w:rPr>
                <w:rFonts w:eastAsia="Cambria"/>
                <w:szCs w:val="24"/>
              </w:rPr>
              <w:t>moderat</w:t>
            </w:r>
            <w:r w:rsidR="000E20B9">
              <w:rPr>
                <w:rFonts w:eastAsia="Cambria"/>
                <w:szCs w:val="24"/>
              </w:rPr>
              <w:t>ion</w:t>
            </w:r>
            <w:r w:rsidRPr="00EB11D3">
              <w:rPr>
                <w:rFonts w:eastAsia="Calibri"/>
                <w:szCs w:val="24"/>
                <w:lang w:val="en-GB"/>
              </w:rPr>
              <w:t xml:space="preserve"> effect on the relationship between corporate governance and </w:t>
            </w:r>
            <w:r w:rsidR="006D5C62" w:rsidRPr="00EB11D3">
              <w:rPr>
                <w:rFonts w:eastAsia="Calibri"/>
                <w:szCs w:val="24"/>
              </w:rPr>
              <w:t>organisational performance of Faith-Based Hospitals</w:t>
            </w:r>
            <w:r w:rsidRPr="00EB11D3">
              <w:rPr>
                <w:rFonts w:eastAsia="Calibri"/>
                <w:szCs w:val="24"/>
                <w:lang w:val="en"/>
              </w:rPr>
              <w:t xml:space="preserve"> in Kenya</w:t>
            </w:r>
            <w:r w:rsidRPr="00EB11D3">
              <w:rPr>
                <w:rFonts w:eastAsia="Calibri"/>
                <w:szCs w:val="24"/>
              </w:rPr>
              <w:t>.</w:t>
            </w:r>
          </w:p>
        </w:tc>
        <w:tc>
          <w:tcPr>
            <w:tcW w:w="885" w:type="pct"/>
            <w:tcBorders>
              <w:bottom w:val="single" w:sz="4" w:space="0" w:color="auto"/>
            </w:tcBorders>
            <w:shd w:val="clear" w:color="auto" w:fill="auto"/>
            <w:noWrap/>
          </w:tcPr>
          <w:p w14:paraId="173D4597" w14:textId="77777777" w:rsidR="003859C9" w:rsidRPr="00EB11D3" w:rsidRDefault="003859C9" w:rsidP="003859C9">
            <w:pPr>
              <w:shd w:val="clear" w:color="auto" w:fill="FFFFFF"/>
              <w:spacing w:after="0" w:line="240" w:lineRule="auto"/>
              <w:jc w:val="left"/>
              <w:rPr>
                <w:rFonts w:eastAsia="Calibri"/>
                <w:b/>
                <w:bCs/>
                <w:szCs w:val="24"/>
                <w:lang w:val="en-GB"/>
              </w:rPr>
            </w:pPr>
            <w:r w:rsidRPr="00EB11D3">
              <w:rPr>
                <w:rFonts w:eastAsia="Calibri"/>
                <w:b/>
                <w:bCs/>
                <w:szCs w:val="24"/>
              </w:rPr>
              <w:t>Rejected</w:t>
            </w:r>
          </w:p>
        </w:tc>
      </w:tr>
    </w:tbl>
    <w:p w14:paraId="2FB4AE8A" w14:textId="77777777" w:rsidR="003859C9" w:rsidRPr="00EB11D3" w:rsidRDefault="003859C9" w:rsidP="003859C9">
      <w:pPr>
        <w:shd w:val="clear" w:color="auto" w:fill="FFFFFF"/>
        <w:spacing w:after="160" w:line="360" w:lineRule="auto"/>
        <w:rPr>
          <w:rFonts w:eastAsia="Calibri"/>
          <w:szCs w:val="24"/>
        </w:rPr>
      </w:pPr>
    </w:p>
    <w:p w14:paraId="4198A22C" w14:textId="77777777" w:rsidR="003859C9" w:rsidRPr="00EB11D3" w:rsidRDefault="003859C9" w:rsidP="00823CEA">
      <w:pPr>
        <w:spacing w:after="160" w:line="360" w:lineRule="auto"/>
        <w:rPr>
          <w:rFonts w:eastAsia="Calibri"/>
          <w:szCs w:val="24"/>
        </w:rPr>
      </w:pPr>
      <w:r w:rsidRPr="00EB11D3">
        <w:rPr>
          <w:rFonts w:eastAsia="Calibri"/>
          <w:szCs w:val="24"/>
        </w:rPr>
        <w:t xml:space="preserve">As indicated in Table 40, hypotheses one was not confirmed that there is no </w:t>
      </w:r>
      <w:r w:rsidR="006D5C62" w:rsidRPr="00EB11D3">
        <w:rPr>
          <w:rFonts w:eastAsia="Calibri"/>
          <w:szCs w:val="24"/>
        </w:rPr>
        <w:t>significant effect of corporate governance on organisational performance of Faith-Based Hospitals</w:t>
      </w:r>
      <w:r w:rsidRPr="00EB11D3">
        <w:rPr>
          <w:rFonts w:eastAsia="Calibri"/>
          <w:szCs w:val="24"/>
          <w:lang w:val="en"/>
        </w:rPr>
        <w:t xml:space="preserve"> in Kenya</w:t>
      </w:r>
      <w:r w:rsidRPr="00EB11D3">
        <w:rPr>
          <w:rFonts w:eastAsia="Calibri"/>
          <w:szCs w:val="24"/>
        </w:rPr>
        <w:t xml:space="preserve">. Further, hypotheses two indicated a mediation effect. Hypotheses three was not confirmed that there is no significant moderating effect of government regulations on the relationship between corporate governance and </w:t>
      </w:r>
      <w:r w:rsidR="006D5C62" w:rsidRPr="00EB11D3">
        <w:rPr>
          <w:rFonts w:eastAsia="Calibri"/>
          <w:szCs w:val="24"/>
        </w:rPr>
        <w:t>organisational performance of Faith-Based Hospitals</w:t>
      </w:r>
      <w:r w:rsidRPr="00EB11D3">
        <w:rPr>
          <w:rFonts w:eastAsia="Calibri"/>
          <w:szCs w:val="24"/>
          <w:lang w:val="en"/>
        </w:rPr>
        <w:t xml:space="preserve"> in Kenya</w:t>
      </w:r>
      <w:r w:rsidRPr="00EB11D3">
        <w:rPr>
          <w:rFonts w:eastAsia="Calibri"/>
          <w:szCs w:val="24"/>
        </w:rPr>
        <w:t xml:space="preserve">. Lastly, hypotheses four was not confirmed that there is no significant </w:t>
      </w:r>
      <w:r w:rsidR="00E70D07" w:rsidRPr="00EB11D3">
        <w:rPr>
          <w:rFonts w:eastAsia="Calibri"/>
          <w:szCs w:val="24"/>
        </w:rPr>
        <w:t xml:space="preserve">mediated moderation </w:t>
      </w:r>
      <w:r w:rsidRPr="00EB11D3">
        <w:rPr>
          <w:rFonts w:eastAsia="Calibri"/>
          <w:szCs w:val="24"/>
        </w:rPr>
        <w:t xml:space="preserve">effect on the relationship between corporate governance and </w:t>
      </w:r>
      <w:bookmarkStart w:id="1038" w:name="_Toc84504771"/>
      <w:bookmarkStart w:id="1039" w:name="_Toc49438843"/>
      <w:bookmarkStart w:id="1040" w:name="_Toc48649207"/>
      <w:bookmarkStart w:id="1041" w:name="_Toc94528939"/>
      <w:bookmarkStart w:id="1042" w:name="_Toc126071159"/>
      <w:r w:rsidR="006D5C62" w:rsidRPr="00EB11D3">
        <w:rPr>
          <w:rFonts w:eastAsia="Calibri"/>
          <w:szCs w:val="24"/>
        </w:rPr>
        <w:t>organisational performance of Faith-Based Hospitals</w:t>
      </w:r>
      <w:r w:rsidRPr="00EB11D3">
        <w:rPr>
          <w:rFonts w:eastAsia="Calibri"/>
          <w:szCs w:val="24"/>
          <w:lang w:val="en"/>
        </w:rPr>
        <w:t xml:space="preserve"> in Kenya</w:t>
      </w:r>
      <w:r w:rsidRPr="00EB11D3">
        <w:rPr>
          <w:rFonts w:eastAsia="Calibri"/>
          <w:szCs w:val="24"/>
        </w:rPr>
        <w:t>.</w:t>
      </w:r>
    </w:p>
    <w:p w14:paraId="17925B1D" w14:textId="77777777" w:rsidR="003859C9" w:rsidRPr="00EB11D3" w:rsidRDefault="00C94E50" w:rsidP="00C94E50">
      <w:pPr>
        <w:pStyle w:val="Heading3"/>
      </w:pPr>
      <w:bookmarkStart w:id="1043" w:name="_Toc171602668"/>
      <w:bookmarkStart w:id="1044" w:name="_Toc171603495"/>
      <w:bookmarkStart w:id="1045" w:name="_Toc177387900"/>
      <w:r>
        <w:t>5.1.6</w:t>
      </w:r>
      <w:r w:rsidR="003859C9" w:rsidRPr="00EB11D3">
        <w:t xml:space="preserve"> Optimal Model</w:t>
      </w:r>
      <w:bookmarkEnd w:id="1038"/>
      <w:bookmarkEnd w:id="1039"/>
      <w:bookmarkEnd w:id="1040"/>
      <w:bookmarkEnd w:id="1041"/>
      <w:bookmarkEnd w:id="1042"/>
      <w:bookmarkEnd w:id="1043"/>
      <w:bookmarkEnd w:id="1044"/>
      <w:bookmarkEnd w:id="1045"/>
      <w:r w:rsidR="003859C9" w:rsidRPr="00EB11D3">
        <w:t xml:space="preserve"> </w:t>
      </w:r>
    </w:p>
    <w:p w14:paraId="64BE14F1" w14:textId="77777777" w:rsidR="003859C9" w:rsidRPr="00EB11D3" w:rsidRDefault="003859C9" w:rsidP="003859C9">
      <w:pPr>
        <w:shd w:val="clear" w:color="auto" w:fill="FFFFFF"/>
        <w:spacing w:after="160" w:line="360" w:lineRule="auto"/>
        <w:rPr>
          <w:rFonts w:eastAsia="Calibri"/>
          <w:szCs w:val="24"/>
          <w:lang w:val="en-GB" w:eastAsia="en-GB"/>
        </w:rPr>
      </w:pPr>
      <w:r w:rsidRPr="00EB11D3">
        <w:rPr>
          <w:rFonts w:eastAsia="Calibri"/>
          <w:szCs w:val="24"/>
          <w:lang w:val="en-GB" w:eastAsia="en-GB"/>
        </w:rPr>
        <w:t>Based on the study findings, a model optimisation was conducted. The aim of model optimisation was to guide in derivation of the final model where only the significant variables are included for objectivity. Results were arrived at through running regressions analysis. Results of the new conceptual framework are presented in Figure 5.</w:t>
      </w:r>
    </w:p>
    <w:p w14:paraId="6B363E3C" w14:textId="77777777" w:rsidR="003859C9" w:rsidRPr="00EB11D3" w:rsidRDefault="00FD30BB" w:rsidP="003859C9">
      <w:pPr>
        <w:shd w:val="clear" w:color="auto" w:fill="FFFFFF"/>
        <w:tabs>
          <w:tab w:val="left" w:pos="2391"/>
        </w:tabs>
        <w:spacing w:after="0" w:line="360" w:lineRule="auto"/>
        <w:jc w:val="left"/>
        <w:rPr>
          <w:rFonts w:eastAsia="Calibri"/>
          <w:szCs w:val="24"/>
        </w:rPr>
      </w:pPr>
      <w:r>
        <w:rPr>
          <w:noProof/>
        </w:rPr>
        <mc:AlternateContent>
          <mc:Choice Requires="wpg">
            <w:drawing>
              <wp:anchor distT="0" distB="0" distL="114300" distR="114300" simplePos="0" relativeHeight="251659264" behindDoc="0" locked="0" layoutInCell="1" allowOverlap="1" wp14:anchorId="10836BD1" wp14:editId="1CCBDA83">
                <wp:simplePos x="0" y="0"/>
                <wp:positionH relativeFrom="column">
                  <wp:posOffset>-67945</wp:posOffset>
                </wp:positionH>
                <wp:positionV relativeFrom="paragraph">
                  <wp:posOffset>114300</wp:posOffset>
                </wp:positionV>
                <wp:extent cx="5996305" cy="3802380"/>
                <wp:effectExtent l="0" t="0" r="4445" b="0"/>
                <wp:wrapNone/>
                <wp:docPr id="125364117"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96305" cy="3802380"/>
                          <a:chOff x="0" y="0"/>
                          <a:chExt cx="56495" cy="39427"/>
                        </a:xfrm>
                      </wpg:grpSpPr>
                      <wps:wsp>
                        <wps:cNvPr id="1863806438" name="Straight Arrow Connector 288"/>
                        <wps:cNvCnPr>
                          <a:cxnSpLocks/>
                        </wps:cNvCnPr>
                        <wps:spPr bwMode="auto">
                          <a:xfrm flipV="1">
                            <a:off x="4343" y="0"/>
                            <a:ext cx="0" cy="6032"/>
                          </a:xfrm>
                          <a:prstGeom prst="straightConnector1">
                            <a:avLst/>
                          </a:prstGeom>
                          <a:noFill/>
                          <a:ln w="9525">
                            <a:solidFill>
                              <a:srgbClr val="000000"/>
                            </a:solidFill>
                            <a:round/>
                            <a:headEnd/>
                            <a:tailEnd/>
                          </a:ln>
                        </wps:spPr>
                        <wps:bodyPr/>
                      </wps:wsp>
                      <wps:wsp>
                        <wps:cNvPr id="1321608228" name="Straight Arrow Connector 289"/>
                        <wps:cNvCnPr>
                          <a:cxnSpLocks/>
                        </wps:cNvCnPr>
                        <wps:spPr bwMode="auto">
                          <a:xfrm>
                            <a:off x="4343" y="0"/>
                            <a:ext cx="46577" cy="0"/>
                          </a:xfrm>
                          <a:prstGeom prst="straightConnector1">
                            <a:avLst/>
                          </a:prstGeom>
                          <a:noFill/>
                          <a:ln w="9525">
                            <a:solidFill>
                              <a:srgbClr val="000000"/>
                            </a:solidFill>
                            <a:round/>
                            <a:headEnd/>
                            <a:tailEnd/>
                          </a:ln>
                        </wps:spPr>
                        <wps:bodyPr/>
                      </wps:wsp>
                      <wps:wsp>
                        <wps:cNvPr id="188384457" name="Text Box 290"/>
                        <wps:cNvSpPr txBox="1">
                          <a:spLocks/>
                        </wps:cNvSpPr>
                        <wps:spPr bwMode="auto">
                          <a:xfrm>
                            <a:off x="0" y="6019"/>
                            <a:ext cx="13938" cy="19450"/>
                          </a:xfrm>
                          <a:prstGeom prst="rect">
                            <a:avLst/>
                          </a:prstGeom>
                          <a:solidFill>
                            <a:srgbClr val="FFFFFF"/>
                          </a:solidFill>
                          <a:ln w="19050">
                            <a:solidFill>
                              <a:srgbClr val="000000"/>
                            </a:solidFill>
                            <a:miter lim="800000"/>
                            <a:headEnd/>
                            <a:tailEnd/>
                          </a:ln>
                        </wps:spPr>
                        <wps:txbx>
                          <w:txbxContent>
                            <w:p w14:paraId="5775B08E" w14:textId="77777777" w:rsidR="003859C9" w:rsidRDefault="003859C9" w:rsidP="003859C9">
                              <w:pPr>
                                <w:pStyle w:val="Heading7"/>
                                <w:jc w:val="center"/>
                                <w:rPr>
                                  <w:rFonts w:ascii="Times New Roman" w:hAnsi="Times New Roman"/>
                                  <w:b/>
                                  <w:bCs/>
                                </w:rPr>
                              </w:pPr>
                            </w:p>
                            <w:p w14:paraId="590321AF" w14:textId="77777777" w:rsidR="003859C9" w:rsidRPr="00246FDC" w:rsidRDefault="003859C9" w:rsidP="003859C9">
                              <w:pPr>
                                <w:jc w:val="center"/>
                                <w:rPr>
                                  <w:b/>
                                  <w:sz w:val="22"/>
                                </w:rPr>
                              </w:pPr>
                              <w:r w:rsidRPr="00246FDC">
                                <w:rPr>
                                  <w:b/>
                                  <w:sz w:val="22"/>
                                </w:rPr>
                                <w:t>Corporate Governance</w:t>
                              </w:r>
                            </w:p>
                            <w:p w14:paraId="68301834" w14:textId="77777777" w:rsidR="003859C9" w:rsidRDefault="003859C9" w:rsidP="003859C9">
                              <w:pPr>
                                <w:rPr>
                                  <w:b/>
                                </w:rPr>
                              </w:pPr>
                            </w:p>
                            <w:p w14:paraId="181D76BC" w14:textId="77777777" w:rsidR="003859C9" w:rsidRDefault="003859C9" w:rsidP="003859C9">
                              <w:pPr>
                                <w:pStyle w:val="ListParagraph"/>
                                <w:spacing w:line="240" w:lineRule="auto"/>
                              </w:pPr>
                            </w:p>
                            <w:p w14:paraId="3D60B6BB" w14:textId="77777777" w:rsidR="003859C9" w:rsidRDefault="003859C9" w:rsidP="003859C9">
                              <w:pPr>
                                <w:pStyle w:val="ListParagraph"/>
                                <w:spacing w:line="240" w:lineRule="auto"/>
                              </w:pPr>
                            </w:p>
                            <w:p w14:paraId="424EF2C2" w14:textId="77777777" w:rsidR="003859C9" w:rsidRDefault="003859C9" w:rsidP="003859C9">
                              <w:pPr>
                                <w:ind w:left="360"/>
                              </w:pPr>
                            </w:p>
                            <w:p w14:paraId="69C3D99C" w14:textId="77777777" w:rsidR="003859C9" w:rsidRDefault="003859C9" w:rsidP="003859C9">
                              <w:pPr>
                                <w:ind w:left="360"/>
                              </w:pPr>
                            </w:p>
                            <w:p w14:paraId="19802D69" w14:textId="77777777" w:rsidR="003859C9" w:rsidRDefault="003859C9" w:rsidP="003859C9">
                              <w:pPr>
                                <w:rPr>
                                  <w:b/>
                                </w:rPr>
                              </w:pPr>
                            </w:p>
                          </w:txbxContent>
                        </wps:txbx>
                        <wps:bodyPr rot="0" vert="horz" wrap="square" lIns="91440" tIns="45720" rIns="91440" bIns="45720" anchor="t" anchorCtr="0" upright="1">
                          <a:noAutofit/>
                        </wps:bodyPr>
                      </wps:wsp>
                      <wps:wsp>
                        <wps:cNvPr id="1458011215" name="Text Box 291"/>
                        <wps:cNvSpPr txBox="1">
                          <a:spLocks/>
                        </wps:cNvSpPr>
                        <wps:spPr bwMode="auto">
                          <a:xfrm>
                            <a:off x="43357" y="7162"/>
                            <a:ext cx="13138" cy="17012"/>
                          </a:xfrm>
                          <a:prstGeom prst="rect">
                            <a:avLst/>
                          </a:prstGeom>
                          <a:solidFill>
                            <a:srgbClr val="FFFFFF"/>
                          </a:solidFill>
                          <a:ln w="19050">
                            <a:solidFill>
                              <a:srgbClr val="000000"/>
                            </a:solidFill>
                            <a:miter lim="800000"/>
                            <a:headEnd/>
                            <a:tailEnd/>
                          </a:ln>
                        </wps:spPr>
                        <wps:txbx>
                          <w:txbxContent>
                            <w:p w14:paraId="68507C1A" w14:textId="77777777" w:rsidR="003859C9" w:rsidRDefault="003859C9" w:rsidP="003859C9"/>
                            <w:p w14:paraId="72B5E20F" w14:textId="77777777" w:rsidR="003859C9" w:rsidRPr="00741D67" w:rsidRDefault="003859C9" w:rsidP="003859C9">
                              <w:pPr>
                                <w:rPr>
                                  <w:sz w:val="22"/>
                                </w:rPr>
                              </w:pPr>
                              <w:r w:rsidRPr="00741D67">
                                <w:rPr>
                                  <w:rFonts w:eastAsia="Times New Roman"/>
                                  <w:b/>
                                  <w:bCs/>
                                  <w:sz w:val="22"/>
                                </w:rPr>
                                <w:t>Organisational Performance</w:t>
                              </w:r>
                              <w:r w:rsidRPr="00741D67">
                                <w:rPr>
                                  <w:rFonts w:eastAsia="Times New Roman"/>
                                  <w:b/>
                                  <w:bCs/>
                                  <w:sz w:val="22"/>
                                  <w:lang w:val="en"/>
                                </w:rPr>
                                <w:t xml:space="preserve"> of Faith-Based Hospitals in Kenya</w:t>
                              </w:r>
                            </w:p>
                          </w:txbxContent>
                        </wps:txbx>
                        <wps:bodyPr rot="0" vert="horz" wrap="square" lIns="91440" tIns="45720" rIns="91440" bIns="45720" anchor="t" anchorCtr="0" upright="1">
                          <a:noAutofit/>
                        </wps:bodyPr>
                      </wps:wsp>
                      <wps:wsp>
                        <wps:cNvPr id="684312684" name="Text Box 292"/>
                        <wps:cNvSpPr txBox="1">
                          <a:spLocks/>
                        </wps:cNvSpPr>
                        <wps:spPr bwMode="auto">
                          <a:xfrm>
                            <a:off x="19812" y="5867"/>
                            <a:ext cx="14763" cy="3143"/>
                          </a:xfrm>
                          <a:prstGeom prst="rect">
                            <a:avLst/>
                          </a:prstGeom>
                          <a:solidFill>
                            <a:srgbClr val="FFFFFF"/>
                          </a:solidFill>
                          <a:ln>
                            <a:noFill/>
                          </a:ln>
                        </wps:spPr>
                        <wps:txbx>
                          <w:txbxContent>
                            <w:p w14:paraId="29BACCF4" w14:textId="77777777" w:rsidR="003859C9" w:rsidRDefault="003859C9" w:rsidP="003859C9">
                              <w:pPr>
                                <w:spacing w:after="0" w:line="240" w:lineRule="auto"/>
                                <w:rPr>
                                  <w:b/>
                                </w:rPr>
                              </w:pPr>
                            </w:p>
                          </w:txbxContent>
                        </wps:txbx>
                        <wps:bodyPr rot="0" vert="horz" wrap="square" lIns="91440" tIns="45720" rIns="91440" bIns="45720" anchor="t" anchorCtr="0" upright="1">
                          <a:noAutofit/>
                        </wps:bodyPr>
                      </wps:wsp>
                      <wps:wsp>
                        <wps:cNvPr id="969588181" name="Text Box 293"/>
                        <wps:cNvSpPr txBox="1">
                          <a:spLocks/>
                        </wps:cNvSpPr>
                        <wps:spPr bwMode="auto">
                          <a:xfrm>
                            <a:off x="18587" y="6019"/>
                            <a:ext cx="14828" cy="10783"/>
                          </a:xfrm>
                          <a:prstGeom prst="rect">
                            <a:avLst/>
                          </a:prstGeom>
                          <a:solidFill>
                            <a:srgbClr val="FFFFFF"/>
                          </a:solidFill>
                          <a:ln w="19050">
                            <a:solidFill>
                              <a:srgbClr val="000000"/>
                            </a:solidFill>
                            <a:miter lim="800000"/>
                            <a:headEnd/>
                            <a:tailEnd/>
                          </a:ln>
                        </wps:spPr>
                        <wps:txbx>
                          <w:txbxContent>
                            <w:p w14:paraId="30296479" w14:textId="77777777" w:rsidR="003859C9" w:rsidRDefault="003859C9" w:rsidP="003859C9">
                              <w:pPr>
                                <w:rPr>
                                  <w:b/>
                                  <w:lang w:val="en-GB"/>
                                </w:rPr>
                              </w:pPr>
                            </w:p>
                            <w:p w14:paraId="3F003738" w14:textId="77777777" w:rsidR="003859C9" w:rsidRPr="00246FDC" w:rsidRDefault="003859C9" w:rsidP="003859C9">
                              <w:pPr>
                                <w:jc w:val="center"/>
                                <w:rPr>
                                  <w:b/>
                                  <w:sz w:val="22"/>
                                  <w:lang w:val="en-GB"/>
                                </w:rPr>
                              </w:pPr>
                              <w:r w:rsidRPr="00246FDC">
                                <w:rPr>
                                  <w:b/>
                                  <w:sz w:val="22"/>
                                  <w:lang w:val="en-GB"/>
                                </w:rPr>
                                <w:t>Service Innovation</w:t>
                              </w:r>
                            </w:p>
                            <w:p w14:paraId="06534134" w14:textId="77777777" w:rsidR="003859C9" w:rsidRDefault="003859C9" w:rsidP="003859C9">
                              <w:pPr>
                                <w:rPr>
                                  <w:lang w:val="en-GB"/>
                                </w:rPr>
                              </w:pPr>
                            </w:p>
                          </w:txbxContent>
                        </wps:txbx>
                        <wps:bodyPr rot="0" vert="horz" wrap="square" lIns="91440" tIns="45720" rIns="91440" bIns="45720" anchor="t" anchorCtr="0" upright="1">
                          <a:noAutofit/>
                        </wps:bodyPr>
                      </wps:wsp>
                      <wps:wsp>
                        <wps:cNvPr id="1752200212" name="Text Box 294"/>
                        <wps:cNvSpPr txBox="1">
                          <a:spLocks/>
                        </wps:cNvSpPr>
                        <wps:spPr bwMode="auto">
                          <a:xfrm>
                            <a:off x="35789" y="10402"/>
                            <a:ext cx="4572" cy="2756"/>
                          </a:xfrm>
                          <a:prstGeom prst="rect">
                            <a:avLst/>
                          </a:prstGeom>
                          <a:solidFill>
                            <a:srgbClr val="FFFFFF"/>
                          </a:solidFill>
                          <a:ln w="9525">
                            <a:solidFill>
                              <a:srgbClr val="FFFFFF"/>
                            </a:solidFill>
                            <a:miter lim="800000"/>
                            <a:headEnd/>
                            <a:tailEnd/>
                          </a:ln>
                        </wps:spPr>
                        <wps:txbx>
                          <w:txbxContent>
                            <w:p w14:paraId="6AE36813" w14:textId="77777777" w:rsidR="003859C9" w:rsidRDefault="003859C9" w:rsidP="003859C9">
                              <w:pPr>
                                <w:spacing w:line="240" w:lineRule="auto"/>
                                <w:rPr>
                                  <w:b/>
                                </w:rPr>
                              </w:pPr>
                              <w:r>
                                <w:rPr>
                                  <w:b/>
                                </w:rPr>
                                <w:t>H0</w:t>
                              </w:r>
                              <w:r>
                                <w:rPr>
                                  <w:b/>
                                  <w:vertAlign w:val="subscript"/>
                                </w:rPr>
                                <w:t>2</w:t>
                              </w:r>
                            </w:p>
                          </w:txbxContent>
                        </wps:txbx>
                        <wps:bodyPr rot="0" vert="horz" wrap="square" lIns="91440" tIns="45720" rIns="91440" bIns="45720" anchor="t" anchorCtr="0" upright="1">
                          <a:noAutofit/>
                        </wps:bodyPr>
                      </wps:wsp>
                      <wps:wsp>
                        <wps:cNvPr id="1622856112" name="Text Box 295"/>
                        <wps:cNvSpPr txBox="1">
                          <a:spLocks/>
                        </wps:cNvSpPr>
                        <wps:spPr bwMode="auto">
                          <a:xfrm flipH="1">
                            <a:off x="36430" y="17892"/>
                            <a:ext cx="4762" cy="2648"/>
                          </a:xfrm>
                          <a:prstGeom prst="rect">
                            <a:avLst/>
                          </a:prstGeom>
                          <a:solidFill>
                            <a:srgbClr val="FFFFFF"/>
                          </a:solidFill>
                          <a:ln w="9525">
                            <a:solidFill>
                              <a:srgbClr val="FFFFFF"/>
                            </a:solidFill>
                            <a:miter lim="800000"/>
                            <a:headEnd/>
                            <a:tailEnd/>
                          </a:ln>
                        </wps:spPr>
                        <wps:txbx>
                          <w:txbxContent>
                            <w:p w14:paraId="30E1EBA1" w14:textId="77777777" w:rsidR="003859C9" w:rsidRDefault="003859C9" w:rsidP="003859C9">
                              <w:pPr>
                                <w:spacing w:after="0" w:line="240" w:lineRule="auto"/>
                                <w:rPr>
                                  <w:b/>
                                </w:rPr>
                              </w:pPr>
                              <w:r>
                                <w:rPr>
                                  <w:b/>
                                </w:rPr>
                                <w:t>H0</w:t>
                              </w:r>
                              <w:r>
                                <w:rPr>
                                  <w:b/>
                                  <w:vertAlign w:val="subscript"/>
                                </w:rPr>
                                <w:t>4</w:t>
                              </w:r>
                            </w:p>
                          </w:txbxContent>
                        </wps:txbx>
                        <wps:bodyPr rot="0" vert="horz" wrap="square" lIns="91440" tIns="45720" rIns="91440" bIns="45720" anchor="t" anchorCtr="0" upright="1">
                          <a:noAutofit/>
                        </wps:bodyPr>
                      </wps:wsp>
                      <wps:wsp>
                        <wps:cNvPr id="1095438894" name="Text Box 296"/>
                        <wps:cNvSpPr txBox="1">
                          <a:spLocks/>
                        </wps:cNvSpPr>
                        <wps:spPr bwMode="auto">
                          <a:xfrm>
                            <a:off x="25527" y="24231"/>
                            <a:ext cx="15665" cy="6782"/>
                          </a:xfrm>
                          <a:prstGeom prst="rect">
                            <a:avLst/>
                          </a:prstGeom>
                          <a:solidFill>
                            <a:srgbClr val="FFFFFF"/>
                          </a:solidFill>
                          <a:ln w="19050">
                            <a:solidFill>
                              <a:srgbClr val="000000"/>
                            </a:solidFill>
                            <a:miter lim="800000"/>
                            <a:headEnd/>
                            <a:tailEnd/>
                          </a:ln>
                        </wps:spPr>
                        <wps:txbx>
                          <w:txbxContent>
                            <w:p w14:paraId="71C78840" w14:textId="77777777" w:rsidR="003859C9" w:rsidRPr="002B5CDA" w:rsidRDefault="00741D67" w:rsidP="00741D67">
                              <w:pPr>
                                <w:jc w:val="left"/>
                                <w:rPr>
                                  <w:b/>
                                  <w:sz w:val="22"/>
                                  <w:szCs w:val="20"/>
                                </w:rPr>
                              </w:pPr>
                              <w:r w:rsidRPr="002B5CDA">
                                <w:rPr>
                                  <w:b/>
                                  <w:sz w:val="22"/>
                                  <w:szCs w:val="20"/>
                                </w:rPr>
                                <w:t>Government Regulation</w:t>
                              </w:r>
                            </w:p>
                          </w:txbxContent>
                        </wps:txbx>
                        <wps:bodyPr rot="0" vert="horz" wrap="square" lIns="91440" tIns="45720" rIns="91440" bIns="45720" anchor="t" anchorCtr="0" upright="1">
                          <a:noAutofit/>
                        </wps:bodyPr>
                      </wps:wsp>
                      <wps:wsp>
                        <wps:cNvPr id="2013900289" name="Text Box 297"/>
                        <wps:cNvSpPr txBox="1">
                          <a:spLocks/>
                        </wps:cNvSpPr>
                        <wps:spPr bwMode="auto">
                          <a:xfrm>
                            <a:off x="47320" y="29413"/>
                            <a:ext cx="4572" cy="2783"/>
                          </a:xfrm>
                          <a:prstGeom prst="rect">
                            <a:avLst/>
                          </a:prstGeom>
                          <a:solidFill>
                            <a:srgbClr val="FFFFFF"/>
                          </a:solidFill>
                          <a:ln w="9525">
                            <a:solidFill>
                              <a:srgbClr val="FFFFFF"/>
                            </a:solidFill>
                            <a:miter lim="800000"/>
                            <a:headEnd/>
                            <a:tailEnd/>
                          </a:ln>
                        </wps:spPr>
                        <wps:txbx>
                          <w:txbxContent>
                            <w:p w14:paraId="686D46B8" w14:textId="77777777" w:rsidR="003859C9" w:rsidRDefault="003859C9" w:rsidP="003859C9">
                              <w:pPr>
                                <w:spacing w:after="0" w:line="240" w:lineRule="auto"/>
                                <w:rPr>
                                  <w:b/>
                                </w:rPr>
                              </w:pPr>
                              <w:r>
                                <w:rPr>
                                  <w:b/>
                                </w:rPr>
                                <w:t>H0</w:t>
                              </w:r>
                              <w:r>
                                <w:rPr>
                                  <w:b/>
                                  <w:vertAlign w:val="subscript"/>
                                </w:rPr>
                                <w:t>3</w:t>
                              </w:r>
                            </w:p>
                          </w:txbxContent>
                        </wps:txbx>
                        <wps:bodyPr rot="0" vert="horz" wrap="square" lIns="91440" tIns="45720" rIns="91440" bIns="45720" anchor="t" anchorCtr="0" upright="1">
                          <a:noAutofit/>
                        </wps:bodyPr>
                      </wps:wsp>
                      <wps:wsp>
                        <wps:cNvPr id="1331082274" name="Text Box 298"/>
                        <wps:cNvSpPr txBox="1">
                          <a:spLocks/>
                        </wps:cNvSpPr>
                        <wps:spPr bwMode="auto">
                          <a:xfrm>
                            <a:off x="380" y="35966"/>
                            <a:ext cx="16470" cy="3461"/>
                          </a:xfrm>
                          <a:prstGeom prst="rect">
                            <a:avLst/>
                          </a:prstGeom>
                          <a:solidFill>
                            <a:srgbClr val="FFFFFF"/>
                          </a:solidFill>
                          <a:ln>
                            <a:noFill/>
                          </a:ln>
                        </wps:spPr>
                        <wps:txbx>
                          <w:txbxContent>
                            <w:p w14:paraId="5E804FED" w14:textId="77777777" w:rsidR="003859C9" w:rsidRPr="000A5077" w:rsidRDefault="003859C9" w:rsidP="003859C9">
                              <w:pPr>
                                <w:spacing w:after="0" w:line="240" w:lineRule="auto"/>
                                <w:rPr>
                                  <w:b/>
                                  <w:szCs w:val="24"/>
                                </w:rPr>
                              </w:pPr>
                              <w:r w:rsidRPr="000A5077">
                                <w:rPr>
                                  <w:b/>
                                  <w:szCs w:val="24"/>
                                </w:rPr>
                                <w:t>Independent Variable</w:t>
                              </w:r>
                            </w:p>
                          </w:txbxContent>
                        </wps:txbx>
                        <wps:bodyPr rot="0" vert="horz" wrap="square" lIns="91440" tIns="45720" rIns="91440" bIns="45720" anchor="t" anchorCtr="0" upright="1">
                          <a:noAutofit/>
                        </wps:bodyPr>
                      </wps:wsp>
                      <wps:wsp>
                        <wps:cNvPr id="1657416987" name="Text Box 299"/>
                        <wps:cNvSpPr txBox="1">
                          <a:spLocks/>
                        </wps:cNvSpPr>
                        <wps:spPr bwMode="auto">
                          <a:xfrm>
                            <a:off x="40915" y="35966"/>
                            <a:ext cx="15415" cy="2794"/>
                          </a:xfrm>
                          <a:prstGeom prst="rect">
                            <a:avLst/>
                          </a:prstGeom>
                          <a:solidFill>
                            <a:srgbClr val="FFFFFF"/>
                          </a:solidFill>
                          <a:ln>
                            <a:noFill/>
                          </a:ln>
                        </wps:spPr>
                        <wps:txbx>
                          <w:txbxContent>
                            <w:p w14:paraId="07317DE8" w14:textId="77777777" w:rsidR="003859C9" w:rsidRDefault="003859C9" w:rsidP="003859C9">
                              <w:pPr>
                                <w:spacing w:after="0" w:line="240" w:lineRule="auto"/>
                                <w:rPr>
                                  <w:b/>
                                </w:rPr>
                              </w:pPr>
                              <w:r w:rsidRPr="000A5077">
                                <w:rPr>
                                  <w:b/>
                                  <w:szCs w:val="24"/>
                                </w:rPr>
                                <w:t xml:space="preserve">Dependent Variable </w:t>
                              </w:r>
                              <w:r>
                                <w:rPr>
                                  <w:b/>
                                </w:rPr>
                                <w:t>vaModerating Variable</w:t>
                              </w:r>
                            </w:p>
                            <w:p w14:paraId="10B7E7A7" w14:textId="77777777" w:rsidR="003859C9" w:rsidRDefault="003859C9" w:rsidP="003859C9">
                              <w:pPr>
                                <w:rPr>
                                  <w:b/>
                                </w:rPr>
                              </w:pPr>
                              <w:r>
                                <w:rPr>
                                  <w:b/>
                                </w:rPr>
                                <w:t>Variable</w:t>
                              </w:r>
                            </w:p>
                          </w:txbxContent>
                        </wps:txbx>
                        <wps:bodyPr rot="0" vert="horz" wrap="square" lIns="91440" tIns="45720" rIns="91440" bIns="45720" anchor="t" anchorCtr="0" upright="1">
                          <a:noAutofit/>
                        </wps:bodyPr>
                      </wps:wsp>
                      <wps:wsp>
                        <wps:cNvPr id="984245348" name="Text Box 300"/>
                        <wps:cNvSpPr txBox="1">
                          <a:spLocks/>
                        </wps:cNvSpPr>
                        <wps:spPr bwMode="auto">
                          <a:xfrm>
                            <a:off x="21791" y="35890"/>
                            <a:ext cx="17046" cy="3460"/>
                          </a:xfrm>
                          <a:prstGeom prst="rect">
                            <a:avLst/>
                          </a:prstGeom>
                          <a:solidFill>
                            <a:srgbClr val="FFFFFF"/>
                          </a:solidFill>
                          <a:ln>
                            <a:noFill/>
                          </a:ln>
                        </wps:spPr>
                        <wps:txbx>
                          <w:txbxContent>
                            <w:p w14:paraId="532F4D22" w14:textId="77777777" w:rsidR="003859C9" w:rsidRPr="000A5077" w:rsidRDefault="003859C9" w:rsidP="003859C9">
                              <w:pPr>
                                <w:spacing w:after="0" w:line="240" w:lineRule="auto"/>
                                <w:rPr>
                                  <w:b/>
                                  <w:szCs w:val="24"/>
                                </w:rPr>
                              </w:pPr>
                              <w:r w:rsidRPr="000A5077">
                                <w:rPr>
                                  <w:b/>
                                  <w:szCs w:val="24"/>
                                </w:rPr>
                                <w:t>Moderating Variable</w:t>
                              </w:r>
                            </w:p>
                          </w:txbxContent>
                        </wps:txbx>
                        <wps:bodyPr rot="0" vert="horz" wrap="square" lIns="91440" tIns="45720" rIns="91440" bIns="45720" anchor="t" anchorCtr="0" upright="1">
                          <a:noAutofit/>
                        </wps:bodyPr>
                      </wps:wsp>
                      <wps:wsp>
                        <wps:cNvPr id="1580314462" name="Straight Arrow Connector 301"/>
                        <wps:cNvCnPr>
                          <a:cxnSpLocks/>
                        </wps:cNvCnPr>
                        <wps:spPr bwMode="auto">
                          <a:xfrm>
                            <a:off x="50977" y="0"/>
                            <a:ext cx="0" cy="6762"/>
                          </a:xfrm>
                          <a:prstGeom prst="straightConnector1">
                            <a:avLst/>
                          </a:prstGeom>
                          <a:noFill/>
                          <a:ln w="6350">
                            <a:solidFill>
                              <a:srgbClr val="000000"/>
                            </a:solidFill>
                            <a:miter lim="800000"/>
                            <a:headEnd/>
                            <a:tailEnd type="triangle" w="med" len="med"/>
                          </a:ln>
                        </wps:spPr>
                        <wps:bodyPr/>
                      </wps:wsp>
                      <wps:wsp>
                        <wps:cNvPr id="476768853" name="Straight Connector 302"/>
                        <wps:cNvCnPr>
                          <a:cxnSpLocks/>
                        </wps:cNvCnPr>
                        <wps:spPr bwMode="auto">
                          <a:xfrm>
                            <a:off x="6934" y="25527"/>
                            <a:ext cx="0" cy="9239"/>
                          </a:xfrm>
                          <a:prstGeom prst="line">
                            <a:avLst/>
                          </a:prstGeom>
                          <a:noFill/>
                          <a:ln w="6350">
                            <a:solidFill>
                              <a:srgbClr val="000000"/>
                            </a:solidFill>
                            <a:miter lim="800000"/>
                            <a:headEnd/>
                            <a:tailEnd/>
                          </a:ln>
                        </wps:spPr>
                        <wps:bodyPr/>
                      </wps:wsp>
                      <wps:wsp>
                        <wps:cNvPr id="5306343" name="Straight Arrow Connector 303"/>
                        <wps:cNvCnPr>
                          <a:cxnSpLocks/>
                        </wps:cNvCnPr>
                        <wps:spPr bwMode="auto">
                          <a:xfrm flipV="1">
                            <a:off x="50901" y="24079"/>
                            <a:ext cx="0" cy="10693"/>
                          </a:xfrm>
                          <a:prstGeom prst="straightConnector1">
                            <a:avLst/>
                          </a:prstGeom>
                          <a:noFill/>
                          <a:ln w="6350">
                            <a:solidFill>
                              <a:srgbClr val="000000"/>
                            </a:solidFill>
                            <a:miter lim="800000"/>
                            <a:headEnd/>
                            <a:tailEnd type="triangle" w="med" len="med"/>
                          </a:ln>
                        </wps:spPr>
                        <wps:bodyPr/>
                      </wps:wsp>
                      <wps:wsp>
                        <wps:cNvPr id="174443540" name="Straight Arrow Connector 304"/>
                        <wps:cNvCnPr>
                          <a:cxnSpLocks/>
                        </wps:cNvCnPr>
                        <wps:spPr bwMode="auto">
                          <a:xfrm>
                            <a:off x="33299" y="13258"/>
                            <a:ext cx="10039" cy="0"/>
                          </a:xfrm>
                          <a:prstGeom prst="straightConnector1">
                            <a:avLst/>
                          </a:prstGeom>
                          <a:noFill/>
                          <a:ln w="6350">
                            <a:solidFill>
                              <a:srgbClr val="000000"/>
                            </a:solidFill>
                            <a:miter lim="800000"/>
                            <a:headEnd/>
                            <a:tailEnd type="triangle" w="med" len="med"/>
                          </a:ln>
                        </wps:spPr>
                        <wps:bodyPr/>
                      </wps:wsp>
                      <wps:wsp>
                        <wps:cNvPr id="637715995" name="Straight Arrow Connector 305"/>
                        <wps:cNvCnPr>
                          <a:cxnSpLocks/>
                        </wps:cNvCnPr>
                        <wps:spPr bwMode="auto">
                          <a:xfrm>
                            <a:off x="13944" y="13258"/>
                            <a:ext cx="4528" cy="0"/>
                          </a:xfrm>
                          <a:prstGeom prst="straightConnector1">
                            <a:avLst/>
                          </a:prstGeom>
                          <a:noFill/>
                          <a:ln w="6350">
                            <a:solidFill>
                              <a:srgbClr val="000000"/>
                            </a:solidFill>
                            <a:round/>
                            <a:headEnd/>
                            <a:tailEnd type="triangle" w="med" len="med"/>
                          </a:ln>
                        </wps:spPr>
                        <wps:bodyPr/>
                      </wps:wsp>
                      <wps:wsp>
                        <wps:cNvPr id="1813458241" name="Straight Arrow Connector 306"/>
                        <wps:cNvCnPr>
                          <a:cxnSpLocks/>
                        </wps:cNvCnPr>
                        <wps:spPr bwMode="auto">
                          <a:xfrm>
                            <a:off x="6934" y="34747"/>
                            <a:ext cx="44024" cy="0"/>
                          </a:xfrm>
                          <a:prstGeom prst="straightConnector1">
                            <a:avLst/>
                          </a:prstGeom>
                          <a:noFill/>
                          <a:ln w="9525">
                            <a:solidFill>
                              <a:srgbClr val="000000"/>
                            </a:solidFill>
                            <a:round/>
                            <a:headEnd/>
                            <a:tailEnd/>
                          </a:ln>
                        </wps:spPr>
                        <wps:bodyPr/>
                      </wps:wsp>
                      <wps:wsp>
                        <wps:cNvPr id="922350100" name="Text Box 308"/>
                        <wps:cNvSpPr txBox="1">
                          <a:spLocks/>
                        </wps:cNvSpPr>
                        <wps:spPr bwMode="auto">
                          <a:xfrm>
                            <a:off x="51422" y="3588"/>
                            <a:ext cx="4582" cy="3054"/>
                          </a:xfrm>
                          <a:prstGeom prst="rect">
                            <a:avLst/>
                          </a:prstGeom>
                          <a:noFill/>
                          <a:ln w="9525">
                            <a:solidFill>
                              <a:srgbClr val="FFFFFF"/>
                            </a:solidFill>
                            <a:miter lim="800000"/>
                            <a:headEnd/>
                            <a:tailEnd/>
                          </a:ln>
                        </wps:spPr>
                        <wps:txbx>
                          <w:txbxContent>
                            <w:p w14:paraId="4CF120E6" w14:textId="77777777" w:rsidR="003859C9" w:rsidRDefault="003859C9" w:rsidP="003859C9">
                              <w:pPr>
                                <w:spacing w:line="240" w:lineRule="auto"/>
                                <w:rPr>
                                  <w:b/>
                                </w:rPr>
                              </w:pPr>
                              <w:r>
                                <w:rPr>
                                  <w:b/>
                                </w:rPr>
                                <w:t>H0</w:t>
                              </w:r>
                              <w:r>
                                <w:rPr>
                                  <w:b/>
                                  <w:vertAlign w:val="subscript"/>
                                </w:rPr>
                                <w:t>1</w:t>
                              </w:r>
                            </w:p>
                          </w:txbxContent>
                        </wps:txbx>
                        <wps:bodyPr rot="0" vert="horz" wrap="square" lIns="91440" tIns="45720" rIns="91440" bIns="45720" anchor="t" anchorCtr="0" upright="1">
                          <a:noAutofit/>
                        </wps:bodyPr>
                      </wps:wsp>
                      <wps:wsp>
                        <wps:cNvPr id="144510136" name="Straight Connector 309"/>
                        <wps:cNvCnPr>
                          <a:cxnSpLocks/>
                        </wps:cNvCnPr>
                        <wps:spPr bwMode="auto">
                          <a:xfrm>
                            <a:off x="26517" y="16840"/>
                            <a:ext cx="0" cy="3810"/>
                          </a:xfrm>
                          <a:prstGeom prst="line">
                            <a:avLst/>
                          </a:prstGeom>
                          <a:noFill/>
                          <a:ln w="6350">
                            <a:solidFill>
                              <a:srgbClr val="000000"/>
                            </a:solidFill>
                            <a:miter lim="800000"/>
                            <a:headEnd/>
                            <a:tailEnd/>
                          </a:ln>
                        </wps:spPr>
                        <wps:bodyPr/>
                      </wps:wsp>
                      <wps:wsp>
                        <wps:cNvPr id="288739883" name="Straight Arrow Connector 310"/>
                        <wps:cNvCnPr>
                          <a:cxnSpLocks/>
                        </wps:cNvCnPr>
                        <wps:spPr bwMode="auto">
                          <a:xfrm>
                            <a:off x="26517" y="20650"/>
                            <a:ext cx="16804" cy="0"/>
                          </a:xfrm>
                          <a:prstGeom prst="straightConnector1">
                            <a:avLst/>
                          </a:prstGeom>
                          <a:noFill/>
                          <a:ln w="6350">
                            <a:solidFill>
                              <a:srgbClr val="000000"/>
                            </a:solidFill>
                            <a:miter lim="800000"/>
                            <a:headEnd/>
                            <a:tailEnd type="triangle" w="med" len="med"/>
                          </a:ln>
                        </wps:spPr>
                        <wps:bodyPr/>
                      </wps:wsp>
                      <wps:wsp>
                        <wps:cNvPr id="757595614" name="Straight Connector 311"/>
                        <wps:cNvCnPr>
                          <a:cxnSpLocks/>
                        </wps:cNvCnPr>
                        <wps:spPr bwMode="auto">
                          <a:xfrm>
                            <a:off x="28498" y="20650"/>
                            <a:ext cx="0" cy="3584"/>
                          </a:xfrm>
                          <a:prstGeom prst="line">
                            <a:avLst/>
                          </a:prstGeom>
                          <a:noFill/>
                          <a:ln w="6350">
                            <a:solidFill>
                              <a:srgbClr val="000000"/>
                            </a:solidFill>
                            <a:miter lim="800000"/>
                            <a:headEnd/>
                            <a:tailEnd/>
                          </a:ln>
                        </wps:spPr>
                        <wps:bodyPr/>
                      </wps:wsp>
                      <wps:wsp>
                        <wps:cNvPr id="644074080" name="Straight Arrow Connector 312"/>
                        <wps:cNvCnPr>
                          <a:cxnSpLocks/>
                        </wps:cNvCnPr>
                        <wps:spPr bwMode="auto">
                          <a:xfrm>
                            <a:off x="31013" y="31013"/>
                            <a:ext cx="0" cy="3714"/>
                          </a:xfrm>
                          <a:prstGeom prst="straightConnector1">
                            <a:avLst/>
                          </a:prstGeom>
                          <a:noFill/>
                          <a:ln w="6350">
                            <a:solidFill>
                              <a:srgbClr val="000000"/>
                            </a:solidFill>
                            <a:miter lim="800000"/>
                            <a:headEnd/>
                            <a:tailEnd type="triangle" w="med" len="med"/>
                          </a:ln>
                        </wps:spPr>
                        <wps:bodyPr/>
                      </wps:wsp>
                    </wpg:wgp>
                  </a:graphicData>
                </a:graphic>
                <wp14:sizeRelH relativeFrom="page">
                  <wp14:pctWidth>0</wp14:pctWidth>
                </wp14:sizeRelH>
                <wp14:sizeRelV relativeFrom="page">
                  <wp14:pctHeight>0</wp14:pctHeight>
                </wp14:sizeRelV>
              </wp:anchor>
            </w:drawing>
          </mc:Choice>
          <mc:Fallback>
            <w:pict>
              <v:group w14:anchorId="10836BD1" id="Group 24" o:spid="_x0000_s1088" style="position:absolute;margin-left:-5.35pt;margin-top:9pt;width:472.15pt;height:299.4pt;z-index:251659264" coordsize="56495,39427"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">
                <v:shape id="Straight Arrow Connector 288" o:spid="_x0000_s1089" type="#_x0000_t32" style="position:absolute;left:4343;width:0;height:6032;flip:y;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">
                  <o:lock v:ext="edit" shapetype="f"/>
                </v:shape>
                <v:shape id="Straight Arrow Connector 289" o:spid="_x0000_s1090" type="#_x0000_t32" style="position:absolute;left:4343;width:46577;height: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">
                  <o:lock v:ext="edit" shapetype="f"/>
                </v:shape>
                <v:shape id="Text Box 290" o:spid="_x0000_s1091" type="#_x0000_t202" style="position:absolute;top:6019;width:13938;height:1945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" strokeweight="1.5pt">
                  <v:path arrowok="t"/>
                  <v:textbox>
                    <w:txbxContent>
                      <w:p w14:paraId="5775B08E" w14:textId="77777777" w:rsidR="003859C9" w:rsidRDefault="003859C9" w:rsidP="003859C9">
                        <w:pPr>
                          <w:pStyle w:val="Heading7"/>
                          <w:jc w:val="center"/>
                          <w:rPr>
                            <w:rFonts w:ascii="Times New Roman" w:hAnsi="Times New Roman"/>
                            <w:b/>
                            <w:bCs/>
                          </w:rPr>
                        </w:pPr>
                      </w:p>
                      <w:p w14:paraId="590321AF" w14:textId="77777777" w:rsidR="003859C9" w:rsidRPr="00246FDC" w:rsidRDefault="003859C9" w:rsidP="003859C9">
                        <w:pPr>
                          <w:jc w:val="center"/>
                          <w:rPr>
                            <w:b/>
                            <w:sz w:val="22"/>
                          </w:rPr>
                        </w:pPr>
                        <w:r w:rsidRPr="00246FDC">
                          <w:rPr>
                            <w:b/>
                            <w:sz w:val="22"/>
                          </w:rPr>
                          <w:t>Corporate Governance</w:t>
                        </w:r>
                      </w:p>
                      <w:p w14:paraId="68301834" w14:textId="77777777" w:rsidR="003859C9" w:rsidRDefault="003859C9" w:rsidP="003859C9">
                        <w:pPr>
                          <w:rPr>
                            <w:b/>
                          </w:rPr>
                        </w:pPr>
                      </w:p>
                      <w:p w14:paraId="181D76BC" w14:textId="77777777" w:rsidR="003859C9" w:rsidRDefault="003859C9" w:rsidP="003859C9">
                        <w:pPr>
                          <w:pStyle w:val="ListParagraph"/>
                          <w:spacing w:line="240" w:lineRule="auto"/>
                        </w:pPr>
                      </w:p>
                      <w:p w14:paraId="3D60B6BB" w14:textId="77777777" w:rsidR="003859C9" w:rsidRDefault="003859C9" w:rsidP="003859C9">
                        <w:pPr>
                          <w:pStyle w:val="ListParagraph"/>
                          <w:spacing w:line="240" w:lineRule="auto"/>
                        </w:pPr>
                      </w:p>
                      <w:p w14:paraId="424EF2C2" w14:textId="77777777" w:rsidR="003859C9" w:rsidRDefault="003859C9" w:rsidP="003859C9">
                        <w:pPr>
                          <w:ind w:left="360"/>
                        </w:pPr>
                      </w:p>
                      <w:p w14:paraId="69C3D99C" w14:textId="77777777" w:rsidR="003859C9" w:rsidRDefault="003859C9" w:rsidP="003859C9">
                        <w:pPr>
                          <w:ind w:left="360"/>
                        </w:pPr>
                      </w:p>
                      <w:p w14:paraId="19802D69" w14:textId="77777777" w:rsidR="003859C9" w:rsidRDefault="003859C9" w:rsidP="003859C9">
                        <w:pPr>
                          <w:rPr>
                            <w:b/>
                          </w:rPr>
                        </w:pPr>
                      </w:p>
                    </w:txbxContent>
                  </v:textbox>
                </v:shape>
                <v:shape id="Text Box 291" o:spid="_x0000_s1092" type="#_x0000_t202" style="position:absolute;left:43357;top:7162;width:13138;height:17012;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" strokeweight="1.5pt">
                  <v:path arrowok="t"/>
                  <v:textbox>
                    <w:txbxContent>
                      <w:p w14:paraId="68507C1A" w14:textId="77777777" w:rsidR="003859C9" w:rsidRDefault="003859C9" w:rsidP="003859C9"/>
                      <w:p w14:paraId="72B5E20F" w14:textId="77777777" w:rsidR="003859C9" w:rsidRPr="00741D67" w:rsidRDefault="003859C9" w:rsidP="003859C9">
                        <w:pPr>
                          <w:rPr>
                            <w:sz w:val="22"/>
                          </w:rPr>
                        </w:pPr>
                        <w:r w:rsidRPr="00741D67">
                          <w:rPr>
                            <w:rFonts w:eastAsia="Times New Roman"/>
                            <w:b/>
                            <w:bCs/>
                            <w:sz w:val="22"/>
                          </w:rPr>
                          <w:t>Organisational Performance</w:t>
                        </w:r>
                        <w:r w:rsidRPr="00741D67">
                          <w:rPr>
                            <w:rFonts w:eastAsia="Times New Roman"/>
                            <w:b/>
                            <w:bCs/>
                            <w:sz w:val="22"/>
                            <w:lang w:val="en"/>
                          </w:rPr>
                          <w:t xml:space="preserve"> of Faith-Based Hospitals in Kenya</w:t>
                        </w:r>
                      </w:p>
                    </w:txbxContent>
                  </v:textbox>
                </v:shape>
                <v:shape id="Text Box 292" o:spid="_x0000_s1093" type="#_x0000_t202" style="position:absolute;left:19812;top:5867;width:14763;height:3143;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" stroked="f">
                  <v:textbox>
                    <w:txbxContent>
                      <w:p w14:paraId="29BACCF4" w14:textId="77777777" w:rsidR="003859C9" w:rsidRDefault="003859C9" w:rsidP="003859C9">
                        <w:pPr>
                          <w:spacing w:after="0" w:line="240" w:lineRule="auto"/>
                          <w:rPr>
                            <w:b/>
                          </w:rPr>
                        </w:pPr>
                      </w:p>
                    </w:txbxContent>
                  </v:textbox>
                </v:shape>
                <v:shape id="Text Box 293" o:spid="_x0000_s1094" type="#_x0000_t202" style="position:absolute;left:18587;top:6019;width:14828;height:10783;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" strokeweight="1.5pt">
                  <v:path arrowok="t"/>
                  <v:textbox>
                    <w:txbxContent>
                      <w:p w14:paraId="30296479" w14:textId="77777777" w:rsidR="003859C9" w:rsidRDefault="003859C9" w:rsidP="003859C9">
                        <w:pPr>
                          <w:rPr>
                            <w:b/>
                            <w:lang w:val="en-GB"/>
                          </w:rPr>
                        </w:pPr>
                      </w:p>
                      <w:p w14:paraId="3F003738" w14:textId="77777777" w:rsidR="003859C9" w:rsidRPr="00246FDC" w:rsidRDefault="003859C9" w:rsidP="003859C9">
                        <w:pPr>
                          <w:jc w:val="center"/>
                          <w:rPr>
                            <w:b/>
                            <w:sz w:val="22"/>
                            <w:lang w:val="en-GB"/>
                          </w:rPr>
                        </w:pPr>
                        <w:r w:rsidRPr="00246FDC">
                          <w:rPr>
                            <w:b/>
                            <w:sz w:val="22"/>
                            <w:lang w:val="en-GB"/>
                          </w:rPr>
                          <w:t>Service Innovation</w:t>
                        </w:r>
                      </w:p>
                      <w:p w14:paraId="06534134" w14:textId="77777777" w:rsidR="003859C9" w:rsidRDefault="003859C9" w:rsidP="003859C9">
                        <w:pPr>
                          <w:rPr>
                            <w:lang w:val="en-GB"/>
                          </w:rPr>
                        </w:pPr>
                      </w:p>
                    </w:txbxContent>
                  </v:textbox>
                </v:shape>
                <v:shape id="Text Box 294" o:spid="_x0000_s1095" type="#_x0000_t202" style="position:absolute;left:35789;top:10402;width:4572;height:2756;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" strokecolor="white">
                  <v:path arrowok="t"/>
                  <v:textbox>
                    <w:txbxContent>
                      <w:p w14:paraId="6AE36813" w14:textId="77777777" w:rsidR="003859C9" w:rsidRDefault="003859C9" w:rsidP="003859C9">
                        <w:pPr>
                          <w:spacing w:line="240" w:lineRule="auto"/>
                          <w:rPr>
                            <w:b/>
                          </w:rPr>
                        </w:pPr>
                        <w:r>
                          <w:rPr>
                            <w:b/>
                          </w:rPr>
                          <w:t>H0</w:t>
                        </w:r>
                        <w:r>
                          <w:rPr>
                            <w:b/>
                            <w:vertAlign w:val="subscript"/>
                          </w:rPr>
                          <w:t>2</w:t>
                        </w:r>
                      </w:p>
                    </w:txbxContent>
                  </v:textbox>
                </v:shape>
                <v:shape id="Text Box 295" o:spid="_x0000_s1096" type="#_x0000_t202" style="position:absolute;left:36430;top:17892;width:4762;height:2648;flip:x;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" strokecolor="white">
                  <v:path arrowok="t"/>
                  <v:textbox>
                    <w:txbxContent>
                      <w:p w14:paraId="30E1EBA1" w14:textId="77777777" w:rsidR="003859C9" w:rsidRDefault="003859C9" w:rsidP="003859C9">
                        <w:pPr>
                          <w:spacing w:after="0" w:line="240" w:lineRule="auto"/>
                          <w:rPr>
                            <w:b/>
                          </w:rPr>
                        </w:pPr>
                        <w:r>
                          <w:rPr>
                            <w:b/>
                          </w:rPr>
                          <w:t>H0</w:t>
                        </w:r>
                        <w:r>
                          <w:rPr>
                            <w:b/>
                            <w:vertAlign w:val="subscript"/>
                          </w:rPr>
                          <w:t>4</w:t>
                        </w:r>
                      </w:p>
                    </w:txbxContent>
                  </v:textbox>
                </v:shape>
                <v:shape id="Text Box 296" o:spid="_x0000_s1097" type="#_x0000_t202" style="position:absolute;left:25527;top:24231;width:15665;height:6782;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" strokeweight="1.5pt">
                  <v:path arrowok="t"/>
                  <v:textbox>
                    <w:txbxContent>
                      <w:p w14:paraId="71C78840" w14:textId="77777777" w:rsidR="003859C9" w:rsidRPr="002B5CDA" w:rsidRDefault="00741D67" w:rsidP="00741D67">
                        <w:pPr>
                          <w:jc w:val="left"/>
                          <w:rPr>
                            <w:b/>
                            <w:sz w:val="22"/>
                            <w:szCs w:val="20"/>
                          </w:rPr>
                        </w:pPr>
                        <w:r w:rsidRPr="002B5CDA">
                          <w:rPr>
                            <w:b/>
                            <w:sz w:val="22"/>
                            <w:szCs w:val="20"/>
                          </w:rPr>
                          <w:t>Government Regulation</w:t>
                        </w:r>
                      </w:p>
                    </w:txbxContent>
                  </v:textbox>
                </v:shape>
                <v:shape id="Text Box 297" o:spid="_x0000_s1098" type="#_x0000_t202" style="position:absolute;left:47320;top:29413;width:4572;height:2783;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" strokecolor="white">
                  <v:path arrowok="t"/>
                  <v:textbox>
                    <w:txbxContent>
                      <w:p w14:paraId="686D46B8" w14:textId="77777777" w:rsidR="003859C9" w:rsidRDefault="003859C9" w:rsidP="003859C9">
                        <w:pPr>
                          <w:spacing w:after="0" w:line="240" w:lineRule="auto"/>
                          <w:rPr>
                            <w:b/>
                          </w:rPr>
                        </w:pPr>
                        <w:r>
                          <w:rPr>
                            <w:b/>
                          </w:rPr>
                          <w:t>H0</w:t>
                        </w:r>
                        <w:r>
                          <w:rPr>
                            <w:b/>
                            <w:vertAlign w:val="subscript"/>
                          </w:rPr>
                          <w:t>3</w:t>
                        </w:r>
                      </w:p>
                    </w:txbxContent>
                  </v:textbox>
                </v:shape>
                <v:shape id="Text Box 298" o:spid="_x0000_s1099" type="#_x0000_t202" style="position:absolute;left:380;top:35966;width:16470;height:3461;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" stroked="f">
                  <v:textbox>
                    <w:txbxContent>
                      <w:p w14:paraId="5E804FED" w14:textId="77777777" w:rsidR="003859C9" w:rsidRPr="000A5077" w:rsidRDefault="003859C9" w:rsidP="003859C9">
                        <w:pPr>
                          <w:spacing w:after="0" w:line="240" w:lineRule="auto"/>
                          <w:rPr>
                            <w:b/>
                            <w:szCs w:val="24"/>
                          </w:rPr>
                        </w:pPr>
                        <w:r w:rsidRPr="000A5077">
                          <w:rPr>
                            <w:b/>
                            <w:szCs w:val="24"/>
                          </w:rPr>
                          <w:t>Independent Variable</w:t>
                        </w:r>
                      </w:p>
                    </w:txbxContent>
                  </v:textbox>
                </v:shape>
                <v:shape id="Text Box 299" o:spid="_x0000_s1100" type="#_x0000_t202" style="position:absolute;left:40915;top:35966;width:15415;height:2794;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" stroked="f">
                  <v:textbox>
                    <w:txbxContent>
                      <w:p w14:paraId="07317DE8" w14:textId="77777777" w:rsidR="003859C9" w:rsidRDefault="003859C9" w:rsidP="003859C9">
                        <w:pPr>
                          <w:spacing w:after="0" w:line="240" w:lineRule="auto"/>
                          <w:rPr>
                            <w:b/>
                          </w:rPr>
                        </w:pPr>
                        <w:r w:rsidRPr="000A5077">
                          <w:rPr>
                            <w:b/>
                            <w:szCs w:val="24"/>
                          </w:rPr>
                          <w:t xml:space="preserve">Dependent Variable </w:t>
                        </w:r>
                        <w:r>
                          <w:rPr>
                            <w:b/>
                          </w:rPr>
                          <w:t>vaModerating Variable</w:t>
                        </w:r>
                      </w:p>
                      <w:p w14:paraId="10B7E7A7" w14:textId="77777777" w:rsidR="003859C9" w:rsidRDefault="003859C9" w:rsidP="003859C9">
                        <w:pPr>
                          <w:rPr>
                            <w:b/>
                          </w:rPr>
                        </w:pPr>
                        <w:r>
                          <w:rPr>
                            <w:b/>
                          </w:rPr>
                          <w:t>Variable</w:t>
                        </w:r>
                      </w:p>
                    </w:txbxContent>
                  </v:textbox>
                </v:shape>
                <v:shape id="Text Box 300" o:spid="_x0000_s1101" type="#_x0000_t202" style="position:absolute;left:21791;top:35890;width:17046;height:3460;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" stroked="f">
                  <v:textbox>
                    <w:txbxContent>
                      <w:p w14:paraId="532F4D22" w14:textId="77777777" w:rsidR="003859C9" w:rsidRPr="000A5077" w:rsidRDefault="003859C9" w:rsidP="003859C9">
                        <w:pPr>
                          <w:spacing w:after="0" w:line="240" w:lineRule="auto"/>
                          <w:rPr>
                            <w:b/>
                            <w:szCs w:val="24"/>
                          </w:rPr>
                        </w:pPr>
                        <w:r w:rsidRPr="000A5077">
                          <w:rPr>
                            <w:b/>
                            <w:szCs w:val="24"/>
                          </w:rPr>
                          <w:t>Moderating Variable</w:t>
                        </w:r>
                      </w:p>
                    </w:txbxContent>
                  </v:textbox>
                </v:shape>
                <v:shape id="Straight Arrow Connector 301" o:spid="_x0000_s1102" type="#_x0000_t32" style="position:absolute;left:50977;width:0;height:6762;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" strokeweight=".5pt">
                  <v:stroke endarrow="block" joinstyle="miter"/>
                  <o:lock v:ext="edit" shapetype="f"/>
                </v:shape>
                <v:line id="Straight Connector 302" o:spid="_x0000_s1103" style="position:absolute;visibility:visible;mso-wrap-style:square" from="6934,25527" to="6934,34766"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" strokeweight=".5pt">
                  <v:stroke joinstyle="miter"/>
                  <o:lock v:ext="edit" shapetype="f"/>
                </v:line>
                <v:shape id="Straight Arrow Connector 303" o:spid="_x0000_s1104" type="#_x0000_t32" style="position:absolute;left:50901;top:24079;width:0;height:10693;flip:y;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" strokeweight=".5pt">
                  <v:stroke endarrow="block" joinstyle="miter"/>
                  <o:lock v:ext="edit" shapetype="f"/>
                </v:shape>
                <v:shape id="Straight Arrow Connector 304" o:spid="_x0000_s1105" type="#_x0000_t32" style="position:absolute;left:33299;top:13258;width:10039;height: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" strokeweight=".5pt">
                  <v:stroke endarrow="block" joinstyle="miter"/>
                  <o:lock v:ext="edit" shapetype="f"/>
                </v:shape>
                <v:shape id="Straight Arrow Connector 305" o:spid="_x0000_s1106" type="#_x0000_t32" style="position:absolute;left:13944;top:13258;width:4528;height: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" strokeweight=".5pt">
                  <v:stroke endarrow="block"/>
                  <o:lock v:ext="edit" shapetype="f"/>
                </v:shape>
                <v:shape id="Straight Arrow Connector 306" o:spid="_x0000_s1107" type="#_x0000_t32" style="position:absolute;left:6934;top:34747;width:44024;height: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">
                  <o:lock v:ext="edit" shapetype="f"/>
                </v:shape>
                <v:shape id="Text Box 308" o:spid="_x0000_s1108" type="#_x0000_t202" style="position:absolute;left:51422;top:3588;width:4582;height:3054;visibility:visible;mso-wrap-style:square;v-text-anchor:top"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" filled="f" strokecolor="white">
                  <v:path arrowok="t"/>
                  <v:textbox>
                    <w:txbxContent>
                      <w:p w14:paraId="4CF120E6" w14:textId="77777777" w:rsidR="003859C9" w:rsidRDefault="003859C9" w:rsidP="003859C9">
                        <w:pPr>
                          <w:spacing w:line="240" w:lineRule="auto"/>
                          <w:rPr>
                            <w:b/>
                          </w:rPr>
                        </w:pPr>
                        <w:r>
                          <w:rPr>
                            <w:b/>
                          </w:rPr>
                          <w:t>H0</w:t>
                        </w:r>
                        <w:r>
                          <w:rPr>
                            <w:b/>
                            <w:vertAlign w:val="subscript"/>
                          </w:rPr>
                          <w:t>1</w:t>
                        </w:r>
                      </w:p>
                    </w:txbxContent>
                  </v:textbox>
                </v:shape>
                <v:line id="Straight Connector 309" o:spid="_x0000_s1109" style="position:absolute;visibility:visible;mso-wrap-style:square" from="26517,16840" to="26517,20650"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" strokeweight=".5pt">
                  <v:stroke joinstyle="miter"/>
                  <o:lock v:ext="edit" shapetype="f"/>
                </v:line>
                <v:shape id="Straight Arrow Connector 310" o:spid="_x0000_s1110" type="#_x0000_t32" style="position:absolute;left:26517;top:20650;width:16804;height:0;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" strokeweight=".5pt">
                  <v:stroke endarrow="block" joinstyle="miter"/>
                  <o:lock v:ext="edit" shapetype="f"/>
                </v:shape>
                <v:line id="Straight Connector 311" o:spid="_x0000_s1111" style="position:absolute;visibility:visible;mso-wrap-style:square" from="28498,20650" to="28498,24234"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" strokeweight=".5pt">
                  <v:stroke joinstyle="miter"/>
                  <o:lock v:ext="edit" shapetype="f"/>
                </v:line>
                <v:shape id="Straight Arrow Connector 312" o:spid="_x0000_s1112" type="#_x0000_t32" style="position:absolute;left:31013;top:31013;width:0;height:3714;visibility:visible;mso-wrap-style:square" o:connectortype="straight" o:gfxdata="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" strokeweight=".5pt">
                  <v:stroke endarrow="block" joinstyle="miter"/>
                  <o:lock v:ext="edit" shapetype="f"/>
                </v:shape>
              </v:group>
            </w:pict>
          </mc:Fallback>
        </mc:AlternateContent>
      </w:r>
      <w:r w:rsidR="003859C9" w:rsidRPr="00EB11D3">
        <w:rPr>
          <w:rFonts w:eastAsia="Calibri"/>
          <w:szCs w:val="24"/>
        </w:rPr>
        <w:tab/>
        <w:t xml:space="preserve">                                                                                               </w:t>
      </w:r>
    </w:p>
    <w:p w14:paraId="1AFE7817" w14:textId="77777777" w:rsidR="003859C9" w:rsidRPr="00EB11D3" w:rsidRDefault="003859C9" w:rsidP="003859C9">
      <w:pPr>
        <w:shd w:val="clear" w:color="auto" w:fill="FFFFFF"/>
        <w:tabs>
          <w:tab w:val="left" w:pos="2391"/>
        </w:tabs>
        <w:spacing w:after="0" w:line="360" w:lineRule="auto"/>
        <w:jc w:val="left"/>
        <w:rPr>
          <w:rFonts w:eastAsia="Calibri"/>
          <w:szCs w:val="24"/>
        </w:rPr>
      </w:pPr>
      <w:r w:rsidRPr="00EB11D3">
        <w:rPr>
          <w:rFonts w:eastAsia="Calibri"/>
          <w:szCs w:val="24"/>
        </w:rPr>
        <w:t xml:space="preserve">                                                                                                                                        R</w:t>
      </w:r>
      <w:r w:rsidRPr="00EB11D3">
        <w:rPr>
          <w:rFonts w:eastAsia="Calibri"/>
          <w:szCs w:val="24"/>
          <w:vertAlign w:val="superscript"/>
        </w:rPr>
        <w:t>2=</w:t>
      </w:r>
      <w:r w:rsidRPr="00EB11D3">
        <w:rPr>
          <w:rFonts w:eastAsia="Calibri"/>
          <w:szCs w:val="24"/>
        </w:rPr>
        <w:t>0.613</w:t>
      </w:r>
    </w:p>
    <w:p w14:paraId="2F51BA3C" w14:textId="77777777" w:rsidR="003859C9" w:rsidRPr="00EB11D3" w:rsidRDefault="003859C9" w:rsidP="003859C9">
      <w:pPr>
        <w:shd w:val="clear" w:color="auto" w:fill="FFFFFF"/>
        <w:spacing w:after="160" w:line="259" w:lineRule="auto"/>
        <w:jc w:val="left"/>
        <w:rPr>
          <w:rFonts w:eastAsia="Calibri"/>
          <w:b/>
          <w:szCs w:val="24"/>
        </w:rPr>
      </w:pPr>
      <w:r w:rsidRPr="00EB11D3">
        <w:rPr>
          <w:rFonts w:eastAsia="Calibri"/>
          <w:szCs w:val="24"/>
        </w:rPr>
        <w:tab/>
        <w:t xml:space="preserve">                                     </w:t>
      </w:r>
      <w:r w:rsidR="00F52142">
        <w:rPr>
          <w:rFonts w:eastAsia="Calibri"/>
          <w:szCs w:val="24"/>
        </w:rPr>
        <w:t xml:space="preserve">    </w:t>
      </w:r>
      <w:r w:rsidRPr="00EB11D3">
        <w:rPr>
          <w:rFonts w:eastAsia="Calibri"/>
          <w:b/>
          <w:szCs w:val="24"/>
        </w:rPr>
        <w:t>Mediating Variable</w:t>
      </w:r>
    </w:p>
    <w:p w14:paraId="6D626C42" w14:textId="77777777" w:rsidR="003859C9" w:rsidRPr="00EB11D3" w:rsidRDefault="003859C9" w:rsidP="003859C9">
      <w:pPr>
        <w:shd w:val="clear" w:color="auto" w:fill="FFFFFF"/>
        <w:tabs>
          <w:tab w:val="left" w:pos="3810"/>
        </w:tabs>
        <w:spacing w:after="0" w:line="360" w:lineRule="auto"/>
        <w:jc w:val="left"/>
        <w:rPr>
          <w:rFonts w:eastAsia="Calibri"/>
          <w:szCs w:val="24"/>
        </w:rPr>
      </w:pPr>
      <w:r w:rsidRPr="00EB11D3">
        <w:rPr>
          <w:rFonts w:eastAsia="Calibri"/>
          <w:szCs w:val="24"/>
        </w:rPr>
        <w:t xml:space="preserve">                                                                                           </w:t>
      </w:r>
      <w:r w:rsidR="000B5128" w:rsidRPr="00EB11D3">
        <w:rPr>
          <w:rFonts w:eastAsia="Calibri"/>
          <w:szCs w:val="24"/>
        </w:rPr>
        <w:t xml:space="preserve">    R</w:t>
      </w:r>
      <w:r w:rsidRPr="00EB11D3">
        <w:rPr>
          <w:rFonts w:eastAsia="Calibri"/>
          <w:szCs w:val="24"/>
          <w:vertAlign w:val="superscript"/>
        </w:rPr>
        <w:t>2=</w:t>
      </w:r>
      <w:r w:rsidRPr="00EB11D3">
        <w:rPr>
          <w:rFonts w:eastAsia="Calibri"/>
          <w:szCs w:val="24"/>
        </w:rPr>
        <w:t>0.</w:t>
      </w:r>
      <w:r w:rsidR="00FA09EF">
        <w:rPr>
          <w:rFonts w:eastAsia="Calibri"/>
          <w:szCs w:val="24"/>
        </w:rPr>
        <w:t>659</w:t>
      </w:r>
      <w:r w:rsidRPr="00EB11D3">
        <w:rPr>
          <w:rFonts w:eastAsia="Calibri"/>
          <w:szCs w:val="24"/>
        </w:rPr>
        <w:t xml:space="preserve">   </w:t>
      </w:r>
    </w:p>
    <w:p w14:paraId="73DFFF5C" w14:textId="77777777" w:rsidR="003859C9" w:rsidRPr="00EB11D3" w:rsidRDefault="003859C9" w:rsidP="003859C9">
      <w:pPr>
        <w:shd w:val="clear" w:color="auto" w:fill="FFFFFF"/>
        <w:tabs>
          <w:tab w:val="left" w:pos="3810"/>
        </w:tabs>
        <w:spacing w:after="0" w:line="360" w:lineRule="auto"/>
        <w:jc w:val="left"/>
        <w:rPr>
          <w:rFonts w:eastAsia="Calibri"/>
          <w:szCs w:val="24"/>
        </w:rPr>
      </w:pPr>
    </w:p>
    <w:p w14:paraId="73544F1A" w14:textId="77777777" w:rsidR="003859C9" w:rsidRPr="00EB11D3" w:rsidRDefault="003859C9" w:rsidP="003859C9">
      <w:pPr>
        <w:shd w:val="clear" w:color="auto" w:fill="FFFFFF"/>
        <w:tabs>
          <w:tab w:val="left" w:pos="3810"/>
        </w:tabs>
        <w:spacing w:after="0" w:line="360" w:lineRule="auto"/>
        <w:jc w:val="left"/>
        <w:rPr>
          <w:rFonts w:eastAsia="Calibri"/>
          <w:szCs w:val="24"/>
        </w:rPr>
      </w:pPr>
    </w:p>
    <w:p w14:paraId="046B7AD5" w14:textId="77777777" w:rsidR="003859C9" w:rsidRPr="00EB11D3" w:rsidRDefault="003859C9" w:rsidP="003859C9">
      <w:pPr>
        <w:shd w:val="clear" w:color="auto" w:fill="FFFFFF"/>
        <w:tabs>
          <w:tab w:val="left" w:pos="3810"/>
        </w:tabs>
        <w:spacing w:after="0" w:line="360" w:lineRule="auto"/>
        <w:jc w:val="left"/>
        <w:rPr>
          <w:rFonts w:eastAsia="Calibri"/>
          <w:szCs w:val="24"/>
        </w:rPr>
      </w:pPr>
      <w:r w:rsidRPr="00EB11D3">
        <w:rPr>
          <w:rFonts w:eastAsia="Calibri"/>
          <w:szCs w:val="24"/>
        </w:rPr>
        <w:t xml:space="preserve">                                                                                         </w:t>
      </w:r>
      <w:r w:rsidR="000B5128" w:rsidRPr="00EB11D3">
        <w:rPr>
          <w:rFonts w:eastAsia="Calibri"/>
          <w:szCs w:val="24"/>
        </w:rPr>
        <w:t xml:space="preserve">    </w:t>
      </w:r>
    </w:p>
    <w:p w14:paraId="2A53DD86" w14:textId="77777777" w:rsidR="003859C9" w:rsidRPr="00EB11D3" w:rsidRDefault="00FD30BB" w:rsidP="00FA09EF">
      <w:pPr>
        <w:shd w:val="clear" w:color="auto" w:fill="FFFFFF"/>
        <w:tabs>
          <w:tab w:val="left" w:pos="5244"/>
        </w:tabs>
        <w:spacing w:after="0" w:line="360" w:lineRule="auto"/>
        <w:jc w:val="left"/>
        <w:rPr>
          <w:rFonts w:eastAsia="Calibri"/>
          <w:szCs w:val="24"/>
        </w:rPr>
      </w:pPr>
      <w:r>
        <w:rPr>
          <w:noProof/>
        </w:rPr>
        <mc:AlternateContent>
          <mc:Choice Requires="wps">
            <w:drawing>
              <wp:anchor distT="4294967295" distB="4294967295" distL="114300" distR="114300" simplePos="0" relativeHeight="251660288" behindDoc="0" locked="0" layoutInCell="1" allowOverlap="1" wp14:anchorId="538AA629" wp14:editId="0915532E">
                <wp:simplePos x="0" y="0"/>
                <wp:positionH relativeFrom="column">
                  <wp:posOffset>1411605</wp:posOffset>
                </wp:positionH>
                <wp:positionV relativeFrom="paragraph">
                  <wp:posOffset>238124</wp:posOffset>
                </wp:positionV>
                <wp:extent cx="1334135" cy="0"/>
                <wp:effectExtent l="0" t="0" r="0" b="0"/>
                <wp:wrapNone/>
                <wp:docPr id="1331312203" name="Straight Arrow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33413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6F936D28" id="Straight Arrow Connector 23" o:spid="_x0000_s1026" type="#_x0000_t32" style="position:absolute;margin-left:111.15pt;margin-top:18.75pt;width:105.05pt;height:0;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">
                <o:lock v:ext="edit" shapetype="f"/>
              </v:shape>
            </w:pict>
          </mc:Fallback>
        </mc:AlternateContent>
      </w:r>
      <w:r w:rsidR="00FA09EF">
        <w:rPr>
          <w:rFonts w:eastAsia="Calibri"/>
          <w:szCs w:val="24"/>
        </w:rPr>
        <w:t xml:space="preserve">                                                                         R</w:t>
      </w:r>
      <w:r w:rsidR="00FA09EF" w:rsidRPr="00FA09EF">
        <w:rPr>
          <w:rFonts w:eastAsia="Calibri"/>
          <w:szCs w:val="24"/>
          <w:vertAlign w:val="superscript"/>
        </w:rPr>
        <w:t xml:space="preserve">2 </w:t>
      </w:r>
      <w:r w:rsidR="00FA09EF">
        <w:rPr>
          <w:rFonts w:eastAsia="Calibri"/>
          <w:szCs w:val="24"/>
        </w:rPr>
        <w:t>= 0.804</w:t>
      </w:r>
    </w:p>
    <w:p w14:paraId="6E663498" w14:textId="77777777" w:rsidR="003859C9" w:rsidRPr="00EB11D3" w:rsidRDefault="003859C9" w:rsidP="003859C9">
      <w:pPr>
        <w:shd w:val="clear" w:color="auto" w:fill="FFFFFF"/>
        <w:tabs>
          <w:tab w:val="left" w:pos="3810"/>
        </w:tabs>
        <w:spacing w:after="0" w:line="360" w:lineRule="auto"/>
        <w:jc w:val="left"/>
        <w:rPr>
          <w:rFonts w:eastAsia="Calibri"/>
          <w:szCs w:val="24"/>
        </w:rPr>
      </w:pPr>
    </w:p>
    <w:p w14:paraId="61FCA008" w14:textId="77777777" w:rsidR="003859C9" w:rsidRPr="00EB11D3" w:rsidRDefault="003859C9" w:rsidP="003859C9">
      <w:pPr>
        <w:shd w:val="clear" w:color="auto" w:fill="FFFFFF"/>
        <w:spacing w:after="160" w:line="360" w:lineRule="auto"/>
        <w:jc w:val="left"/>
        <w:rPr>
          <w:rFonts w:eastAsia="Calibri"/>
          <w:szCs w:val="24"/>
          <w:lang w:val="en-GB" w:eastAsia="en-GB"/>
        </w:rPr>
      </w:pPr>
    </w:p>
    <w:p w14:paraId="339433A4" w14:textId="77777777" w:rsidR="003859C9" w:rsidRPr="00EB11D3" w:rsidRDefault="003859C9" w:rsidP="003859C9">
      <w:pPr>
        <w:shd w:val="clear" w:color="auto" w:fill="FFFFFF"/>
        <w:spacing w:after="160" w:line="360" w:lineRule="auto"/>
        <w:jc w:val="left"/>
        <w:rPr>
          <w:rFonts w:eastAsia="Calibri"/>
          <w:szCs w:val="24"/>
          <w:lang w:val="en-GB" w:eastAsia="en-GB"/>
        </w:rPr>
      </w:pPr>
      <w:r w:rsidRPr="00EB11D3">
        <w:rPr>
          <w:rFonts w:eastAsia="Calibri"/>
          <w:szCs w:val="24"/>
          <w:lang w:val="en-GB" w:eastAsia="en-GB"/>
        </w:rPr>
        <w:t xml:space="preserve">                                                                                                                 </w:t>
      </w:r>
      <w:r w:rsidR="002B5CDA">
        <w:rPr>
          <w:rFonts w:eastAsia="Calibri"/>
          <w:szCs w:val="24"/>
          <w:lang w:val="en-GB" w:eastAsia="en-GB"/>
        </w:rPr>
        <w:t xml:space="preserve">                            </w:t>
      </w:r>
      <w:r w:rsidRPr="00EB11D3">
        <w:rPr>
          <w:rFonts w:eastAsia="Calibri"/>
          <w:szCs w:val="24"/>
          <w:lang w:val="en-GB" w:eastAsia="en-GB"/>
        </w:rPr>
        <w:t>R</w:t>
      </w:r>
      <w:r w:rsidRPr="00EB11D3">
        <w:rPr>
          <w:rFonts w:eastAsia="Calibri"/>
          <w:szCs w:val="24"/>
          <w:vertAlign w:val="superscript"/>
          <w:lang w:val="en-GB" w:eastAsia="en-GB"/>
        </w:rPr>
        <w:t>2=</w:t>
      </w:r>
      <w:r w:rsidR="00FA09EF">
        <w:rPr>
          <w:rFonts w:eastAsia="Calibri"/>
          <w:szCs w:val="24"/>
        </w:rPr>
        <w:t>0.794</w:t>
      </w:r>
    </w:p>
    <w:p w14:paraId="578DE129" w14:textId="77777777" w:rsidR="003859C9" w:rsidRPr="00EB11D3" w:rsidRDefault="003859C9" w:rsidP="003859C9">
      <w:pPr>
        <w:shd w:val="clear" w:color="auto" w:fill="FFFFFF"/>
        <w:spacing w:after="160" w:line="360" w:lineRule="auto"/>
        <w:jc w:val="left"/>
        <w:rPr>
          <w:rFonts w:eastAsia="Calibri"/>
          <w:szCs w:val="24"/>
          <w:lang w:val="en-GB" w:eastAsia="en-GB"/>
        </w:rPr>
      </w:pPr>
    </w:p>
    <w:p w14:paraId="7903BFC7" w14:textId="77777777" w:rsidR="003859C9" w:rsidRPr="00EB11D3" w:rsidRDefault="003859C9" w:rsidP="003859C9">
      <w:pPr>
        <w:shd w:val="clear" w:color="auto" w:fill="FFFFFF"/>
        <w:spacing w:after="160" w:line="360" w:lineRule="auto"/>
        <w:jc w:val="left"/>
        <w:rPr>
          <w:rFonts w:eastAsia="Calibri"/>
          <w:szCs w:val="24"/>
          <w:lang w:val="en-GB" w:eastAsia="en-GB"/>
        </w:rPr>
      </w:pPr>
    </w:p>
    <w:p w14:paraId="1FE125FD" w14:textId="77777777" w:rsidR="003859C9" w:rsidRPr="00EB11D3" w:rsidRDefault="003859C9" w:rsidP="003859C9">
      <w:pPr>
        <w:shd w:val="clear" w:color="auto" w:fill="FFFFFF"/>
        <w:spacing w:after="160" w:line="360" w:lineRule="auto"/>
        <w:jc w:val="left"/>
        <w:rPr>
          <w:rFonts w:eastAsia="Calibri"/>
          <w:szCs w:val="24"/>
          <w:lang w:val="en-GB" w:eastAsia="en-GB"/>
        </w:rPr>
      </w:pPr>
    </w:p>
    <w:p w14:paraId="1B7B1595" w14:textId="77777777" w:rsidR="003859C9" w:rsidRPr="00EB11D3" w:rsidRDefault="003859C9" w:rsidP="003859C9">
      <w:pPr>
        <w:shd w:val="clear" w:color="auto" w:fill="FFFFFF"/>
        <w:spacing w:after="0" w:line="240" w:lineRule="auto"/>
        <w:jc w:val="left"/>
        <w:rPr>
          <w:rFonts w:eastAsia="Times New Roman"/>
          <w:bCs/>
          <w:szCs w:val="24"/>
        </w:rPr>
      </w:pPr>
      <w:bookmarkStart w:id="1046" w:name="_Toc94528152"/>
      <w:bookmarkStart w:id="1047" w:name="_Toc126666781"/>
      <w:bookmarkStart w:id="1048" w:name="_Toc177387977"/>
      <w:r w:rsidRPr="00EB11D3">
        <w:rPr>
          <w:rFonts w:eastAsia="Times New Roman"/>
          <w:b/>
          <w:bCs/>
          <w:szCs w:val="24"/>
        </w:rPr>
        <w:t xml:space="preserve">Figure </w:t>
      </w:r>
      <w:r w:rsidRPr="00EB11D3">
        <w:rPr>
          <w:rFonts w:eastAsia="Times New Roman"/>
          <w:b/>
          <w:bCs/>
          <w:szCs w:val="24"/>
        </w:rPr>
        <w:fldChar w:fldCharType="begin"/>
      </w:r>
      <w:r w:rsidRPr="00EB11D3">
        <w:rPr>
          <w:rFonts w:eastAsia="Times New Roman"/>
          <w:b/>
          <w:bCs/>
          <w:szCs w:val="24"/>
        </w:rPr>
        <w:instrText xml:space="preserve"> SEQ Figure \* ARABIC </w:instrText>
      </w:r>
      <w:r w:rsidRPr="00EB11D3">
        <w:rPr>
          <w:rFonts w:eastAsia="Times New Roman"/>
          <w:b/>
          <w:bCs/>
          <w:szCs w:val="24"/>
        </w:rPr>
        <w:fldChar w:fldCharType="separate"/>
      </w:r>
      <w:r w:rsidRPr="00EB11D3">
        <w:rPr>
          <w:rFonts w:eastAsia="Times New Roman"/>
          <w:b/>
          <w:bCs/>
          <w:noProof/>
          <w:szCs w:val="24"/>
        </w:rPr>
        <w:t>5</w:t>
      </w:r>
      <w:r w:rsidRPr="00EB11D3">
        <w:rPr>
          <w:rFonts w:eastAsia="Times New Roman"/>
          <w:b/>
          <w:bCs/>
          <w:szCs w:val="24"/>
        </w:rPr>
        <w:fldChar w:fldCharType="end"/>
      </w:r>
      <w:r w:rsidRPr="00EB11D3">
        <w:rPr>
          <w:rFonts w:eastAsia="Times New Roman"/>
          <w:b/>
          <w:bCs/>
          <w:szCs w:val="24"/>
        </w:rPr>
        <w:t>: Optimal Model</w:t>
      </w:r>
      <w:bookmarkEnd w:id="1046"/>
      <w:bookmarkEnd w:id="1047"/>
      <w:bookmarkEnd w:id="1048"/>
    </w:p>
    <w:p w14:paraId="5BF7B138" w14:textId="77777777" w:rsidR="003859C9" w:rsidRPr="00EB11D3" w:rsidRDefault="003859C9" w:rsidP="003859C9">
      <w:pPr>
        <w:shd w:val="clear" w:color="auto" w:fill="FFFFFF"/>
        <w:spacing w:after="160" w:line="360" w:lineRule="auto"/>
        <w:rPr>
          <w:rFonts w:eastAsia="Calibri"/>
          <w:szCs w:val="24"/>
        </w:rPr>
      </w:pPr>
    </w:p>
    <w:p w14:paraId="4856A51C"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The model in Figure 5 indicates that no variable was dropped since all null hypotheses of the study were rejected and the model was accepted as conceptualised and is therefore the optimal model.</w:t>
      </w:r>
    </w:p>
    <w:p w14:paraId="3F08EF00" w14:textId="77777777" w:rsidR="003859C9" w:rsidRPr="00EB11D3" w:rsidRDefault="003859C9" w:rsidP="003859C9">
      <w:pPr>
        <w:shd w:val="clear" w:color="auto" w:fill="FFFFFF"/>
        <w:spacing w:after="160" w:line="360" w:lineRule="auto"/>
        <w:rPr>
          <w:rFonts w:eastAsia="Calibri"/>
          <w:szCs w:val="24"/>
          <w:lang w:val="en"/>
        </w:rPr>
      </w:pPr>
      <w:r w:rsidRPr="00EB11D3">
        <w:rPr>
          <w:rFonts w:eastAsia="Calibri"/>
          <w:szCs w:val="24"/>
        </w:rPr>
        <w:t xml:space="preserve">Findings of the study have been examined and compared to the previous findings of other researchers. To a large extent, the findings of this study are consistency with research findings of previous studies. The propositions from the findings support the conceptualised and confirmed model depicted in Figure 5. The model conceptualises the interactions between corporate governance (independent variable), service innovation (mediating variable), government regulations (moderating variable) and organizational performance (dependent variable) </w:t>
      </w:r>
      <w:r w:rsidRPr="00EB11D3">
        <w:rPr>
          <w:rFonts w:eastAsia="Calibri"/>
          <w:szCs w:val="24"/>
          <w:lang w:val="en"/>
        </w:rPr>
        <w:t xml:space="preserve">of faith-based hospitals in Kenya. </w:t>
      </w:r>
      <w:r w:rsidRPr="00EB11D3">
        <w:rPr>
          <w:rFonts w:eastAsia="Calibri"/>
          <w:szCs w:val="24"/>
        </w:rPr>
        <w:t xml:space="preserve">It also depicts </w:t>
      </w:r>
      <w:r w:rsidR="000E20B9" w:rsidRPr="00EB11D3">
        <w:rPr>
          <w:rFonts w:eastAsia="Cambria"/>
          <w:szCs w:val="24"/>
        </w:rPr>
        <w:t>mediated</w:t>
      </w:r>
      <w:r w:rsidR="000E20B9">
        <w:rPr>
          <w:rFonts w:eastAsia="Cambria"/>
          <w:szCs w:val="24"/>
        </w:rPr>
        <w:t xml:space="preserve"> </w:t>
      </w:r>
      <w:r w:rsidR="000E20B9" w:rsidRPr="00EB11D3">
        <w:rPr>
          <w:rFonts w:eastAsia="Cambria"/>
          <w:szCs w:val="24"/>
        </w:rPr>
        <w:t>moderat</w:t>
      </w:r>
      <w:r w:rsidR="000E20B9">
        <w:rPr>
          <w:rFonts w:eastAsia="Cambria"/>
          <w:szCs w:val="24"/>
        </w:rPr>
        <w:t>ion</w:t>
      </w:r>
      <w:r w:rsidRPr="00EB11D3">
        <w:rPr>
          <w:rFonts w:eastAsia="Calibri"/>
          <w:szCs w:val="24"/>
        </w:rPr>
        <w:t xml:space="preserve"> effect on the relationship between corporate governance and organizational Performance </w:t>
      </w:r>
      <w:r w:rsidRPr="00EB11D3">
        <w:rPr>
          <w:rFonts w:eastAsia="Calibri"/>
          <w:szCs w:val="24"/>
          <w:lang w:val="en"/>
        </w:rPr>
        <w:t>of faith-based hospitals in Kenya.</w:t>
      </w:r>
    </w:p>
    <w:p w14:paraId="54C5A5F2" w14:textId="77777777" w:rsidR="003859C9" w:rsidRPr="00EB11D3" w:rsidRDefault="00551F03" w:rsidP="003859C9">
      <w:pPr>
        <w:shd w:val="clear" w:color="auto" w:fill="FFFFFF"/>
        <w:spacing w:before="100" w:beforeAutospacing="1" w:after="100" w:afterAutospacing="1" w:line="240" w:lineRule="auto"/>
        <w:jc w:val="left"/>
        <w:outlineLvl w:val="1"/>
        <w:rPr>
          <w:rFonts w:eastAsia="+mn-ea"/>
          <w:b/>
          <w:bCs/>
          <w:sz w:val="22"/>
          <w:lang w:eastAsia="en-GB"/>
        </w:rPr>
      </w:pPr>
      <w:bookmarkStart w:id="1049" w:name="_Toc78303070"/>
      <w:bookmarkStart w:id="1050" w:name="_Toc86857678"/>
      <w:bookmarkStart w:id="1051" w:name="_Toc94528942"/>
      <w:bookmarkStart w:id="1052" w:name="_Toc126071163"/>
      <w:bookmarkStart w:id="1053" w:name="_Toc177387901"/>
      <w:r>
        <w:rPr>
          <w:rFonts w:eastAsia="+mn-ea"/>
          <w:b/>
          <w:bCs/>
          <w:szCs w:val="36"/>
          <w:lang w:eastAsia="en-GB"/>
        </w:rPr>
        <w:t>5.2</w:t>
      </w:r>
      <w:r w:rsidR="003859C9" w:rsidRPr="00EB11D3">
        <w:rPr>
          <w:rFonts w:eastAsia="+mn-ea"/>
          <w:b/>
          <w:bCs/>
          <w:szCs w:val="36"/>
          <w:lang w:eastAsia="en-GB"/>
        </w:rPr>
        <w:t xml:space="preserve"> </w:t>
      </w:r>
      <w:bookmarkEnd w:id="1049"/>
      <w:bookmarkEnd w:id="1050"/>
      <w:bookmarkEnd w:id="1051"/>
      <w:bookmarkEnd w:id="1052"/>
      <w:r>
        <w:rPr>
          <w:rFonts w:eastAsia="+mn-ea"/>
          <w:b/>
          <w:bCs/>
          <w:szCs w:val="36"/>
          <w:lang w:eastAsia="en-GB"/>
        </w:rPr>
        <w:t>Conclusions</w:t>
      </w:r>
      <w:bookmarkEnd w:id="1053"/>
    </w:p>
    <w:p w14:paraId="3D7C11AD" w14:textId="77777777" w:rsidR="003859C9" w:rsidRPr="00EB11D3" w:rsidRDefault="00551F03" w:rsidP="003859C9">
      <w:pPr>
        <w:keepNext/>
        <w:keepLines/>
        <w:shd w:val="clear" w:color="auto" w:fill="FFFFFF"/>
        <w:spacing w:before="40" w:after="0" w:line="360" w:lineRule="auto"/>
        <w:outlineLvl w:val="2"/>
        <w:rPr>
          <w:rFonts w:eastAsia="Times New Roman"/>
          <w:b/>
          <w:bCs/>
          <w:szCs w:val="24"/>
          <w:lang w:val="en-GB" w:eastAsia="en-GB"/>
        </w:rPr>
      </w:pPr>
      <w:bookmarkStart w:id="1054" w:name="_Toc164151287"/>
      <w:bookmarkStart w:id="1055" w:name="_Toc168673479"/>
      <w:bookmarkStart w:id="1056" w:name="_Toc168737920"/>
      <w:bookmarkStart w:id="1057" w:name="_Toc171602670"/>
      <w:bookmarkStart w:id="1058" w:name="_Toc171603497"/>
      <w:bookmarkStart w:id="1059" w:name="_Toc177387902"/>
      <w:bookmarkStart w:id="1060" w:name="_Toc117772964"/>
      <w:bookmarkStart w:id="1061" w:name="_Toc117773094"/>
      <w:bookmarkStart w:id="1062" w:name="_Toc124240273"/>
      <w:bookmarkStart w:id="1063" w:name="_Toc126071165"/>
      <w:bookmarkStart w:id="1064" w:name="_Hlk88138770"/>
      <w:r>
        <w:rPr>
          <w:rFonts w:eastAsia="Times New Roman"/>
          <w:b/>
          <w:bCs/>
          <w:szCs w:val="24"/>
          <w:lang w:val="en-GB" w:eastAsia="en-GB"/>
        </w:rPr>
        <w:t>5</w:t>
      </w:r>
      <w:r w:rsidR="003859C9" w:rsidRPr="00EB11D3">
        <w:rPr>
          <w:rFonts w:eastAsia="Times New Roman"/>
          <w:b/>
          <w:bCs/>
          <w:szCs w:val="24"/>
          <w:lang w:val="en-GB" w:eastAsia="en-GB"/>
        </w:rPr>
        <w:t xml:space="preserve">.2.1 </w:t>
      </w:r>
      <w:r w:rsidR="005532EA" w:rsidRPr="00EB11D3">
        <w:rPr>
          <w:rFonts w:eastAsia="Times New Roman"/>
          <w:b/>
          <w:bCs/>
          <w:szCs w:val="24"/>
          <w:lang w:val="en-GB" w:eastAsia="en-GB"/>
        </w:rPr>
        <w:t>Effect of</w:t>
      </w:r>
      <w:r w:rsidR="003859C9" w:rsidRPr="00EB11D3">
        <w:rPr>
          <w:rFonts w:eastAsia="Times New Roman"/>
          <w:b/>
          <w:bCs/>
          <w:szCs w:val="24"/>
          <w:lang w:val="en-GB" w:eastAsia="en-GB"/>
        </w:rPr>
        <w:t xml:space="preserve"> </w:t>
      </w:r>
      <w:r w:rsidR="00D125B2" w:rsidRPr="00EB11D3">
        <w:rPr>
          <w:rFonts w:eastAsia="Times New Roman"/>
          <w:b/>
          <w:bCs/>
          <w:szCs w:val="24"/>
          <w:lang w:val="en-GB" w:eastAsia="en-GB"/>
        </w:rPr>
        <w:t>C</w:t>
      </w:r>
      <w:r w:rsidR="003859C9" w:rsidRPr="00EB11D3">
        <w:rPr>
          <w:rFonts w:eastAsia="Times New Roman"/>
          <w:b/>
          <w:bCs/>
          <w:szCs w:val="24"/>
          <w:lang w:val="en-GB" w:eastAsia="en-GB"/>
        </w:rPr>
        <w:t xml:space="preserve">orporate </w:t>
      </w:r>
      <w:r w:rsidR="00D125B2" w:rsidRPr="00EB11D3">
        <w:rPr>
          <w:rFonts w:eastAsia="Times New Roman"/>
          <w:b/>
          <w:bCs/>
          <w:szCs w:val="24"/>
          <w:lang w:val="en-GB" w:eastAsia="en-GB"/>
        </w:rPr>
        <w:t>G</w:t>
      </w:r>
      <w:r w:rsidR="003859C9" w:rsidRPr="00EB11D3">
        <w:rPr>
          <w:rFonts w:eastAsia="Times New Roman"/>
          <w:b/>
          <w:bCs/>
          <w:szCs w:val="24"/>
          <w:lang w:val="en-GB" w:eastAsia="en-GB"/>
        </w:rPr>
        <w:t xml:space="preserve">overnance </w:t>
      </w:r>
      <w:r w:rsidR="005532EA" w:rsidRPr="00EB11D3">
        <w:rPr>
          <w:rFonts w:eastAsia="Times New Roman"/>
          <w:b/>
          <w:bCs/>
          <w:szCs w:val="24"/>
          <w:lang w:val="en-GB" w:eastAsia="en-GB"/>
        </w:rPr>
        <w:t xml:space="preserve">on </w:t>
      </w:r>
      <w:r w:rsidR="003859C9" w:rsidRPr="00EB11D3">
        <w:rPr>
          <w:rFonts w:eastAsia="Times New Roman"/>
          <w:b/>
          <w:bCs/>
          <w:szCs w:val="24"/>
          <w:lang w:val="en-GB" w:eastAsia="en-GB"/>
        </w:rPr>
        <w:t xml:space="preserve">Organisational </w:t>
      </w:r>
      <w:r w:rsidR="003859C9" w:rsidRPr="00EB11D3">
        <w:rPr>
          <w:rFonts w:eastAsia="Times New Roman"/>
          <w:b/>
          <w:bCs/>
          <w:szCs w:val="24"/>
          <w:lang w:val="en-GB"/>
        </w:rPr>
        <w:t>Performance</w:t>
      </w:r>
      <w:bookmarkEnd w:id="1054"/>
      <w:bookmarkEnd w:id="1055"/>
      <w:bookmarkEnd w:id="1056"/>
      <w:bookmarkEnd w:id="1057"/>
      <w:bookmarkEnd w:id="1058"/>
      <w:bookmarkEnd w:id="1059"/>
      <w:r w:rsidR="003859C9" w:rsidRPr="00EB11D3">
        <w:rPr>
          <w:rFonts w:eastAsia="Times New Roman"/>
          <w:b/>
          <w:bCs/>
          <w:szCs w:val="24"/>
          <w:lang w:val="en-GB"/>
        </w:rPr>
        <w:t xml:space="preserve">  </w:t>
      </w:r>
      <w:bookmarkEnd w:id="1060"/>
      <w:bookmarkEnd w:id="1061"/>
      <w:bookmarkEnd w:id="1062"/>
      <w:bookmarkEnd w:id="1063"/>
    </w:p>
    <w:bookmarkEnd w:id="1064"/>
    <w:p w14:paraId="5BBEEEBD" w14:textId="77777777" w:rsidR="003859C9" w:rsidRPr="00EB11D3" w:rsidRDefault="005B7962" w:rsidP="003859C9">
      <w:pPr>
        <w:shd w:val="clear" w:color="auto" w:fill="FFFFFF"/>
        <w:spacing w:after="160" w:line="360" w:lineRule="auto"/>
        <w:rPr>
          <w:rFonts w:eastAsia="Calibri"/>
          <w:szCs w:val="24"/>
        </w:rPr>
      </w:pPr>
      <w:r w:rsidRPr="005B7962">
        <w:rPr>
          <w:rFonts w:eastAsia="Calibri"/>
          <w:szCs w:val="24"/>
        </w:rPr>
        <w:t>The first objective was to establish the effect of corporate governance on performance of Level Four government hospitals in Kenya. The study concluded that corporate governance has a significant relationship with organisational performance of Faith-Based Hospitals in Kenya. The objective was achieved.</w:t>
      </w:r>
    </w:p>
    <w:p w14:paraId="46D9C125" w14:textId="77777777" w:rsidR="009B1811" w:rsidRDefault="003859C9" w:rsidP="003859C9">
      <w:pPr>
        <w:shd w:val="clear" w:color="auto" w:fill="FFFFFF"/>
        <w:spacing w:after="160" w:line="360" w:lineRule="auto"/>
        <w:rPr>
          <w:rFonts w:eastAsia="Calibri"/>
          <w:szCs w:val="24"/>
        </w:rPr>
      </w:pPr>
      <w:r w:rsidRPr="00EB11D3">
        <w:rPr>
          <w:rFonts w:eastAsia="Calibri"/>
          <w:szCs w:val="24"/>
        </w:rPr>
        <w:t xml:space="preserve">A simple regression model was used to test the statistical significance of the independent variable (corporate governance) on the dependent variable (organisational performance) </w:t>
      </w:r>
      <w:r w:rsidRPr="00EB11D3">
        <w:rPr>
          <w:rFonts w:eastAsia="Calibri"/>
          <w:szCs w:val="24"/>
          <w:lang w:val="en"/>
        </w:rPr>
        <w:t>of faith-based hospitals in Kenya</w:t>
      </w:r>
      <w:r w:rsidRPr="00EB11D3">
        <w:rPr>
          <w:rFonts w:eastAsia="Calibri"/>
          <w:szCs w:val="24"/>
        </w:rPr>
        <w:t xml:space="preserve">. The first hypothesis stated in the null form that; </w:t>
      </w:r>
      <w:r w:rsidRPr="00EB11D3">
        <w:rPr>
          <w:rFonts w:eastAsia="Calibri"/>
          <w:bCs/>
          <w:szCs w:val="24"/>
        </w:rPr>
        <w:t>Ho</w:t>
      </w:r>
      <w:r w:rsidRPr="00EB11D3">
        <w:rPr>
          <w:rFonts w:eastAsia="Calibri"/>
          <w:bCs/>
          <w:szCs w:val="24"/>
          <w:vertAlign w:val="subscript"/>
        </w:rPr>
        <w:t>2</w:t>
      </w:r>
      <w:r w:rsidRPr="00EB11D3">
        <w:rPr>
          <w:rFonts w:eastAsia="Calibri"/>
          <w:szCs w:val="24"/>
        </w:rPr>
        <w:t xml:space="preserve">: There is no significant relationship between corporate governance and organizational Performance </w:t>
      </w:r>
      <w:r w:rsidRPr="00EB11D3">
        <w:rPr>
          <w:rFonts w:eastAsia="Calibri"/>
          <w:szCs w:val="24"/>
          <w:lang w:val="en"/>
        </w:rPr>
        <w:t xml:space="preserve">of faith-based hospitals in Kenya. </w:t>
      </w:r>
      <w:r w:rsidRPr="00EB11D3">
        <w:rPr>
          <w:rFonts w:eastAsia="Calibri"/>
          <w:szCs w:val="24"/>
        </w:rPr>
        <w:t xml:space="preserve">The findings indicated that when corporate governance is held constant, organisational performance remains at 1.299. At the same time, a unit increase in corporate governance will increase </w:t>
      </w:r>
      <w:r w:rsidR="006D5C62" w:rsidRPr="00EB11D3">
        <w:rPr>
          <w:rFonts w:eastAsia="Calibri"/>
          <w:szCs w:val="24"/>
        </w:rPr>
        <w:t>organisational performance of Faith-Based Hospitals</w:t>
      </w:r>
      <w:r w:rsidRPr="00EB11D3">
        <w:rPr>
          <w:rFonts w:eastAsia="Calibri"/>
          <w:szCs w:val="24"/>
          <w:lang w:val="en"/>
        </w:rPr>
        <w:t xml:space="preserve"> in Kenya </w:t>
      </w:r>
      <w:r w:rsidRPr="00EB11D3">
        <w:rPr>
          <w:rFonts w:eastAsia="Calibri"/>
          <w:szCs w:val="24"/>
        </w:rPr>
        <w:t xml:space="preserve">by the rate of </w:t>
      </w:r>
      <w:bookmarkStart w:id="1065" w:name="_Hlk87800763"/>
      <w:r w:rsidRPr="00EB11D3">
        <w:rPr>
          <w:rFonts w:eastAsia="Calibri"/>
          <w:szCs w:val="24"/>
        </w:rPr>
        <w:t>0.646. Since, the p value 0.000&lt;0.05 is less than the critical value 0.05</w:t>
      </w:r>
      <w:bookmarkEnd w:id="1065"/>
      <w:r w:rsidRPr="00EB11D3">
        <w:rPr>
          <w:rFonts w:eastAsia="Calibri"/>
          <w:szCs w:val="24"/>
        </w:rPr>
        <w:t xml:space="preserve">, the null hypothesis was rejected that there is no significant relationship between corporate governance and organizational </w:t>
      </w:r>
      <w:r w:rsidR="009B1811">
        <w:rPr>
          <w:rFonts w:eastAsia="Calibri"/>
          <w:szCs w:val="24"/>
        </w:rPr>
        <w:t>p</w:t>
      </w:r>
      <w:r w:rsidRPr="00EB11D3">
        <w:rPr>
          <w:rFonts w:eastAsia="Calibri"/>
          <w:szCs w:val="24"/>
        </w:rPr>
        <w:t xml:space="preserve">erformance </w:t>
      </w:r>
      <w:r w:rsidRPr="00EB11D3">
        <w:rPr>
          <w:rFonts w:eastAsia="Calibri"/>
          <w:szCs w:val="24"/>
          <w:lang w:val="en"/>
        </w:rPr>
        <w:t>of faith-based hospitals in Kenya</w:t>
      </w:r>
      <w:r w:rsidRPr="00EB11D3">
        <w:rPr>
          <w:rFonts w:eastAsia="Calibri"/>
          <w:szCs w:val="24"/>
        </w:rPr>
        <w:t xml:space="preserve">. </w:t>
      </w:r>
    </w:p>
    <w:p w14:paraId="2AD38547"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 xml:space="preserve">The study concluded that corporate governance has a significant relationship with </w:t>
      </w:r>
      <w:r w:rsidR="006D5C62" w:rsidRPr="00EB11D3">
        <w:rPr>
          <w:rFonts w:eastAsia="Calibri"/>
          <w:szCs w:val="24"/>
        </w:rPr>
        <w:t>organisational performance of Faith-Based Hospitals</w:t>
      </w:r>
      <w:r w:rsidRPr="00EB11D3">
        <w:rPr>
          <w:rFonts w:eastAsia="Calibri"/>
          <w:szCs w:val="24"/>
          <w:lang w:val="en"/>
        </w:rPr>
        <w:t xml:space="preserve"> in Kenya</w:t>
      </w:r>
      <w:r w:rsidRPr="00EB11D3">
        <w:rPr>
          <w:rFonts w:eastAsia="Calibri"/>
          <w:szCs w:val="24"/>
        </w:rPr>
        <w:t>.</w:t>
      </w:r>
      <w:r w:rsidRPr="00EB11D3">
        <w:rPr>
          <w:rFonts w:eastAsia="Times New Roman"/>
          <w:szCs w:val="24"/>
        </w:rPr>
        <w:t xml:space="preserve"> </w:t>
      </w:r>
      <w:r w:rsidRPr="00EB11D3">
        <w:rPr>
          <w:rFonts w:eastAsia="Calibri"/>
          <w:szCs w:val="24"/>
        </w:rPr>
        <w:t xml:space="preserve">There is a strong correlation between corporate governance and organizational performance, which includes the ways in which an organization's operations, strategic direction, and general success are influenced by its governance structures, practices, and principles. In line with stakeholders' interests, effective corporate governance guarantees accountability, openness, and fairness in the management decision-making process. Better decision-making, more operational effectiveness, and greater risk management are all possible outcomes of this alignment, and they all support higher organizational performance. </w:t>
      </w:r>
      <w:r w:rsidR="00DE0765" w:rsidRPr="00EB11D3">
        <w:rPr>
          <w:rFonts w:eastAsia="Calibri"/>
          <w:szCs w:val="24"/>
        </w:rPr>
        <w:t>B</w:t>
      </w:r>
      <w:r w:rsidRPr="00EB11D3">
        <w:rPr>
          <w:rFonts w:eastAsia="Calibri"/>
          <w:szCs w:val="24"/>
        </w:rPr>
        <w:t>ad governance, on the other hand, can result in bad management, unethical behavior, and a decline in investor confidence, all of which can have a negative impact on performance.</w:t>
      </w:r>
    </w:p>
    <w:p w14:paraId="0FACD0A9" w14:textId="77777777" w:rsidR="00A554CF" w:rsidRPr="00EB11D3" w:rsidRDefault="00A554CF" w:rsidP="00A554CF">
      <w:pPr>
        <w:shd w:val="clear" w:color="auto" w:fill="FFFFFF"/>
        <w:spacing w:after="160" w:line="360" w:lineRule="auto"/>
        <w:rPr>
          <w:rFonts w:eastAsia="Times New Roman"/>
          <w:szCs w:val="24"/>
        </w:rPr>
      </w:pPr>
      <w:r w:rsidRPr="00EB11D3">
        <w:rPr>
          <w:rFonts w:eastAsia="Calibri"/>
          <w:szCs w:val="24"/>
        </w:rPr>
        <w:t>The findings are supported by Jalilvand et al (2024) who observed that hospital accountability pertains to being in charge of the general standard of treatment and patient safety. The structures and procedures that establish the hospital's strategic direction as well as the methods by which resources are gathered and distributed to meet those goals are collectively referred to as hospital governance. By establishing priorities and objectives, formulating strategies, forming organisational cultures, and creating organisational control systems, hospital governing bodies play a crucial role in monitoring quality and safety. A clear definition of desirable goals or objectives (the object of accountability), the capacity to measure and monitor goal achievement, and a set of sanctions for providers or organisations if goals or objectives are not met are the three pillars upon which an accountability regime</w:t>
      </w:r>
      <w:r w:rsidRPr="00EB11D3">
        <w:rPr>
          <w:rFonts w:eastAsia="Times New Roman"/>
          <w:szCs w:val="24"/>
        </w:rPr>
        <w:t xml:space="preserve"> is always built. One of the primary drivers of health system reforms in recent years has been enhancing the accountability of healthcare organisations. Accountability has been presented in studies as a means of enhancing transparency and raising the standard of healthcare.</w:t>
      </w:r>
    </w:p>
    <w:p w14:paraId="73CD8B07" w14:textId="77777777" w:rsidR="00C95328" w:rsidRPr="00EB11D3" w:rsidRDefault="00C95328" w:rsidP="009B1811">
      <w:pPr>
        <w:spacing w:line="360" w:lineRule="auto"/>
        <w:rPr>
          <w:rFonts w:eastAsia="Times New Roman"/>
          <w:szCs w:val="24"/>
        </w:rPr>
      </w:pPr>
      <w:r w:rsidRPr="00EB11D3">
        <w:rPr>
          <w:rFonts w:eastAsia="Times New Roman"/>
          <w:szCs w:val="24"/>
        </w:rPr>
        <w:t xml:space="preserve">The study's findings are consistent with those of Sakarneh, Elhawi, and Al-Najjar (2021), who found a statistically significant influence on the aspects of stakeholder role, disclosure, and transparency, as well as the board of directors' duties on the legal dimension. As a result, as was already noted, CG dimensions are crucial in establishing the legislative framework that governs hospitals. Therefore, expanding the role of stakeholders, the level of disclosure and transparency, and the scope of the Board of Directors' responsibilities will all have a positive impact on the legal responsibilities dimension by increasing these hospitals' interest in the legal area. On the other hand, there was no statistically significant impact of the variable with a strong and efficient foundation for CG on the legal dimension. The study's findings demonstrated that the variables of stakeholder rules, disclosure, transparency, and the board of directors' responsibilities all had a statistically significant effect on the ethical component. The researcher explained this result by demonstrating how these characteristics contribute to the development of an ethical act of action that enables management and all hospital staff to adhere to, thereby avoiding the ethical aspect. In order to compel members of the Board of Directors to manage their plans in accordance with a defined strategy, it is necessary to develop strong legal and regulatory foundations. This is because any plan or strategy can be aligned with the vision and mission of hospitals. Additionally, they must practise openness and disclosure in all of their actions, including the decision-making process. Hospitals must simultaneously prioritise the responsibility component, which may be strengthened by equitable policies and procedures that, in turn, can encourage employees to act morally. Healthcare facilities need to consider staff equality while establishing policies. In order to advance with the management and administrative structure vision, rules must be deemed appropriate and legally binding. Hospitals ought to continue to focus on openness and disclosure. According to the researchers, this can be accomplished by creating laws and regulations that control and regulate the disclosure and transparency process towards the neighbourhood and all parties involved in environmental practices. </w:t>
      </w:r>
    </w:p>
    <w:p w14:paraId="2F5B8F1E" w14:textId="77777777" w:rsidR="009B1811" w:rsidRDefault="003B6372" w:rsidP="003859C9">
      <w:pPr>
        <w:shd w:val="clear" w:color="auto" w:fill="FFFFFF"/>
        <w:spacing w:after="160" w:line="360" w:lineRule="auto"/>
        <w:rPr>
          <w:rFonts w:eastAsia="Calibri"/>
          <w:szCs w:val="24"/>
        </w:rPr>
      </w:pPr>
      <w:r w:rsidRPr="00EB11D3">
        <w:rPr>
          <w:rFonts w:eastAsia="Calibri"/>
          <w:szCs w:val="24"/>
        </w:rPr>
        <w:t xml:space="preserve">Hospital governance leadership is not like that of other organisations or sectors. Governments and the general public are always pressuring the hospital's external environment to use resources more wisely (Wallenburg, Quartz, &amp; Bal, 2019). In the hospital's internal environment, a variety of independent specialists, including doctors, nurses, paramedics, financial affairs, and management specialists, interact with each other and hold each other accountable for the complicated task of accomplishing hospital goals (Scholten, Muijsers‐Creemers, Moen, &amp; Bal, 2019). </w:t>
      </w:r>
      <w:r w:rsidR="003859C9" w:rsidRPr="00EB11D3">
        <w:rPr>
          <w:rFonts w:eastAsia="Calibri"/>
          <w:szCs w:val="24"/>
        </w:rPr>
        <w:t>Robust corporate governance frameworks guarantee the transparency and accountability of decision-making procedures. The promotion of trust among stakeholders, including as customers, employees, investors, and regulators, can be facilitated by openness. Better performance outcomes may result from stakeholders' trust in the integrity of the organization's governance. Corporate governance systems frequently incorporate risk identification, assessment, and management techniques</w:t>
      </w:r>
      <w:r w:rsidR="005E72F5" w:rsidRPr="00EB11D3">
        <w:rPr>
          <w:rFonts w:eastAsia="Calibri"/>
          <w:szCs w:val="24"/>
        </w:rPr>
        <w:t xml:space="preserve"> (Mallin, 2018)</w:t>
      </w:r>
      <w:r w:rsidR="003859C9" w:rsidRPr="00EB11D3">
        <w:rPr>
          <w:rFonts w:eastAsia="Calibri"/>
          <w:szCs w:val="24"/>
        </w:rPr>
        <w:t xml:space="preserve">. Through the implementation of comprehensive risk management procedures, companies can effectively address possible hazards and use favorable circumstances, ultimately protecting their operations and long-term viability. Processes for making strategic decisions are facilitated by good corporate governance. As a component of the governance framework, boards of directors offer supervision and direction for strategic planning (Mallin, 2018). </w:t>
      </w:r>
    </w:p>
    <w:p w14:paraId="668E4A3D"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When decisions are made in a way that is consistent with the organization's mission, vision, and values, more impactful and cohesive strategies that improve performance are produced. Accountability is guaranteed at all organizational levels by corporate governance practices including management and executive performance evaluation standards. Holding managers responsible for their deeds and performance can encourage them to pursue efficiency, creativity, and quality, which will improve the performance of the organization</w:t>
      </w:r>
      <w:r w:rsidR="005E72F5" w:rsidRPr="00EB11D3">
        <w:rPr>
          <w:rFonts w:eastAsia="Calibri"/>
          <w:szCs w:val="24"/>
        </w:rPr>
        <w:t xml:space="preserve"> (Mallin, 2018)</w:t>
      </w:r>
      <w:r w:rsidRPr="00EB11D3">
        <w:rPr>
          <w:rFonts w:eastAsia="Calibri"/>
          <w:szCs w:val="24"/>
        </w:rPr>
        <w:t>.</w:t>
      </w:r>
    </w:p>
    <w:p w14:paraId="7BC2E5EA"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Good corporate governance techniques can draw in investment capital and boost investor trust. Since they see these businesses to be less risky and more likely to provide sustainable profits, investors are more likely to put their money into companies with clear governance structures and robust supervision procedures. An organization's culture of justice, integrity, and moral behavior is fostered by effective corporate governance. Higher levels of engagement, motivation, and productivity can result from employees feeling that their interests are being protected and that decisions are handled fairly and honestly. This can eventually boost organizational performance (Tricker, 2019).</w:t>
      </w:r>
    </w:p>
    <w:p w14:paraId="7EFB4774"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Several researchers have discovered a favorable relationship between organizational performance and efficient corporate governance systems. According to Adams and Ferreira (2019), robust board structures, independent directors, and efficient monitoring procedures have a beneficial impact on financial performance indicators like return on equity (ROE) and return on assets (ROA). Effective corporate governance procedures are frequently linked to higher shareholder value development, claim Bebchuk and Cohen (2020). Research indicates that companies with robust governance frameworks typically witness increased stock market returns and superior long-term financial outcomes in contrast to those with feeble governance processes.</w:t>
      </w:r>
    </w:p>
    <w:p w14:paraId="08F11A51" w14:textId="77777777" w:rsidR="00AA093C" w:rsidRPr="00EB11D3" w:rsidRDefault="003859C9" w:rsidP="003859C9">
      <w:pPr>
        <w:shd w:val="clear" w:color="auto" w:fill="FFFFFF"/>
        <w:spacing w:after="160" w:line="360" w:lineRule="auto"/>
        <w:rPr>
          <w:rFonts w:eastAsia="Calibri"/>
          <w:szCs w:val="24"/>
        </w:rPr>
      </w:pPr>
      <w:r w:rsidRPr="00EB11D3">
        <w:rPr>
          <w:rFonts w:eastAsia="Calibri"/>
          <w:szCs w:val="24"/>
        </w:rPr>
        <w:t xml:space="preserve">Stability within the firm and improved risk management are two benefits of good corporate governance processes. According to research, companies that have strong governance processes are better able to recognize and manage risks, which lowers financial performance volatility and increases resilience in times of economic downturn (Hermalin &amp; Weisbach, 2019). In addition to encouraging innovation, corporate governance directs strategic decision-making procedures. According to studies, boards with a variety of experience and independent supervision are more likely to encourage innovative projects and make wise strategic decisions that promote competitiveness and long-term growth (Pugliese, Minichilli, &amp; Zattoni, 2018). </w:t>
      </w:r>
    </w:p>
    <w:p w14:paraId="248B3B91" w14:textId="77777777" w:rsidR="000B28DE" w:rsidRPr="00EB11D3" w:rsidRDefault="003859C9" w:rsidP="003859C9">
      <w:pPr>
        <w:shd w:val="clear" w:color="auto" w:fill="FFFFFF"/>
        <w:spacing w:after="160" w:line="360" w:lineRule="auto"/>
        <w:rPr>
          <w:rFonts w:eastAsia="Calibri"/>
          <w:szCs w:val="24"/>
        </w:rPr>
      </w:pPr>
      <w:r w:rsidRPr="00EB11D3">
        <w:rPr>
          <w:rFonts w:eastAsia="Calibri"/>
          <w:szCs w:val="24"/>
        </w:rPr>
        <w:t>Good governance procedures help to improve an organization's reputation and foster stakeholder trust. Building stronger ties with stakeholders</w:t>
      </w:r>
      <w:r w:rsidR="00AA093C" w:rsidRPr="00EB11D3">
        <w:rPr>
          <w:rFonts w:eastAsia="Calibri"/>
          <w:szCs w:val="24"/>
        </w:rPr>
        <w:t xml:space="preserve"> - </w:t>
      </w:r>
      <w:r w:rsidRPr="00EB11D3">
        <w:rPr>
          <w:rFonts w:eastAsia="Calibri"/>
          <w:szCs w:val="24"/>
        </w:rPr>
        <w:t>such as investors, clients, staff, and regulators</w:t>
      </w:r>
      <w:r w:rsidR="00AA093C" w:rsidRPr="00EB11D3">
        <w:rPr>
          <w:rFonts w:eastAsia="Calibri"/>
          <w:szCs w:val="24"/>
        </w:rPr>
        <w:t xml:space="preserve"> - </w:t>
      </w:r>
      <w:r w:rsidRPr="00EB11D3">
        <w:rPr>
          <w:rFonts w:eastAsia="Calibri"/>
          <w:szCs w:val="24"/>
        </w:rPr>
        <w:t>through open and honest decision-making procedures, moral behavior, and accountability frameworks might eventually improve performance (Chen et al., 2020).</w:t>
      </w:r>
      <w:r w:rsidR="00AA093C" w:rsidRPr="00EB11D3">
        <w:rPr>
          <w:rFonts w:eastAsia="Calibri"/>
          <w:szCs w:val="24"/>
        </w:rPr>
        <w:t xml:space="preserve"> Adding upstream entities, such the Board of Trustees, to the hospital governance structure is a common model of hospital governance used to address accountability issues </w:t>
      </w:r>
      <w:r w:rsidR="008A20F2" w:rsidRPr="00EB11D3">
        <w:rPr>
          <w:rFonts w:eastAsia="Calibri"/>
          <w:szCs w:val="24"/>
        </w:rPr>
        <w:t>(Thiel, Winter, &amp; Büchner, 2018)</w:t>
      </w:r>
      <w:r w:rsidR="00AA093C" w:rsidRPr="00EB11D3">
        <w:rPr>
          <w:rFonts w:eastAsia="Calibri"/>
          <w:szCs w:val="24"/>
        </w:rPr>
        <w:t xml:space="preserve">. Every organization's success, especially hospitals, is significantly impacted by having an impartial, watchful, and professional board </w:t>
      </w:r>
      <w:r w:rsidR="008D60CB" w:rsidRPr="00EB11D3">
        <w:rPr>
          <w:rFonts w:eastAsia="Calibri"/>
          <w:szCs w:val="24"/>
        </w:rPr>
        <w:t>(Thiel, et al., 2018)</w:t>
      </w:r>
      <w:r w:rsidR="00AA093C" w:rsidRPr="00EB11D3">
        <w:rPr>
          <w:rFonts w:eastAsia="Calibri"/>
          <w:szCs w:val="24"/>
        </w:rPr>
        <w:t xml:space="preserve">. A well-performing hospital can guarantee that patients receive the right care and treatment while maintaining economic and financial sustainability if it is supported by a strong and efficient board. According to some research, a common element contributing to the ineffectiveness of different governance arrangements is the public hospitals' poor oversight and response to quality-related problems </w:t>
      </w:r>
      <w:r w:rsidR="008D60CB" w:rsidRPr="00EB11D3">
        <w:rPr>
          <w:rFonts w:eastAsia="Calibri"/>
          <w:szCs w:val="24"/>
        </w:rPr>
        <w:t>(Thiel, et al., 2018)</w:t>
      </w:r>
      <w:r w:rsidR="00AA093C" w:rsidRPr="00EB11D3">
        <w:rPr>
          <w:rFonts w:eastAsia="Calibri"/>
          <w:szCs w:val="24"/>
        </w:rPr>
        <w:t xml:space="preserve">. </w:t>
      </w:r>
    </w:p>
    <w:p w14:paraId="0C78EE9D" w14:textId="77777777" w:rsidR="003859C9" w:rsidRPr="00EB11D3" w:rsidRDefault="00AA093C" w:rsidP="003859C9">
      <w:pPr>
        <w:shd w:val="clear" w:color="auto" w:fill="FFFFFF"/>
        <w:spacing w:after="160" w:line="360" w:lineRule="auto"/>
        <w:rPr>
          <w:rFonts w:eastAsia="Calibri"/>
          <w:szCs w:val="24"/>
        </w:rPr>
      </w:pPr>
      <w:r w:rsidRPr="00EB11D3">
        <w:rPr>
          <w:rFonts w:eastAsia="Calibri"/>
          <w:szCs w:val="24"/>
        </w:rPr>
        <w:t xml:space="preserve">It is widely acknowledged that governance is essential to health systems' accountability. Despite this acknowledgment, there is ongoing debate over what constitutes accountable governance, and there is still uncertainty about the relationship between interventions in the governance structure of hospitals and their impact on health outcomes. It is frequently necessary to improve understanding and documentation of links or activities connected to governance. Due to a lack of data, hospital governance structure reforms may be reluctantly funded, and an over dependence on a small number of well-performing governance interventions may arise </w:t>
      </w:r>
      <w:r w:rsidR="008D60CB" w:rsidRPr="00EB11D3">
        <w:rPr>
          <w:rFonts w:eastAsia="Calibri"/>
          <w:szCs w:val="24"/>
        </w:rPr>
        <w:t>(Pronovost, Armstrong, Demski, Peterson, &amp; Rothman, 2018)</w:t>
      </w:r>
      <w:r w:rsidRPr="00EB11D3">
        <w:rPr>
          <w:rFonts w:eastAsia="Calibri"/>
          <w:szCs w:val="24"/>
        </w:rPr>
        <w:t>.  Public hospitals are vital to health systems, necessitating a responsible governance structure.</w:t>
      </w:r>
    </w:p>
    <w:p w14:paraId="1666B4B6"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Ensuring the accomplishment of the overarching goal, facilitating accountability, taking responsibility for efficient and effective performance, and exhibiting ethical behavior in operations are all made possible by the vital role that strong corporate governance plays in firms. Regardless of the market or the industry environment, Claessens and Yurtoglu (2018) and Hopkin (2019) concur that improved corporate governance adds value and benefits firms through increased access to financing, a lower cost of capital, better performance, and more favorable treatment of all stakeholders. This is the reason that the faith that investors and the general public have in the corporate governance of many, if not all, not-for-profit faith-based hospitals greatly affects their financial success and sustainability.</w:t>
      </w:r>
    </w:p>
    <w:p w14:paraId="7D2F5C04" w14:textId="77777777" w:rsidR="003859C9" w:rsidRPr="00EB11D3" w:rsidRDefault="003859C9" w:rsidP="003859C9">
      <w:pPr>
        <w:shd w:val="clear" w:color="auto" w:fill="FFFFFF"/>
        <w:spacing w:after="160" w:line="360" w:lineRule="auto"/>
        <w:rPr>
          <w:szCs w:val="24"/>
        </w:rPr>
      </w:pPr>
      <w:r w:rsidRPr="00EB11D3">
        <w:rPr>
          <w:szCs w:val="24"/>
        </w:rPr>
        <w:t xml:space="preserve">According to Sanda, Milkailu, and Garba (2019), corporate governance refers to the strategies used by all parties with an interest in the company's operations, or stakeholders, to ensure that the management team and other insiders take safety measures or put in place procedures that safeguard their interests. An organization with a strong corporate governance framework is shielded against actions that could cause it to experience financial difficulties down the road (Bhagat and Jefferis 2020). The major responsibility of the board of directors is to protect the interests of the shareholders by closely observing the performance of management. Inadequate financial knowledge within the board may impede its responsibility to oversee and assess management operations. </w:t>
      </w:r>
    </w:p>
    <w:p w14:paraId="1CEA049C"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Shaw (2018) suggested that having knowledgeable board members could aid a company in meeting its goals for financial performance. An efficient corporate structure helps the firm by providing excellent services to all stakeholders, lowering the cost of capital, improving access to financial resources, and improving overall performance. This boosts the sustainability and profitability of the businesses</w:t>
      </w:r>
      <w:r w:rsidR="0099786E" w:rsidRPr="00EB11D3">
        <w:rPr>
          <w:rFonts w:eastAsia="Calibri"/>
          <w:szCs w:val="24"/>
        </w:rPr>
        <w:t xml:space="preserve"> (</w:t>
      </w:r>
      <w:r w:rsidRPr="00EB11D3">
        <w:rPr>
          <w:rFonts w:eastAsia="Calibri"/>
          <w:szCs w:val="24"/>
        </w:rPr>
        <w:t xml:space="preserve">Claessens </w:t>
      </w:r>
      <w:r w:rsidR="0099786E" w:rsidRPr="00EB11D3">
        <w:rPr>
          <w:rFonts w:eastAsia="Calibri"/>
          <w:szCs w:val="24"/>
        </w:rPr>
        <w:t xml:space="preserve">et al., </w:t>
      </w:r>
      <w:r w:rsidRPr="00EB11D3">
        <w:rPr>
          <w:rFonts w:eastAsia="Calibri"/>
          <w:szCs w:val="24"/>
        </w:rPr>
        <w:t xml:space="preserve">2023). Conversely, poor corporate governance standards result in agency issues, raising the firms' agency costs. Gathura (2019) found a linear association between performance, board meeting frequency, CEO and board compensation, and the financial performance of manufacturing companies listed on the NSE. The study examined the relationship between key aspects of corporate governance and financial performance. It has been discovered that board composition affects a company's performance. </w:t>
      </w:r>
    </w:p>
    <w:p w14:paraId="58BF9196"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It is generally acknowledged that improved performance results from the division of executive management of organizations and board operations as opposed to management concentration (Abdullah, 2024). Because a larger board brings a wider range of resources and expertise to the table, it has also been found to boost firm performance (Daily et al., 2023). According to Sanda et al. (2019), having a large number of independent directors boosts management's oversight function and improves organizational performance. In order to safeguard the owners' financial investment and organizational resources, the board should implement an appropriate internal control system.</w:t>
      </w:r>
    </w:p>
    <w:p w14:paraId="48411B2E"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Afriyie et al., (2020) found that there should be a critical threshold for board size since a larger board may induce delays in making decisions, which could have a negative impact on performance in her study of German hospitals. According to Adams and Ferreira (2019), there is a positive association between board size and performance since a smaller board of directors may be less effective than a larger one. Both internal and external directors make up a board of directors; the former are copies of non-directors, while the latter have no official status within the organization. It is less likely for managers to plot together or utilize business resources in a cruel manner when external directors are more competent, independent, and easily accomplish corporate monitoring goals than internal directors. Due to their ability to guarantee that patients get a fair return on their investment, hospitals with strong corporate governance practices typically draw in more patients. The hospital performs better when there is strong corporate governance because policies and strategies are followed.</w:t>
      </w:r>
    </w:p>
    <w:p w14:paraId="04BC9EF0" w14:textId="77777777" w:rsidR="00861DA7" w:rsidRPr="00EB11D3" w:rsidRDefault="00861DA7" w:rsidP="003859C9">
      <w:pPr>
        <w:shd w:val="clear" w:color="auto" w:fill="FFFFFF"/>
        <w:spacing w:after="160" w:line="360" w:lineRule="auto"/>
        <w:rPr>
          <w:rFonts w:eastAsia="Calibri"/>
          <w:szCs w:val="24"/>
        </w:rPr>
      </w:pPr>
      <w:r w:rsidRPr="00EB11D3">
        <w:rPr>
          <w:rFonts w:eastAsia="Calibri"/>
          <w:szCs w:val="24"/>
        </w:rPr>
        <w:t>The results of the study support the contention made by Yang, Yan, Fang, Inamdar, and Lin (2018) that hospital governance practices can foster innovation. Hospital boards and executive management who are interested in encouraging innovation inside their institutions may find this material helpful. Hospital boards should specifically promote more information openness to the public in the areas of finance, healthcare quality, accounting, and audit systems in order to spur innovation. Hospital boards may also improve the way that decisions are made when it comes to innovation by involving additional board members, clearly defining the extent of executive management's authority, and regularly taking part in strategic decision-making to promote creative projects. In order to report on and track further advancement, hospital boards should also think about creating a range of indices that gauge hospital innovation in the fields of research and practice.</w:t>
      </w:r>
    </w:p>
    <w:p w14:paraId="532A0DE4" w14:textId="77777777" w:rsidR="00074F4C" w:rsidRPr="00EB11D3" w:rsidRDefault="00074F4C" w:rsidP="00B45752">
      <w:pPr>
        <w:spacing w:line="360" w:lineRule="auto"/>
      </w:pPr>
      <w:bookmarkStart w:id="1066" w:name="_Toc164151288"/>
      <w:bookmarkStart w:id="1067" w:name="_Toc168673480"/>
      <w:bookmarkStart w:id="1068" w:name="_Toc168737921"/>
      <w:bookmarkStart w:id="1069" w:name="_Toc124240274"/>
      <w:bookmarkStart w:id="1070" w:name="_Toc126071166"/>
      <w:r w:rsidRPr="00EB11D3">
        <w:t>The results of the current study, which note that having both insiders and outsiders on the company board enhances financial performance, are also supported by Puni and Anlesinya's (2020) research. In a similar vein, the frequency of board meetings and the ownership/concentration of shareholders often have a beneficial effect on financial success.</w:t>
      </w:r>
      <w:r w:rsidR="00D11EA7">
        <w:t xml:space="preserve"> </w:t>
      </w:r>
      <w:r w:rsidRPr="00EB11D3">
        <w:t>Nonetheless, the existence of board committees often had a detrimental effect on financial performance, whereas CEO duality had no such effect. The following conclusions have important ramifications: firstly, the research filled in gaps in the general corporate governance literature about the lack of agreement regarding the financial effects of corporate governance procedures. The discovery advances understanding by offering fresh and unique proof that certain of the corporate governance practices in place today are ineffective at reducing the agency problem in developing countries.</w:t>
      </w:r>
      <w:r w:rsidR="00713465" w:rsidRPr="00EB11D3">
        <w:t xml:space="preserve"> </w:t>
      </w:r>
    </w:p>
    <w:p w14:paraId="0F63C038" w14:textId="77777777" w:rsidR="008E7626" w:rsidRPr="00EB11D3" w:rsidRDefault="00713465" w:rsidP="008E7626">
      <w:pPr>
        <w:spacing w:line="360" w:lineRule="auto"/>
      </w:pPr>
      <w:r w:rsidRPr="00EB11D3">
        <w:t>According to Arora and Bodhanwala (2018), corporate governance index (CGI) improves every performance metric save earning per share (EPS). Effective monitoring of a company's performance appears to be facilitated by a board structure that includes a suitable number of independent directors. The promoters' interest, institutional holdings, independent directors, board meetings, and other factors are essential to the operational and decision-making components of a corporation that result in higher profitability. Employees, investors, regulators, and suppliers - among the various groups that engage with the company - may become more confident if companies are encouraged to adhere to corporate governance principles and disclose them transparently. The substantial correlation between strong corporate governance standards and business performance is further supported by the findings of the influence of CGI on firm profitability. Enhancing corporate governance practices seems to benefit businesses' performance.</w:t>
      </w:r>
      <w:r w:rsidR="008E7626" w:rsidRPr="00EB11D3">
        <w:t xml:space="preserve"> Further, Joseph (2019) argues bureaucracy in healthcare plays a crucial role in the realisation of funds for clinical services. It is imperative that this process be handled with great care in order to achieve a significant impact on clinical governance and service delivery in corporate planning for health care. To reiterate, the board of management's regular reviews of the ratio and clinicians to patients is crucial to realising the full effects of corporate planning in clinical governance and service delivery in the health care industry. Without this regular review process, it is challenging to recognise the effects of corporate planning in clinical governance and service delivery in the health care industry. </w:t>
      </w:r>
    </w:p>
    <w:p w14:paraId="00D1D666" w14:textId="77777777" w:rsidR="008E7626" w:rsidRPr="00EB11D3" w:rsidRDefault="008E7626" w:rsidP="00B45752">
      <w:pPr>
        <w:spacing w:line="360" w:lineRule="auto"/>
      </w:pPr>
    </w:p>
    <w:p w14:paraId="0D1AC76C" w14:textId="77777777" w:rsidR="003859C9" w:rsidRPr="00EB11D3" w:rsidRDefault="00551F03" w:rsidP="005F6DA0">
      <w:pPr>
        <w:pStyle w:val="Heading3"/>
        <w:rPr>
          <w:rFonts w:eastAsia="Calibri"/>
        </w:rPr>
      </w:pPr>
      <w:bookmarkStart w:id="1071" w:name="_Toc171602671"/>
      <w:bookmarkStart w:id="1072" w:name="_Toc171603498"/>
      <w:bookmarkStart w:id="1073" w:name="_Toc177387903"/>
      <w:r>
        <w:t>5</w:t>
      </w:r>
      <w:r w:rsidR="003859C9" w:rsidRPr="00EB11D3">
        <w:t xml:space="preserve">.2.2 Mediating </w:t>
      </w:r>
      <w:r w:rsidR="00ED591D" w:rsidRPr="00EB11D3">
        <w:t>E</w:t>
      </w:r>
      <w:r w:rsidR="003859C9" w:rsidRPr="00EB11D3">
        <w:t xml:space="preserve">ffect of Service Innovation on the Relationship Between </w:t>
      </w:r>
      <w:r w:rsidR="00ED591D" w:rsidRPr="00EB11D3">
        <w:t>C</w:t>
      </w:r>
      <w:r w:rsidR="003859C9" w:rsidRPr="00EB11D3">
        <w:t xml:space="preserve">orporate </w:t>
      </w:r>
      <w:r w:rsidR="00ED591D" w:rsidRPr="00EB11D3">
        <w:t>G</w:t>
      </w:r>
      <w:r w:rsidR="003859C9" w:rsidRPr="00EB11D3">
        <w:t>overnance and Organisational Performance</w:t>
      </w:r>
      <w:bookmarkEnd w:id="1066"/>
      <w:bookmarkEnd w:id="1067"/>
      <w:bookmarkEnd w:id="1068"/>
      <w:bookmarkEnd w:id="1071"/>
      <w:bookmarkEnd w:id="1072"/>
      <w:bookmarkEnd w:id="1073"/>
      <w:r w:rsidR="003859C9" w:rsidRPr="00EB11D3">
        <w:t xml:space="preserve">  </w:t>
      </w:r>
      <w:bookmarkEnd w:id="1069"/>
      <w:bookmarkEnd w:id="1070"/>
    </w:p>
    <w:p w14:paraId="57612ED6" w14:textId="77777777" w:rsidR="003859C9" w:rsidRPr="00EB11D3" w:rsidRDefault="005B7962" w:rsidP="003859C9">
      <w:pPr>
        <w:shd w:val="clear" w:color="auto" w:fill="FFFFFF"/>
        <w:spacing w:after="160" w:line="360" w:lineRule="auto"/>
        <w:rPr>
          <w:rFonts w:eastAsia="Calibri"/>
          <w:szCs w:val="24"/>
        </w:rPr>
      </w:pPr>
      <w:r w:rsidRPr="005B7962">
        <w:rPr>
          <w:rFonts w:eastAsia="Calibri"/>
          <w:szCs w:val="24"/>
          <w:lang w:val="en-GB"/>
        </w:rPr>
        <w:t>The second objective was to examine the mediating effect of service innovation on the relationship between corporate governance and organisational performance of Faith-Based Hospitals in Kenya. The study finding indicated a partial mediating role of service innovation on the relationship between corporate governance and organisational performance of Faith-Based Hospitals in Kenya. The objective was achieved.</w:t>
      </w:r>
      <w:r w:rsidR="003859C9" w:rsidRPr="00EB11D3">
        <w:rPr>
          <w:rFonts w:eastAsia="Calibri"/>
          <w:szCs w:val="24"/>
        </w:rPr>
        <w:t xml:space="preserve"> </w:t>
      </w:r>
      <w:r w:rsidR="003859C9" w:rsidRPr="00EB11D3">
        <w:rPr>
          <w:rFonts w:eastAsia="Calibri"/>
          <w:szCs w:val="24"/>
          <w:lang w:val="en-GB"/>
        </w:rPr>
        <w:t xml:space="preserve">The second hypothesis stated in the null form that: </w:t>
      </w:r>
      <w:r w:rsidR="003859C9" w:rsidRPr="00EB11D3">
        <w:rPr>
          <w:rFonts w:eastAsia="Calibri"/>
          <w:b/>
          <w:szCs w:val="24"/>
        </w:rPr>
        <w:t>H</w:t>
      </w:r>
      <w:r w:rsidR="003859C9" w:rsidRPr="00EB11D3">
        <w:rPr>
          <w:rFonts w:eastAsia="Calibri"/>
          <w:b/>
          <w:szCs w:val="24"/>
          <w:vertAlign w:val="subscript"/>
        </w:rPr>
        <w:t>02:</w:t>
      </w:r>
      <w:r w:rsidR="003859C9" w:rsidRPr="00EB11D3">
        <w:rPr>
          <w:rFonts w:eastAsia="Calibri"/>
          <w:szCs w:val="24"/>
        </w:rPr>
        <w:t xml:space="preserve"> There is no significant </w:t>
      </w:r>
      <w:r w:rsidR="003859C9" w:rsidRPr="00EB11D3">
        <w:rPr>
          <w:rFonts w:eastAsia="Calibri"/>
          <w:szCs w:val="24"/>
          <w:lang w:val="en-GB"/>
        </w:rPr>
        <w:t>mediating</w:t>
      </w:r>
      <w:r w:rsidR="00E027E8">
        <w:rPr>
          <w:rFonts w:eastAsia="Calibri"/>
          <w:szCs w:val="24"/>
          <w:lang w:val="en-GB"/>
        </w:rPr>
        <w:t xml:space="preserve"> </w:t>
      </w:r>
      <w:r w:rsidR="003859C9" w:rsidRPr="00EB11D3">
        <w:rPr>
          <w:rFonts w:eastAsia="Calibri"/>
          <w:szCs w:val="24"/>
        </w:rPr>
        <w:t xml:space="preserve">effect of service innovation on the relationship between corporate governance and organizational </w:t>
      </w:r>
      <w:r w:rsidR="003859C9" w:rsidRPr="00EB11D3">
        <w:rPr>
          <w:rFonts w:eastAsia="Calibri"/>
          <w:szCs w:val="24"/>
          <w:lang w:val="en-GB"/>
        </w:rPr>
        <w:t xml:space="preserve">Performance </w:t>
      </w:r>
      <w:r w:rsidR="003859C9" w:rsidRPr="00EB11D3">
        <w:rPr>
          <w:rFonts w:eastAsia="Calibri"/>
          <w:bCs/>
          <w:szCs w:val="24"/>
          <w:lang w:val="en"/>
        </w:rPr>
        <w:t>of Faith-Based Hospitals</w:t>
      </w:r>
      <w:r w:rsidR="003859C9" w:rsidRPr="00EB11D3">
        <w:rPr>
          <w:rFonts w:eastAsia="Calibri"/>
          <w:szCs w:val="24"/>
        </w:rPr>
        <w:t xml:space="preserve"> in Kenya</w:t>
      </w:r>
      <w:r w:rsidR="003859C9" w:rsidRPr="00EB11D3">
        <w:rPr>
          <w:rFonts w:eastAsia="Calibri"/>
          <w:szCs w:val="24"/>
          <w:lang w:val="en-GB"/>
        </w:rPr>
        <w:t xml:space="preserve">. </w:t>
      </w:r>
      <w:bookmarkStart w:id="1074" w:name="_Hlk170919960"/>
      <w:r w:rsidR="003859C9" w:rsidRPr="00EB11D3">
        <w:rPr>
          <w:rFonts w:eastAsia="Calibri"/>
          <w:szCs w:val="24"/>
          <w:lang w:val="en-GB"/>
        </w:rPr>
        <w:t xml:space="preserve">The </w:t>
      </w:r>
      <w:r w:rsidR="003859C9" w:rsidRPr="00EB11D3">
        <w:rPr>
          <w:rFonts w:eastAsia="Calibri"/>
          <w:szCs w:val="24"/>
        </w:rPr>
        <w:t xml:space="preserve">mediating effect of service innovation on the relationship between corporate governance and organizational </w:t>
      </w:r>
      <w:r w:rsidR="003859C9" w:rsidRPr="00EB11D3">
        <w:rPr>
          <w:rFonts w:eastAsia="Calibri"/>
          <w:szCs w:val="24"/>
          <w:lang w:val="en-GB"/>
        </w:rPr>
        <w:t xml:space="preserve">Performance </w:t>
      </w:r>
      <w:r w:rsidR="003859C9" w:rsidRPr="00EB11D3">
        <w:rPr>
          <w:rFonts w:eastAsia="Calibri"/>
          <w:bCs/>
          <w:szCs w:val="24"/>
          <w:lang w:val="en"/>
        </w:rPr>
        <w:t>of Faith-Based Hospitals</w:t>
      </w:r>
      <w:r w:rsidR="003859C9" w:rsidRPr="00EB11D3">
        <w:rPr>
          <w:rFonts w:eastAsia="Calibri"/>
          <w:szCs w:val="24"/>
        </w:rPr>
        <w:t xml:space="preserve"> in Kenya </w:t>
      </w:r>
      <w:r w:rsidR="003859C9" w:rsidRPr="00EB11D3">
        <w:rPr>
          <w:rFonts w:eastAsia="Calibri"/>
          <w:szCs w:val="24"/>
          <w:lang w:val="en-GB"/>
        </w:rPr>
        <w:t xml:space="preserve">was analysed in 4 steps. </w:t>
      </w:r>
      <w:r w:rsidR="003859C9" w:rsidRPr="00EB11D3">
        <w:rPr>
          <w:rFonts w:eastAsia="Calibri"/>
          <w:szCs w:val="24"/>
        </w:rPr>
        <w:t xml:space="preserve">The results indicated that step 1, 2, 3 and 4 were met as the P-value were </w:t>
      </w:r>
      <w:r w:rsidR="00DE0765" w:rsidRPr="00EB11D3">
        <w:rPr>
          <w:rFonts w:eastAsia="Calibri"/>
          <w:szCs w:val="24"/>
        </w:rPr>
        <w:t>below</w:t>
      </w:r>
      <w:r w:rsidR="003859C9" w:rsidRPr="00EB11D3">
        <w:rPr>
          <w:rFonts w:eastAsia="Calibri"/>
          <w:szCs w:val="24"/>
        </w:rPr>
        <w:t xml:space="preserve"> 0.05. Therefore, this indicated that there exists a </w:t>
      </w:r>
      <w:r w:rsidR="005F6DA0" w:rsidRPr="00EB11D3">
        <w:rPr>
          <w:rFonts w:eastAsia="Calibri"/>
          <w:szCs w:val="24"/>
        </w:rPr>
        <w:t xml:space="preserve">partial </w:t>
      </w:r>
      <w:r w:rsidR="003859C9" w:rsidRPr="00EB11D3">
        <w:rPr>
          <w:rFonts w:eastAsia="Calibri"/>
          <w:szCs w:val="24"/>
        </w:rPr>
        <w:t xml:space="preserve">mediation effect of service innovation on the relationship between corporate governance and </w:t>
      </w:r>
      <w:bookmarkStart w:id="1075" w:name="_Hlk161913420"/>
      <w:r w:rsidR="006D5C62" w:rsidRPr="00EB11D3">
        <w:rPr>
          <w:rFonts w:eastAsia="Calibri"/>
          <w:szCs w:val="24"/>
        </w:rPr>
        <w:t>organisational performance of Faith-Based Hospitals</w:t>
      </w:r>
      <w:r w:rsidR="003859C9" w:rsidRPr="00EB11D3">
        <w:rPr>
          <w:rFonts w:eastAsia="Calibri"/>
          <w:szCs w:val="24"/>
        </w:rPr>
        <w:t xml:space="preserve"> in Kenya. </w:t>
      </w:r>
      <w:bookmarkEnd w:id="1075"/>
    </w:p>
    <w:bookmarkEnd w:id="1074"/>
    <w:p w14:paraId="464E9A5A"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Innovative services that better suit the requirements and preferences of customers can be developed through service innovation supported by sound corporate governance principles. Organizations can enhance customer satisfaction, loyalty, and retention by comprehending and catering to consumer wants, which can ultimately lead to improved organizational performance (Chesbrough &amp; Vanhaverbeke, 2019). For businesses, service innovation can be a source of competitive advantage that helps them stand out from rivals and gain market share. The creation and execution of innovative services can be facilitated by corporate governance procedures that support innovation, such as strategic leadership, risk management, and resource allocation, hence enhancing the competitive position of the firm (Baden-Fuller &amp; Haefliger, 2018). The potential for increased revenue and cost reductions via service innovation can have a favorable effect on financial performance. The successful implementation of innovative services can be facilitated by effective corporate governance procedures, such as financial supervision and innovation investment. These policies also guarantee the efficient allocation of financial resources, which can improve financial outcomes (Lee, Lee &amp; Rho, 2020).</w:t>
      </w:r>
    </w:p>
    <w:p w14:paraId="50843F51" w14:textId="77777777" w:rsidR="003859C9" w:rsidRPr="00EB11D3" w:rsidRDefault="003859C9" w:rsidP="003859C9">
      <w:pPr>
        <w:shd w:val="clear" w:color="auto" w:fill="FFFFFF"/>
        <w:spacing w:after="160" w:line="360" w:lineRule="auto"/>
        <w:rPr>
          <w:rFonts w:eastAsia="Calibri"/>
          <w:szCs w:val="24"/>
        </w:rPr>
      </w:pPr>
      <w:bookmarkStart w:id="1076" w:name="_Hlk170920022"/>
      <w:r w:rsidRPr="00EB11D3">
        <w:rPr>
          <w:rFonts w:eastAsia="Calibri"/>
          <w:szCs w:val="24"/>
        </w:rPr>
        <w:t xml:space="preserve"> A robust corporate governance framework can foster service innovation and support an organization's long-term viability. Organizations may withstand upheavals and pressure from the competition by consistently innovating and adapting to shifting client wants and market conditions. </w:t>
      </w:r>
      <w:bookmarkEnd w:id="1076"/>
      <w:r w:rsidRPr="00EB11D3">
        <w:rPr>
          <w:rFonts w:eastAsia="Calibri"/>
          <w:szCs w:val="24"/>
        </w:rPr>
        <w:t>Organizations can handle volatility and position themselves for long-term success by prioritizing innovation and strategic planning through corporate governance systems (Westermann-Behaylo &amp; Herbane, 2018).</w:t>
      </w:r>
    </w:p>
    <w:p w14:paraId="7C7DF158" w14:textId="77777777" w:rsidR="00695BD5" w:rsidRPr="00EB11D3" w:rsidRDefault="00695BD5" w:rsidP="003859C9">
      <w:pPr>
        <w:shd w:val="clear" w:color="auto" w:fill="FFFFFF"/>
        <w:spacing w:after="160" w:line="360" w:lineRule="auto"/>
        <w:rPr>
          <w:rFonts w:eastAsia="Calibri"/>
          <w:szCs w:val="24"/>
        </w:rPr>
      </w:pPr>
      <w:r w:rsidRPr="00EB11D3">
        <w:rPr>
          <w:rFonts w:eastAsia="Calibri"/>
          <w:szCs w:val="24"/>
        </w:rPr>
        <w:t>Sheikh</w:t>
      </w:r>
      <w:r w:rsidR="00B43DFD" w:rsidRPr="00EB11D3">
        <w:rPr>
          <w:rFonts w:eastAsia="Calibri"/>
          <w:szCs w:val="24"/>
        </w:rPr>
        <w:t xml:space="preserve"> et al.</w:t>
      </w:r>
      <w:r w:rsidRPr="00EB11D3">
        <w:rPr>
          <w:rFonts w:eastAsia="Calibri"/>
          <w:szCs w:val="24"/>
        </w:rPr>
        <w:t xml:space="preserve"> (2021) states that striking the best balance between top-down and bottom-up implementation, enhancing usability and interoperability, building capacity for handling, processing, and analysing data, addressing privacy and security concerns, and promoting digital inclusivity are the top priorities for strengthening health information technology in the UK. Opportunities for the future and present include creating real-world data, investing in health data science research, developing robots and artificial intelligence, fostering public-private collaborations, and integrating electronic health records among health and care providers. There are several moral dilemmas and unexpected repercussions from the use of health information technology. To solve these, public-private partnerships must be established, regulatory frameworks for the creation, administration, and acquisition of AI and health IT systems must be developed, and AI must be used in the </w:t>
      </w:r>
      <w:r w:rsidR="00FC2F57" w:rsidRPr="00EB11D3">
        <w:rPr>
          <w:rFonts w:eastAsia="Calibri"/>
          <w:szCs w:val="24"/>
        </w:rPr>
        <w:t>health sector</w:t>
      </w:r>
      <w:r w:rsidRPr="00EB11D3">
        <w:rPr>
          <w:rFonts w:eastAsia="Calibri"/>
          <w:szCs w:val="24"/>
        </w:rPr>
        <w:t xml:space="preserve"> in a way that is both morally and securely acceptable.</w:t>
      </w:r>
      <w:r w:rsidR="00DF5F05" w:rsidRPr="00EB11D3">
        <w:rPr>
          <w:rFonts w:eastAsia="Calibri"/>
          <w:szCs w:val="24"/>
        </w:rPr>
        <w:t xml:space="preserve"> </w:t>
      </w:r>
    </w:p>
    <w:p w14:paraId="06A0C4E4" w14:textId="77777777" w:rsidR="00E34182" w:rsidRPr="00EB11D3" w:rsidRDefault="00DF5F05" w:rsidP="00E34182">
      <w:pPr>
        <w:spacing w:after="0" w:line="360" w:lineRule="auto"/>
        <w:rPr>
          <w:rFonts w:eastAsia="Times New Roman"/>
          <w:szCs w:val="24"/>
        </w:rPr>
      </w:pPr>
      <w:r w:rsidRPr="00EB11D3">
        <w:rPr>
          <w:rFonts w:eastAsia="Times New Roman"/>
          <w:szCs w:val="24"/>
        </w:rPr>
        <w:t xml:space="preserve">Shaw (2018) postulates that although digital tools have demonstrated a great deal of promise to improve health care' ability to accomplish the triple aim - improving patient outcomes, controlling or reducing costs - their real impact is still unclear. Numerous advancements in digital health have the potential to lower costs for the healthcare system, enhance patient satisfaction, and improve health outcomes, but their effects are yet patchy and narrow in scope. Scholars have tackled an array of topics concerning more comprehensive approaches to producing practical health innovations, and the field of implementation science has elucidated some crucial factors to take into account when integrating technology into novel healthcare delivery contexts. The close relationship between new digital tools and the adjustments they require to the actual provision of health care services is a crucial element of successful digital health innovation, but it has not received enough attention in academic literature, despite recent advancements in implementation science. </w:t>
      </w:r>
      <w:r w:rsidR="00E34182" w:rsidRPr="00EB11D3">
        <w:rPr>
          <w:rFonts w:eastAsia="Times New Roman"/>
          <w:szCs w:val="24"/>
        </w:rPr>
        <w:t>Pacifico, Lehoux, Miller, and Denis (2018) emphasise the importance of responsible innovation, which improves the capacity to address health disparities while attending to collective needs, responds appropriately to current health system challenges, produces high-quality, reasonably priced products, is in line with business strategies that enable an organisation to yield greater value for consumers, buyers, and society, and minimises the adverse environmental effects of health innovations.</w:t>
      </w:r>
    </w:p>
    <w:p w14:paraId="60AE2555" w14:textId="77777777" w:rsidR="00070707" w:rsidRPr="00EB11D3" w:rsidRDefault="00070707" w:rsidP="00E34182">
      <w:pPr>
        <w:spacing w:after="0" w:line="360" w:lineRule="auto"/>
        <w:rPr>
          <w:rFonts w:eastAsia="Times New Roman"/>
          <w:szCs w:val="24"/>
        </w:rPr>
      </w:pPr>
    </w:p>
    <w:p w14:paraId="13DB2B29" w14:textId="77777777" w:rsidR="00070707" w:rsidRPr="00EB11D3" w:rsidRDefault="001364C1" w:rsidP="00070707">
      <w:pPr>
        <w:spacing w:after="0" w:line="360" w:lineRule="auto"/>
        <w:rPr>
          <w:rFonts w:eastAsia="Times New Roman"/>
          <w:szCs w:val="24"/>
        </w:rPr>
      </w:pPr>
      <w:r w:rsidRPr="00EB11D3">
        <w:rPr>
          <w:rFonts w:eastAsia="Times New Roman"/>
          <w:szCs w:val="24"/>
        </w:rPr>
        <w:t>Caregivers</w:t>
      </w:r>
      <w:r w:rsidR="00070707" w:rsidRPr="00EB11D3">
        <w:rPr>
          <w:rFonts w:eastAsia="Times New Roman"/>
          <w:szCs w:val="24"/>
        </w:rPr>
        <w:t xml:space="preserve"> have less and less time for direct patient care chores since administrative constraints in the healthcare industry have increased over the past several years (Seto, Inoue &amp; Tsumura, 2014; Vollmer, Prokosch, &amp; Bürkle, 2014). Using smart devices at the point of care (POC) to offer carers access to information is therefore a potential way to enhance patient outcomes and lessen administrative workloads (van Rooij &amp; Marsh 2016). Health care service providers may access and evaluate aggregated field data using smart devices, and they can dynamically modify their service systems to meet the requirements of their patients.  Many service improvements are based on the rapid development and broad deployment of smart devices (</w:t>
      </w:r>
      <w:r w:rsidR="00164CE6" w:rsidRPr="00EB11D3">
        <w:rPr>
          <w:rFonts w:eastAsia="Times New Roman"/>
          <w:szCs w:val="24"/>
        </w:rPr>
        <w:t xml:space="preserve">Barrett, Davidson, Prabhu &amp; Vargo, </w:t>
      </w:r>
      <w:r w:rsidR="00070707" w:rsidRPr="00EB11D3">
        <w:rPr>
          <w:rFonts w:eastAsia="Times New Roman"/>
          <w:szCs w:val="24"/>
        </w:rPr>
        <w:t>2015). However, the health care industry has not yet widely adopted well-known smart gadgets like smartphones and tablets. Health care professionals frequently use both hands to perform their tasks, which makes it challenging to engage with the device while at work (</w:t>
      </w:r>
      <w:r w:rsidR="00164CE6" w:rsidRPr="00EB11D3">
        <w:rPr>
          <w:rFonts w:eastAsia="Times New Roman"/>
          <w:szCs w:val="24"/>
        </w:rPr>
        <w:t xml:space="preserve">Czuszynski, Ruminski, Kocejko &amp; Wtorek, </w:t>
      </w:r>
      <w:r w:rsidR="00070707" w:rsidRPr="00EB11D3">
        <w:rPr>
          <w:rFonts w:eastAsia="Times New Roman"/>
          <w:szCs w:val="24"/>
        </w:rPr>
        <w:t>2015; Mitrasinovic et al. 2015). This is one of the primary causes of this. The challenge for health care providers worldwide is to reduce costs while maintaining patient outcomes. It is acknowledged that addressing this dilemma requires a digital transition (</w:t>
      </w:r>
      <w:r w:rsidRPr="00EB11D3">
        <w:rPr>
          <w:rFonts w:eastAsia="Times New Roman"/>
          <w:szCs w:val="24"/>
        </w:rPr>
        <w:t xml:space="preserve">Gopal, Suter-Crazzolara, Toldo &amp; Eberhardt, </w:t>
      </w:r>
      <w:r w:rsidR="00070707" w:rsidRPr="00EB11D3">
        <w:rPr>
          <w:rFonts w:eastAsia="Times New Roman"/>
          <w:szCs w:val="24"/>
        </w:rPr>
        <w:t>2019). In the healthcare industry, hands-free technology engagement is frequently necessary due to hygiene regulations (Hatscher et al. 2017).</w:t>
      </w:r>
    </w:p>
    <w:p w14:paraId="5A139258" w14:textId="77777777" w:rsidR="00070707" w:rsidRPr="00EB11D3" w:rsidRDefault="00070707" w:rsidP="00070707">
      <w:pPr>
        <w:spacing w:after="0" w:line="360" w:lineRule="auto"/>
        <w:rPr>
          <w:rFonts w:eastAsia="Times New Roman"/>
          <w:szCs w:val="24"/>
        </w:rPr>
      </w:pPr>
    </w:p>
    <w:p w14:paraId="3BE21AA0" w14:textId="77777777" w:rsidR="003859C9" w:rsidRPr="00EB11D3" w:rsidRDefault="00551F03" w:rsidP="003859C9">
      <w:pPr>
        <w:keepNext/>
        <w:keepLines/>
        <w:shd w:val="clear" w:color="auto" w:fill="FFFFFF"/>
        <w:spacing w:before="40" w:after="0" w:line="360" w:lineRule="auto"/>
        <w:outlineLvl w:val="2"/>
        <w:rPr>
          <w:rFonts w:eastAsia="Times New Roman"/>
          <w:b/>
          <w:bCs/>
          <w:szCs w:val="24"/>
          <w:lang w:val="en-GB" w:eastAsia="en-GB"/>
        </w:rPr>
      </w:pPr>
      <w:bookmarkStart w:id="1077" w:name="_Toc164151289"/>
      <w:bookmarkStart w:id="1078" w:name="_Toc168673481"/>
      <w:bookmarkStart w:id="1079" w:name="_Toc168737922"/>
      <w:bookmarkStart w:id="1080" w:name="_Toc171602672"/>
      <w:bookmarkStart w:id="1081" w:name="_Toc171603499"/>
      <w:bookmarkStart w:id="1082" w:name="_Toc177387904"/>
      <w:bookmarkStart w:id="1083" w:name="_Toc117772966"/>
      <w:bookmarkStart w:id="1084" w:name="_Toc117773096"/>
      <w:bookmarkStart w:id="1085" w:name="_Toc124240275"/>
      <w:bookmarkStart w:id="1086" w:name="_Toc126071167"/>
      <w:r>
        <w:rPr>
          <w:rFonts w:eastAsia="Times New Roman"/>
          <w:b/>
          <w:bCs/>
          <w:szCs w:val="24"/>
          <w:lang w:val="en-GB" w:eastAsia="en-GB"/>
        </w:rPr>
        <w:t>5</w:t>
      </w:r>
      <w:r w:rsidR="003859C9" w:rsidRPr="00EB11D3">
        <w:rPr>
          <w:rFonts w:eastAsia="Times New Roman"/>
          <w:b/>
          <w:bCs/>
          <w:szCs w:val="24"/>
          <w:lang w:val="en-GB" w:eastAsia="en-GB"/>
        </w:rPr>
        <w:t xml:space="preserve">.2.3 Moderating Effect of </w:t>
      </w:r>
      <w:r w:rsidR="0066377C" w:rsidRPr="00EB11D3">
        <w:rPr>
          <w:rFonts w:eastAsia="Times New Roman"/>
          <w:b/>
          <w:bCs/>
          <w:szCs w:val="24"/>
          <w:lang w:val="en-GB" w:eastAsia="en-GB"/>
        </w:rPr>
        <w:t>G</w:t>
      </w:r>
      <w:r w:rsidR="003859C9" w:rsidRPr="00EB11D3">
        <w:rPr>
          <w:rFonts w:eastAsia="Times New Roman"/>
          <w:b/>
          <w:bCs/>
          <w:szCs w:val="24"/>
          <w:lang w:val="en-GB" w:eastAsia="en-GB"/>
        </w:rPr>
        <w:t xml:space="preserve">overnment </w:t>
      </w:r>
      <w:r w:rsidR="0066377C" w:rsidRPr="00EB11D3">
        <w:rPr>
          <w:rFonts w:eastAsia="Times New Roman"/>
          <w:b/>
          <w:bCs/>
          <w:szCs w:val="24"/>
          <w:lang w:val="en-GB" w:eastAsia="en-GB"/>
        </w:rPr>
        <w:t>R</w:t>
      </w:r>
      <w:r w:rsidR="003859C9" w:rsidRPr="00EB11D3">
        <w:rPr>
          <w:rFonts w:eastAsia="Times New Roman"/>
          <w:b/>
          <w:bCs/>
          <w:szCs w:val="24"/>
          <w:lang w:val="en-GB" w:eastAsia="en-GB"/>
        </w:rPr>
        <w:t xml:space="preserve">egulations on the Relationship Between </w:t>
      </w:r>
      <w:r w:rsidR="0066377C" w:rsidRPr="00EB11D3">
        <w:rPr>
          <w:rFonts w:eastAsia="Times New Roman"/>
          <w:b/>
          <w:bCs/>
          <w:szCs w:val="24"/>
          <w:lang w:val="en-GB" w:eastAsia="en-GB"/>
        </w:rPr>
        <w:t>C</w:t>
      </w:r>
      <w:r w:rsidR="003859C9" w:rsidRPr="00EB11D3">
        <w:rPr>
          <w:rFonts w:eastAsia="Times New Roman"/>
          <w:b/>
          <w:bCs/>
          <w:szCs w:val="24"/>
          <w:lang w:val="en-GB" w:eastAsia="en-GB"/>
        </w:rPr>
        <w:t xml:space="preserve">orporate </w:t>
      </w:r>
      <w:r w:rsidR="0066377C" w:rsidRPr="00EB11D3">
        <w:rPr>
          <w:rFonts w:eastAsia="Times New Roman"/>
          <w:b/>
          <w:bCs/>
          <w:szCs w:val="24"/>
          <w:lang w:val="en-GB" w:eastAsia="en-GB"/>
        </w:rPr>
        <w:t>G</w:t>
      </w:r>
      <w:r w:rsidR="003859C9" w:rsidRPr="00EB11D3">
        <w:rPr>
          <w:rFonts w:eastAsia="Times New Roman"/>
          <w:b/>
          <w:bCs/>
          <w:szCs w:val="24"/>
          <w:lang w:val="en-GB" w:eastAsia="en-GB"/>
        </w:rPr>
        <w:t>overnance and Organisational Performance</w:t>
      </w:r>
      <w:bookmarkEnd w:id="1077"/>
      <w:bookmarkEnd w:id="1078"/>
      <w:bookmarkEnd w:id="1079"/>
      <w:bookmarkEnd w:id="1080"/>
      <w:bookmarkEnd w:id="1081"/>
      <w:bookmarkEnd w:id="1082"/>
      <w:r w:rsidR="003859C9" w:rsidRPr="00EB11D3">
        <w:rPr>
          <w:rFonts w:eastAsia="Times New Roman"/>
          <w:b/>
          <w:bCs/>
          <w:szCs w:val="24"/>
          <w:lang w:val="en-GB" w:eastAsia="en-GB"/>
        </w:rPr>
        <w:t xml:space="preserve">  </w:t>
      </w:r>
      <w:bookmarkEnd w:id="1083"/>
      <w:bookmarkEnd w:id="1084"/>
      <w:bookmarkEnd w:id="1085"/>
      <w:bookmarkEnd w:id="1086"/>
    </w:p>
    <w:p w14:paraId="6C24521A" w14:textId="77777777" w:rsidR="003859C9" w:rsidRPr="00EB11D3" w:rsidRDefault="005B7962" w:rsidP="003859C9">
      <w:pPr>
        <w:shd w:val="clear" w:color="auto" w:fill="FFFFFF"/>
        <w:spacing w:after="160" w:line="360" w:lineRule="auto"/>
        <w:rPr>
          <w:rFonts w:eastAsia="Calibri"/>
          <w:szCs w:val="24"/>
          <w:lang w:val="en-GB"/>
        </w:rPr>
      </w:pPr>
      <w:r w:rsidRPr="005B7962">
        <w:rPr>
          <w:rFonts w:eastAsia="Calibri"/>
          <w:szCs w:val="24"/>
          <w:lang w:val="en-GB"/>
        </w:rPr>
        <w:t>The third objective was to determine the moderating effect of government regulations on the relationship between corporate governance and organisational performance of Faith-Based Hospitals in Kenya. The study thus rejected the null hypothesis and adopted the alternative hypothesis that there is an enhancing moderating effect on the relationship between corporate governance and organisational performance of Faith-Based Hospitals in Kenya. The objective was achieved.</w:t>
      </w:r>
      <w:r w:rsidR="003859C9" w:rsidRPr="00EB11D3">
        <w:rPr>
          <w:rFonts w:eastAsia="Calibri"/>
          <w:szCs w:val="24"/>
        </w:rPr>
        <w:t xml:space="preserve"> </w:t>
      </w:r>
      <w:r w:rsidR="003859C9" w:rsidRPr="00EB11D3">
        <w:rPr>
          <w:rFonts w:eastAsia="Calibri"/>
          <w:szCs w:val="24"/>
          <w:lang w:val="en-GB"/>
        </w:rPr>
        <w:t xml:space="preserve">Baron and Kenny (1986) moderation was used. The third hypothesis stated in the null form that: </w:t>
      </w:r>
      <w:r w:rsidR="003859C9" w:rsidRPr="00EB11D3">
        <w:rPr>
          <w:rFonts w:eastAsia="Calibri"/>
          <w:bCs/>
          <w:szCs w:val="24"/>
        </w:rPr>
        <w:t>H</w:t>
      </w:r>
      <w:r w:rsidR="003859C9" w:rsidRPr="00EB11D3">
        <w:rPr>
          <w:rFonts w:eastAsia="Calibri"/>
          <w:bCs/>
          <w:szCs w:val="24"/>
          <w:vertAlign w:val="subscript"/>
        </w:rPr>
        <w:t>03:</w:t>
      </w:r>
      <w:r w:rsidR="003859C9" w:rsidRPr="00EB11D3">
        <w:rPr>
          <w:rFonts w:eastAsia="Calibri"/>
          <w:szCs w:val="24"/>
        </w:rPr>
        <w:t xml:space="preserve"> There is no </w:t>
      </w:r>
      <w:r w:rsidR="005F6DA0" w:rsidRPr="00EB11D3">
        <w:rPr>
          <w:rFonts w:eastAsia="Calibri"/>
          <w:szCs w:val="24"/>
        </w:rPr>
        <w:t>significant</w:t>
      </w:r>
      <w:r w:rsidR="003859C9" w:rsidRPr="00EB11D3">
        <w:rPr>
          <w:rFonts w:eastAsia="Calibri"/>
          <w:szCs w:val="24"/>
        </w:rPr>
        <w:t xml:space="preserve"> moderating effect of government regulations on the relationship between corporate governance and </w:t>
      </w:r>
      <w:r w:rsidR="006D5C62" w:rsidRPr="00EB11D3">
        <w:rPr>
          <w:rFonts w:eastAsia="Calibri"/>
          <w:szCs w:val="24"/>
        </w:rPr>
        <w:t>organisational performance of Faith-Based Hospitals</w:t>
      </w:r>
      <w:r w:rsidR="003859C9" w:rsidRPr="00EB11D3">
        <w:rPr>
          <w:rFonts w:eastAsia="Calibri"/>
          <w:szCs w:val="24"/>
        </w:rPr>
        <w:t xml:space="preserve"> in Kenya. </w:t>
      </w:r>
      <w:r w:rsidR="003859C9" w:rsidRPr="00EB11D3">
        <w:rPr>
          <w:rFonts w:eastAsia="Calibri"/>
          <w:szCs w:val="24"/>
          <w:lang w:val="en-GB"/>
        </w:rPr>
        <w:t xml:space="preserve">This was done in 3 steps according to </w:t>
      </w:r>
      <w:r w:rsidR="003859C9" w:rsidRPr="00EB11D3">
        <w:rPr>
          <w:rFonts w:eastAsia="Calibri"/>
          <w:szCs w:val="24"/>
        </w:rPr>
        <w:t xml:space="preserve">Baron and Kenny (1986) method. Results indicate that the P value of the interaction term (CG*GR) is 0.000&lt; 0.05 and the R square increased from 61.3%, to 67.9% and 80.4% after the interaction term and thus, government regulations moderate the relationship between corporate governance and </w:t>
      </w:r>
      <w:r w:rsidR="006D5C62" w:rsidRPr="00EB11D3">
        <w:rPr>
          <w:rFonts w:eastAsia="Calibri"/>
          <w:szCs w:val="24"/>
        </w:rPr>
        <w:t>organisational performance of Faith-Based Hospitals</w:t>
      </w:r>
      <w:r w:rsidR="003859C9" w:rsidRPr="00EB11D3">
        <w:rPr>
          <w:rFonts w:eastAsia="Calibri"/>
          <w:szCs w:val="24"/>
        </w:rPr>
        <w:t xml:space="preserve"> in Kenya. Therefore, the findings revealed that, the introduction of government regulations had an enhancing moderating effect on the relationship between corporate governance and </w:t>
      </w:r>
      <w:r w:rsidR="006D5C62" w:rsidRPr="00EB11D3">
        <w:rPr>
          <w:rFonts w:eastAsia="Calibri"/>
          <w:szCs w:val="24"/>
        </w:rPr>
        <w:t>organisational performance of Faith-Based Hospitals</w:t>
      </w:r>
      <w:r w:rsidR="003859C9" w:rsidRPr="00EB11D3">
        <w:rPr>
          <w:rFonts w:eastAsia="Calibri"/>
          <w:szCs w:val="24"/>
        </w:rPr>
        <w:t xml:space="preserve"> in Kenya. The study thus rejected the null hypothesis and adopted the alternative hypothesis that there is a significant moderating effect of government regulations in the relationship between corporate governance and </w:t>
      </w:r>
      <w:r w:rsidR="006D5C62" w:rsidRPr="00EB11D3">
        <w:rPr>
          <w:rFonts w:eastAsia="Calibri"/>
          <w:szCs w:val="24"/>
        </w:rPr>
        <w:t>organisational performance of Faith-Based Hospitals</w:t>
      </w:r>
      <w:r w:rsidR="003859C9" w:rsidRPr="00EB11D3">
        <w:rPr>
          <w:rFonts w:eastAsia="Calibri"/>
          <w:szCs w:val="24"/>
        </w:rPr>
        <w:t xml:space="preserve"> in Kenya</w:t>
      </w:r>
      <w:r w:rsidR="003859C9" w:rsidRPr="00EB11D3">
        <w:rPr>
          <w:rFonts w:eastAsia="Calibri"/>
          <w:szCs w:val="24"/>
          <w:lang w:val="en-GB"/>
        </w:rPr>
        <w:t xml:space="preserve">. </w:t>
      </w:r>
    </w:p>
    <w:p w14:paraId="486E9174"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 xml:space="preserve">To guarantee patient safety and top-notch care, hospitals, whether faith-based or </w:t>
      </w:r>
      <w:r w:rsidR="00DE0765" w:rsidRPr="00EB11D3">
        <w:rPr>
          <w:rFonts w:eastAsia="Calibri"/>
          <w:szCs w:val="24"/>
        </w:rPr>
        <w:t>private</w:t>
      </w:r>
      <w:r w:rsidRPr="00EB11D3">
        <w:rPr>
          <w:rFonts w:eastAsia="Calibri"/>
          <w:szCs w:val="24"/>
        </w:rPr>
        <w:t>, are required to abide by strict government standards. The procedure entails abiding by set guidelines covering a broad spectrum of operational factors, such as staff credentials, patient care protocols, and facility infrastructure. According to a study by Jovic, Wallace, and Lazzara</w:t>
      </w:r>
      <w:r w:rsidR="00B47CF0" w:rsidRPr="00EB11D3">
        <w:rPr>
          <w:rFonts w:eastAsia="Calibri"/>
          <w:szCs w:val="24"/>
        </w:rPr>
        <w:t xml:space="preserve"> (2019)</w:t>
      </w:r>
      <w:r w:rsidRPr="00EB11D3">
        <w:rPr>
          <w:rFonts w:eastAsia="Calibri"/>
          <w:szCs w:val="24"/>
        </w:rPr>
        <w:t xml:space="preserve"> faith-based hospitals create a special setting for the provision of healthcare by attempting to balance these regulations with their religious beliefs while simultaneously navigating these requirements.</w:t>
      </w:r>
      <w:r w:rsidRPr="00EB11D3">
        <w:rPr>
          <w:rFonts w:eastAsia="Calibri"/>
          <w:szCs w:val="24"/>
        </w:rPr>
        <w:br/>
        <w:t xml:space="preserve">In order to receive government money, hospitals must adhere to strict service delivery requirements. In the US, these programs are Medicare and Medicaid. </w:t>
      </w:r>
    </w:p>
    <w:p w14:paraId="54CED918"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 xml:space="preserve">Even if they are qualified for this kind of funding, faith-based hospitals encounter difficulties when government regulations dictating how they must provide services clash with their beliefs, especially when it comes to </w:t>
      </w:r>
      <w:r w:rsidR="00DE0765" w:rsidRPr="00EB11D3">
        <w:rPr>
          <w:rFonts w:eastAsia="Calibri"/>
          <w:szCs w:val="24"/>
        </w:rPr>
        <w:t xml:space="preserve">start / </w:t>
      </w:r>
      <w:r w:rsidRPr="00EB11D3">
        <w:rPr>
          <w:rFonts w:eastAsia="Calibri"/>
          <w:szCs w:val="24"/>
        </w:rPr>
        <w:t>end-of-life and reproductive health care. De Vita and Twombly's (2018) paper states that faith-based hospitals frequently negotiate or request exclusions in order to reconcile their religious beliefs with financing eligibility and regulatory compliance.</w:t>
      </w:r>
    </w:p>
    <w:p w14:paraId="1E6B5246"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Conscience clauses give faith-based hospitals the legal authority to reject medical treatments that go against their moral or religious principles. Sheen (2021) examines how these provisions uphold religious liberty while also posing moral and legal questions, particularly in relation to healthcare access. Finding a middle ground between patient rights and religious freedom is a common strategy used by politicians and healthcare professionals to resolve conflicts. Government regulations and religious precepts provide two distinct sets of ethical norms that apply to faith-based hospitals. According to Reiser (2019), there may be tensions resulting from this dual framework, especially when it comes to issues like informed consent and patient autonomy. Providing care that is in line with religious beliefs and morally upright from a secular standpoint is a difficulty for faith-based institutions.</w:t>
      </w:r>
    </w:p>
    <w:p w14:paraId="16401821"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Faith-based hospitals frequently offer extensive community benefit initiatives and charitable treatment as part of their purpose. These actions are occasionally required by government restrictions, particularly in order to preserve tax-exempt status. According to Longest (2020), faith-based hospitals usually go above and above these standards because it is their religious duty to provide care for the underprivileged and disenfranchised. This feature enhances the hospitals' religious mission and community links while also meeting regulatory requirements.</w:t>
      </w:r>
    </w:p>
    <w:p w14:paraId="33EA7584" w14:textId="77777777" w:rsidR="003859C9" w:rsidRPr="00EB11D3" w:rsidRDefault="00551F03" w:rsidP="003859C9">
      <w:pPr>
        <w:keepNext/>
        <w:keepLines/>
        <w:shd w:val="clear" w:color="auto" w:fill="FFFFFF"/>
        <w:spacing w:before="40" w:after="0" w:line="360" w:lineRule="auto"/>
        <w:outlineLvl w:val="2"/>
        <w:rPr>
          <w:rFonts w:eastAsia="Times New Roman"/>
          <w:b/>
          <w:bCs/>
          <w:szCs w:val="24"/>
          <w:lang w:val="en-GB"/>
        </w:rPr>
      </w:pPr>
      <w:bookmarkStart w:id="1087" w:name="_Toc164151290"/>
      <w:bookmarkStart w:id="1088" w:name="_Toc168673482"/>
      <w:bookmarkStart w:id="1089" w:name="_Toc168737923"/>
      <w:bookmarkStart w:id="1090" w:name="_Toc171602673"/>
      <w:bookmarkStart w:id="1091" w:name="_Toc171603500"/>
      <w:bookmarkStart w:id="1092" w:name="_Toc177387905"/>
      <w:bookmarkStart w:id="1093" w:name="_Toc117773097"/>
      <w:bookmarkStart w:id="1094" w:name="_Toc117772967"/>
      <w:bookmarkStart w:id="1095" w:name="_Toc124240276"/>
      <w:bookmarkStart w:id="1096" w:name="_Toc126071168"/>
      <w:r>
        <w:rPr>
          <w:rFonts w:eastAsia="Times New Roman"/>
          <w:b/>
          <w:bCs/>
          <w:szCs w:val="24"/>
          <w:lang w:val="en-GB"/>
        </w:rPr>
        <w:t>5</w:t>
      </w:r>
      <w:r w:rsidR="003859C9" w:rsidRPr="00EB11D3">
        <w:rPr>
          <w:rFonts w:eastAsia="Times New Roman"/>
          <w:b/>
          <w:bCs/>
          <w:szCs w:val="24"/>
          <w:lang w:val="en-GB"/>
        </w:rPr>
        <w:t>.2.4 Mediated</w:t>
      </w:r>
      <w:r>
        <w:rPr>
          <w:rFonts w:eastAsia="Times New Roman"/>
          <w:b/>
          <w:bCs/>
          <w:szCs w:val="24"/>
          <w:lang w:val="en-GB"/>
        </w:rPr>
        <w:t xml:space="preserve"> </w:t>
      </w:r>
      <w:r w:rsidR="003859C9" w:rsidRPr="00EB11D3">
        <w:rPr>
          <w:rFonts w:eastAsia="Times New Roman"/>
          <w:b/>
          <w:bCs/>
          <w:szCs w:val="24"/>
          <w:lang w:val="en-GB"/>
        </w:rPr>
        <w:t xml:space="preserve">Moderation Effect </w:t>
      </w:r>
      <w:r w:rsidR="003859C9" w:rsidRPr="00EB11D3">
        <w:rPr>
          <w:rFonts w:eastAsia="Times New Roman"/>
          <w:b/>
          <w:bCs/>
          <w:szCs w:val="24"/>
          <w:lang w:val="en-GB" w:eastAsia="en-GB"/>
        </w:rPr>
        <w:t xml:space="preserve">on the Relationship Between </w:t>
      </w:r>
      <w:r w:rsidR="00D579F5" w:rsidRPr="00EB11D3">
        <w:rPr>
          <w:rFonts w:eastAsia="Times New Roman"/>
          <w:b/>
          <w:bCs/>
          <w:szCs w:val="24"/>
          <w:lang w:val="en-GB" w:eastAsia="en-GB"/>
        </w:rPr>
        <w:t>C</w:t>
      </w:r>
      <w:r w:rsidR="003859C9" w:rsidRPr="00EB11D3">
        <w:rPr>
          <w:rFonts w:eastAsia="Times New Roman"/>
          <w:b/>
          <w:bCs/>
          <w:szCs w:val="24"/>
          <w:lang w:val="en-GB" w:eastAsia="en-GB"/>
        </w:rPr>
        <w:t xml:space="preserve">orporate </w:t>
      </w:r>
      <w:r w:rsidR="00D579F5" w:rsidRPr="00EB11D3">
        <w:rPr>
          <w:rFonts w:eastAsia="Times New Roman"/>
          <w:b/>
          <w:bCs/>
          <w:szCs w:val="24"/>
          <w:lang w:val="en-GB" w:eastAsia="en-GB"/>
        </w:rPr>
        <w:t>G</w:t>
      </w:r>
      <w:r w:rsidR="003859C9" w:rsidRPr="00EB11D3">
        <w:rPr>
          <w:rFonts w:eastAsia="Times New Roman"/>
          <w:b/>
          <w:bCs/>
          <w:szCs w:val="24"/>
          <w:lang w:val="en-GB" w:eastAsia="en-GB"/>
        </w:rPr>
        <w:t>overnance and Organisational Performance</w:t>
      </w:r>
      <w:bookmarkEnd w:id="1087"/>
      <w:bookmarkEnd w:id="1088"/>
      <w:bookmarkEnd w:id="1089"/>
      <w:bookmarkEnd w:id="1090"/>
      <w:bookmarkEnd w:id="1091"/>
      <w:bookmarkEnd w:id="1092"/>
      <w:r w:rsidR="003859C9" w:rsidRPr="00EB11D3">
        <w:rPr>
          <w:rFonts w:eastAsia="Times New Roman"/>
          <w:b/>
          <w:bCs/>
          <w:szCs w:val="24"/>
          <w:lang w:val="en-GB" w:eastAsia="en-GB"/>
        </w:rPr>
        <w:t xml:space="preserve">  </w:t>
      </w:r>
      <w:bookmarkEnd w:id="1093"/>
      <w:bookmarkEnd w:id="1094"/>
      <w:bookmarkEnd w:id="1095"/>
      <w:bookmarkEnd w:id="1096"/>
    </w:p>
    <w:p w14:paraId="44AB2664" w14:textId="77777777" w:rsidR="003859C9" w:rsidRPr="00EB11D3" w:rsidRDefault="005B7962" w:rsidP="003859C9">
      <w:pPr>
        <w:shd w:val="clear" w:color="auto" w:fill="FFFFFF"/>
        <w:spacing w:after="160" w:line="360" w:lineRule="auto"/>
        <w:rPr>
          <w:rFonts w:eastAsia="Calibri"/>
          <w:szCs w:val="24"/>
          <w:lang w:val="en-GB"/>
        </w:rPr>
      </w:pPr>
      <w:r w:rsidRPr="005B7962">
        <w:rPr>
          <w:rFonts w:eastAsia="Calibri"/>
          <w:szCs w:val="24"/>
          <w:lang w:val="en-GB" w:eastAsia="en-GB"/>
        </w:rPr>
        <w:t>The fourth objective was to determine the mediated</w:t>
      </w:r>
      <w:r w:rsidR="00551F03">
        <w:rPr>
          <w:rFonts w:eastAsia="Calibri"/>
          <w:szCs w:val="24"/>
          <w:lang w:val="en-GB" w:eastAsia="en-GB"/>
        </w:rPr>
        <w:t xml:space="preserve"> </w:t>
      </w:r>
      <w:r w:rsidRPr="005B7962">
        <w:rPr>
          <w:rFonts w:eastAsia="Calibri"/>
          <w:szCs w:val="24"/>
          <w:lang w:val="en-GB" w:eastAsia="en-GB"/>
        </w:rPr>
        <w:t xml:space="preserve">moderation effect on the relationship between corporate governance and organisational performance of Faith-Based Hospitals in Kenya. </w:t>
      </w:r>
      <w:r w:rsidRPr="00EB11D3">
        <w:rPr>
          <w:rFonts w:eastAsia="Calibri"/>
          <w:szCs w:val="24"/>
          <w:lang w:val="en-GB" w:eastAsia="en-GB"/>
        </w:rPr>
        <w:t xml:space="preserve">The fourth hypothesis was stated in the null form that: </w:t>
      </w:r>
      <w:r w:rsidRPr="00EB11D3">
        <w:rPr>
          <w:rFonts w:eastAsia="Calibri"/>
          <w:szCs w:val="24"/>
        </w:rPr>
        <w:t>H</w:t>
      </w:r>
      <w:r w:rsidRPr="00EB11D3">
        <w:rPr>
          <w:rFonts w:eastAsia="Calibri"/>
          <w:szCs w:val="24"/>
          <w:vertAlign w:val="subscript"/>
        </w:rPr>
        <w:t>04</w:t>
      </w:r>
      <w:r w:rsidRPr="00EB11D3">
        <w:rPr>
          <w:rFonts w:eastAsia="Calibri"/>
          <w:bCs/>
          <w:szCs w:val="24"/>
        </w:rPr>
        <w:t>:</w:t>
      </w:r>
      <w:r w:rsidRPr="00EB11D3">
        <w:rPr>
          <w:rFonts w:eastAsia="Calibri"/>
          <w:szCs w:val="24"/>
        </w:rPr>
        <w:t xml:space="preserve"> There is no significant mediated moderation effect on the relationship between corporate governance and organisational performance of Faith-Based Hospitals in Kenya</w:t>
      </w:r>
      <w:r w:rsidRPr="00EB11D3">
        <w:rPr>
          <w:rFonts w:eastAsia="Calibri"/>
          <w:szCs w:val="24"/>
          <w:lang w:val="en-GB"/>
        </w:rPr>
        <w:t xml:space="preserve">. </w:t>
      </w:r>
      <w:r w:rsidRPr="005B7962">
        <w:rPr>
          <w:rFonts w:eastAsia="Calibri"/>
          <w:szCs w:val="24"/>
          <w:lang w:val="en-GB" w:eastAsia="en-GB"/>
        </w:rPr>
        <w:t>The study rejected the null hypotheses that there is no significant mediated</w:t>
      </w:r>
      <w:r w:rsidR="00551F03">
        <w:rPr>
          <w:rFonts w:eastAsia="Calibri"/>
          <w:szCs w:val="24"/>
          <w:lang w:val="en-GB" w:eastAsia="en-GB"/>
        </w:rPr>
        <w:t xml:space="preserve"> </w:t>
      </w:r>
      <w:r w:rsidRPr="005B7962">
        <w:rPr>
          <w:rFonts w:eastAsia="Calibri"/>
          <w:szCs w:val="24"/>
          <w:lang w:val="en-GB" w:eastAsia="en-GB"/>
        </w:rPr>
        <w:t>moderation effect on the relationship between corporate governance and organisational performance of Faith-Based Hospitals in Kenya. The objective was achieved.</w:t>
      </w:r>
      <w:r w:rsidR="003859C9" w:rsidRPr="00EB11D3">
        <w:rPr>
          <w:rFonts w:eastAsia="Calibri"/>
          <w:szCs w:val="24"/>
          <w:lang w:val="en-GB"/>
        </w:rPr>
        <w:t xml:space="preserve"> </w:t>
      </w:r>
    </w:p>
    <w:p w14:paraId="74EC9135" w14:textId="77777777" w:rsidR="003859C9" w:rsidRPr="00EB11D3" w:rsidRDefault="003859C9" w:rsidP="003859C9">
      <w:pPr>
        <w:shd w:val="clear" w:color="auto" w:fill="FFFFFF"/>
        <w:spacing w:after="160" w:line="360" w:lineRule="auto"/>
        <w:rPr>
          <w:rFonts w:eastAsia="Calibri"/>
          <w:szCs w:val="24"/>
          <w:lang w:val="en-GB"/>
        </w:rPr>
      </w:pPr>
      <w:r w:rsidRPr="00EB11D3">
        <w:rPr>
          <w:rFonts w:eastAsia="Calibri"/>
          <w:szCs w:val="24"/>
          <w:lang w:val="en-GB" w:eastAsia="en-GB"/>
        </w:rPr>
        <w:t xml:space="preserve">Hayes and Rockwood (2020) model for </w:t>
      </w:r>
      <w:r w:rsidRPr="00EB11D3">
        <w:rPr>
          <w:rFonts w:eastAsia="Calibri"/>
          <w:szCs w:val="24"/>
        </w:rPr>
        <w:t>mediat</w:t>
      </w:r>
      <w:r w:rsidR="00551F03">
        <w:rPr>
          <w:rFonts w:eastAsia="Calibri"/>
          <w:szCs w:val="24"/>
        </w:rPr>
        <w:t>ed</w:t>
      </w:r>
      <w:r w:rsidRPr="00EB11D3">
        <w:rPr>
          <w:rFonts w:eastAsia="Calibri"/>
          <w:szCs w:val="24"/>
        </w:rPr>
        <w:t xml:space="preserve"> moderat</w:t>
      </w:r>
      <w:r w:rsidR="00551F03">
        <w:rPr>
          <w:rFonts w:eastAsia="Calibri"/>
          <w:szCs w:val="24"/>
        </w:rPr>
        <w:t>ion</w:t>
      </w:r>
      <w:r w:rsidRPr="00EB11D3">
        <w:rPr>
          <w:rFonts w:eastAsia="Calibri"/>
          <w:szCs w:val="24"/>
          <w:lang w:val="en-GB" w:eastAsia="en-GB"/>
        </w:rPr>
        <w:t xml:space="preserve"> was adopted.  </w:t>
      </w:r>
      <w:r w:rsidRPr="00EB11D3">
        <w:rPr>
          <w:rFonts w:eastAsia="Calibri"/>
          <w:szCs w:val="24"/>
        </w:rPr>
        <w:t xml:space="preserve">The results indicated that in step one, the regression model of corporate governance on service innovation was significant. In step two, the results show that the regression model of corporate governance government regulations, service innovation and the interaction term service innovation * government regulations on </w:t>
      </w:r>
      <w:r w:rsidR="006D5C62" w:rsidRPr="00EB11D3">
        <w:rPr>
          <w:rFonts w:eastAsia="Calibri"/>
          <w:szCs w:val="24"/>
        </w:rPr>
        <w:t>organisational performance of Faith-Based Hospitals</w:t>
      </w:r>
      <w:r w:rsidRPr="00EB11D3">
        <w:rPr>
          <w:rFonts w:eastAsia="Calibri"/>
          <w:szCs w:val="24"/>
        </w:rPr>
        <w:t xml:space="preserve"> in Kenya</w:t>
      </w:r>
      <w:r w:rsidRPr="00EB11D3">
        <w:rPr>
          <w:rFonts w:eastAsia="Calibri"/>
          <w:szCs w:val="24"/>
          <w:lang w:val="en-GB"/>
        </w:rPr>
        <w:t xml:space="preserve"> </w:t>
      </w:r>
      <w:r w:rsidRPr="00EB11D3">
        <w:rPr>
          <w:rFonts w:eastAsia="Calibri"/>
          <w:szCs w:val="24"/>
        </w:rPr>
        <w:t xml:space="preserve">was significant. Since, the p value for the </w:t>
      </w:r>
      <w:r w:rsidR="000E20B9" w:rsidRPr="00EB11D3">
        <w:rPr>
          <w:rFonts w:eastAsia="Cambria"/>
          <w:szCs w:val="24"/>
        </w:rPr>
        <w:t>mediated</w:t>
      </w:r>
      <w:r w:rsidR="000E20B9">
        <w:rPr>
          <w:rFonts w:eastAsia="Cambria"/>
          <w:szCs w:val="24"/>
        </w:rPr>
        <w:t xml:space="preserve"> </w:t>
      </w:r>
      <w:r w:rsidR="000E20B9" w:rsidRPr="00EB11D3">
        <w:rPr>
          <w:rFonts w:eastAsia="Cambria"/>
          <w:szCs w:val="24"/>
        </w:rPr>
        <w:t>moderat</w:t>
      </w:r>
      <w:r w:rsidR="000E20B9">
        <w:rPr>
          <w:rFonts w:eastAsia="Cambria"/>
          <w:szCs w:val="24"/>
        </w:rPr>
        <w:t>ion</w:t>
      </w:r>
      <w:r w:rsidR="000E20B9" w:rsidRPr="00EB11D3">
        <w:rPr>
          <w:rFonts w:eastAsia="Calibri"/>
          <w:szCs w:val="24"/>
        </w:rPr>
        <w:t xml:space="preserve"> </w:t>
      </w:r>
      <w:r w:rsidRPr="00EB11D3">
        <w:rPr>
          <w:rFonts w:eastAsia="Calibri"/>
          <w:szCs w:val="24"/>
        </w:rPr>
        <w:t>term (GR*SI) was 0.000&lt;0.05 less than the critical value 0.05, the study rejected the null hypotheses that There is no significant there is no significant mediated</w:t>
      </w:r>
      <w:r w:rsidR="00551F03">
        <w:rPr>
          <w:rFonts w:eastAsia="Calibri"/>
          <w:szCs w:val="24"/>
        </w:rPr>
        <w:t xml:space="preserve"> </w:t>
      </w:r>
      <w:r w:rsidRPr="00EB11D3">
        <w:rPr>
          <w:rFonts w:eastAsia="Calibri"/>
          <w:szCs w:val="24"/>
        </w:rPr>
        <w:t xml:space="preserve">moderation effect on the relationship between corporate governance and </w:t>
      </w:r>
      <w:r w:rsidR="006D5C62" w:rsidRPr="00EB11D3">
        <w:rPr>
          <w:rFonts w:eastAsia="Calibri"/>
          <w:szCs w:val="24"/>
        </w:rPr>
        <w:t>organisational performance of Faith-Based Hospitals</w:t>
      </w:r>
      <w:r w:rsidRPr="00EB11D3">
        <w:rPr>
          <w:rFonts w:eastAsia="Calibri"/>
          <w:szCs w:val="24"/>
        </w:rPr>
        <w:t xml:space="preserve"> in Kenya</w:t>
      </w:r>
      <w:r w:rsidRPr="00EB11D3">
        <w:rPr>
          <w:rFonts w:eastAsia="Calibri"/>
          <w:szCs w:val="24"/>
          <w:lang w:val="en-GB"/>
        </w:rPr>
        <w:t xml:space="preserve">. </w:t>
      </w:r>
    </w:p>
    <w:p w14:paraId="328B9803"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 xml:space="preserve">The study adopted the alternative hypothesis that there is a significant mediated moderation effect on the relationship between corporate governance and </w:t>
      </w:r>
      <w:r w:rsidR="006D5C62" w:rsidRPr="00EB11D3">
        <w:rPr>
          <w:rFonts w:eastAsia="Calibri"/>
          <w:szCs w:val="24"/>
        </w:rPr>
        <w:t>organisational performance of Faith-Based Hospitals</w:t>
      </w:r>
      <w:r w:rsidRPr="00EB11D3">
        <w:rPr>
          <w:rFonts w:eastAsia="Calibri"/>
          <w:szCs w:val="24"/>
        </w:rPr>
        <w:t xml:space="preserve"> in Kenya.</w:t>
      </w:r>
      <w:r w:rsidRPr="00EB11D3">
        <w:rPr>
          <w:rFonts w:eastAsia="Calibri"/>
          <w:szCs w:val="24"/>
          <w:lang w:val="en-GB"/>
        </w:rPr>
        <w:t xml:space="preserve"> </w:t>
      </w:r>
      <w:r w:rsidRPr="00EB11D3">
        <w:rPr>
          <w:rFonts w:eastAsia="Calibri"/>
          <w:szCs w:val="24"/>
        </w:rPr>
        <w:t xml:space="preserve">Healthcare corporate governance refers to the structures, tenets, and procedures that regulate the direction and management of healthcare institutions. It includes the processes by which businesses define goals, track progress, maintain legal compliance, and allocate resources in order to meet healthcare targets. Better patient outcomes, increased operational efficiency, and financial stability are all possible results of effective governance in healthcare facilities (Dion &amp; Evans, 2024). The performance of healthcare facilities and corporate governance can be mediated by organizational culture. A culture that prioritizes patient care, ethical behavior, and ongoing improvement can improve governance procedures' efficacy and produce better results. </w:t>
      </w:r>
    </w:p>
    <w:p w14:paraId="30538B60"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A culture that prioritizes accountability and openness, for instance, may make it easier to implement governance policies, which would boost output and patient satisfaction (Heracleous, 2023). The correlation between corporate governance and healthcare facility performance may be attenuated by the degree of regulatory compliance. Strong adherence to healthcare standards and regulations may enhance the favorable effects of excellent governance on performance in facilities. However, because of the risk of fines from the government, diminished patient confidence, and other problems, institutions with low compliance may not see as big of a gain in performance from governance methods (Naranjo-Gil, 2019). The impact of corporate governance on facility performance can also be mitigated by the management and senior leadership styles in the healthcare industry. Participatory and transformational leadership philosophies can help create an atmosphere where governance procedures are applied more successfully, improving performance. On the other hand, authoritarian leadership philosophies could counteract the benefits of good governance procedures on facility results (Beasley et al., 2018).</w:t>
      </w:r>
    </w:p>
    <w:p w14:paraId="1016A504"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Another mediator in the relationship between corporate governance and healthcare facility performance is the influence of innovation and technology. Effective governance can direct investments in healthcare innovation and technology to improve patient safety, streamline operations, and improve care delivery. This helps mitigate the negative effects of governance on the overall performance of the facility (Westphal &amp; Zajac, 2018).</w:t>
      </w:r>
    </w:p>
    <w:p w14:paraId="4FC53456" w14:textId="77777777" w:rsidR="00E65BC6" w:rsidRPr="00EB11D3" w:rsidRDefault="00E65BC6" w:rsidP="00E65BC6">
      <w:pPr>
        <w:shd w:val="clear" w:color="auto" w:fill="FFFFFF"/>
        <w:spacing w:after="160" w:line="360" w:lineRule="auto"/>
        <w:rPr>
          <w:rFonts w:eastAsia="Calibri"/>
          <w:szCs w:val="24"/>
        </w:rPr>
      </w:pPr>
      <w:r w:rsidRPr="00EB11D3">
        <w:rPr>
          <w:rFonts w:eastAsia="Calibri"/>
          <w:szCs w:val="24"/>
        </w:rPr>
        <w:t>Finding common ground between advances in hospital administration and implementation reveals obstacles that healthcare organisations need to overcome to successfully integrate these technologies. The biggest of these difficulties is staff and healthcare professionals' aversion to change. Adoption of innovation can be severely hampered by deeply rooted traditional practices in the organisational culture that may create resistance to adopting new procedures or technologies (Leonard, de Kock, &amp; Bam, 2020). Another major obstacle is money, which is particularly problematic for hospitals with little funding. Adopting new technologies and reorganising management procedures can be quite expensive. This can impede progress. The process of allocating funding for upfront investments gets intricate, which may impede the adoption of important breakthroughs.</w:t>
      </w:r>
    </w:p>
    <w:p w14:paraId="5B75B5AF" w14:textId="77777777" w:rsidR="00E65BC6" w:rsidRPr="00EB11D3" w:rsidRDefault="00E65BC6" w:rsidP="00E65BC6">
      <w:pPr>
        <w:shd w:val="clear" w:color="auto" w:fill="FFFFFF"/>
        <w:spacing w:after="160" w:line="360" w:lineRule="auto"/>
        <w:rPr>
          <w:rFonts w:eastAsia="Calibri"/>
          <w:szCs w:val="24"/>
        </w:rPr>
      </w:pPr>
      <w:r w:rsidRPr="00EB11D3">
        <w:rPr>
          <w:rFonts w:eastAsia="Calibri"/>
          <w:szCs w:val="24"/>
        </w:rPr>
        <w:t>Interoperability problems across various healthcare technology and systems also provide a significant difficulty. The smooth transmission of patient data and information is hampered by incompatibilities between new and outdated systems, which limits the potential advantages of integrated healthcare administration (Leonard et al., 2020). As worries regarding patient data security and privacy arise due to technology integration, these issues become crucial challenges. Robust regulatory mandates and the imminent risk of data breaches could potentially hinder the extensive use of inventive solutions. Finally, there are difficulties in efficiently applying technology and innovative management techniques in worker training and education. The necessity of comprehensive education initiatives in the changing healthcare landscape is highlighted by the fact that healthcare personnel are unable to successfully integrate innovations due to inadequate training programmes (Leonard et al., 2020).</w:t>
      </w:r>
    </w:p>
    <w:p w14:paraId="4DC7F0BC" w14:textId="77777777" w:rsidR="0059163F" w:rsidRPr="00EB11D3" w:rsidRDefault="0059163F" w:rsidP="00E65BC6">
      <w:pPr>
        <w:shd w:val="clear" w:color="auto" w:fill="FFFFFF"/>
        <w:spacing w:after="160" w:line="360" w:lineRule="auto"/>
        <w:rPr>
          <w:rFonts w:eastAsia="Calibri"/>
          <w:szCs w:val="24"/>
        </w:rPr>
      </w:pPr>
      <w:r w:rsidRPr="00EB11D3">
        <w:rPr>
          <w:rFonts w:eastAsia="Calibri"/>
          <w:szCs w:val="24"/>
        </w:rPr>
        <w:t>The study's conclusions are consistent with those of Berry (2019), who notes that providing for the requirements of patients in the healthcare industry is a particularly difficult environment. But the need for service innovation in healthcare is particularly pressing due to the need, complexity, expense, and highly emotional nature of the service, as well as technical advancements and industry competitive dynamics. A culture of innovation that creates value and advances the interests of all parties involved is being successfully established by forward-thinking healthcare facilities across the country via the implementation of strategic and operational service improvements. They value institutional self-confidence, see constant innovation as an unachievable goal, and integrate patients and families in the innovation team. There is a critical need for service innovation in the cancer care sector in particular, and several forward-thinking oncology centres are exemplifying how to enhance the patient and family service experience. It is now vital that service innovation become ingrained in the operations of all healthcare institutions.</w:t>
      </w:r>
    </w:p>
    <w:p w14:paraId="0A6B474C" w14:textId="77777777" w:rsidR="003A2015" w:rsidRPr="00EB11D3" w:rsidRDefault="003A2015" w:rsidP="00E65BC6">
      <w:pPr>
        <w:shd w:val="clear" w:color="auto" w:fill="FFFFFF"/>
        <w:spacing w:after="160" w:line="360" w:lineRule="auto"/>
        <w:rPr>
          <w:rFonts w:eastAsia="Calibri"/>
          <w:szCs w:val="24"/>
        </w:rPr>
      </w:pPr>
      <w:r w:rsidRPr="00EB11D3">
        <w:rPr>
          <w:rFonts w:eastAsia="Calibri"/>
          <w:szCs w:val="24"/>
        </w:rPr>
        <w:t>Carroll (2022) contends that nurses, who possess both a strong understanding of these technologies and an inventive spirit, are essential to the development, implementation, dissemination, and sustainability of new technologies in digital health. With the COVID-19 pandemic clearly in mind, new technologies are developing steadily and helping to offset customers' rising healthcare expenses. Despite their increasing use in digital health, new technologies present a variety of opportunities and concerns. These include digital health tools and technical interoperability; they also encompass ethics, trust, information security, and access to new technology and health literacy. As digital health advances, there are several opportunities for all nursing specialties - including informatics - to use and adapt tried-and-true community health models that are both practical and long-lasting. Nurses need to acquire new skills in order to use the foundational new intelligent, connected, and personalised technologies in digital health if they want to remain relevant in the constantly changing field.</w:t>
      </w:r>
    </w:p>
    <w:p w14:paraId="509AF0C5"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 xml:space="preserve">Minimum safety and quality requirements are set forth in regulations for healthcare facilities. </w:t>
      </w:r>
      <w:r w:rsidR="00BF1DED" w:rsidRPr="00EB11D3">
        <w:rPr>
          <w:rFonts w:eastAsia="Calibri"/>
          <w:szCs w:val="24"/>
        </w:rPr>
        <w:t>These covers regulations</w:t>
      </w:r>
      <w:r w:rsidRPr="00EB11D3">
        <w:rPr>
          <w:rFonts w:eastAsia="Calibri"/>
          <w:szCs w:val="24"/>
        </w:rPr>
        <w:t xml:space="preserve"> pertaining to the use of medical equipment, pharmaceutical safety, facility hygienic practices, and patient care. Healthcare institutions can lower the frequency of medical errors and enhance patient outcomes by following these guidelines. To prevent breaches and exploitation of patient information, the Health Insurance Portability and Accountability Act (HIPAA) was implemented in the United States and establishes stringent criteria for patient data privacy and security (Edemekong, Annamaraju &amp; Haydel, 2018). </w:t>
      </w:r>
    </w:p>
    <w:p w14:paraId="63139E50" w14:textId="77777777" w:rsidR="003859C9" w:rsidRPr="00EB11D3" w:rsidRDefault="003859C9" w:rsidP="00226D60">
      <w:pPr>
        <w:shd w:val="clear" w:color="auto" w:fill="FFFFFF"/>
        <w:spacing w:after="160" w:line="360" w:lineRule="auto"/>
        <w:rPr>
          <w:rFonts w:eastAsia="Calibri"/>
          <w:szCs w:val="24"/>
        </w:rPr>
      </w:pPr>
      <w:r w:rsidRPr="00EB11D3">
        <w:rPr>
          <w:rFonts w:eastAsia="Calibri"/>
          <w:szCs w:val="24"/>
        </w:rPr>
        <w:t>Enhancing access to healthcare services can also be the goal of government policies. Hospitals are required by laws like the Emergency Medical Treatment and Active Labor Act (EMTALA) to treat anybody in need of emergency medical care, regardless of their nationality, immigration status, or financial situation. By guaranteeing the general people's access to necessary services, these laws advance public health and welfare (Zhou, Amanatullah &amp; Frick, 2019).</w:t>
      </w:r>
      <w:r w:rsidR="00226D60" w:rsidRPr="00EB11D3">
        <w:rPr>
          <w:rFonts w:eastAsia="Calibri"/>
          <w:szCs w:val="24"/>
        </w:rPr>
        <w:t xml:space="preserve"> According to Moro Visconti and Morea (2020), there are frequently contradictory and complicated relationships between spending and medical technology. Different technologies have different effects on costs; some (such cancer medications and invasive medical equipment) have major financial ramifications, while others have no effect at all or a negative financial impact. The use of technology in medicine is growing in the twenty-first century. Medical technology is becoming more and more expensive, and this is a factor in the skyrocketing prices of healthcare, in contrast to many other sectors of the economy. A rising number of medical experts associate advancements in medicine with the increased use of advanced technology, which is sometimes costly and out of the reach of the general public. While technology in relation to physical goods - like infrastructure or diagnostic equipment - has an ambiguous cost-benefit trade-off, digital investments often have a shorter payback period, are less expensive, and provide better returns overall.</w:t>
      </w:r>
    </w:p>
    <w:p w14:paraId="02AD60B9"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 xml:space="preserve">For healthcare facilities, </w:t>
      </w:r>
      <w:r w:rsidR="00DE0765" w:rsidRPr="00EB11D3">
        <w:rPr>
          <w:rFonts w:eastAsia="Calibri"/>
          <w:szCs w:val="24"/>
        </w:rPr>
        <w:t xml:space="preserve">compliance to </w:t>
      </w:r>
      <w:r w:rsidRPr="00EB11D3">
        <w:rPr>
          <w:rFonts w:eastAsia="Calibri"/>
          <w:szCs w:val="24"/>
        </w:rPr>
        <w:t>government standards comes at a hefty expense. These can include paying for employee training to adhere to new regulations, making technological investments to fulfill electronic health record (EHR) standards, and covering the administrative expenses of compliance monitoring and reporting. Healthcare providers' financial resources may be strained by these investments, especially those of smaller facilities, even while they may enhance treatment and operational effectiveness (Pai et al., 2021). Rules like those mandating the use of EHRs can increase operational effectiveness by simplifying care coordination and facilitating patient data accessibility. However, there are significant upfront and ongoing costs associated with the adoption and upkeep of such systems, in addition to modifications to current operations. Regulations have the potential to both help and impede innovation. On the one hand, laws that support the application of state-of-the-art medical technology can stimulate innovation in the industry. However, strict regulatory approval procedures might cause innovative medications and medical devices to be delayed in reaching the market.</w:t>
      </w:r>
      <w:r w:rsidR="00602EFE" w:rsidRPr="00EB11D3">
        <w:rPr>
          <w:rFonts w:eastAsia="Calibri"/>
          <w:szCs w:val="24"/>
        </w:rPr>
        <w:t xml:space="preserve"> </w:t>
      </w:r>
    </w:p>
    <w:p w14:paraId="50643DC5" w14:textId="77777777" w:rsidR="00602EFE" w:rsidRPr="00BF1DED" w:rsidRDefault="00602EFE" w:rsidP="00BF1DED">
      <w:pPr>
        <w:spacing w:line="360" w:lineRule="auto"/>
        <w:rPr>
          <w:rFonts w:eastAsia="Times New Roman"/>
          <w:szCs w:val="24"/>
        </w:rPr>
      </w:pPr>
      <w:r w:rsidRPr="00EB11D3">
        <w:rPr>
          <w:rFonts w:eastAsia="Times New Roman"/>
          <w:szCs w:val="24"/>
        </w:rPr>
        <w:t>The study by Chodhari and Chakravorty (2024) makes it clear that governments must make difficult decisions since medical advancements have both risks and benefits. These developments take place in a number of areas, such as the basic sciences, medication development, healthcare delivery, and corporate and organisational structures. Innovations pertaining to medical technology in particular are thriving; throughout the past ten years, medical technology patents have increased in number and growth rate relative to pharmaceutical patents. Millions of investor resources are lost in too many failed attempts, even with this massive investment in innovation and the huge potential for innovators to succeed. Disruptive innovation is frequently hampered by the public's fear-based legislation, strict regulations implemented by entrenched experts fearing job loss, and hospitals' costly system investments.</w:t>
      </w:r>
    </w:p>
    <w:p w14:paraId="30A2A0FC" w14:textId="77777777" w:rsidR="003859C9" w:rsidRPr="00EB11D3" w:rsidRDefault="003859C9" w:rsidP="00602EFE">
      <w:pPr>
        <w:shd w:val="clear" w:color="auto" w:fill="FFFFFF"/>
        <w:spacing w:after="160" w:line="360" w:lineRule="auto"/>
        <w:rPr>
          <w:rFonts w:eastAsia="Calibri"/>
          <w:szCs w:val="24"/>
        </w:rPr>
      </w:pPr>
      <w:r w:rsidRPr="00EB11D3">
        <w:rPr>
          <w:rFonts w:eastAsia="Calibri"/>
          <w:szCs w:val="24"/>
        </w:rPr>
        <w:t xml:space="preserve">Regulations pertaining to staff-to-patient ratios, working conditions, and professional licensure requirements have an impact on the management of the healthcare workforce. Although the goal of these restrictions is to guarantee a skilled, evenly distributed workforce, they may potentially exacerbate staffing shortages and raise operating expenses. Healthcare institutions are required to conduct their operations in a way that safeguards the public's health by following regulations that address environmental health issues, such as waste management and the disposal of dangerous materials. In order to protect the environment and advance community health, adherence to these regulations is essential (de Mello et al., 2022). </w:t>
      </w:r>
    </w:p>
    <w:p w14:paraId="6A06BC09" w14:textId="77777777" w:rsidR="0038635C" w:rsidRPr="00EB11D3" w:rsidRDefault="001A24A9" w:rsidP="0038635C">
      <w:pPr>
        <w:spacing w:after="0" w:line="360" w:lineRule="auto"/>
        <w:rPr>
          <w:rFonts w:eastAsia="Times New Roman"/>
          <w:szCs w:val="24"/>
        </w:rPr>
      </w:pPr>
      <w:r w:rsidRPr="00EB11D3">
        <w:rPr>
          <w:rFonts w:eastAsia="Times New Roman"/>
          <w:szCs w:val="24"/>
        </w:rPr>
        <w:t>Chen, Leung, and Evans (2018) provide additional support for the findings, indicating that a stronger positive correlation exists between female board representation and corporate innovation in product markets with lower levels of competition and higher levels of manager entrenchment. This is consistent with the idea that increased oversight by female directors enhances managers' incentives to innovate. Moreover, the findings of the study indicate that there is a favourable correlation between female board presence and performance, but only in companies where innovation and creativity are highly valued.</w:t>
      </w:r>
      <w:r w:rsidR="0038635C" w:rsidRPr="00EB11D3">
        <w:rPr>
          <w:rFonts w:eastAsia="Times New Roman"/>
          <w:szCs w:val="24"/>
        </w:rPr>
        <w:t xml:space="preserve"> According to Bolton and Zhao (2018), corporate governance settings that either offer incentives to take advantage of innovation's option value or to make long-term investments in it are what lead to innovation.  The study's findings support these ideas and provide a more comprehensive knowledge of how the distinct characteristics of corporate governance dynamics can have various effects on various organisations under various circumstances. </w:t>
      </w:r>
    </w:p>
    <w:p w14:paraId="1F6892F8" w14:textId="77777777" w:rsidR="0038635C" w:rsidRPr="00EB11D3" w:rsidRDefault="0038635C" w:rsidP="00BF1DED">
      <w:pPr>
        <w:spacing w:line="360" w:lineRule="auto"/>
        <w:rPr>
          <w:rFonts w:eastAsia="Times New Roman"/>
          <w:szCs w:val="24"/>
        </w:rPr>
      </w:pPr>
      <w:r w:rsidRPr="00EB11D3">
        <w:rPr>
          <w:rFonts w:eastAsia="Times New Roman"/>
          <w:szCs w:val="24"/>
        </w:rPr>
        <w:t xml:space="preserve">The report provides two main policy recommendations for businesses seeking to increase their level of innovation.  Initially, boards need to be empowered and encouraged to concentrate on long-term plans.  Secondly, the professional connections and endeavours of directors hold significance.  Our research should assist businesses in creating corporate governance structures that are more closely matched to the ways in which they may add value as different corporate governance models produce different results.   </w:t>
      </w:r>
    </w:p>
    <w:p w14:paraId="09DAE493" w14:textId="77777777" w:rsidR="001A24A9" w:rsidRPr="00EB11D3" w:rsidRDefault="0038635C" w:rsidP="0038635C">
      <w:pPr>
        <w:spacing w:after="0" w:line="360" w:lineRule="auto"/>
        <w:rPr>
          <w:rFonts w:eastAsia="Times New Roman"/>
          <w:szCs w:val="24"/>
        </w:rPr>
      </w:pPr>
      <w:r w:rsidRPr="00EB11D3">
        <w:rPr>
          <w:rFonts w:eastAsia="Times New Roman"/>
          <w:szCs w:val="24"/>
        </w:rPr>
        <w:t>Apart from the aforementioned two policy implications, this study adds three noteworthy additions to the body of knowledge on corporate governance and innovation.  First, a thorough examination of the ways in which various corporate governance practices affect a company's ability to innovate must be provided.  Second, the process by which certain director actions result in trade-offs in the boardroom has to be streamlined.  Thirdly, it is necessary to demonstrate that some methods that have been demonstrated to be generally associated with excellent corporate governance may not be helpful in fostering long-term innovation.  One size does not always fit all, and different corporate governance metrics may not have the same effects on various organisations. Corporate governance is a very complex concept.  The study attributes these results to the fact that human people have a role in corporate governance, and the characteristics of these persons will dictate how corporate governance is implemented at each company.  In order for firms to better structure their corporate governance systems to meet the unique objectives of each firm, researchers must first understand the dynamics that occur between directors in the boardroom, the professional experiences of key individuals in the corporate governance functions, and the personal and professional incentives of the key individuals responsible for executing value-creating initiatives.</w:t>
      </w:r>
    </w:p>
    <w:p w14:paraId="2D7FA2E3" w14:textId="77777777" w:rsidR="001A24A9" w:rsidRPr="00EB11D3" w:rsidRDefault="001A24A9" w:rsidP="00602EFE">
      <w:pPr>
        <w:shd w:val="clear" w:color="auto" w:fill="FFFFFF"/>
        <w:spacing w:after="160" w:line="360" w:lineRule="auto"/>
        <w:rPr>
          <w:rFonts w:eastAsia="Calibri"/>
          <w:szCs w:val="24"/>
        </w:rPr>
      </w:pPr>
    </w:p>
    <w:p w14:paraId="14989CE2" w14:textId="77777777" w:rsidR="003859C9" w:rsidRPr="00EB11D3" w:rsidRDefault="003859C9" w:rsidP="003859C9">
      <w:pPr>
        <w:shd w:val="clear" w:color="auto" w:fill="FFFFFF"/>
        <w:spacing w:after="160" w:line="259" w:lineRule="auto"/>
        <w:jc w:val="left"/>
        <w:rPr>
          <w:rFonts w:eastAsia="Calibri"/>
          <w:szCs w:val="24"/>
        </w:rPr>
      </w:pPr>
      <w:r w:rsidRPr="00EB11D3">
        <w:rPr>
          <w:rFonts w:eastAsia="Calibri"/>
          <w:szCs w:val="24"/>
        </w:rPr>
        <w:t>The summary of the key findings is presented in Table 41.</w:t>
      </w:r>
    </w:p>
    <w:p w14:paraId="3DC74957" w14:textId="77777777" w:rsidR="003859C9" w:rsidRPr="00EB11D3" w:rsidRDefault="0038635C" w:rsidP="000870A7">
      <w:pPr>
        <w:spacing w:after="160" w:line="259" w:lineRule="auto"/>
        <w:jc w:val="left"/>
        <w:rPr>
          <w:rFonts w:eastAsia="Times New Roman"/>
          <w:szCs w:val="36"/>
        </w:rPr>
      </w:pPr>
      <w:bookmarkStart w:id="1097" w:name="_Toc94528996"/>
      <w:bookmarkStart w:id="1098" w:name="_Toc126666776"/>
      <w:r w:rsidRPr="00EB11D3">
        <w:rPr>
          <w:rFonts w:eastAsia="Times New Roman"/>
          <w:b/>
          <w:bCs/>
          <w:szCs w:val="24"/>
        </w:rPr>
        <w:br w:type="page"/>
      </w:r>
      <w:bookmarkStart w:id="1099" w:name="_Toc177387972"/>
      <w:r w:rsidR="003859C9" w:rsidRPr="00EB11D3">
        <w:rPr>
          <w:rFonts w:eastAsia="Times New Roman"/>
          <w:b/>
          <w:bCs/>
          <w:szCs w:val="24"/>
        </w:rPr>
        <w:t xml:space="preserve">Table </w:t>
      </w:r>
      <w:r w:rsidR="003859C9" w:rsidRPr="00EB11D3">
        <w:rPr>
          <w:rFonts w:eastAsia="Times New Roman"/>
          <w:b/>
          <w:bCs/>
          <w:szCs w:val="24"/>
        </w:rPr>
        <w:fldChar w:fldCharType="begin"/>
      </w:r>
      <w:r w:rsidR="003859C9" w:rsidRPr="00EB11D3">
        <w:rPr>
          <w:rFonts w:eastAsia="Times New Roman"/>
          <w:b/>
          <w:bCs/>
          <w:szCs w:val="24"/>
        </w:rPr>
        <w:instrText xml:space="preserve"> SEQ Table \* ARABIC </w:instrText>
      </w:r>
      <w:r w:rsidR="003859C9" w:rsidRPr="00EB11D3">
        <w:rPr>
          <w:rFonts w:eastAsia="Times New Roman"/>
          <w:b/>
          <w:bCs/>
          <w:szCs w:val="24"/>
        </w:rPr>
        <w:fldChar w:fldCharType="separate"/>
      </w:r>
      <w:r w:rsidR="003859C9" w:rsidRPr="00EB11D3">
        <w:rPr>
          <w:rFonts w:eastAsia="Times New Roman"/>
          <w:b/>
          <w:bCs/>
          <w:noProof/>
          <w:szCs w:val="24"/>
        </w:rPr>
        <w:t>41</w:t>
      </w:r>
      <w:r w:rsidR="003859C9" w:rsidRPr="00EB11D3">
        <w:rPr>
          <w:rFonts w:eastAsia="Times New Roman"/>
          <w:b/>
          <w:bCs/>
          <w:szCs w:val="24"/>
        </w:rPr>
        <w:fldChar w:fldCharType="end"/>
      </w:r>
      <w:r w:rsidR="003859C9" w:rsidRPr="00EB11D3">
        <w:rPr>
          <w:rFonts w:eastAsia="Times New Roman"/>
          <w:b/>
          <w:bCs/>
          <w:szCs w:val="36"/>
        </w:rPr>
        <w:t>: Summary of Key Findings</w:t>
      </w:r>
      <w:bookmarkEnd w:id="1097"/>
      <w:bookmarkEnd w:id="1098"/>
      <w:bookmarkEnd w:id="1099"/>
    </w:p>
    <w:tbl>
      <w:tblPr>
        <w:tblW w:w="5104" w:type="pct"/>
        <w:tblLayout w:type="fixed"/>
        <w:tblLook w:val="04A0" w:firstRow="1" w:lastRow="0" w:firstColumn="1" w:lastColumn="0" w:noHBand="0" w:noVBand="1"/>
      </w:tblPr>
      <w:tblGrid>
        <w:gridCol w:w="2790"/>
        <w:gridCol w:w="2249"/>
        <w:gridCol w:w="2192"/>
        <w:gridCol w:w="2324"/>
      </w:tblGrid>
      <w:tr w:rsidR="003859C9" w:rsidRPr="00EB11D3" w14:paraId="3557AF55" w14:textId="77777777" w:rsidTr="005B7BF1">
        <w:trPr>
          <w:trHeight w:val="356"/>
          <w:tblHeader/>
        </w:trPr>
        <w:tc>
          <w:tcPr>
            <w:tcW w:w="1460" w:type="pct"/>
            <w:tcBorders>
              <w:top w:val="single" w:sz="4" w:space="0" w:color="auto"/>
              <w:bottom w:val="single" w:sz="4" w:space="0" w:color="666666"/>
            </w:tcBorders>
            <w:shd w:val="clear" w:color="auto" w:fill="auto"/>
            <w:noWrap/>
          </w:tcPr>
          <w:p w14:paraId="21557423" w14:textId="77777777" w:rsidR="003859C9" w:rsidRPr="00EB11D3" w:rsidRDefault="003859C9" w:rsidP="003859C9">
            <w:pPr>
              <w:shd w:val="clear" w:color="auto" w:fill="FFFFFF"/>
              <w:spacing w:after="0" w:line="240" w:lineRule="auto"/>
              <w:rPr>
                <w:rFonts w:eastAsia="Calibri"/>
                <w:b/>
                <w:szCs w:val="24"/>
                <w:lang w:val="en-GB"/>
              </w:rPr>
            </w:pPr>
            <w:r w:rsidRPr="00EB11D3">
              <w:rPr>
                <w:rFonts w:eastAsia="Calibri"/>
                <w:b/>
                <w:szCs w:val="24"/>
                <w:lang w:val="en-GB"/>
              </w:rPr>
              <w:t>Objectives</w:t>
            </w:r>
          </w:p>
        </w:tc>
        <w:tc>
          <w:tcPr>
            <w:tcW w:w="1177" w:type="pct"/>
            <w:tcBorders>
              <w:top w:val="single" w:sz="4" w:space="0" w:color="auto"/>
              <w:bottom w:val="single" w:sz="4" w:space="0" w:color="666666"/>
            </w:tcBorders>
            <w:shd w:val="clear" w:color="auto" w:fill="auto"/>
            <w:noWrap/>
          </w:tcPr>
          <w:p w14:paraId="66551AE9" w14:textId="77777777" w:rsidR="003859C9" w:rsidRPr="00EB11D3" w:rsidRDefault="003859C9" w:rsidP="003859C9">
            <w:pPr>
              <w:shd w:val="clear" w:color="auto" w:fill="FFFFFF"/>
              <w:spacing w:after="0" w:line="240" w:lineRule="auto"/>
              <w:rPr>
                <w:rFonts w:eastAsia="Calibri"/>
                <w:b/>
                <w:szCs w:val="24"/>
                <w:lang w:val="en-GB"/>
              </w:rPr>
            </w:pPr>
            <w:r w:rsidRPr="00EB11D3">
              <w:rPr>
                <w:rFonts w:eastAsia="Calibri"/>
                <w:b/>
                <w:szCs w:val="24"/>
                <w:lang w:val="en-GB"/>
              </w:rPr>
              <w:t>Hypotheses</w:t>
            </w:r>
          </w:p>
        </w:tc>
        <w:tc>
          <w:tcPr>
            <w:tcW w:w="1147" w:type="pct"/>
            <w:tcBorders>
              <w:top w:val="single" w:sz="4" w:space="0" w:color="auto"/>
              <w:bottom w:val="single" w:sz="4" w:space="0" w:color="666666"/>
            </w:tcBorders>
            <w:shd w:val="clear" w:color="auto" w:fill="auto"/>
            <w:noWrap/>
          </w:tcPr>
          <w:p w14:paraId="69F63F53" w14:textId="77777777" w:rsidR="003859C9" w:rsidRPr="00EB11D3" w:rsidRDefault="003859C9" w:rsidP="003859C9">
            <w:pPr>
              <w:shd w:val="clear" w:color="auto" w:fill="FFFFFF"/>
              <w:spacing w:after="0" w:line="240" w:lineRule="auto"/>
              <w:rPr>
                <w:rFonts w:eastAsia="Calibri"/>
                <w:b/>
                <w:szCs w:val="24"/>
                <w:lang w:val="en-GB"/>
              </w:rPr>
            </w:pPr>
            <w:r w:rsidRPr="00EB11D3">
              <w:rPr>
                <w:rFonts w:eastAsia="Calibri"/>
                <w:b/>
                <w:szCs w:val="24"/>
              </w:rPr>
              <w:t xml:space="preserve">Findings         </w:t>
            </w:r>
          </w:p>
        </w:tc>
        <w:tc>
          <w:tcPr>
            <w:tcW w:w="1216" w:type="pct"/>
            <w:tcBorders>
              <w:top w:val="single" w:sz="4" w:space="0" w:color="auto"/>
              <w:bottom w:val="single" w:sz="4" w:space="0" w:color="666666"/>
            </w:tcBorders>
          </w:tcPr>
          <w:p w14:paraId="26E83576" w14:textId="77777777" w:rsidR="003859C9" w:rsidRPr="00EB11D3" w:rsidRDefault="003859C9" w:rsidP="003859C9">
            <w:pPr>
              <w:shd w:val="clear" w:color="auto" w:fill="FFFFFF"/>
              <w:spacing w:after="0" w:line="240" w:lineRule="auto"/>
              <w:rPr>
                <w:rFonts w:eastAsia="Calibri"/>
                <w:b/>
                <w:szCs w:val="24"/>
              </w:rPr>
            </w:pPr>
            <w:r w:rsidRPr="00EB11D3">
              <w:rPr>
                <w:rFonts w:eastAsia="Calibri"/>
                <w:b/>
                <w:szCs w:val="24"/>
              </w:rPr>
              <w:t>Conclusion</w:t>
            </w:r>
          </w:p>
        </w:tc>
      </w:tr>
      <w:tr w:rsidR="003859C9" w:rsidRPr="00EB11D3" w14:paraId="3B6D4672" w14:textId="77777777" w:rsidTr="005B7BF1">
        <w:trPr>
          <w:trHeight w:val="2222"/>
        </w:trPr>
        <w:tc>
          <w:tcPr>
            <w:tcW w:w="1460" w:type="pct"/>
            <w:shd w:val="clear" w:color="auto" w:fill="FFFFFF"/>
            <w:noWrap/>
          </w:tcPr>
          <w:p w14:paraId="7FEE23F2" w14:textId="77777777" w:rsidR="003859C9" w:rsidRPr="00EB11D3" w:rsidRDefault="003859C9" w:rsidP="003859C9">
            <w:pPr>
              <w:shd w:val="clear" w:color="auto" w:fill="FFFFFF"/>
              <w:spacing w:after="0" w:line="240" w:lineRule="auto"/>
              <w:rPr>
                <w:rFonts w:eastAsia="Calibri"/>
                <w:b/>
                <w:szCs w:val="24"/>
              </w:rPr>
            </w:pPr>
            <w:r w:rsidRPr="00EB11D3">
              <w:rPr>
                <w:rFonts w:eastAsia="Calibri"/>
                <w:b/>
                <w:szCs w:val="24"/>
              </w:rPr>
              <w:t>Objective 1</w:t>
            </w:r>
          </w:p>
          <w:p w14:paraId="6DE5F379" w14:textId="77777777" w:rsidR="003859C9" w:rsidRPr="00EB11D3" w:rsidRDefault="003859C9" w:rsidP="003859C9">
            <w:pPr>
              <w:shd w:val="clear" w:color="auto" w:fill="FFFFFF"/>
              <w:spacing w:after="0" w:line="240" w:lineRule="auto"/>
              <w:rPr>
                <w:rFonts w:eastAsia="Calibri"/>
                <w:szCs w:val="24"/>
                <w:lang w:val="en"/>
              </w:rPr>
            </w:pPr>
            <w:r w:rsidRPr="00EB11D3">
              <w:rPr>
                <w:rFonts w:eastAsia="Calibri"/>
                <w:szCs w:val="24"/>
                <w:lang w:val="en"/>
              </w:rPr>
              <w:t xml:space="preserve">To establish the effect of corporate governance on </w:t>
            </w:r>
            <w:r w:rsidR="006D5C62" w:rsidRPr="00EB11D3">
              <w:rPr>
                <w:rFonts w:eastAsia="Calibri"/>
                <w:szCs w:val="24"/>
              </w:rPr>
              <w:t>organisational performance of Faith-Based Hospitals</w:t>
            </w:r>
            <w:r w:rsidRPr="00EB11D3">
              <w:rPr>
                <w:rFonts w:eastAsia="Calibri"/>
                <w:szCs w:val="24"/>
                <w:lang w:val="en"/>
              </w:rPr>
              <w:t xml:space="preserve"> in Kenya.  </w:t>
            </w:r>
          </w:p>
          <w:p w14:paraId="29BA4CD7" w14:textId="77777777" w:rsidR="003859C9" w:rsidRPr="00EB11D3" w:rsidRDefault="003859C9" w:rsidP="003859C9">
            <w:pPr>
              <w:shd w:val="clear" w:color="auto" w:fill="FFFFFF"/>
              <w:spacing w:after="0" w:line="240" w:lineRule="auto"/>
              <w:rPr>
                <w:rFonts w:eastAsia="Calibri"/>
                <w:szCs w:val="24"/>
                <w:lang w:val="en-GB"/>
              </w:rPr>
            </w:pPr>
          </w:p>
        </w:tc>
        <w:tc>
          <w:tcPr>
            <w:tcW w:w="1177" w:type="pct"/>
            <w:shd w:val="clear" w:color="auto" w:fill="FFFFFF"/>
            <w:noWrap/>
          </w:tcPr>
          <w:p w14:paraId="6B228C86" w14:textId="77777777" w:rsidR="003859C9" w:rsidRPr="00EB11D3" w:rsidRDefault="003859C9" w:rsidP="003859C9">
            <w:pPr>
              <w:shd w:val="clear" w:color="auto" w:fill="FFFFFF"/>
              <w:spacing w:after="0" w:line="240" w:lineRule="auto"/>
              <w:contextualSpacing/>
              <w:rPr>
                <w:rFonts w:eastAsia="Calibri"/>
                <w:szCs w:val="24"/>
              </w:rPr>
            </w:pPr>
            <w:r w:rsidRPr="00EB11D3">
              <w:rPr>
                <w:rFonts w:eastAsia="Calibri"/>
                <w:b/>
                <w:szCs w:val="24"/>
              </w:rPr>
              <w:t>H</w:t>
            </w:r>
            <w:r w:rsidRPr="00EB11D3">
              <w:rPr>
                <w:rFonts w:eastAsia="Calibri"/>
                <w:b/>
                <w:szCs w:val="24"/>
                <w:vertAlign w:val="subscript"/>
              </w:rPr>
              <w:t>01:</w:t>
            </w:r>
            <w:r w:rsidRPr="00EB11D3">
              <w:rPr>
                <w:rFonts w:eastAsia="Calibri"/>
                <w:szCs w:val="24"/>
              </w:rPr>
              <w:t xml:space="preserve"> There is no significant relationship between corporate governance and performance</w:t>
            </w:r>
            <w:r w:rsidRPr="00EB11D3">
              <w:rPr>
                <w:rFonts w:eastAsia="Calibri"/>
                <w:szCs w:val="24"/>
                <w:lang w:val="en"/>
              </w:rPr>
              <w:t xml:space="preserve"> of faith-based hospitals in Kenya.  </w:t>
            </w:r>
          </w:p>
        </w:tc>
        <w:tc>
          <w:tcPr>
            <w:tcW w:w="1147" w:type="pct"/>
            <w:shd w:val="clear" w:color="auto" w:fill="FFFFFF"/>
            <w:noWrap/>
          </w:tcPr>
          <w:p w14:paraId="2775E844" w14:textId="77777777" w:rsidR="003859C9" w:rsidRPr="00EB11D3" w:rsidRDefault="003859C9" w:rsidP="003859C9">
            <w:pPr>
              <w:shd w:val="clear" w:color="auto" w:fill="FFFFFF"/>
              <w:spacing w:after="0" w:line="240" w:lineRule="auto"/>
              <w:rPr>
                <w:rFonts w:eastAsia="Calibri"/>
                <w:szCs w:val="24"/>
                <w:lang w:val="en-GB"/>
              </w:rPr>
            </w:pPr>
            <w:r w:rsidRPr="00EB11D3">
              <w:rPr>
                <w:rFonts w:eastAsia="Calibri"/>
                <w:szCs w:val="24"/>
                <w:lang w:val="en-GB"/>
              </w:rPr>
              <w:t>R Square = 0.613</w:t>
            </w:r>
          </w:p>
          <w:p w14:paraId="715C4EA5" w14:textId="77777777" w:rsidR="003859C9" w:rsidRPr="00EB11D3" w:rsidRDefault="003859C9" w:rsidP="003859C9">
            <w:pPr>
              <w:shd w:val="clear" w:color="auto" w:fill="FFFFFF"/>
              <w:spacing w:after="0" w:line="240" w:lineRule="auto"/>
              <w:rPr>
                <w:rFonts w:eastAsia="Calibri"/>
                <w:szCs w:val="24"/>
                <w:lang w:val="en-GB"/>
              </w:rPr>
            </w:pPr>
            <w:r w:rsidRPr="00EB11D3">
              <w:rPr>
                <w:rFonts w:eastAsia="Calibri"/>
                <w:szCs w:val="24"/>
                <w:lang w:val="en-GB"/>
              </w:rPr>
              <w:t>F statistic= 392.200</w:t>
            </w:r>
          </w:p>
          <w:p w14:paraId="7D41F6E4" w14:textId="77777777" w:rsidR="003859C9" w:rsidRPr="00EB11D3" w:rsidRDefault="003859C9" w:rsidP="003859C9">
            <w:pPr>
              <w:shd w:val="clear" w:color="auto" w:fill="FFFFFF"/>
              <w:spacing w:after="0" w:line="240" w:lineRule="auto"/>
              <w:rPr>
                <w:rFonts w:eastAsia="Calibri"/>
                <w:szCs w:val="24"/>
                <w:lang w:val="en-GB"/>
              </w:rPr>
            </w:pPr>
            <w:r w:rsidRPr="00EB11D3">
              <w:rPr>
                <w:rFonts w:eastAsia="Calibri"/>
                <w:szCs w:val="24"/>
                <w:lang w:val="en-GB"/>
              </w:rPr>
              <w:t>t-value = 19.804</w:t>
            </w:r>
          </w:p>
          <w:p w14:paraId="66A978B2" w14:textId="77777777" w:rsidR="003859C9" w:rsidRPr="00EB11D3" w:rsidRDefault="003859C9" w:rsidP="003859C9">
            <w:pPr>
              <w:shd w:val="clear" w:color="auto" w:fill="FFFFFF"/>
              <w:spacing w:after="0" w:line="240" w:lineRule="auto"/>
              <w:rPr>
                <w:rFonts w:eastAsia="Calibri"/>
                <w:szCs w:val="24"/>
                <w:lang w:val="en-GB"/>
              </w:rPr>
            </w:pPr>
            <w:r w:rsidRPr="00EB11D3">
              <w:rPr>
                <w:rFonts w:eastAsia="Calibri"/>
                <w:szCs w:val="24"/>
              </w:rPr>
              <w:t>ß=</w:t>
            </w:r>
            <w:r w:rsidRPr="00EB11D3">
              <w:rPr>
                <w:rFonts w:eastAsia="Calibri"/>
                <w:szCs w:val="24"/>
                <w:lang w:val="en-GB"/>
              </w:rPr>
              <w:t xml:space="preserve"> 0.646, P-value = 0.000&lt;0.05</w:t>
            </w:r>
          </w:p>
          <w:p w14:paraId="0E8825D9" w14:textId="77777777" w:rsidR="003859C9" w:rsidRPr="00EB11D3" w:rsidRDefault="003859C9" w:rsidP="003859C9">
            <w:pPr>
              <w:shd w:val="clear" w:color="auto" w:fill="FFFFFF"/>
              <w:spacing w:after="0" w:line="240" w:lineRule="auto"/>
              <w:rPr>
                <w:rFonts w:eastAsia="Calibri"/>
                <w:szCs w:val="24"/>
                <w:lang w:val="en-GB"/>
              </w:rPr>
            </w:pPr>
          </w:p>
        </w:tc>
        <w:tc>
          <w:tcPr>
            <w:tcW w:w="1216" w:type="pct"/>
            <w:shd w:val="clear" w:color="auto" w:fill="FFFFFF"/>
          </w:tcPr>
          <w:p w14:paraId="1820BFDD" w14:textId="77777777" w:rsidR="003859C9" w:rsidRPr="00EB11D3" w:rsidRDefault="003859C9" w:rsidP="003859C9">
            <w:pPr>
              <w:shd w:val="clear" w:color="auto" w:fill="FFFFFF"/>
              <w:spacing w:after="0" w:line="240" w:lineRule="auto"/>
              <w:rPr>
                <w:rFonts w:eastAsia="Calibri"/>
                <w:szCs w:val="24"/>
                <w:lang w:val="en-GB"/>
              </w:rPr>
            </w:pPr>
            <w:r w:rsidRPr="00EB11D3">
              <w:rPr>
                <w:rFonts w:eastAsia="Calibri"/>
                <w:szCs w:val="24"/>
                <w:lang w:val="en-GB"/>
              </w:rPr>
              <w:t xml:space="preserve">There is a positive and significant effect of corporate governance on </w:t>
            </w:r>
            <w:r w:rsidR="006D5C62" w:rsidRPr="00EB11D3">
              <w:rPr>
                <w:rFonts w:eastAsia="Calibri"/>
                <w:szCs w:val="24"/>
                <w:lang w:val="en-GB"/>
              </w:rPr>
              <w:t>organisational performance of Faith-Based Hospitals</w:t>
            </w:r>
            <w:r w:rsidRPr="00EB11D3">
              <w:rPr>
                <w:rFonts w:eastAsia="Calibri"/>
                <w:szCs w:val="24"/>
                <w:lang w:val="en"/>
              </w:rPr>
              <w:t xml:space="preserve"> in Kenya.  </w:t>
            </w:r>
          </w:p>
        </w:tc>
      </w:tr>
      <w:tr w:rsidR="003859C9" w:rsidRPr="00EB11D3" w14:paraId="4044DD40" w14:textId="77777777" w:rsidTr="005B7BF1">
        <w:trPr>
          <w:trHeight w:val="2691"/>
        </w:trPr>
        <w:tc>
          <w:tcPr>
            <w:tcW w:w="1460" w:type="pct"/>
            <w:shd w:val="clear" w:color="auto" w:fill="auto"/>
            <w:noWrap/>
          </w:tcPr>
          <w:p w14:paraId="6A344FFD" w14:textId="77777777" w:rsidR="003859C9" w:rsidRPr="00EB11D3" w:rsidRDefault="003859C9" w:rsidP="003859C9">
            <w:pPr>
              <w:shd w:val="clear" w:color="auto" w:fill="FFFFFF"/>
              <w:spacing w:after="0" w:line="240" w:lineRule="auto"/>
              <w:rPr>
                <w:rFonts w:eastAsia="Calibri"/>
                <w:b/>
                <w:szCs w:val="24"/>
              </w:rPr>
            </w:pPr>
            <w:r w:rsidRPr="00EB11D3">
              <w:rPr>
                <w:rFonts w:eastAsia="Calibri"/>
                <w:b/>
                <w:szCs w:val="24"/>
              </w:rPr>
              <w:t>Objective 2</w:t>
            </w:r>
          </w:p>
          <w:p w14:paraId="73ED8F2C" w14:textId="77777777" w:rsidR="003859C9" w:rsidRPr="00EB11D3" w:rsidRDefault="003859C9" w:rsidP="003859C9">
            <w:pPr>
              <w:shd w:val="clear" w:color="auto" w:fill="FFFFFF"/>
              <w:spacing w:after="0" w:line="240" w:lineRule="auto"/>
              <w:rPr>
                <w:rFonts w:eastAsia="Calibri"/>
                <w:szCs w:val="24"/>
                <w:lang w:val="en"/>
              </w:rPr>
            </w:pPr>
            <w:r w:rsidRPr="00EB11D3">
              <w:rPr>
                <w:rFonts w:eastAsia="Calibri"/>
                <w:szCs w:val="24"/>
                <w:lang w:val="en"/>
              </w:rPr>
              <w:t xml:space="preserve">To determine the mediating effect of service innovation on the relationship between corporate governance and </w:t>
            </w:r>
            <w:r w:rsidR="006D5C62" w:rsidRPr="00EB11D3">
              <w:rPr>
                <w:rFonts w:eastAsia="Calibri"/>
                <w:szCs w:val="24"/>
              </w:rPr>
              <w:t>organisational performance of Faith-Based Hospitals</w:t>
            </w:r>
            <w:r w:rsidRPr="00EB11D3">
              <w:rPr>
                <w:rFonts w:eastAsia="Calibri"/>
                <w:szCs w:val="24"/>
                <w:lang w:val="en"/>
              </w:rPr>
              <w:t xml:space="preserve"> in Kenya.  </w:t>
            </w:r>
          </w:p>
          <w:p w14:paraId="7B9A8B42" w14:textId="77777777" w:rsidR="003859C9" w:rsidRPr="00EB11D3" w:rsidRDefault="003859C9" w:rsidP="003859C9">
            <w:pPr>
              <w:shd w:val="clear" w:color="auto" w:fill="FFFFFF"/>
              <w:spacing w:after="0" w:line="240" w:lineRule="auto"/>
              <w:rPr>
                <w:rFonts w:eastAsia="Calibri"/>
                <w:szCs w:val="24"/>
                <w:lang w:val="en-GB"/>
              </w:rPr>
            </w:pPr>
            <w:r w:rsidRPr="00EB11D3">
              <w:rPr>
                <w:rFonts w:eastAsia="Calibri"/>
                <w:szCs w:val="24"/>
                <w:lang w:val="en-GB"/>
              </w:rPr>
              <w:tab/>
            </w:r>
            <w:r w:rsidRPr="00EB11D3">
              <w:rPr>
                <w:rFonts w:eastAsia="Calibri"/>
                <w:szCs w:val="24"/>
                <w:lang w:val="en-GB"/>
              </w:rPr>
              <w:tab/>
            </w:r>
          </w:p>
        </w:tc>
        <w:tc>
          <w:tcPr>
            <w:tcW w:w="1177" w:type="pct"/>
            <w:shd w:val="clear" w:color="auto" w:fill="auto"/>
            <w:noWrap/>
          </w:tcPr>
          <w:p w14:paraId="72DD61FA" w14:textId="77777777" w:rsidR="003859C9" w:rsidRPr="00EB11D3" w:rsidRDefault="003859C9" w:rsidP="003859C9">
            <w:pPr>
              <w:shd w:val="clear" w:color="auto" w:fill="FFFFFF"/>
              <w:spacing w:after="0" w:line="240" w:lineRule="auto"/>
              <w:contextualSpacing/>
              <w:rPr>
                <w:rFonts w:eastAsia="Calibri"/>
                <w:szCs w:val="24"/>
              </w:rPr>
            </w:pPr>
            <w:r w:rsidRPr="00EB11D3">
              <w:rPr>
                <w:rFonts w:eastAsia="Calibri"/>
                <w:b/>
                <w:szCs w:val="24"/>
              </w:rPr>
              <w:t>H</w:t>
            </w:r>
            <w:r w:rsidRPr="00EB11D3">
              <w:rPr>
                <w:rFonts w:eastAsia="Calibri"/>
                <w:b/>
                <w:szCs w:val="24"/>
                <w:vertAlign w:val="subscript"/>
              </w:rPr>
              <w:t>02:</w:t>
            </w:r>
            <w:r w:rsidRPr="00EB11D3">
              <w:rPr>
                <w:rFonts w:eastAsia="Calibri"/>
                <w:szCs w:val="24"/>
              </w:rPr>
              <w:t xml:space="preserve"> There is no significant mediating effect of service innovation on the relationship between corporate governance and </w:t>
            </w:r>
            <w:r w:rsidR="006D5C62" w:rsidRPr="00EB11D3">
              <w:rPr>
                <w:rFonts w:eastAsia="Calibri"/>
                <w:szCs w:val="24"/>
              </w:rPr>
              <w:t>organisational performance of Faith-Based Hospitals</w:t>
            </w:r>
            <w:r w:rsidRPr="00EB11D3">
              <w:rPr>
                <w:rFonts w:eastAsia="Calibri"/>
                <w:szCs w:val="24"/>
                <w:lang w:val="en"/>
              </w:rPr>
              <w:t xml:space="preserve"> in Kenya.  </w:t>
            </w:r>
          </w:p>
        </w:tc>
        <w:tc>
          <w:tcPr>
            <w:tcW w:w="1147" w:type="pct"/>
            <w:shd w:val="clear" w:color="auto" w:fill="auto"/>
            <w:noWrap/>
          </w:tcPr>
          <w:p w14:paraId="3204AF87" w14:textId="77777777" w:rsidR="003859C9" w:rsidRPr="00EB11D3" w:rsidRDefault="003859C9" w:rsidP="003859C9">
            <w:pPr>
              <w:shd w:val="clear" w:color="auto" w:fill="FFFFFF"/>
              <w:spacing w:after="0" w:line="240" w:lineRule="auto"/>
              <w:rPr>
                <w:rFonts w:eastAsia="Calibri"/>
                <w:szCs w:val="24"/>
                <w:lang w:val="en-GB"/>
              </w:rPr>
            </w:pPr>
          </w:p>
          <w:p w14:paraId="78CEA3AF" w14:textId="77777777" w:rsidR="003859C9" w:rsidRPr="00EB11D3" w:rsidRDefault="003859C9" w:rsidP="003859C9">
            <w:pPr>
              <w:shd w:val="clear" w:color="auto" w:fill="FFFFFF"/>
              <w:spacing w:after="0" w:line="240" w:lineRule="auto"/>
              <w:rPr>
                <w:rFonts w:eastAsia="Calibri"/>
                <w:szCs w:val="24"/>
                <w:lang w:val="en-GB"/>
              </w:rPr>
            </w:pPr>
            <w:r w:rsidRPr="00EB11D3">
              <w:rPr>
                <w:rFonts w:eastAsia="Calibri"/>
                <w:szCs w:val="24"/>
                <w:lang w:val="en-GB"/>
              </w:rPr>
              <w:t>R Square</w:t>
            </w:r>
          </w:p>
          <w:p w14:paraId="2A6A6204" w14:textId="77777777" w:rsidR="003859C9" w:rsidRPr="00EB11D3" w:rsidRDefault="003859C9" w:rsidP="003859C9">
            <w:pPr>
              <w:shd w:val="clear" w:color="auto" w:fill="FFFFFF"/>
              <w:spacing w:after="0" w:line="240" w:lineRule="auto"/>
              <w:rPr>
                <w:rFonts w:eastAsia="Calibri"/>
                <w:szCs w:val="24"/>
                <w:lang w:val="en-GB"/>
              </w:rPr>
            </w:pPr>
            <w:r w:rsidRPr="00EB11D3">
              <w:rPr>
                <w:rFonts w:eastAsia="Calibri"/>
                <w:szCs w:val="24"/>
                <w:lang w:val="en-GB"/>
              </w:rPr>
              <w:t>Step 1= 0.613</w:t>
            </w:r>
          </w:p>
          <w:p w14:paraId="4E3F0D71" w14:textId="77777777" w:rsidR="003859C9" w:rsidRPr="00EB11D3" w:rsidRDefault="003859C9" w:rsidP="003859C9">
            <w:pPr>
              <w:shd w:val="clear" w:color="auto" w:fill="FFFFFF"/>
              <w:spacing w:after="0" w:line="240" w:lineRule="auto"/>
              <w:rPr>
                <w:rFonts w:eastAsia="Calibri"/>
                <w:szCs w:val="24"/>
                <w:lang w:val="en-GB"/>
              </w:rPr>
            </w:pPr>
            <w:r w:rsidRPr="00EB11D3">
              <w:rPr>
                <w:rFonts w:eastAsia="Calibri"/>
                <w:szCs w:val="24"/>
                <w:lang w:val="en-GB"/>
              </w:rPr>
              <w:t>Step 2= 0.659</w:t>
            </w:r>
          </w:p>
          <w:p w14:paraId="63F387A8" w14:textId="77777777" w:rsidR="003859C9" w:rsidRPr="00EB11D3" w:rsidRDefault="003859C9" w:rsidP="003859C9">
            <w:pPr>
              <w:shd w:val="clear" w:color="auto" w:fill="FFFFFF"/>
              <w:spacing w:after="0" w:line="240" w:lineRule="auto"/>
              <w:rPr>
                <w:rFonts w:eastAsia="Calibri"/>
                <w:szCs w:val="24"/>
                <w:lang w:val="en-GB"/>
              </w:rPr>
            </w:pPr>
            <w:r w:rsidRPr="00EB11D3">
              <w:rPr>
                <w:rFonts w:eastAsia="Calibri"/>
                <w:szCs w:val="24"/>
                <w:lang w:val="en-GB"/>
              </w:rPr>
              <w:t>Step 3= 0.794</w:t>
            </w:r>
          </w:p>
          <w:p w14:paraId="10A82F8C" w14:textId="77777777" w:rsidR="003859C9" w:rsidRPr="00EB11D3" w:rsidRDefault="003859C9" w:rsidP="003859C9">
            <w:pPr>
              <w:shd w:val="clear" w:color="auto" w:fill="FFFFFF"/>
              <w:spacing w:after="0" w:line="240" w:lineRule="auto"/>
              <w:rPr>
                <w:rFonts w:eastAsia="Calibri"/>
                <w:szCs w:val="24"/>
                <w:lang w:val="en-GB"/>
              </w:rPr>
            </w:pPr>
            <w:r w:rsidRPr="00EB11D3">
              <w:rPr>
                <w:rFonts w:eastAsia="Calibri"/>
                <w:szCs w:val="24"/>
                <w:lang w:val="en-GB"/>
              </w:rPr>
              <w:t>Step 4= 0.804</w:t>
            </w:r>
          </w:p>
          <w:p w14:paraId="1F34B679" w14:textId="77777777" w:rsidR="003859C9" w:rsidRPr="00EB11D3" w:rsidRDefault="003859C9" w:rsidP="003859C9">
            <w:pPr>
              <w:shd w:val="clear" w:color="auto" w:fill="FFFFFF"/>
              <w:spacing w:after="0" w:line="240" w:lineRule="auto"/>
              <w:rPr>
                <w:rFonts w:eastAsia="Calibri"/>
                <w:szCs w:val="24"/>
                <w:lang w:val="en-GB"/>
              </w:rPr>
            </w:pPr>
            <w:r w:rsidRPr="00EB11D3">
              <w:rPr>
                <w:rFonts w:eastAsia="Calibri"/>
                <w:szCs w:val="24"/>
                <w:lang w:val="en-GB"/>
              </w:rPr>
              <w:t xml:space="preserve">Step 1, 2, 3 and 4 were met as the P-value were below 0.05. </w:t>
            </w:r>
          </w:p>
        </w:tc>
        <w:tc>
          <w:tcPr>
            <w:tcW w:w="1216" w:type="pct"/>
          </w:tcPr>
          <w:p w14:paraId="444904AB" w14:textId="77777777" w:rsidR="003859C9" w:rsidRPr="00EB11D3" w:rsidRDefault="003859C9" w:rsidP="003859C9">
            <w:pPr>
              <w:shd w:val="clear" w:color="auto" w:fill="FFFFFF"/>
              <w:spacing w:after="0" w:line="240" w:lineRule="auto"/>
              <w:rPr>
                <w:rFonts w:eastAsia="Calibri"/>
                <w:szCs w:val="24"/>
                <w:lang w:val="en-GB"/>
              </w:rPr>
            </w:pPr>
            <w:r w:rsidRPr="00EB11D3">
              <w:rPr>
                <w:rFonts w:eastAsia="Calibri"/>
                <w:szCs w:val="24"/>
                <w:lang w:val="en-GB"/>
              </w:rPr>
              <w:t xml:space="preserve">There is significant mediating effect of service innovation on the relationship between corporate governance and </w:t>
            </w:r>
            <w:r w:rsidR="006D5C62" w:rsidRPr="00EB11D3">
              <w:rPr>
                <w:rFonts w:eastAsia="Calibri"/>
                <w:szCs w:val="24"/>
              </w:rPr>
              <w:t>organisational performance of Faith-Based Hospitals</w:t>
            </w:r>
            <w:r w:rsidRPr="00EB11D3">
              <w:rPr>
                <w:rFonts w:eastAsia="Calibri"/>
                <w:szCs w:val="24"/>
                <w:lang w:val="en"/>
              </w:rPr>
              <w:t xml:space="preserve"> in Kenya.  </w:t>
            </w:r>
          </w:p>
        </w:tc>
      </w:tr>
      <w:tr w:rsidR="003859C9" w:rsidRPr="00EB11D3" w14:paraId="7114B020" w14:textId="77777777" w:rsidTr="005B7BF1">
        <w:trPr>
          <w:trHeight w:val="791"/>
        </w:trPr>
        <w:tc>
          <w:tcPr>
            <w:tcW w:w="1460" w:type="pct"/>
            <w:shd w:val="clear" w:color="auto" w:fill="auto"/>
            <w:noWrap/>
          </w:tcPr>
          <w:p w14:paraId="2CE8C4E1" w14:textId="77777777" w:rsidR="003859C9" w:rsidRPr="00EB11D3" w:rsidRDefault="003859C9" w:rsidP="003859C9">
            <w:pPr>
              <w:shd w:val="clear" w:color="auto" w:fill="FFFFFF"/>
              <w:spacing w:after="0" w:line="240" w:lineRule="auto"/>
              <w:rPr>
                <w:rFonts w:eastAsia="Calibri"/>
                <w:b/>
                <w:szCs w:val="24"/>
              </w:rPr>
            </w:pPr>
            <w:r w:rsidRPr="00EB11D3">
              <w:rPr>
                <w:rFonts w:eastAsia="Calibri"/>
                <w:b/>
                <w:szCs w:val="24"/>
              </w:rPr>
              <w:t>Objective 3</w:t>
            </w:r>
          </w:p>
          <w:p w14:paraId="78D5C367" w14:textId="77777777" w:rsidR="003859C9" w:rsidRPr="00EB11D3" w:rsidRDefault="003859C9" w:rsidP="003859C9">
            <w:pPr>
              <w:shd w:val="clear" w:color="auto" w:fill="FFFFFF"/>
              <w:spacing w:after="0" w:line="240" w:lineRule="auto"/>
              <w:rPr>
                <w:rFonts w:eastAsia="Calibri"/>
                <w:szCs w:val="24"/>
                <w:lang w:val="en"/>
              </w:rPr>
            </w:pPr>
            <w:r w:rsidRPr="00EB11D3">
              <w:rPr>
                <w:rFonts w:eastAsia="Calibri"/>
                <w:szCs w:val="24"/>
                <w:lang w:val="en"/>
              </w:rPr>
              <w:t xml:space="preserve">To examine the moderating effect of government regulations on the relationship between corporate governance and </w:t>
            </w:r>
            <w:r w:rsidR="006D5C62" w:rsidRPr="00EB11D3">
              <w:rPr>
                <w:rFonts w:eastAsia="Calibri"/>
                <w:szCs w:val="24"/>
              </w:rPr>
              <w:t>organisational performance of Faith-Based Hospitals</w:t>
            </w:r>
            <w:r w:rsidRPr="00EB11D3">
              <w:rPr>
                <w:rFonts w:eastAsia="Calibri"/>
                <w:szCs w:val="24"/>
                <w:lang w:val="en"/>
              </w:rPr>
              <w:t xml:space="preserve"> in Kenya.  </w:t>
            </w:r>
          </w:p>
          <w:p w14:paraId="3BB63430" w14:textId="77777777" w:rsidR="003859C9" w:rsidRPr="00EB11D3" w:rsidRDefault="003859C9" w:rsidP="003859C9">
            <w:pPr>
              <w:shd w:val="clear" w:color="auto" w:fill="FFFFFF"/>
              <w:spacing w:after="0" w:line="240" w:lineRule="auto"/>
              <w:rPr>
                <w:rFonts w:eastAsia="Calibri"/>
                <w:szCs w:val="24"/>
                <w:lang w:val="en-GB"/>
              </w:rPr>
            </w:pPr>
          </w:p>
        </w:tc>
        <w:tc>
          <w:tcPr>
            <w:tcW w:w="1177" w:type="pct"/>
            <w:shd w:val="clear" w:color="auto" w:fill="auto"/>
            <w:noWrap/>
          </w:tcPr>
          <w:p w14:paraId="57FCF352" w14:textId="77777777" w:rsidR="003859C9" w:rsidRPr="00EB11D3" w:rsidRDefault="003859C9" w:rsidP="003859C9">
            <w:pPr>
              <w:shd w:val="clear" w:color="auto" w:fill="FFFFFF"/>
              <w:spacing w:after="0" w:line="240" w:lineRule="auto"/>
              <w:contextualSpacing/>
              <w:rPr>
                <w:rFonts w:eastAsia="Calibri"/>
                <w:szCs w:val="24"/>
                <w:lang w:val="en"/>
              </w:rPr>
            </w:pPr>
            <w:r w:rsidRPr="00EB11D3">
              <w:rPr>
                <w:rFonts w:eastAsia="Calibri"/>
                <w:b/>
                <w:szCs w:val="24"/>
              </w:rPr>
              <w:t>H</w:t>
            </w:r>
            <w:r w:rsidRPr="00EB11D3">
              <w:rPr>
                <w:rFonts w:eastAsia="Calibri"/>
                <w:b/>
                <w:szCs w:val="24"/>
                <w:vertAlign w:val="subscript"/>
              </w:rPr>
              <w:t>03</w:t>
            </w:r>
            <w:r w:rsidRPr="00EB11D3">
              <w:rPr>
                <w:rFonts w:eastAsia="Calibri"/>
                <w:szCs w:val="24"/>
                <w:vertAlign w:val="subscript"/>
              </w:rPr>
              <w:t xml:space="preserve">: </w:t>
            </w:r>
            <w:r w:rsidRPr="00EB11D3">
              <w:rPr>
                <w:rFonts w:eastAsia="Calibri"/>
                <w:szCs w:val="24"/>
              </w:rPr>
              <w:t xml:space="preserve"> There is no significant moderating effect of government regulations on the relationship between corporate governance and </w:t>
            </w:r>
            <w:r w:rsidR="006D5C62" w:rsidRPr="00EB11D3">
              <w:rPr>
                <w:rFonts w:eastAsia="Calibri"/>
                <w:szCs w:val="24"/>
              </w:rPr>
              <w:t>organisational performance of Faith-Based Hospitals</w:t>
            </w:r>
            <w:r w:rsidRPr="00EB11D3">
              <w:rPr>
                <w:rFonts w:eastAsia="Calibri"/>
                <w:szCs w:val="24"/>
                <w:lang w:val="en"/>
              </w:rPr>
              <w:t xml:space="preserve"> in Kenya.  </w:t>
            </w:r>
          </w:p>
          <w:p w14:paraId="1E0F817C" w14:textId="77777777" w:rsidR="003859C9" w:rsidRPr="00EB11D3" w:rsidRDefault="003859C9" w:rsidP="003859C9">
            <w:pPr>
              <w:shd w:val="clear" w:color="auto" w:fill="FFFFFF"/>
              <w:spacing w:after="0" w:line="240" w:lineRule="auto"/>
              <w:contextualSpacing/>
              <w:rPr>
                <w:rFonts w:eastAsia="Calibri"/>
                <w:szCs w:val="24"/>
              </w:rPr>
            </w:pPr>
          </w:p>
        </w:tc>
        <w:tc>
          <w:tcPr>
            <w:tcW w:w="1147" w:type="pct"/>
            <w:shd w:val="clear" w:color="auto" w:fill="auto"/>
            <w:noWrap/>
          </w:tcPr>
          <w:p w14:paraId="53E72CB7" w14:textId="77777777" w:rsidR="003859C9" w:rsidRPr="00EB11D3" w:rsidRDefault="003859C9" w:rsidP="003859C9">
            <w:pPr>
              <w:shd w:val="clear" w:color="auto" w:fill="FFFFFF"/>
              <w:spacing w:after="0" w:line="240" w:lineRule="auto"/>
              <w:rPr>
                <w:rFonts w:eastAsia="Calibri"/>
                <w:szCs w:val="24"/>
                <w:lang w:val="en-GB"/>
              </w:rPr>
            </w:pPr>
            <w:r w:rsidRPr="00EB11D3">
              <w:rPr>
                <w:rFonts w:eastAsia="Calibri"/>
                <w:szCs w:val="24"/>
                <w:lang w:val="en-GB"/>
              </w:rPr>
              <w:t>R Square</w:t>
            </w:r>
          </w:p>
          <w:p w14:paraId="66AB4AEF" w14:textId="77777777" w:rsidR="003859C9" w:rsidRPr="00EB11D3" w:rsidRDefault="003859C9" w:rsidP="003859C9">
            <w:pPr>
              <w:shd w:val="clear" w:color="auto" w:fill="FFFFFF"/>
              <w:spacing w:after="0" w:line="240" w:lineRule="auto"/>
              <w:rPr>
                <w:rFonts w:eastAsia="Calibri"/>
                <w:szCs w:val="24"/>
                <w:lang w:val="en-GB"/>
              </w:rPr>
            </w:pPr>
            <w:r w:rsidRPr="00EB11D3">
              <w:rPr>
                <w:rFonts w:eastAsia="Calibri"/>
                <w:szCs w:val="24"/>
                <w:lang w:val="en-GB"/>
              </w:rPr>
              <w:t>Step 1=0.613</w:t>
            </w:r>
          </w:p>
          <w:p w14:paraId="5466A696" w14:textId="77777777" w:rsidR="003859C9" w:rsidRPr="00EB11D3" w:rsidRDefault="003859C9" w:rsidP="003859C9">
            <w:pPr>
              <w:shd w:val="clear" w:color="auto" w:fill="FFFFFF"/>
              <w:spacing w:after="0" w:line="240" w:lineRule="auto"/>
              <w:rPr>
                <w:rFonts w:eastAsia="Calibri"/>
                <w:szCs w:val="24"/>
                <w:lang w:val="en-GB"/>
              </w:rPr>
            </w:pPr>
            <w:r w:rsidRPr="00EB11D3">
              <w:rPr>
                <w:rFonts w:eastAsia="Calibri"/>
                <w:szCs w:val="24"/>
                <w:lang w:val="en-GB"/>
              </w:rPr>
              <w:t>Step 2=0.679</w:t>
            </w:r>
          </w:p>
          <w:p w14:paraId="0111BAB0" w14:textId="77777777" w:rsidR="003859C9" w:rsidRPr="00EB11D3" w:rsidRDefault="003859C9" w:rsidP="003859C9">
            <w:pPr>
              <w:shd w:val="clear" w:color="auto" w:fill="FFFFFF"/>
              <w:spacing w:after="0" w:line="240" w:lineRule="auto"/>
              <w:rPr>
                <w:rFonts w:eastAsia="Calibri"/>
                <w:szCs w:val="24"/>
                <w:lang w:val="en-GB"/>
              </w:rPr>
            </w:pPr>
            <w:r w:rsidRPr="00EB11D3">
              <w:rPr>
                <w:rFonts w:eastAsia="Calibri"/>
                <w:szCs w:val="24"/>
                <w:lang w:val="en-GB"/>
              </w:rPr>
              <w:t>Step 3=0.804</w:t>
            </w:r>
          </w:p>
          <w:p w14:paraId="20339E86" w14:textId="77777777" w:rsidR="003859C9" w:rsidRPr="00EB11D3" w:rsidRDefault="003859C9" w:rsidP="003859C9">
            <w:pPr>
              <w:shd w:val="clear" w:color="auto" w:fill="FFFFFF"/>
              <w:spacing w:after="0" w:line="240" w:lineRule="auto"/>
              <w:rPr>
                <w:rFonts w:eastAsia="Calibri"/>
                <w:szCs w:val="24"/>
                <w:lang w:val="en-GB"/>
              </w:rPr>
            </w:pPr>
            <w:r w:rsidRPr="00EB11D3">
              <w:rPr>
                <w:rFonts w:eastAsia="Calibri"/>
                <w:szCs w:val="24"/>
                <w:lang w:val="en-GB"/>
              </w:rPr>
              <w:t>P value of the interaction term (EM*SE) is 0.000&lt; 0.05 and the R</w:t>
            </w:r>
            <w:r w:rsidRPr="006776B1">
              <w:rPr>
                <w:rFonts w:eastAsia="Calibri"/>
                <w:szCs w:val="24"/>
                <w:vertAlign w:val="superscript"/>
                <w:lang w:val="en-GB"/>
              </w:rPr>
              <w:t>2</w:t>
            </w:r>
            <w:r w:rsidRPr="00EB11D3">
              <w:rPr>
                <w:rFonts w:eastAsia="Calibri"/>
                <w:szCs w:val="24"/>
                <w:lang w:val="en-GB"/>
              </w:rPr>
              <w:t xml:space="preserve"> increased from 61.3%, to 67.9% and 80.4% after the interaction</w:t>
            </w:r>
          </w:p>
        </w:tc>
        <w:tc>
          <w:tcPr>
            <w:tcW w:w="1216" w:type="pct"/>
          </w:tcPr>
          <w:p w14:paraId="77553113" w14:textId="77777777" w:rsidR="003859C9" w:rsidRPr="00EB11D3" w:rsidRDefault="003859C9" w:rsidP="003859C9">
            <w:pPr>
              <w:shd w:val="clear" w:color="auto" w:fill="FFFFFF"/>
              <w:spacing w:after="0" w:line="240" w:lineRule="auto"/>
              <w:rPr>
                <w:rFonts w:eastAsia="Calibri"/>
                <w:szCs w:val="24"/>
                <w:lang w:val="en"/>
              </w:rPr>
            </w:pPr>
            <w:r w:rsidRPr="00EB11D3">
              <w:rPr>
                <w:rFonts w:eastAsia="Calibri"/>
                <w:szCs w:val="24"/>
                <w:lang w:val="en-GB"/>
              </w:rPr>
              <w:t xml:space="preserve">There is a significant moderating effect of government regulations on the relationship between corporate governance and </w:t>
            </w:r>
            <w:r w:rsidR="006D5C62" w:rsidRPr="00EB11D3">
              <w:rPr>
                <w:rFonts w:eastAsia="Calibri"/>
                <w:szCs w:val="24"/>
              </w:rPr>
              <w:t>organisational performance of Faith-Based Hospitals</w:t>
            </w:r>
            <w:r w:rsidRPr="00EB11D3">
              <w:rPr>
                <w:rFonts w:eastAsia="Calibri"/>
                <w:szCs w:val="24"/>
                <w:lang w:val="en"/>
              </w:rPr>
              <w:t xml:space="preserve"> in Kenya.  </w:t>
            </w:r>
          </w:p>
          <w:p w14:paraId="1A48ACAA" w14:textId="77777777" w:rsidR="003859C9" w:rsidRPr="00EB11D3" w:rsidRDefault="003859C9" w:rsidP="003859C9">
            <w:pPr>
              <w:shd w:val="clear" w:color="auto" w:fill="FFFFFF"/>
              <w:spacing w:after="0" w:line="240" w:lineRule="auto"/>
              <w:rPr>
                <w:rFonts w:eastAsia="Calibri"/>
                <w:szCs w:val="24"/>
                <w:lang w:val="en-GB"/>
              </w:rPr>
            </w:pPr>
          </w:p>
        </w:tc>
      </w:tr>
      <w:tr w:rsidR="003859C9" w:rsidRPr="00EB11D3" w14:paraId="73AD2147" w14:textId="77777777" w:rsidTr="005B7BF1">
        <w:trPr>
          <w:trHeight w:val="2178"/>
        </w:trPr>
        <w:tc>
          <w:tcPr>
            <w:tcW w:w="1460" w:type="pct"/>
            <w:tcBorders>
              <w:bottom w:val="single" w:sz="4" w:space="0" w:color="auto"/>
            </w:tcBorders>
            <w:shd w:val="clear" w:color="auto" w:fill="auto"/>
            <w:noWrap/>
          </w:tcPr>
          <w:p w14:paraId="41B5A892" w14:textId="77777777" w:rsidR="003859C9" w:rsidRPr="00EB11D3" w:rsidRDefault="003859C9" w:rsidP="003859C9">
            <w:pPr>
              <w:shd w:val="clear" w:color="auto" w:fill="FFFFFF"/>
              <w:spacing w:after="0" w:line="240" w:lineRule="auto"/>
              <w:rPr>
                <w:rFonts w:eastAsia="Calibri"/>
                <w:b/>
                <w:szCs w:val="24"/>
              </w:rPr>
            </w:pPr>
            <w:r w:rsidRPr="00EB11D3">
              <w:rPr>
                <w:rFonts w:eastAsia="Calibri"/>
                <w:b/>
                <w:szCs w:val="24"/>
              </w:rPr>
              <w:t>Objective 4</w:t>
            </w:r>
          </w:p>
          <w:p w14:paraId="7110C6EC" w14:textId="77777777" w:rsidR="003859C9" w:rsidRPr="00EB11D3" w:rsidRDefault="003859C9" w:rsidP="003859C9">
            <w:pPr>
              <w:shd w:val="clear" w:color="auto" w:fill="FFFFFF"/>
              <w:spacing w:after="0" w:line="240" w:lineRule="auto"/>
              <w:rPr>
                <w:rFonts w:eastAsia="Calibri"/>
                <w:szCs w:val="24"/>
                <w:lang w:val="en"/>
              </w:rPr>
            </w:pPr>
            <w:r w:rsidRPr="00EB11D3">
              <w:rPr>
                <w:rFonts w:eastAsia="Calibri"/>
                <w:szCs w:val="24"/>
                <w:lang w:val="en"/>
              </w:rPr>
              <w:t xml:space="preserve">To determine the </w:t>
            </w:r>
            <w:r w:rsidR="00E70D07" w:rsidRPr="00EB11D3">
              <w:rPr>
                <w:rFonts w:eastAsia="Calibri"/>
                <w:szCs w:val="24"/>
                <w:lang w:val="en"/>
              </w:rPr>
              <w:t xml:space="preserve">mediated moderation </w:t>
            </w:r>
            <w:r w:rsidRPr="00EB11D3">
              <w:rPr>
                <w:rFonts w:eastAsia="Calibri"/>
                <w:szCs w:val="24"/>
                <w:lang w:val="en"/>
              </w:rPr>
              <w:t xml:space="preserve">effect of service innovation and government regulation on the relationship between corporate governance and </w:t>
            </w:r>
            <w:bookmarkStart w:id="1100" w:name="_Hlk161915588"/>
            <w:r w:rsidR="006D5C62" w:rsidRPr="00EB11D3">
              <w:rPr>
                <w:rFonts w:eastAsia="Calibri"/>
                <w:szCs w:val="24"/>
                <w:lang w:val="en"/>
              </w:rPr>
              <w:t>organisational performance of Faith-Based Hospitals</w:t>
            </w:r>
            <w:r w:rsidRPr="00EB11D3">
              <w:rPr>
                <w:rFonts w:eastAsia="Calibri"/>
                <w:szCs w:val="24"/>
                <w:lang w:val="en"/>
              </w:rPr>
              <w:t xml:space="preserve"> in Kenya.</w:t>
            </w:r>
          </w:p>
          <w:bookmarkEnd w:id="1100"/>
          <w:p w14:paraId="2BAC3C6E" w14:textId="77777777" w:rsidR="003859C9" w:rsidRPr="00EB11D3" w:rsidRDefault="003859C9" w:rsidP="003859C9">
            <w:pPr>
              <w:shd w:val="clear" w:color="auto" w:fill="FFFFFF"/>
              <w:spacing w:after="0" w:line="240" w:lineRule="auto"/>
              <w:rPr>
                <w:rFonts w:eastAsia="Calibri"/>
                <w:szCs w:val="24"/>
                <w:lang w:val="en-GB"/>
              </w:rPr>
            </w:pPr>
          </w:p>
        </w:tc>
        <w:tc>
          <w:tcPr>
            <w:tcW w:w="1177" w:type="pct"/>
            <w:tcBorders>
              <w:bottom w:val="single" w:sz="4" w:space="0" w:color="auto"/>
            </w:tcBorders>
            <w:shd w:val="clear" w:color="auto" w:fill="auto"/>
            <w:noWrap/>
          </w:tcPr>
          <w:p w14:paraId="099702A2" w14:textId="77777777" w:rsidR="003859C9" w:rsidRPr="00EB11D3" w:rsidRDefault="003859C9" w:rsidP="003859C9">
            <w:pPr>
              <w:shd w:val="clear" w:color="auto" w:fill="FFFFFF"/>
              <w:spacing w:after="0" w:line="240" w:lineRule="auto"/>
              <w:rPr>
                <w:rFonts w:eastAsia="Calibri"/>
                <w:szCs w:val="24"/>
                <w:lang w:val="en"/>
              </w:rPr>
            </w:pPr>
            <w:r w:rsidRPr="00EB11D3">
              <w:rPr>
                <w:rFonts w:eastAsia="Calibri"/>
                <w:b/>
                <w:szCs w:val="24"/>
              </w:rPr>
              <w:t>H04:</w:t>
            </w:r>
            <w:r w:rsidRPr="00EB11D3">
              <w:rPr>
                <w:rFonts w:eastAsia="Calibri"/>
                <w:szCs w:val="24"/>
                <w:lang w:val="en-GB"/>
              </w:rPr>
              <w:t xml:space="preserve"> There is no significant </w:t>
            </w:r>
            <w:r w:rsidR="000E20B9" w:rsidRPr="00EB11D3">
              <w:rPr>
                <w:rFonts w:eastAsia="Cambria"/>
                <w:szCs w:val="24"/>
              </w:rPr>
              <w:t>mediated</w:t>
            </w:r>
            <w:r w:rsidR="000E20B9">
              <w:rPr>
                <w:rFonts w:eastAsia="Cambria"/>
                <w:szCs w:val="24"/>
              </w:rPr>
              <w:t xml:space="preserve"> </w:t>
            </w:r>
            <w:r w:rsidR="000E20B9" w:rsidRPr="00EB11D3">
              <w:rPr>
                <w:rFonts w:eastAsia="Cambria"/>
                <w:szCs w:val="24"/>
              </w:rPr>
              <w:t>moderat</w:t>
            </w:r>
            <w:r w:rsidR="000E20B9">
              <w:rPr>
                <w:rFonts w:eastAsia="Cambria"/>
                <w:szCs w:val="24"/>
              </w:rPr>
              <w:t>ion</w:t>
            </w:r>
            <w:r w:rsidRPr="00EB11D3">
              <w:rPr>
                <w:rFonts w:eastAsia="Calibri"/>
                <w:szCs w:val="24"/>
                <w:lang w:val="en-GB"/>
              </w:rPr>
              <w:t xml:space="preserve"> effect on the relationship between corporate governance and </w:t>
            </w:r>
            <w:r w:rsidR="006D5C62" w:rsidRPr="00EB11D3">
              <w:rPr>
                <w:rFonts w:eastAsia="Calibri"/>
                <w:szCs w:val="24"/>
                <w:lang w:val="en"/>
              </w:rPr>
              <w:t>organisational performance of Faith-Based Hospitals</w:t>
            </w:r>
            <w:r w:rsidRPr="00EB11D3">
              <w:rPr>
                <w:rFonts w:eastAsia="Calibri"/>
                <w:szCs w:val="24"/>
                <w:lang w:val="en"/>
              </w:rPr>
              <w:t xml:space="preserve"> in Kenya.</w:t>
            </w:r>
          </w:p>
          <w:p w14:paraId="014CBCF3" w14:textId="77777777" w:rsidR="003859C9" w:rsidRPr="00EB11D3" w:rsidRDefault="003859C9" w:rsidP="003859C9">
            <w:pPr>
              <w:shd w:val="clear" w:color="auto" w:fill="FFFFFF"/>
              <w:spacing w:after="0" w:line="240" w:lineRule="auto"/>
              <w:rPr>
                <w:rFonts w:eastAsia="Calibri"/>
                <w:szCs w:val="24"/>
                <w:lang w:val="en-GB"/>
              </w:rPr>
            </w:pPr>
          </w:p>
        </w:tc>
        <w:tc>
          <w:tcPr>
            <w:tcW w:w="1147" w:type="pct"/>
            <w:tcBorders>
              <w:bottom w:val="single" w:sz="4" w:space="0" w:color="auto"/>
            </w:tcBorders>
            <w:shd w:val="clear" w:color="auto" w:fill="auto"/>
            <w:noWrap/>
          </w:tcPr>
          <w:p w14:paraId="77F95D50" w14:textId="77777777" w:rsidR="003859C9" w:rsidRPr="00EB11D3" w:rsidRDefault="003859C9" w:rsidP="003859C9">
            <w:pPr>
              <w:shd w:val="clear" w:color="auto" w:fill="FFFFFF"/>
              <w:spacing w:after="0" w:line="240" w:lineRule="auto"/>
              <w:rPr>
                <w:rFonts w:eastAsia="Calibri"/>
                <w:szCs w:val="24"/>
                <w:lang w:val="en-GB"/>
              </w:rPr>
            </w:pPr>
            <w:r w:rsidRPr="00EB11D3">
              <w:rPr>
                <w:rFonts w:eastAsia="Calibri"/>
                <w:szCs w:val="24"/>
                <w:lang w:val="en-GB"/>
              </w:rPr>
              <w:t>R Square</w:t>
            </w:r>
          </w:p>
          <w:p w14:paraId="347DB841" w14:textId="77777777" w:rsidR="003859C9" w:rsidRPr="00EB11D3" w:rsidRDefault="003859C9" w:rsidP="003859C9">
            <w:pPr>
              <w:shd w:val="clear" w:color="auto" w:fill="FFFFFF"/>
              <w:spacing w:after="0" w:line="240" w:lineRule="auto"/>
              <w:rPr>
                <w:rFonts w:eastAsia="Calibri"/>
                <w:szCs w:val="24"/>
                <w:lang w:val="en-GB"/>
              </w:rPr>
            </w:pPr>
            <w:r w:rsidRPr="00EB11D3">
              <w:rPr>
                <w:rFonts w:eastAsia="Calibri"/>
                <w:szCs w:val="24"/>
                <w:lang w:val="en-GB"/>
              </w:rPr>
              <w:t>Step 1=0.613</w:t>
            </w:r>
          </w:p>
          <w:p w14:paraId="56127419" w14:textId="77777777" w:rsidR="003859C9" w:rsidRPr="00EB11D3" w:rsidRDefault="003859C9" w:rsidP="003859C9">
            <w:pPr>
              <w:shd w:val="clear" w:color="auto" w:fill="FFFFFF"/>
              <w:spacing w:after="0" w:line="240" w:lineRule="auto"/>
              <w:rPr>
                <w:rFonts w:eastAsia="Calibri"/>
                <w:szCs w:val="24"/>
                <w:lang w:val="en-GB"/>
              </w:rPr>
            </w:pPr>
            <w:r w:rsidRPr="00EB11D3">
              <w:rPr>
                <w:rFonts w:eastAsia="Calibri"/>
                <w:szCs w:val="24"/>
                <w:lang w:val="en-GB"/>
              </w:rPr>
              <w:t>Step 2= 0.804</w:t>
            </w:r>
          </w:p>
          <w:p w14:paraId="1CFCBECC" w14:textId="77777777" w:rsidR="003859C9" w:rsidRPr="00EB11D3" w:rsidRDefault="003859C9" w:rsidP="003859C9">
            <w:pPr>
              <w:shd w:val="clear" w:color="auto" w:fill="FFFFFF"/>
              <w:spacing w:after="0" w:line="240" w:lineRule="auto"/>
              <w:rPr>
                <w:rFonts w:eastAsia="Calibri"/>
                <w:szCs w:val="24"/>
                <w:lang w:val="en-GB"/>
              </w:rPr>
            </w:pPr>
            <w:r w:rsidRPr="00EB11D3">
              <w:rPr>
                <w:rFonts w:eastAsia="Calibri"/>
                <w:szCs w:val="24"/>
                <w:lang w:val="en-GB"/>
              </w:rPr>
              <w:t xml:space="preserve">The p value for the </w:t>
            </w:r>
            <w:r w:rsidR="000E20B9" w:rsidRPr="00EB11D3">
              <w:rPr>
                <w:rFonts w:eastAsia="Cambria"/>
                <w:szCs w:val="24"/>
              </w:rPr>
              <w:t>mediated</w:t>
            </w:r>
            <w:r w:rsidR="000E20B9">
              <w:rPr>
                <w:rFonts w:eastAsia="Cambria"/>
                <w:szCs w:val="24"/>
              </w:rPr>
              <w:t xml:space="preserve"> </w:t>
            </w:r>
            <w:r w:rsidR="000E20B9" w:rsidRPr="00EB11D3">
              <w:rPr>
                <w:rFonts w:eastAsia="Cambria"/>
                <w:szCs w:val="24"/>
              </w:rPr>
              <w:t>moderat</w:t>
            </w:r>
            <w:r w:rsidR="000E20B9">
              <w:rPr>
                <w:rFonts w:eastAsia="Cambria"/>
                <w:szCs w:val="24"/>
              </w:rPr>
              <w:t>ion</w:t>
            </w:r>
            <w:r w:rsidR="000E20B9" w:rsidRPr="00EB11D3">
              <w:rPr>
                <w:rFonts w:eastAsia="Calibri"/>
                <w:szCs w:val="24"/>
                <w:lang w:val="en-GB"/>
              </w:rPr>
              <w:t xml:space="preserve"> </w:t>
            </w:r>
            <w:r w:rsidRPr="00EB11D3">
              <w:rPr>
                <w:rFonts w:eastAsia="Calibri"/>
                <w:szCs w:val="24"/>
                <w:lang w:val="en-GB"/>
              </w:rPr>
              <w:t>(GR*SI) was significant 0.000&lt;0.05 was less than the critical value 0.05</w:t>
            </w:r>
          </w:p>
        </w:tc>
        <w:tc>
          <w:tcPr>
            <w:tcW w:w="1216" w:type="pct"/>
            <w:tcBorders>
              <w:bottom w:val="single" w:sz="4" w:space="0" w:color="auto"/>
            </w:tcBorders>
          </w:tcPr>
          <w:p w14:paraId="2730582D" w14:textId="77777777" w:rsidR="003859C9" w:rsidRPr="00EB11D3" w:rsidRDefault="003859C9" w:rsidP="003859C9">
            <w:pPr>
              <w:shd w:val="clear" w:color="auto" w:fill="FFFFFF"/>
              <w:spacing w:after="0" w:line="240" w:lineRule="auto"/>
              <w:rPr>
                <w:rFonts w:eastAsia="Calibri"/>
                <w:szCs w:val="24"/>
                <w:lang w:val="en"/>
              </w:rPr>
            </w:pPr>
            <w:r w:rsidRPr="00EB11D3">
              <w:rPr>
                <w:rFonts w:eastAsia="Calibri"/>
                <w:szCs w:val="24"/>
                <w:lang w:val="en-GB"/>
              </w:rPr>
              <w:t xml:space="preserve">There is a significant </w:t>
            </w:r>
            <w:r w:rsidR="000E20B9" w:rsidRPr="00EB11D3">
              <w:rPr>
                <w:rFonts w:eastAsia="Cambria"/>
                <w:szCs w:val="24"/>
              </w:rPr>
              <w:t>mediated</w:t>
            </w:r>
            <w:r w:rsidR="000E20B9">
              <w:rPr>
                <w:rFonts w:eastAsia="Cambria"/>
                <w:szCs w:val="24"/>
              </w:rPr>
              <w:t xml:space="preserve"> </w:t>
            </w:r>
            <w:r w:rsidR="000E20B9" w:rsidRPr="00EB11D3">
              <w:rPr>
                <w:rFonts w:eastAsia="Cambria"/>
                <w:szCs w:val="24"/>
              </w:rPr>
              <w:t>moderat</w:t>
            </w:r>
            <w:r w:rsidR="000E20B9">
              <w:rPr>
                <w:rFonts w:eastAsia="Cambria"/>
                <w:szCs w:val="24"/>
              </w:rPr>
              <w:t>ion</w:t>
            </w:r>
            <w:r w:rsidR="000E20B9" w:rsidRPr="00EB11D3">
              <w:rPr>
                <w:rFonts w:eastAsia="Calibri"/>
                <w:szCs w:val="24"/>
                <w:lang w:val="en-GB"/>
              </w:rPr>
              <w:t xml:space="preserve"> </w:t>
            </w:r>
            <w:r w:rsidRPr="00EB11D3">
              <w:rPr>
                <w:rFonts w:eastAsia="Calibri"/>
                <w:szCs w:val="24"/>
                <w:lang w:val="en-GB"/>
              </w:rPr>
              <w:t xml:space="preserve">effect on the relationship between corporate governance and </w:t>
            </w:r>
            <w:r w:rsidR="006D5C62" w:rsidRPr="00EB11D3">
              <w:rPr>
                <w:rFonts w:eastAsia="Calibri"/>
                <w:szCs w:val="24"/>
                <w:lang w:val="en"/>
              </w:rPr>
              <w:t>organisational performance of Faith-Based Hospitals</w:t>
            </w:r>
            <w:r w:rsidRPr="00EB11D3">
              <w:rPr>
                <w:rFonts w:eastAsia="Calibri"/>
                <w:szCs w:val="24"/>
                <w:lang w:val="en"/>
              </w:rPr>
              <w:t xml:space="preserve"> in Kenya.</w:t>
            </w:r>
          </w:p>
          <w:p w14:paraId="04B37571" w14:textId="77777777" w:rsidR="003859C9" w:rsidRPr="00EB11D3" w:rsidRDefault="003859C9" w:rsidP="003859C9">
            <w:pPr>
              <w:shd w:val="clear" w:color="auto" w:fill="FFFFFF"/>
              <w:spacing w:after="0" w:line="240" w:lineRule="auto"/>
              <w:rPr>
                <w:rFonts w:eastAsia="Calibri"/>
                <w:szCs w:val="24"/>
                <w:lang w:val="en-GB"/>
              </w:rPr>
            </w:pPr>
          </w:p>
        </w:tc>
      </w:tr>
    </w:tbl>
    <w:p w14:paraId="53E28798" w14:textId="77777777" w:rsidR="003859C9" w:rsidRPr="00EB11D3" w:rsidRDefault="0038635C" w:rsidP="00010BAF">
      <w:pPr>
        <w:pStyle w:val="msonormal0"/>
        <w:spacing w:before="0" w:beforeAutospacing="0" w:after="240" w:afterAutospacing="0" w:line="360" w:lineRule="auto"/>
        <w:jc w:val="both"/>
        <w:rPr>
          <w:rFonts w:eastAsia="Calibri"/>
          <w:lang w:val="en"/>
        </w:rPr>
      </w:pPr>
      <w:bookmarkStart w:id="1101" w:name="_Toc94528944"/>
      <w:bookmarkStart w:id="1102" w:name="_Toc78303072"/>
      <w:bookmarkStart w:id="1103" w:name="_Toc86857680"/>
      <w:bookmarkStart w:id="1104" w:name="_Toc126071169"/>
      <w:r w:rsidRPr="00EB11D3">
        <w:rPr>
          <w:b/>
          <w:bCs/>
          <w:szCs w:val="36"/>
        </w:rPr>
        <w:br w:type="page"/>
      </w:r>
      <w:bookmarkEnd w:id="1101"/>
      <w:bookmarkEnd w:id="1102"/>
      <w:bookmarkEnd w:id="1103"/>
      <w:bookmarkEnd w:id="1104"/>
      <w:r w:rsidR="003859C9" w:rsidRPr="00EB11D3">
        <w:rPr>
          <w:rFonts w:eastAsia="Calibri"/>
        </w:rPr>
        <w:t>Summary and conclusion of the study are presented in this chapter. All the research objectives of this study were achieved as all null hypotheses were rejected and all alternative hypothesis were accepted. The study therefore concluded as follows; corporate governance has a significant relationship with organisational performance</w:t>
      </w:r>
      <w:r w:rsidR="008D6946" w:rsidRPr="00EB11D3">
        <w:rPr>
          <w:rFonts w:eastAsia="Calibri"/>
        </w:rPr>
        <w:t xml:space="preserve">. Additionally, </w:t>
      </w:r>
      <w:r w:rsidR="003859C9" w:rsidRPr="00EB11D3">
        <w:rPr>
          <w:rFonts w:eastAsia="Calibri"/>
        </w:rPr>
        <w:t>there exist</w:t>
      </w:r>
      <w:r w:rsidR="008D6946" w:rsidRPr="00EB11D3">
        <w:rPr>
          <w:rFonts w:eastAsia="Calibri"/>
        </w:rPr>
        <w:t>s</w:t>
      </w:r>
      <w:r w:rsidR="003859C9" w:rsidRPr="00EB11D3">
        <w:rPr>
          <w:rFonts w:eastAsia="Calibri"/>
        </w:rPr>
        <w:t xml:space="preserve"> a </w:t>
      </w:r>
      <w:r w:rsidR="008D6946" w:rsidRPr="00EB11D3">
        <w:rPr>
          <w:rFonts w:eastAsia="Calibri"/>
        </w:rPr>
        <w:t>partial</w:t>
      </w:r>
      <w:r w:rsidR="003859C9" w:rsidRPr="00EB11D3">
        <w:rPr>
          <w:rFonts w:eastAsia="Calibri"/>
        </w:rPr>
        <w:t xml:space="preserve"> mediating </w:t>
      </w:r>
      <w:r w:rsidR="008D6946" w:rsidRPr="00EB11D3">
        <w:rPr>
          <w:rFonts w:eastAsia="Calibri"/>
        </w:rPr>
        <w:t xml:space="preserve">effect </w:t>
      </w:r>
      <w:r w:rsidR="003859C9" w:rsidRPr="00EB11D3">
        <w:rPr>
          <w:rFonts w:eastAsia="Calibri"/>
        </w:rPr>
        <w:t>of service innovation on the relationship between corporate governance and organisational performance</w:t>
      </w:r>
      <w:r w:rsidR="008D6946" w:rsidRPr="00EB11D3">
        <w:rPr>
          <w:rFonts w:eastAsia="Calibri"/>
        </w:rPr>
        <w:t xml:space="preserve">. Finally, the study concluded that </w:t>
      </w:r>
      <w:r w:rsidR="003859C9" w:rsidRPr="00EB11D3">
        <w:rPr>
          <w:rFonts w:eastAsia="Calibri"/>
        </w:rPr>
        <w:t xml:space="preserve">there is a significant </w:t>
      </w:r>
      <w:r w:rsidR="008D6946" w:rsidRPr="00EB11D3">
        <w:rPr>
          <w:rFonts w:eastAsia="Calibri"/>
        </w:rPr>
        <w:t xml:space="preserve">enhancing </w:t>
      </w:r>
      <w:r w:rsidR="003859C9" w:rsidRPr="00EB11D3">
        <w:rPr>
          <w:rFonts w:eastAsia="Calibri"/>
        </w:rPr>
        <w:t xml:space="preserve">moderating effect of government regulations in the relationship between corporate governance and organisational performance, and that there is a significant mediated moderation effect on the relationship between corporate governance and </w:t>
      </w:r>
      <w:r w:rsidR="006D5C62" w:rsidRPr="00EB11D3">
        <w:rPr>
          <w:rFonts w:eastAsia="Calibri"/>
          <w:lang w:val="en"/>
        </w:rPr>
        <w:t>organisational performance of Faith-Based Hospitals</w:t>
      </w:r>
      <w:r w:rsidR="003859C9" w:rsidRPr="00EB11D3">
        <w:rPr>
          <w:rFonts w:eastAsia="Calibri"/>
          <w:lang w:val="en"/>
        </w:rPr>
        <w:t xml:space="preserve"> in Kenya.</w:t>
      </w:r>
    </w:p>
    <w:p w14:paraId="3478B427" w14:textId="77777777" w:rsidR="003859C9" w:rsidRPr="00EB11D3" w:rsidRDefault="002611D4" w:rsidP="002611D4">
      <w:pPr>
        <w:pStyle w:val="Heading2"/>
        <w:spacing w:line="360" w:lineRule="auto"/>
      </w:pPr>
      <w:bookmarkStart w:id="1105" w:name="_Toc78303075"/>
      <w:bookmarkStart w:id="1106" w:name="_Toc94528947"/>
      <w:bookmarkStart w:id="1107" w:name="_Toc86857683"/>
      <w:bookmarkStart w:id="1108" w:name="_Toc49438852"/>
      <w:bookmarkStart w:id="1109" w:name="_Toc126071173"/>
      <w:bookmarkStart w:id="1110" w:name="_Toc177387906"/>
      <w:r>
        <w:t>5</w:t>
      </w:r>
      <w:r w:rsidR="003859C9" w:rsidRPr="00EB11D3">
        <w:t>.</w:t>
      </w:r>
      <w:r>
        <w:t>3</w:t>
      </w:r>
      <w:r w:rsidR="003859C9" w:rsidRPr="00EB11D3">
        <w:t xml:space="preserve"> </w:t>
      </w:r>
      <w:bookmarkEnd w:id="1105"/>
      <w:bookmarkEnd w:id="1106"/>
      <w:bookmarkEnd w:id="1107"/>
      <w:bookmarkEnd w:id="1108"/>
      <w:bookmarkEnd w:id="1109"/>
      <w:r>
        <w:t>Recommendations</w:t>
      </w:r>
      <w:bookmarkEnd w:id="1110"/>
    </w:p>
    <w:p w14:paraId="15A3FF28" w14:textId="77777777" w:rsidR="002611D4" w:rsidRPr="00EB11D3" w:rsidRDefault="003859C9" w:rsidP="002611D4">
      <w:pPr>
        <w:shd w:val="clear" w:color="auto" w:fill="FFFFFF"/>
        <w:spacing w:after="160" w:line="360" w:lineRule="auto"/>
        <w:rPr>
          <w:rFonts w:eastAsia="Calibri"/>
          <w:szCs w:val="24"/>
        </w:rPr>
      </w:pPr>
      <w:r w:rsidRPr="00EB11D3">
        <w:rPr>
          <w:rFonts w:eastAsia="Calibri"/>
          <w:szCs w:val="24"/>
        </w:rPr>
        <w:t xml:space="preserve">The study examined the interactions between corporate governance, service innovation, government regulations and </w:t>
      </w:r>
      <w:r w:rsidR="006D5C62" w:rsidRPr="00EB11D3">
        <w:rPr>
          <w:rFonts w:eastAsia="Calibri"/>
          <w:szCs w:val="24"/>
          <w:lang w:val="en"/>
        </w:rPr>
        <w:t>organisational performance of Faith-Based Hospitals</w:t>
      </w:r>
      <w:r w:rsidRPr="00EB11D3">
        <w:rPr>
          <w:rFonts w:eastAsia="Calibri"/>
          <w:szCs w:val="24"/>
          <w:lang w:val="en"/>
        </w:rPr>
        <w:t xml:space="preserve"> in Kenya. </w:t>
      </w:r>
      <w:r w:rsidRPr="00EB11D3">
        <w:rPr>
          <w:rFonts w:eastAsia="Calibri"/>
          <w:szCs w:val="24"/>
        </w:rPr>
        <w:t xml:space="preserve">The recommendations described in this chapter are derived from the interpretation of findings and conclusions of the study. The adoption and implementation of the recommendations which also includes areas requiring further research will contribute towards the growth and development of theory, policy and practice. </w:t>
      </w:r>
      <w:r w:rsidR="002611D4" w:rsidRPr="00EB11D3">
        <w:rPr>
          <w:rFonts w:eastAsia="Calibri"/>
          <w:szCs w:val="24"/>
        </w:rPr>
        <w:t>Based on research findings and conclusions of this study, the key recommendations are described in these sub-sections</w:t>
      </w:r>
      <w:r w:rsidR="002611D4">
        <w:rPr>
          <w:rFonts w:eastAsia="Calibri"/>
          <w:szCs w:val="24"/>
        </w:rPr>
        <w:t xml:space="preserve">; </w:t>
      </w:r>
      <w:r w:rsidR="002611D4" w:rsidRPr="002611D4">
        <w:rPr>
          <w:rFonts w:eastAsia="Times New Roman"/>
          <w:szCs w:val="36"/>
        </w:rPr>
        <w:t>policy, practice and theory</w:t>
      </w:r>
      <w:r w:rsidR="002611D4" w:rsidRPr="00EB11D3">
        <w:rPr>
          <w:rFonts w:eastAsia="Calibri"/>
          <w:szCs w:val="24"/>
        </w:rPr>
        <w:t>.</w:t>
      </w:r>
    </w:p>
    <w:p w14:paraId="4F8063D8" w14:textId="77777777" w:rsidR="003859C9" w:rsidRPr="002611D4" w:rsidRDefault="002611D4" w:rsidP="002611D4">
      <w:pPr>
        <w:pStyle w:val="Heading3"/>
      </w:pPr>
      <w:bookmarkStart w:id="1111" w:name="_Toc117773104"/>
      <w:bookmarkStart w:id="1112" w:name="_Toc124240283"/>
      <w:bookmarkStart w:id="1113" w:name="_Toc126071175"/>
      <w:bookmarkStart w:id="1114" w:name="_Toc164151297"/>
      <w:bookmarkStart w:id="1115" w:name="_Toc168673489"/>
      <w:bookmarkStart w:id="1116" w:name="_Toc168737930"/>
      <w:bookmarkStart w:id="1117" w:name="_Toc171602675"/>
      <w:bookmarkStart w:id="1118" w:name="_Toc171603502"/>
      <w:bookmarkStart w:id="1119" w:name="_Toc177387907"/>
      <w:r w:rsidRPr="002611D4">
        <w:t>5</w:t>
      </w:r>
      <w:r w:rsidR="003859C9" w:rsidRPr="002611D4">
        <w:t>.</w:t>
      </w:r>
      <w:r w:rsidRPr="002611D4">
        <w:t>3</w:t>
      </w:r>
      <w:r w:rsidR="003859C9" w:rsidRPr="002611D4">
        <w:t>.1 Recommendations on Policy</w:t>
      </w:r>
      <w:bookmarkEnd w:id="1111"/>
      <w:bookmarkEnd w:id="1112"/>
      <w:bookmarkEnd w:id="1113"/>
      <w:bookmarkEnd w:id="1114"/>
      <w:bookmarkEnd w:id="1115"/>
      <w:bookmarkEnd w:id="1116"/>
      <w:bookmarkEnd w:id="1117"/>
      <w:bookmarkEnd w:id="1118"/>
      <w:bookmarkEnd w:id="1119"/>
    </w:p>
    <w:p w14:paraId="0B8325CC" w14:textId="77777777" w:rsidR="003859C9" w:rsidRPr="00EB11D3" w:rsidRDefault="003859C9" w:rsidP="003859C9">
      <w:pPr>
        <w:shd w:val="clear" w:color="auto" w:fill="FFFFFF"/>
        <w:spacing w:after="160" w:line="360" w:lineRule="auto"/>
        <w:rPr>
          <w:rFonts w:eastAsia="Cambria"/>
          <w:szCs w:val="24"/>
          <w:lang w:val="en"/>
        </w:rPr>
      </w:pPr>
      <w:bookmarkStart w:id="1120" w:name="_Hlk170496134"/>
      <w:r w:rsidRPr="00EB11D3">
        <w:rPr>
          <w:rFonts w:eastAsia="Cambria"/>
          <w:szCs w:val="24"/>
        </w:rPr>
        <w:t xml:space="preserve">The study has examined ways by which corporate governance affects </w:t>
      </w:r>
      <w:r w:rsidR="006D5C62" w:rsidRPr="00EB11D3">
        <w:rPr>
          <w:rFonts w:eastAsia="Cambria"/>
          <w:szCs w:val="24"/>
          <w:lang w:val="en"/>
        </w:rPr>
        <w:t>organisational performance of Faith-Based Hospitals</w:t>
      </w:r>
      <w:r w:rsidRPr="00EB11D3">
        <w:rPr>
          <w:rFonts w:eastAsia="Cambria"/>
          <w:szCs w:val="24"/>
          <w:lang w:val="en"/>
        </w:rPr>
        <w:t xml:space="preserve"> in Kenya.</w:t>
      </w:r>
      <w:r w:rsidRPr="00EB11D3">
        <w:rPr>
          <w:rFonts w:eastAsia="Cambria"/>
          <w:szCs w:val="24"/>
        </w:rPr>
        <w:t xml:space="preserve"> Also, the study examined the mediating effect of service innovation and moderating effect of government regulations on the relationship </w:t>
      </w:r>
      <w:r w:rsidR="00CC124D">
        <w:rPr>
          <w:rFonts w:eastAsia="Cambria"/>
          <w:szCs w:val="24"/>
        </w:rPr>
        <w:t xml:space="preserve">between </w:t>
      </w:r>
      <w:r w:rsidRPr="00EB11D3">
        <w:rPr>
          <w:rFonts w:eastAsia="Cambria"/>
          <w:szCs w:val="24"/>
        </w:rPr>
        <w:t xml:space="preserve">corporate governance and </w:t>
      </w:r>
      <w:r w:rsidR="006D5C62" w:rsidRPr="00EB11D3">
        <w:rPr>
          <w:rFonts w:eastAsia="Cambria"/>
          <w:szCs w:val="24"/>
          <w:lang w:val="en"/>
        </w:rPr>
        <w:t>organisational performance of Faith-Based Hospitals</w:t>
      </w:r>
      <w:r w:rsidRPr="00EB11D3">
        <w:rPr>
          <w:rFonts w:eastAsia="Cambria"/>
          <w:szCs w:val="24"/>
          <w:lang w:val="en"/>
        </w:rPr>
        <w:t xml:space="preserve"> in Kenya.</w:t>
      </w:r>
    </w:p>
    <w:p w14:paraId="414DABCC"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In order to guarantee strategic direction, accountability, and moral governance practices, the study advises the organization to strengthen the capability and supervisory responsibilities of hospital boards in faith-based institutions. Policies requiring regular reporting and disclosure of hospital performance indicators and governance processes to stakeholders should be put in place by the government. In order to make sure that hospital operations meet the requirements and expectations of the communities they serve, it is also important to develop systems for including a variety of stakeholders in governance processes, such as personnel, patients, and the community. Hospital administrators and board members should have access to ongoing education and training on best practices in corporate governance and hospital management from government and regulatory organizations. </w:t>
      </w:r>
    </w:p>
    <w:bookmarkEnd w:id="1120"/>
    <w:p w14:paraId="5BC47CC9"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Government should </w:t>
      </w:r>
      <w:r w:rsidR="00342225" w:rsidRPr="00EB11D3">
        <w:rPr>
          <w:rFonts w:eastAsia="Cambria"/>
          <w:szCs w:val="24"/>
        </w:rPr>
        <w:t xml:space="preserve">provide a directive to the </w:t>
      </w:r>
      <w:r w:rsidRPr="00EB11D3">
        <w:rPr>
          <w:rFonts w:eastAsia="Cambria"/>
          <w:szCs w:val="24"/>
        </w:rPr>
        <w:t xml:space="preserve">faith-based hospitals to implement industry-recognized best practices and corporate governance frameworks that are customized for Kenya's particular healthcare delivery environment. Faith-based hospitals should get assistance from government and regulatory agencies in putting these governance reforms into practice, as well as possible rewards for compliance. Provide funds from the government or donors expressly for the creation and introduction of cutting-edge medical services at hospitals affiliated with religious organizations. To promote service innovation, encourage collaborations between faith-based hospitals and tech firms or academic institutions. </w:t>
      </w:r>
    </w:p>
    <w:p w14:paraId="1BF41665" w14:textId="77777777" w:rsidR="003859C9" w:rsidRPr="00EB11D3" w:rsidRDefault="00DE0765" w:rsidP="003859C9">
      <w:pPr>
        <w:shd w:val="clear" w:color="auto" w:fill="FFFFFF"/>
        <w:spacing w:after="160" w:line="360" w:lineRule="auto"/>
        <w:rPr>
          <w:rFonts w:eastAsia="Cambria"/>
          <w:szCs w:val="24"/>
        </w:rPr>
      </w:pPr>
      <w:r w:rsidRPr="00EB11D3">
        <w:rPr>
          <w:rFonts w:eastAsia="Cambria"/>
          <w:szCs w:val="24"/>
        </w:rPr>
        <w:t>The government should p</w:t>
      </w:r>
      <w:r w:rsidR="003859C9" w:rsidRPr="00EB11D3">
        <w:rPr>
          <w:rFonts w:eastAsia="Cambria"/>
          <w:szCs w:val="24"/>
        </w:rPr>
        <w:t>rovide medical professionals at faith-based hospitals with up-to-date training on the newest advancements and technologies in healthcare. Simplify the regulations governing faith-based hospitals' adoption of innovative medical services and technology. Create regulations that allow communities to participate in the innovation process and guarantee that the services created are tailored to the particular needs of the communities that faith-based hospitals serve.</w:t>
      </w:r>
      <w:r w:rsidR="003859C9" w:rsidRPr="00EB11D3">
        <w:rPr>
          <w:rFonts w:eastAsia="Cambria"/>
          <w:szCs w:val="24"/>
        </w:rPr>
        <w:br/>
        <w:t xml:space="preserve">Decision-makers should </w:t>
      </w:r>
      <w:r w:rsidR="00437766" w:rsidRPr="00EB11D3">
        <w:rPr>
          <w:rFonts w:eastAsia="Cambria"/>
          <w:szCs w:val="24"/>
        </w:rPr>
        <w:t>c</w:t>
      </w:r>
      <w:r w:rsidR="003859C9" w:rsidRPr="00EB11D3">
        <w:rPr>
          <w:rFonts w:eastAsia="Cambria"/>
          <w:szCs w:val="24"/>
        </w:rPr>
        <w:t xml:space="preserve">reate rules that take into account the distinct goals and management styles of faith-based hospitals, allowing them to achieve their objectives for healthcare delivery without being overly burdened. Encourage regular communication between faith-based hospitals and the government to handle regulatory issues and coordinate on healthcare delivery objectives. </w:t>
      </w:r>
    </w:p>
    <w:p w14:paraId="7E0BDF54" w14:textId="77777777" w:rsidR="003859C9" w:rsidRPr="00EB11D3" w:rsidRDefault="003859C9" w:rsidP="00823CEA">
      <w:pPr>
        <w:spacing w:line="360" w:lineRule="auto"/>
        <w:rPr>
          <w:rFonts w:eastAsia="Cambria"/>
          <w:szCs w:val="24"/>
        </w:rPr>
      </w:pPr>
      <w:bookmarkStart w:id="1121" w:name="_Toc103414549"/>
      <w:bookmarkStart w:id="1122" w:name="_Toc117773105"/>
      <w:bookmarkStart w:id="1123" w:name="_Toc100987696"/>
      <w:bookmarkStart w:id="1124" w:name="_Toc124240284"/>
      <w:bookmarkStart w:id="1125" w:name="_Toc126071176"/>
      <w:r w:rsidRPr="00EB11D3">
        <w:rPr>
          <w:rFonts w:eastAsia="Cambria"/>
          <w:szCs w:val="24"/>
        </w:rPr>
        <w:t>Government should think about providing specialized assistance or regulatory relief for faith-based hospitals, particularly in areas that are essential to their operations including compliance, licensing, and reporting. Encourage and assist faith-based hospitals in implementing new services and expanding their capabilities in order to comply with regulations and enhance patient outcomes. Make sure that rules from the government are transparent, foreseeable, and easy to understand. Establish guidelines that will assist faith-based hospitals in complying with the law without sacrificing their moral principles or business operations.</w:t>
      </w:r>
    </w:p>
    <w:p w14:paraId="28839406" w14:textId="77777777" w:rsidR="003859C9" w:rsidRPr="002611D4" w:rsidRDefault="002611D4" w:rsidP="002611D4">
      <w:pPr>
        <w:pStyle w:val="Heading3"/>
      </w:pPr>
      <w:bookmarkStart w:id="1126" w:name="_Toc164151298"/>
      <w:bookmarkStart w:id="1127" w:name="_Toc168673490"/>
      <w:bookmarkStart w:id="1128" w:name="_Toc168737931"/>
      <w:bookmarkStart w:id="1129" w:name="_Toc171602676"/>
      <w:bookmarkStart w:id="1130" w:name="_Toc171603503"/>
      <w:bookmarkStart w:id="1131" w:name="_Toc177387908"/>
      <w:r w:rsidRPr="002611D4">
        <w:t>5</w:t>
      </w:r>
      <w:r w:rsidR="003859C9" w:rsidRPr="002611D4">
        <w:t>.</w:t>
      </w:r>
      <w:r w:rsidRPr="002611D4">
        <w:t>3</w:t>
      </w:r>
      <w:r w:rsidR="003859C9" w:rsidRPr="002611D4">
        <w:t>.2 Recommendations on Practice</w:t>
      </w:r>
      <w:bookmarkEnd w:id="1121"/>
      <w:bookmarkEnd w:id="1122"/>
      <w:bookmarkEnd w:id="1123"/>
      <w:bookmarkEnd w:id="1124"/>
      <w:bookmarkEnd w:id="1125"/>
      <w:bookmarkEnd w:id="1126"/>
      <w:bookmarkEnd w:id="1127"/>
      <w:bookmarkEnd w:id="1128"/>
      <w:bookmarkEnd w:id="1129"/>
      <w:bookmarkEnd w:id="1130"/>
      <w:bookmarkEnd w:id="1131"/>
    </w:p>
    <w:p w14:paraId="5AD2836B" w14:textId="77777777" w:rsidR="003859C9" w:rsidRPr="00EB11D3" w:rsidRDefault="003859C9" w:rsidP="003859C9">
      <w:pPr>
        <w:shd w:val="clear" w:color="auto" w:fill="FFFFFF"/>
        <w:spacing w:after="160" w:line="360" w:lineRule="auto"/>
        <w:rPr>
          <w:rFonts w:eastAsia="Calibri"/>
          <w:szCs w:val="24"/>
        </w:rPr>
      </w:pPr>
      <w:r w:rsidRPr="00EB11D3">
        <w:rPr>
          <w:rFonts w:eastAsia="Cambria"/>
          <w:szCs w:val="24"/>
        </w:rPr>
        <w:t xml:space="preserve">The study showed that each of the tested variables had an effect on </w:t>
      </w:r>
      <w:r w:rsidR="006D5C62" w:rsidRPr="00EB11D3">
        <w:rPr>
          <w:rFonts w:eastAsia="Cambria"/>
          <w:szCs w:val="24"/>
          <w:lang w:val="en"/>
        </w:rPr>
        <w:t>organisational performance of Faith-Based Hospitals</w:t>
      </w:r>
      <w:r w:rsidRPr="00EB11D3">
        <w:rPr>
          <w:rFonts w:eastAsia="Cambria"/>
          <w:szCs w:val="24"/>
          <w:lang w:val="en"/>
        </w:rPr>
        <w:t xml:space="preserve"> in Kenya </w:t>
      </w:r>
      <w:r w:rsidRPr="00EB11D3">
        <w:rPr>
          <w:rFonts w:eastAsia="Cambria"/>
          <w:szCs w:val="24"/>
        </w:rPr>
        <w:t xml:space="preserve">either individually or jointly. The findings suggested that corporate governance in </w:t>
      </w:r>
      <w:r w:rsidR="006D5C62" w:rsidRPr="00EB11D3">
        <w:rPr>
          <w:rFonts w:eastAsia="Cambria"/>
          <w:szCs w:val="24"/>
          <w:lang w:val="en"/>
        </w:rPr>
        <w:t>organisational performance of Faith-Based Hospitals</w:t>
      </w:r>
      <w:r w:rsidRPr="00EB11D3">
        <w:rPr>
          <w:rFonts w:eastAsia="Cambria"/>
          <w:szCs w:val="24"/>
          <w:lang w:val="en"/>
        </w:rPr>
        <w:t xml:space="preserve"> </w:t>
      </w:r>
      <w:r w:rsidRPr="00EB11D3">
        <w:rPr>
          <w:rFonts w:eastAsia="Calibri"/>
          <w:szCs w:val="24"/>
        </w:rPr>
        <w:t xml:space="preserve">increases the productivity thereby enhancing organisational performance. The empirical data generated will be useful to the government and other sectors in formulating policies aimed at improving corporate governance and performance. </w:t>
      </w:r>
      <w:r w:rsidRPr="00EB11D3">
        <w:rPr>
          <w:rFonts w:eastAsia="Cambria"/>
          <w:szCs w:val="24"/>
        </w:rPr>
        <w:t xml:space="preserve">To guarantee accountability and strategic direction, clearly </w:t>
      </w:r>
      <w:r w:rsidRPr="00EB11D3">
        <w:rPr>
          <w:rFonts w:eastAsia="Cambria"/>
          <w:szCs w:val="24"/>
          <w:lang w:val="en"/>
        </w:rPr>
        <w:t xml:space="preserve">faith-based hospitals </w:t>
      </w:r>
      <w:r w:rsidRPr="00EB11D3">
        <w:rPr>
          <w:rFonts w:eastAsia="Cambria"/>
          <w:szCs w:val="24"/>
        </w:rPr>
        <w:t xml:space="preserve">should define the tasks and responsibilities of the board of directors. To establish credibility and trust, </w:t>
      </w:r>
      <w:r w:rsidRPr="00EB11D3">
        <w:rPr>
          <w:rFonts w:eastAsia="Cambria"/>
          <w:szCs w:val="24"/>
          <w:lang w:val="en"/>
        </w:rPr>
        <w:t xml:space="preserve">faith-based hospitals should </w:t>
      </w:r>
      <w:r w:rsidRPr="00EB11D3">
        <w:rPr>
          <w:rFonts w:eastAsia="Cambria"/>
          <w:szCs w:val="24"/>
        </w:rPr>
        <w:t>use open and honest decision-making procedures and consistent communication with stakeholders, encourage a company culture built on moral precepts and religious beliefs, and make sure that these values are reflected in every aspect of the business, build the organization's leadership capabilities to lead innovation in healthcare services and overcome obstacles. Establish closer relationships with the neighborhood to better understand and address its healthcare needs, ensuring that services are in line with the goals of faith-based care. Respect the rules governing healthcare as well as moral principles to protect patients and provide high-quality care.</w:t>
      </w:r>
    </w:p>
    <w:p w14:paraId="59088686"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lang w:val="en"/>
        </w:rPr>
        <w:t xml:space="preserve">Faith-based hospitals should </w:t>
      </w:r>
      <w:r w:rsidRPr="00EB11D3">
        <w:rPr>
          <w:rFonts w:eastAsia="Cambria"/>
          <w:szCs w:val="24"/>
        </w:rPr>
        <w:t>encourage employees to take part in training courses that cover customer service, quality control, and innovative service methods. Giving staff members continual learning opportunities can improve their abilities and expertise, enabling them to support organizational innovation projects. Encourage an environment at work where experimentation, creativity, and teamwork are valued. Encourage employees to come up with and discuss ideas for enhancing patient care and offerings. Acknowledge and honor creative initiatives to inspire staff members and sustain an inventive culture. Get input on healthcare services from patients, their families, and community members to learn about their needs, preferences, and expectations. Engage stakeholders in the process of designing and improving services to make sure that innovations meet their needs and improve results.</w:t>
      </w:r>
    </w:p>
    <w:p w14:paraId="371D96AD" w14:textId="77777777" w:rsidR="003859C9" w:rsidRPr="00EB11D3" w:rsidRDefault="003859C9" w:rsidP="003859C9">
      <w:pPr>
        <w:shd w:val="clear" w:color="auto" w:fill="FFFFFF"/>
        <w:spacing w:after="160" w:line="360" w:lineRule="auto"/>
        <w:rPr>
          <w:rFonts w:eastAsia="Cambria"/>
          <w:szCs w:val="24"/>
        </w:rPr>
      </w:pPr>
      <w:bookmarkStart w:id="1132" w:name="_Hlk170923890"/>
      <w:r w:rsidRPr="00EB11D3">
        <w:rPr>
          <w:rFonts w:eastAsia="Cambria"/>
          <w:szCs w:val="24"/>
        </w:rPr>
        <w:t xml:space="preserve">To improve service delivery and efficiency, </w:t>
      </w:r>
      <w:r w:rsidRPr="00EB11D3">
        <w:rPr>
          <w:rFonts w:eastAsia="Cambria"/>
          <w:szCs w:val="24"/>
          <w:lang w:val="en"/>
        </w:rPr>
        <w:t xml:space="preserve">faith-based hospitals should </w:t>
      </w:r>
      <w:r w:rsidRPr="00EB11D3">
        <w:rPr>
          <w:rFonts w:eastAsia="Cambria"/>
          <w:szCs w:val="24"/>
        </w:rPr>
        <w:t>embrace advances made possible by technology, such as telemedicine, electronic health records, and mobile health app</w:t>
      </w:r>
      <w:r w:rsidR="00125FC2" w:rsidRPr="00EB11D3">
        <w:rPr>
          <w:rFonts w:eastAsia="Cambria"/>
          <w:szCs w:val="24"/>
        </w:rPr>
        <w:t>lications</w:t>
      </w:r>
      <w:r w:rsidRPr="00EB11D3">
        <w:rPr>
          <w:rFonts w:eastAsia="Cambria"/>
          <w:szCs w:val="24"/>
        </w:rPr>
        <w:t xml:space="preserve">. Invest in strong IT systems and infrastructure that encourage creativity and help healthcare providers communicate and work together. </w:t>
      </w:r>
      <w:bookmarkEnd w:id="1132"/>
      <w:r w:rsidRPr="00EB11D3">
        <w:rPr>
          <w:rFonts w:eastAsia="Cambria"/>
          <w:szCs w:val="24"/>
        </w:rPr>
        <w:t xml:space="preserve">Establish collaborations with other healthcare organizations, educational institutions, governmental bodies, and nonprofit groups to share best practices, foster knowledge sharing, and pool resources for creative endeavors. Working together can result in the creation of novel solutions to shared problems that enhance patient care throughout the healthcare system. Create key performance indicators (KPIs) to evaluate how service innovations affect the performance of the organization. </w:t>
      </w:r>
    </w:p>
    <w:p w14:paraId="052A3614"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lang w:val="en"/>
        </w:rPr>
        <w:t xml:space="preserve">Faith-based hospitals should </w:t>
      </w:r>
      <w:r w:rsidRPr="00EB11D3">
        <w:rPr>
          <w:rFonts w:eastAsia="Cambria"/>
          <w:szCs w:val="24"/>
        </w:rPr>
        <w:t>Keep a close eye on innovation projects</w:t>
      </w:r>
      <w:r w:rsidR="00125FC2" w:rsidRPr="00EB11D3">
        <w:rPr>
          <w:rFonts w:eastAsia="Cambria"/>
          <w:szCs w:val="24"/>
        </w:rPr>
        <w:t xml:space="preserve"> that</w:t>
      </w:r>
      <w:r w:rsidRPr="00EB11D3">
        <w:rPr>
          <w:rFonts w:eastAsia="Cambria"/>
          <w:szCs w:val="24"/>
        </w:rPr>
        <w:t xml:space="preserve"> impact on patient outcomes, satisfaction, operational effectiveness, and long-term financial viability. Make well-informed decisions regarding the allocation of resources and strategy by utilizing data-driven insights to pinpoint areas that require development. Gain support and buy-in from the leadership for service innovation projects by outlining the advantages that could arise in terms of better patient care, enhanced organizational reputation, and long-term viability. Give leaders the authority to promote innovation initiatives and allot funds for such initiatives. Understand that the process of innovation is iterative and involves trial and error as well as learning from both successes and mistakes. Encourage employees to adopt a resilient and continuous improvement mindset so they can accept change and adjust to changing patient needs and market conditions.</w:t>
      </w:r>
    </w:p>
    <w:p w14:paraId="3F695ED4"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It is imperative for faith-based hospitals to proactively interact with government agencies and lawmakers in order to champion policies that are equitable, transparent, and aligned with their primary objective of rendering healthcare services. To make sure that the interests of faith-based hospitals are reflected, this may entail taking part in policy discussions, offering feedback on new rules, and cultivating connections with important parties. It is imperative that faith-based hospitals prioritize observing current regulations and be ready to adjust to new ones when they become necessary. This could entail putting money into staff development and training to make sure workers are aware of pertinent laws and regulations as well as putting systems and procedures in place to make compliance reporting and monitoring easier. </w:t>
      </w:r>
    </w:p>
    <w:p w14:paraId="4867C262"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It is important for faith-based hospitals to prepare strategically in order to foresee and lessen the effects of governmental laws on internal operations. In order to maintain or improve performance in the face of regulatory obstacles, this may entail regularly assessing the risks and opportunities associated with regulations, strategically allocating resources to meet compliance requirements, and identifying possibilities for innovation and development. Faith-based hospitals can exchange resources, best practices, and regulatory navigating experience by working together with other healthcare providers, governmental bodies, and non-governmental groups. Faith-based hospitals can enhance their ability to adapt to regulatory changes and enhance organizational performance by forming alliances and networks. </w:t>
      </w:r>
    </w:p>
    <w:p w14:paraId="4F98FB7F" w14:textId="77777777" w:rsidR="003859C9" w:rsidRPr="00EB11D3" w:rsidRDefault="003859C9" w:rsidP="003859C9">
      <w:pPr>
        <w:shd w:val="clear" w:color="auto" w:fill="FFFFFF"/>
        <w:spacing w:after="160" w:line="360" w:lineRule="auto"/>
        <w:rPr>
          <w:rFonts w:eastAsia="Cambria"/>
          <w:szCs w:val="24"/>
        </w:rPr>
      </w:pPr>
      <w:bookmarkStart w:id="1133" w:name="_Toc117773106"/>
      <w:bookmarkStart w:id="1134" w:name="_Toc124240285"/>
      <w:bookmarkStart w:id="1135" w:name="_Toc126071177"/>
      <w:r w:rsidRPr="00EB11D3">
        <w:rPr>
          <w:rFonts w:eastAsia="Cambria"/>
          <w:szCs w:val="24"/>
        </w:rPr>
        <w:t>By actively engaging in research, advocacy, and knowledge-sharing initiatives targeted at addressing regulatory challenges and promoting reforms that support the delivery of high-quality, affordable, and accessible healthcare services, faith-based hospitals can help advance healthcare policies. It is important for faith-based hospitals to interact with the community in order to spread knowledge about how government restrictions affect healthcare delivery and organizational performance. For the purpose of enabling community people to support policies that uphold the goals and principles of faith-based healthcare providers, this may entail setting up community forums, carrying out outreach initiatives, and offering instructional materials.</w:t>
      </w:r>
    </w:p>
    <w:p w14:paraId="3AF5256F" w14:textId="77777777" w:rsidR="003859C9" w:rsidRPr="002611D4" w:rsidRDefault="002611D4" w:rsidP="002611D4">
      <w:pPr>
        <w:pStyle w:val="Heading3"/>
      </w:pPr>
      <w:bookmarkStart w:id="1136" w:name="_Toc164151299"/>
      <w:bookmarkStart w:id="1137" w:name="_Toc168673491"/>
      <w:bookmarkStart w:id="1138" w:name="_Toc168737932"/>
      <w:bookmarkStart w:id="1139" w:name="_Toc171602677"/>
      <w:bookmarkStart w:id="1140" w:name="_Toc171603504"/>
      <w:bookmarkStart w:id="1141" w:name="_Toc177387909"/>
      <w:r w:rsidRPr="002611D4">
        <w:t>5</w:t>
      </w:r>
      <w:r w:rsidR="003859C9" w:rsidRPr="002611D4">
        <w:t>.</w:t>
      </w:r>
      <w:r w:rsidRPr="002611D4">
        <w:t>3</w:t>
      </w:r>
      <w:r w:rsidR="003859C9" w:rsidRPr="002611D4">
        <w:t>.3 Implication for Theory</w:t>
      </w:r>
      <w:bookmarkEnd w:id="1133"/>
      <w:bookmarkEnd w:id="1134"/>
      <w:bookmarkEnd w:id="1135"/>
      <w:bookmarkEnd w:id="1136"/>
      <w:bookmarkEnd w:id="1137"/>
      <w:bookmarkEnd w:id="1138"/>
      <w:bookmarkEnd w:id="1139"/>
      <w:bookmarkEnd w:id="1140"/>
      <w:bookmarkEnd w:id="1141"/>
    </w:p>
    <w:p w14:paraId="69A9D52F"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The study has reviewed expansive literature on </w:t>
      </w:r>
      <w:r w:rsidR="006D5C62" w:rsidRPr="00EB11D3">
        <w:rPr>
          <w:rFonts w:eastAsia="Cambria"/>
          <w:szCs w:val="24"/>
          <w:lang w:val="en"/>
        </w:rPr>
        <w:t>organisational performance of Faith-Based Hospitals</w:t>
      </w:r>
      <w:r w:rsidRPr="00EB11D3">
        <w:rPr>
          <w:rFonts w:eastAsia="Cambria"/>
          <w:szCs w:val="24"/>
        </w:rPr>
        <w:t xml:space="preserve">. Empirical studies already undertaken have paid little attention on the interactions between corporate governance, service innovation, government regulations and </w:t>
      </w:r>
      <w:r w:rsidR="006D5C62" w:rsidRPr="00EB11D3">
        <w:rPr>
          <w:rFonts w:eastAsia="Cambria"/>
          <w:szCs w:val="24"/>
          <w:lang w:val="en"/>
        </w:rPr>
        <w:t>organisational performance of Faith-Based Hospitals</w:t>
      </w:r>
      <w:r w:rsidRPr="00EB11D3">
        <w:rPr>
          <w:rFonts w:eastAsia="Cambria"/>
          <w:szCs w:val="24"/>
        </w:rPr>
        <w:t xml:space="preserve">. Not so much focus has been made on corporate governance and </w:t>
      </w:r>
      <w:r w:rsidR="006D5C62" w:rsidRPr="00EB11D3">
        <w:rPr>
          <w:rFonts w:eastAsia="Cambria"/>
          <w:szCs w:val="24"/>
          <w:lang w:val="en"/>
        </w:rPr>
        <w:t>organisational performance of Faith-Based Hospitals</w:t>
      </w:r>
      <w:r w:rsidRPr="00EB11D3">
        <w:rPr>
          <w:rFonts w:eastAsia="Cambria"/>
          <w:szCs w:val="24"/>
          <w:lang w:val="en"/>
        </w:rPr>
        <w:t xml:space="preserve"> </w:t>
      </w:r>
      <w:r w:rsidRPr="00EB11D3">
        <w:rPr>
          <w:rFonts w:eastAsia="Cambria"/>
          <w:szCs w:val="24"/>
        </w:rPr>
        <w:t xml:space="preserve">and hence the rationale for this study. This research attempted to address contextual gaps that relate to </w:t>
      </w:r>
      <w:bookmarkStart w:id="1142" w:name="_Hlk161916739"/>
      <w:r w:rsidRPr="00EB11D3">
        <w:rPr>
          <w:rFonts w:eastAsia="Cambria"/>
          <w:szCs w:val="24"/>
        </w:rPr>
        <w:t xml:space="preserve">corporate governance, service innovation, government regulations and </w:t>
      </w:r>
      <w:r w:rsidR="006D5C62" w:rsidRPr="00EB11D3">
        <w:rPr>
          <w:rFonts w:eastAsia="Cambria"/>
          <w:szCs w:val="24"/>
          <w:lang w:val="en"/>
        </w:rPr>
        <w:t>organisational performance of Faith-Based Hospitals</w:t>
      </w:r>
      <w:r w:rsidRPr="00EB11D3">
        <w:rPr>
          <w:rFonts w:eastAsia="Cambria"/>
          <w:szCs w:val="24"/>
        </w:rPr>
        <w:t xml:space="preserve">. </w:t>
      </w:r>
      <w:bookmarkEnd w:id="1142"/>
      <w:r w:rsidRPr="00EB11D3">
        <w:rPr>
          <w:rFonts w:eastAsia="Cambria"/>
          <w:szCs w:val="24"/>
        </w:rPr>
        <w:t xml:space="preserve">The study found that corporate governance had a positive effect on corporate governance, service innovation, government regulations and </w:t>
      </w:r>
      <w:r w:rsidR="006D5C62" w:rsidRPr="00EB11D3">
        <w:rPr>
          <w:rFonts w:eastAsia="Cambria"/>
          <w:szCs w:val="24"/>
          <w:lang w:val="en"/>
        </w:rPr>
        <w:t>organisational performance of Faith-Based Hospitals</w:t>
      </w:r>
      <w:r w:rsidRPr="00EB11D3">
        <w:rPr>
          <w:rFonts w:eastAsia="Cambria"/>
          <w:szCs w:val="24"/>
        </w:rPr>
        <w:t xml:space="preserve"> in Kenya. </w:t>
      </w:r>
    </w:p>
    <w:p w14:paraId="33645F51" w14:textId="77777777" w:rsidR="003859C9" w:rsidRPr="00EB11D3" w:rsidRDefault="00C03581" w:rsidP="003859C9">
      <w:pPr>
        <w:shd w:val="clear" w:color="auto" w:fill="FFFFFF"/>
        <w:spacing w:after="160" w:line="360" w:lineRule="auto"/>
        <w:rPr>
          <w:rFonts w:eastAsia="Cambria"/>
          <w:szCs w:val="24"/>
        </w:rPr>
      </w:pPr>
      <w:r w:rsidRPr="00EB11D3">
        <w:rPr>
          <w:rFonts w:eastAsia="Cambria"/>
          <w:szCs w:val="24"/>
        </w:rPr>
        <w:t>Since</w:t>
      </w:r>
      <w:r w:rsidR="003859C9" w:rsidRPr="00EB11D3">
        <w:rPr>
          <w:rFonts w:eastAsia="Cambria"/>
          <w:szCs w:val="24"/>
        </w:rPr>
        <w:t xml:space="preserve"> they rely on donations and charity contributions, faith-based hospitals in Kenya may experience resource difficulties, especially with regard to money. Good corporate governance standards improve accountability, transparency, and financial stewardship, which can assist these hospitals in diversifying their resource base. Faith-based hospitals can reduce resource constraint and enhance organizational performance by drawing in a larger spectrum of donors and partners through reliable governance frameworks. The power relations between companies and their resource providers are emphasized by RDT. In Kenya, faith-based hospitals frequently depend on funding for things like medical supplies, infrastructure, and staff from charitable groups, governmental bodies, and religious institutions. </w:t>
      </w:r>
    </w:p>
    <w:p w14:paraId="2CA967D7"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The makeup of the board and the procedures used for making decisions are examples of corporate governance systems that can affect the hospitals' capacity to establish and uphold agreements with these resource suppliers. Strong governance systems may provide hospitals greater negotiating leverage and access to vital resources, improving organizational performance. </w:t>
      </w:r>
    </w:p>
    <w:p w14:paraId="7A016C88"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In order to respond to environmental risks, resource mobilization and allocation techniques are crucial, as shown by RDT. The dynamic healthcare scene in Kenya, where faith-based institutions operate, is marked by evolving legislative frameworks, technology breakthroughs, and demographic transitions.</w:t>
      </w:r>
      <w:r w:rsidR="00C862FA" w:rsidRPr="00EB11D3">
        <w:rPr>
          <w:rFonts w:eastAsia="Cambria"/>
          <w:szCs w:val="24"/>
        </w:rPr>
        <w:t xml:space="preserve"> </w:t>
      </w:r>
      <w:r w:rsidRPr="00EB11D3">
        <w:rPr>
          <w:rFonts w:eastAsia="Cambria"/>
          <w:szCs w:val="24"/>
        </w:rPr>
        <w:t xml:space="preserve">By assuring responsible financial management, promoting an innovative culture, and coordinating organizational goals with stakeholder expectations, effective corporate governance helps these hospitals deploy resources effectively. Faith-based hospitals can improve their performance and sustainability by allocating resources based on strategic priorities and community needs. Faith-based hospitals can create new and better healthcare services that are customized to the requirements of their communities thanks to service innovation. Through cutting-edge services like community health outreach initiatives or specialized medical treatments, these hospitals can lessen their reliance on outside funding sources like grants or donations. </w:t>
      </w:r>
    </w:p>
    <w:p w14:paraId="23AD9DE9"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This is in line with the RDT concept, which states that building internal capabilities and resources can lessen reliance on outside sources. Faith-based hospitals can draw in a variety of funding sources outside of government grants and traditional donors by implementing innovative service offerings. For instance, these institutions can make money from insurance reimbursements or private patients by offering cutting-edge healthcare treatments that appeal to a wider patient population. According to RDT, the hospitals' resilience and autonomy are increased by this financing source diversification, which lessens their reliance on any one outside source. By showing that faith-based hospitals in Kenya are committed to using creative approaches to meet community healthcare needs, service innovation might help these institutions gain more credibility. </w:t>
      </w:r>
    </w:p>
    <w:p w14:paraId="568FBAE6"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According to RDT, these hospitals can increase their legitimacy and social relevance by providing high-quality, culturally sensitive healthcare services that live up to community expectations. This will increase their access to vital outside resources like community partnerships or government support. Governmental organizations, non-governmental organizations (NGOs), faith-based hospitals, and other stakeholders may be able to form strategic alliances and collaborations with the help of service innovation. In keeping with RDT principles, cooperative efforts to create and execute creative healthcare solutions can improve resource sharing, knowledge exchange, and group problem-solving. This can lessen reliance on any one external resource and promote organizational resilience. </w:t>
      </w:r>
    </w:p>
    <w:p w14:paraId="6301FFCA"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Stakeholder theory states that when making managerial decisions, businesses must take a variety of stakeholders' interests into account. Thus, a stakeholder approach to corporate governance can be understood as requiring active stakeholder participation as well as resulting from it. Stakeholder engagement processes include anything from identifying important stakeholders to forming partnerships and teams for long-term projects. Although the board should not be involved in the tactical implementation of stakeholder management programs, it should make sure that the corporation is cognizant of stakeholder requirements and considers them for instrumental or normative reasons when making board decisions and corporate strategy.</w:t>
      </w:r>
    </w:p>
    <w:p w14:paraId="5EBEDA59"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According to Enric Ricart, Ángel Rodríguez and Sánchez (2005), the most successful businesses when it comes to corporate sustainability actively and purposefully include and engage stakeholders more than other businesses. The availability of resources for faith-based hospitals in Kenya may be impacted by government laws. These hospitals may experience resource shortages as a result of rigorous rules or changes in government policy that limit access to money, medical supplies, or people. The lack of resources may make faith-based hospitals more reliant on money and resources from the government or other outside sources. In order to mitigate resource dependence, RDT highlights the significance of interorganizational interactions. </w:t>
      </w:r>
    </w:p>
    <w:p w14:paraId="5ACB6CBC"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In order to circumvent the resource limits imposed by government rules, faith-based hospitals may need to form strategic alliances or collaborations with other healthcare providers, government agencies, or non-governmental organizations (NGOs). Through resource sharing and reciprocal support, collaborative arrangements can improve organizational performance and assist reduce the negative effects of regulatory changes. </w:t>
      </w:r>
      <w:r w:rsidR="006E0E04" w:rsidRPr="00EB11D3">
        <w:rPr>
          <w:rFonts w:eastAsia="Cambria"/>
          <w:szCs w:val="24"/>
        </w:rPr>
        <w:t xml:space="preserve">The </w:t>
      </w:r>
      <w:r w:rsidRPr="00EB11D3">
        <w:rPr>
          <w:rFonts w:eastAsia="Cambria"/>
          <w:szCs w:val="24"/>
        </w:rPr>
        <w:t xml:space="preserve">RDT claims that companies use adaptive tactics to control their dependency and improve efficiency. Kenyan faith-based hospitals could have to create flexible plans in reaction to new laws. To lessen reliance on certain external resources impacted by regulatory changes, this may entail investing in capacity-building projects, diversifying financing sources, or investigating alternate revenue streams. </w:t>
      </w:r>
    </w:p>
    <w:p w14:paraId="4917516C" w14:textId="77777777" w:rsidR="003859C9" w:rsidRPr="00EB11D3" w:rsidRDefault="006E0E04" w:rsidP="003859C9">
      <w:pPr>
        <w:shd w:val="clear" w:color="auto" w:fill="FFFFFF"/>
        <w:spacing w:after="160" w:line="360" w:lineRule="auto"/>
        <w:rPr>
          <w:rFonts w:eastAsia="Cambria"/>
          <w:szCs w:val="24"/>
        </w:rPr>
      </w:pPr>
      <w:r w:rsidRPr="00EB11D3">
        <w:rPr>
          <w:rFonts w:eastAsia="Cambria"/>
          <w:szCs w:val="24"/>
        </w:rPr>
        <w:t xml:space="preserve">The </w:t>
      </w:r>
      <w:r w:rsidR="003859C9" w:rsidRPr="00EB11D3">
        <w:rPr>
          <w:rFonts w:eastAsia="Cambria"/>
          <w:szCs w:val="24"/>
        </w:rPr>
        <w:t xml:space="preserve">RDT highlights how crucial organizational legitimacy is to obtaining vital resources. Government rules may have an impact on Kenyan faith-based hospitals' perceived legitimacy, especially in regards to their compliance with legal and moral obligations. Adherence to regulations has the potential to bolster the credibility of a company and simplify the acquisition of resources, so improving its overall performance. </w:t>
      </w:r>
      <w:r w:rsidRPr="00EB11D3">
        <w:rPr>
          <w:rFonts w:eastAsia="Cambria"/>
          <w:szCs w:val="24"/>
        </w:rPr>
        <w:t xml:space="preserve">The </w:t>
      </w:r>
      <w:r w:rsidR="003859C9" w:rsidRPr="00EB11D3">
        <w:rPr>
          <w:rFonts w:eastAsia="Cambria"/>
          <w:szCs w:val="24"/>
        </w:rPr>
        <w:t>RDT recommends that organizations take part in lobbying and advocacy campaigns to sway regulatory decisions in their favor. In Kenya, faith-based hospitals may push for legislative changes that further their goals and improve their capacity to provide high-quality treatment. Faith-based hospitals can influence regulatory settings to better fulfill their resource demands and enhance organizational performance by actively engaging with legislators and stakeholders.</w:t>
      </w:r>
    </w:p>
    <w:p w14:paraId="1E9B7002"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The relationship between principals, such as owners or shareholders, and agents, such as managers or executives, is examined by agency theory along with how conflicts of interest between them may affect organizational outcomes. Government rules may act as external mechanisms to help the hospital's principals' interests and those of stakeholders, including as funders, patients, and the government. The government seeks to guarantee that the hospital's actions align with stakeholder interests by enforcing legislation pertaining to financial transparency, ethical standards, and quality of care. These measures are expected to enhance organizational performance. In order to guarantee adherence to legal mandates and standards, government rules frequently incorporate monitoring and control measures.</w:t>
      </w:r>
    </w:p>
    <w:p w14:paraId="4C24B30D"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Government rules can serve as external monitoring mechanisms in the case of faith-based hospitals, which may have religious objectives and beliefs. This helps guard against agency issues like moral hazard and adverse selection, which can result from stakeholders' differing interests. Better organizational performance may result from improving hospital management's transparency and accountability. On the other hand, overbearing or onerous government rules could put faith-based hospitals under more financial strain and limit their capacity to operate as an institution to the best of their abilities. Adhering to regulatory mandates could take funds away from mission-driven initiatives and patient care, which would result in inefficiencies and decreased efficacy in providing healthcare services.</w:t>
      </w:r>
    </w:p>
    <w:p w14:paraId="36F5C7A6"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Regulations that go against the stakeholders' religious principles or views may also cause friction and make implementation difficult, which would worsen performance. According to agency theory, agents may act opportunistically in order to further their personal goals at the expense of principals. Government rules may prompt management of faith-based hospitals to innovate and modify their plans and practices in order to meet legal obligations and further the goals and missions of the hospital. Positive results, including better service delivery and organizational performance, can come from this continuous process of innovation and adaptation.</w:t>
      </w:r>
    </w:p>
    <w:p w14:paraId="0DF9018D"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Kenyan government laws, including those pertaining to patient safety, quality standards, and licensing requirements, are designed to guarantee that the public receives top-notch medical care from faith-based institutions. The government is trying to protect people's health and welfare by implementing these rules, which is in line with the general public's desire to have access to high-quality, affordable healthcare. Policies pertaining to cost, availability, and accessibility facilitate fair access to medical treatment for people from various socioeconomic backgrounds. Faith-based hospitals are required to abide by these rules in order to guarantee that healthcare services are available to all members of society, regardless of their financial situation or geographic location, as they receive government financing or regulatory monitoring.</w:t>
      </w:r>
    </w:p>
    <w:p w14:paraId="24BD3453" w14:textId="77777777" w:rsidR="003859C9" w:rsidRPr="00EB11D3" w:rsidRDefault="003859C9" w:rsidP="003859C9">
      <w:pPr>
        <w:shd w:val="clear" w:color="auto" w:fill="FFFFFF"/>
        <w:spacing w:after="160" w:line="360" w:lineRule="auto"/>
        <w:rPr>
          <w:rFonts w:eastAsia="Cambria"/>
          <w:szCs w:val="24"/>
        </w:rPr>
      </w:pPr>
      <w:r w:rsidRPr="00EB11D3">
        <w:rPr>
          <w:rFonts w:eastAsia="Cambria"/>
          <w:szCs w:val="24"/>
        </w:rPr>
        <w:t xml:space="preserve">Government rules may also be aimed at encouraging moral behavior, openness, and responsibility in faith-based hospitals. The public interest is protected by requirements pertaining to financial reporting, governance structures, and conflict of interest procedures, which guarantee that hospital management acts honorably and morally. According to public interest theory, in order to effectively meet societal needs, government rules should promote cooperation between faith-based hospitals and the larger society. Hospitals may be encouraged by regulations to participate in collaborations with local stakeholders, health education campaigns, and community outreach activities in order to advance public health and </w:t>
      </w:r>
      <w:r w:rsidR="00EB6BE1">
        <w:rPr>
          <w:rFonts w:eastAsia="Cambria"/>
          <w:szCs w:val="24"/>
        </w:rPr>
        <w:t>well-being</w:t>
      </w:r>
      <w:r w:rsidRPr="00EB11D3">
        <w:rPr>
          <w:rFonts w:eastAsia="Cambria"/>
          <w:szCs w:val="24"/>
        </w:rPr>
        <w:t>. Government rules must be followed by faith-based hospitals, and they must also go through regular audits or inspections to make sure all legal requirements and standards are being followed. By keeping hospitals responsible for their activities and making sure they follow social norms and values, regulatory monitoring serves to protect the public interest.</w:t>
      </w:r>
    </w:p>
    <w:p w14:paraId="098D0D2D" w14:textId="77777777" w:rsidR="003859C9" w:rsidRPr="00EB11D3" w:rsidRDefault="003859C9" w:rsidP="003859C9">
      <w:pPr>
        <w:shd w:val="clear" w:color="auto" w:fill="FFFFFF"/>
        <w:spacing w:after="160" w:line="360" w:lineRule="auto"/>
        <w:rPr>
          <w:rFonts w:eastAsia="Cambria"/>
          <w:szCs w:val="24"/>
        </w:rPr>
      </w:pPr>
      <w:bookmarkStart w:id="1143" w:name="_Hlk170924197"/>
      <w:r w:rsidRPr="00EB11D3">
        <w:rPr>
          <w:rFonts w:eastAsia="Cambria"/>
          <w:szCs w:val="24"/>
        </w:rPr>
        <w:t>By using innovative services, faith-based hospitals in Kenya can find new market niches where they can serve underprivileged groups or religious communities with unique requirements and preferences. This fits with the notion of disruptive innovation, which postulates that disruptive technologies frequently appear in market niches that are neglected or underserved and eventually pose a challenge to well-established incumbents. Innovation in services provided by faith-based hospitals could result in the creation of more affordable medical options without sacrificing quality.</w:t>
      </w:r>
      <w:bookmarkEnd w:id="1143"/>
      <w:r w:rsidRPr="00EB11D3">
        <w:rPr>
          <w:rFonts w:eastAsia="Cambria"/>
          <w:szCs w:val="24"/>
        </w:rPr>
        <w:t xml:space="preserve"> This is consistent with the disruptive innovation idea, which emphasizes technologies that provide easier-to-use, more reasonably priced substitutes for already-existing goods or services, democratizing access to healthcare and upending established healthcare delivery paradigms. </w:t>
      </w:r>
    </w:p>
    <w:p w14:paraId="033F3398" w14:textId="77777777" w:rsidR="003859C9" w:rsidRPr="00EB11D3" w:rsidRDefault="003859C9" w:rsidP="003859C9">
      <w:pPr>
        <w:shd w:val="clear" w:color="auto" w:fill="FFFFFF"/>
        <w:spacing w:after="160" w:line="360" w:lineRule="auto"/>
        <w:rPr>
          <w:rFonts w:eastAsia="Cambria"/>
          <w:szCs w:val="24"/>
        </w:rPr>
      </w:pPr>
      <w:bookmarkStart w:id="1144" w:name="_Hlk170924252"/>
      <w:r w:rsidRPr="00EB11D3">
        <w:rPr>
          <w:rFonts w:eastAsia="Cambria"/>
          <w:szCs w:val="24"/>
        </w:rPr>
        <w:t>The use of technology, such as telemedicine, mobile health apps, or electronic health records, into healthcare delivery systems is one example of service innovation in faith-based institutions. This technological integration can make healthcare services more accessible and efficient, which is in line with the disruptive innovation idea, which emphasizes how technology can change sectors and open up new markets. Faith-based hospitals' service innovation initiatives have the potential to challenge the dominance of established healthcare providers in the healthcare industry and provide patients more control over their healthcare decisions. This is consistent with the disruptive innovation theory's claim that disruptive breakthroughs frequently upend established hierarchies of power and reassign decision-making authority. Faith-based hospitals may encourage collaborative ecosystems through service innovation, including alliances with tech firms, healthcare entrepreneurs, and other stakeholders. The disruptive innovation theory emphasizes the significance of ecosystem dynamics in propelling innovation and industrial transformation, which is in line with this collaborative approach to innovation.</w:t>
      </w:r>
      <w:bookmarkStart w:id="1145" w:name="_Toc78303076"/>
      <w:bookmarkStart w:id="1146" w:name="_Toc86857684"/>
      <w:bookmarkStart w:id="1147" w:name="_Toc87895812"/>
      <w:bookmarkStart w:id="1148" w:name="_Toc126071178"/>
    </w:p>
    <w:p w14:paraId="2AAB0332" w14:textId="77777777" w:rsidR="003859C9" w:rsidRPr="002611D4" w:rsidRDefault="002611D4" w:rsidP="002611D4">
      <w:pPr>
        <w:pStyle w:val="Heading2"/>
        <w:spacing w:line="360" w:lineRule="auto"/>
      </w:pPr>
      <w:bookmarkStart w:id="1149" w:name="_Toc177387910"/>
      <w:bookmarkEnd w:id="1144"/>
      <w:r w:rsidRPr="002611D4">
        <w:t>5.4</w:t>
      </w:r>
      <w:r w:rsidR="003859C9" w:rsidRPr="002611D4">
        <w:t xml:space="preserve"> Suggestions for Future Research</w:t>
      </w:r>
      <w:bookmarkEnd w:id="1145"/>
      <w:bookmarkEnd w:id="1146"/>
      <w:bookmarkEnd w:id="1147"/>
      <w:bookmarkEnd w:id="1148"/>
      <w:bookmarkEnd w:id="1149"/>
    </w:p>
    <w:p w14:paraId="7DA658C0" w14:textId="77777777" w:rsidR="003859C9" w:rsidRPr="00EB11D3" w:rsidRDefault="003859C9" w:rsidP="002611D4">
      <w:pPr>
        <w:shd w:val="clear" w:color="auto" w:fill="FFFFFF"/>
        <w:spacing w:after="160" w:line="360" w:lineRule="auto"/>
        <w:rPr>
          <w:rFonts w:eastAsia="Calibri"/>
          <w:szCs w:val="24"/>
          <w:lang w:val="en-GB"/>
        </w:rPr>
      </w:pPr>
      <w:r w:rsidRPr="00EB11D3">
        <w:rPr>
          <w:rFonts w:eastAsia="Calibri"/>
          <w:szCs w:val="24"/>
          <w:lang w:val="en-GB"/>
        </w:rPr>
        <w:t xml:space="preserve">This study has examined the interactions </w:t>
      </w:r>
      <w:r w:rsidRPr="00EB11D3">
        <w:rPr>
          <w:rFonts w:eastAsia="Calibri"/>
          <w:szCs w:val="24"/>
        </w:rPr>
        <w:t xml:space="preserve">between corporate governance, service innovation, government regulations and </w:t>
      </w:r>
      <w:r w:rsidR="006D5C62" w:rsidRPr="00EB11D3">
        <w:rPr>
          <w:rFonts w:eastAsia="Calibri"/>
          <w:szCs w:val="24"/>
          <w:lang w:val="en"/>
        </w:rPr>
        <w:t>organisational performance of Faith-Based Hospitals</w:t>
      </w:r>
      <w:r w:rsidRPr="00EB11D3">
        <w:rPr>
          <w:rFonts w:eastAsia="Calibri"/>
          <w:szCs w:val="24"/>
        </w:rPr>
        <w:t xml:space="preserve"> in Kenya</w:t>
      </w:r>
      <w:r w:rsidRPr="00EB11D3">
        <w:rPr>
          <w:rFonts w:eastAsia="Calibri"/>
          <w:szCs w:val="24"/>
          <w:lang w:val="en-GB"/>
        </w:rPr>
        <w:t xml:space="preserve">. </w:t>
      </w:r>
    </w:p>
    <w:p w14:paraId="71A7A872"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Investigate the long-term impacts of government laws, service innovation programs, and corporate governance standards on the organizational performance of faith-based hospitals</w:t>
      </w:r>
      <w:r w:rsidR="00F865BE">
        <w:rPr>
          <w:rFonts w:eastAsia="Calibri"/>
          <w:szCs w:val="24"/>
        </w:rPr>
        <w:t xml:space="preserve"> in Kenya</w:t>
      </w:r>
      <w:r w:rsidRPr="00EB11D3">
        <w:rPr>
          <w:rFonts w:eastAsia="Calibri"/>
          <w:szCs w:val="24"/>
        </w:rPr>
        <w:t xml:space="preserve"> using longitudinal studies. This would shed light on how long-lasting and sustainable certain elements are. In Kenya, contrast the corporate governance frameworks, service innovation tactics, and regulatory landscapes of faith-based and secular hospitals. This comparison investigation could help clarify the particular difficulties and advantages encountered by faith-based healthcare providers and advance knowledge of the dynamics of their operations. </w:t>
      </w:r>
    </w:p>
    <w:p w14:paraId="47F6106E"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 xml:space="preserve">Conduct qualitative research using focus groups and interviews to learn about the opinions, attitudes, and experiences of important stakeholders about corporate governance, service innovation, legal requirements, and organizational performance in faith-based hospitals. These stakeholders include hospital administrators, medical professionals, patients, and regulatory authorities. Examine particular examples of effective or unsuccessful corporate governance procedures, service innovation initiatives, regulatory compliance efforts, and their effects on organizational performance by conducting in-depth case studies of individual faith-based hospitals in Kenya. These case studies may offer other faith-based healthcare providers insightful information on excellent practices and lessons discovered. </w:t>
      </w:r>
    </w:p>
    <w:p w14:paraId="45E11EE8" w14:textId="77777777" w:rsidR="003859C9" w:rsidRPr="00EB11D3" w:rsidRDefault="003859C9" w:rsidP="003859C9">
      <w:pPr>
        <w:shd w:val="clear" w:color="auto" w:fill="FFFFFF"/>
        <w:spacing w:after="160" w:line="360" w:lineRule="auto"/>
        <w:rPr>
          <w:rFonts w:eastAsia="Calibri"/>
          <w:szCs w:val="24"/>
        </w:rPr>
      </w:pPr>
      <w:r w:rsidRPr="00EB11D3">
        <w:rPr>
          <w:rFonts w:eastAsia="Calibri"/>
          <w:szCs w:val="24"/>
        </w:rPr>
        <w:t>Examine how laws and policies affect faith-based hospitals in Kenya in terms of organizational effectiveness, service innovation, and corporate governance. This could entail making recommendations for legislation to assist the expansion and sustainability of faith-based healthcare providers, as well as evaluating the efficacy of the current regulatory frameworks and pinpointing areas in need of reform. Examine the connection between patient outcomes, service innovation, and corporate governance in Kenyan hospitals that are affiliated with religious institutions. Indicators including patient satisfaction, treatment results, and adherence to medical standards could be used in this study to evaluate the efficacy and quality of healthcare provided in religious settings.</w:t>
      </w:r>
    </w:p>
    <w:p w14:paraId="686B870A" w14:textId="77777777" w:rsidR="003859C9" w:rsidRPr="00EB11D3" w:rsidRDefault="002611D4" w:rsidP="002F2936">
      <w:pPr>
        <w:pStyle w:val="Heading1"/>
        <w:spacing w:line="360" w:lineRule="auto"/>
      </w:pPr>
      <w:r>
        <w:br w:type="page"/>
      </w:r>
      <w:bookmarkStart w:id="1150" w:name="_Toc177387911"/>
      <w:r w:rsidR="003E56A7" w:rsidRPr="00EB11D3">
        <w:t>REFERENCES</w:t>
      </w:r>
      <w:bookmarkEnd w:id="1150"/>
    </w:p>
    <w:p w14:paraId="002885E5" w14:textId="77777777" w:rsidR="003A6047" w:rsidRDefault="003A6047" w:rsidP="00813B05">
      <w:pPr>
        <w:spacing w:after="0" w:line="360" w:lineRule="auto"/>
        <w:ind w:left="720" w:hanging="720"/>
        <w:rPr>
          <w:szCs w:val="24"/>
          <w:shd w:val="clear" w:color="auto" w:fill="FFFFFF"/>
        </w:rPr>
      </w:pPr>
      <w:r w:rsidRPr="000769D8">
        <w:rPr>
          <w:szCs w:val="24"/>
          <w:shd w:val="clear" w:color="auto" w:fill="FFFFFF"/>
        </w:rPr>
        <w:t>Abang’a, A. O. G., Tauringana, V., Wang’ombe, D., &amp; Achiro, L. O. (2022). Corporate governance and financial performance of state-owned enterprises in Kenya. </w:t>
      </w:r>
      <w:r w:rsidRPr="000769D8">
        <w:rPr>
          <w:i/>
          <w:iCs/>
          <w:szCs w:val="24"/>
          <w:shd w:val="clear" w:color="auto" w:fill="FFFFFF"/>
        </w:rPr>
        <w:t>Corporate Governance: The International Journal of Business in Society</w:t>
      </w:r>
      <w:r w:rsidRPr="000769D8">
        <w:rPr>
          <w:szCs w:val="24"/>
          <w:shd w:val="clear" w:color="auto" w:fill="FFFFFF"/>
        </w:rPr>
        <w:t>, </w:t>
      </w:r>
      <w:r w:rsidRPr="000769D8">
        <w:rPr>
          <w:i/>
          <w:iCs/>
          <w:szCs w:val="24"/>
          <w:shd w:val="clear" w:color="auto" w:fill="FFFFFF"/>
        </w:rPr>
        <w:t>22</w:t>
      </w:r>
      <w:r w:rsidRPr="000769D8">
        <w:rPr>
          <w:szCs w:val="24"/>
          <w:shd w:val="clear" w:color="auto" w:fill="FFFFFF"/>
        </w:rPr>
        <w:t>(4), 798-820.</w:t>
      </w:r>
    </w:p>
    <w:p w14:paraId="2DA54DF3" w14:textId="77777777" w:rsidR="003A6047" w:rsidRDefault="003A6047" w:rsidP="00813B05">
      <w:pPr>
        <w:spacing w:after="0" w:line="360" w:lineRule="auto"/>
        <w:ind w:left="720" w:hanging="720"/>
        <w:rPr>
          <w:szCs w:val="24"/>
          <w:shd w:val="clear" w:color="auto" w:fill="FFFFFF"/>
        </w:rPr>
      </w:pPr>
      <w:r w:rsidRPr="00EB11D3">
        <w:rPr>
          <w:szCs w:val="24"/>
          <w:shd w:val="clear" w:color="auto" w:fill="FFFFFF"/>
        </w:rPr>
        <w:t>Abdulkadir, Y. S. (2022). </w:t>
      </w:r>
      <w:r w:rsidRPr="00EB11D3">
        <w:rPr>
          <w:i/>
          <w:iCs/>
          <w:szCs w:val="24"/>
          <w:shd w:val="clear" w:color="auto" w:fill="FFFFFF"/>
        </w:rPr>
        <w:t>Corporate Governance Practices and Performance in Selected Arid and Semi-Arid Land County Governments in Kenya</w:t>
      </w:r>
      <w:r w:rsidRPr="00EB11D3">
        <w:rPr>
          <w:szCs w:val="24"/>
          <w:shd w:val="clear" w:color="auto" w:fill="FFFFFF"/>
        </w:rPr>
        <w:t> (Doctoral Dissertation, Kenyatta University).</w:t>
      </w:r>
    </w:p>
    <w:p w14:paraId="39AC401E"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Abdullah, H., &amp; Tursoy, T. (2023). The effect of corporate governance on financial performance: evidence from a shareholder-oriented system. </w:t>
      </w:r>
      <w:r w:rsidRPr="00EB11D3">
        <w:rPr>
          <w:i/>
          <w:iCs/>
          <w:szCs w:val="24"/>
          <w:shd w:val="clear" w:color="auto" w:fill="FFFFFF"/>
        </w:rPr>
        <w:t>Iranian Journal of Management Studies</w:t>
      </w:r>
      <w:r w:rsidRPr="00EB11D3">
        <w:rPr>
          <w:szCs w:val="24"/>
          <w:shd w:val="clear" w:color="auto" w:fill="FFFFFF"/>
        </w:rPr>
        <w:t>, </w:t>
      </w:r>
      <w:r w:rsidRPr="00EB11D3">
        <w:rPr>
          <w:i/>
          <w:iCs/>
          <w:szCs w:val="24"/>
          <w:shd w:val="clear" w:color="auto" w:fill="FFFFFF"/>
        </w:rPr>
        <w:t>16</w:t>
      </w:r>
      <w:r w:rsidRPr="00EB11D3">
        <w:rPr>
          <w:szCs w:val="24"/>
          <w:shd w:val="clear" w:color="auto" w:fill="FFFFFF"/>
        </w:rPr>
        <w:t>(1), 79-95.</w:t>
      </w:r>
    </w:p>
    <w:p w14:paraId="202482C9"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Abu Qa’dan, M. B., &amp; Suwaidan, M. S. (2019). Board composition, ownership structure and corporate social responsibility disclosure: the case of Jordan. </w:t>
      </w:r>
      <w:r w:rsidRPr="00EB11D3">
        <w:rPr>
          <w:i/>
          <w:iCs/>
          <w:szCs w:val="24"/>
          <w:shd w:val="clear" w:color="auto" w:fill="FFFFFF"/>
        </w:rPr>
        <w:t>Social Responsibility Journal</w:t>
      </w:r>
      <w:r w:rsidRPr="00EB11D3">
        <w:rPr>
          <w:szCs w:val="24"/>
          <w:shd w:val="clear" w:color="auto" w:fill="FFFFFF"/>
        </w:rPr>
        <w:t>, </w:t>
      </w:r>
      <w:r w:rsidRPr="00EB11D3">
        <w:rPr>
          <w:i/>
          <w:iCs/>
          <w:szCs w:val="24"/>
          <w:shd w:val="clear" w:color="auto" w:fill="FFFFFF"/>
        </w:rPr>
        <w:t>15</w:t>
      </w:r>
      <w:r w:rsidRPr="00EB11D3">
        <w:rPr>
          <w:szCs w:val="24"/>
          <w:shd w:val="clear" w:color="auto" w:fill="FFFFFF"/>
        </w:rPr>
        <w:t>(1), 28-46.</w:t>
      </w:r>
    </w:p>
    <w:p w14:paraId="33BA223A" w14:textId="77777777" w:rsidR="003A6047" w:rsidRPr="00EB11D3" w:rsidRDefault="003A6047" w:rsidP="00813B05">
      <w:pPr>
        <w:spacing w:after="0" w:line="360" w:lineRule="auto"/>
        <w:ind w:left="720" w:hanging="720"/>
        <w:rPr>
          <w:szCs w:val="24"/>
          <w:shd w:val="clear" w:color="auto" w:fill="FFFFFF"/>
        </w:rPr>
      </w:pPr>
      <w:r w:rsidRPr="00250CF7">
        <w:rPr>
          <w:szCs w:val="24"/>
          <w:shd w:val="clear" w:color="auto" w:fill="FFFFFF"/>
        </w:rPr>
        <w:t>Achiro, Laura, Obwona (2022) Impact of corporate governance on financial and non-financial performance of hospitals: Evidence from National Health Service in England. </w:t>
      </w:r>
      <w:r w:rsidRPr="00250CF7">
        <w:rPr>
          <w:i/>
          <w:iCs/>
          <w:szCs w:val="24"/>
          <w:shd w:val="clear" w:color="auto" w:fill="FFFFFF"/>
        </w:rPr>
        <w:t>University of Southampton, Doctoral Thesis</w:t>
      </w:r>
      <w:r w:rsidRPr="00250CF7">
        <w:rPr>
          <w:szCs w:val="24"/>
          <w:shd w:val="clear" w:color="auto" w:fill="FFFFFF"/>
        </w:rPr>
        <w:t>, 280pp.</w:t>
      </w:r>
    </w:p>
    <w:p w14:paraId="06BFD04F" w14:textId="77777777" w:rsidR="003A6047" w:rsidRPr="00EB11D3" w:rsidRDefault="003A6047" w:rsidP="00813B05">
      <w:pPr>
        <w:spacing w:after="0" w:line="360" w:lineRule="auto"/>
        <w:ind w:left="720" w:hanging="720"/>
        <w:rPr>
          <w:szCs w:val="24"/>
          <w:shd w:val="clear" w:color="auto" w:fill="FFFFFF"/>
        </w:rPr>
      </w:pPr>
      <w:r w:rsidRPr="00EB11D3">
        <w:rPr>
          <w:szCs w:val="24"/>
        </w:rPr>
        <w:t xml:space="preserve">Ackerman, B., Schmid, I., Rudolph, K. E., Seamans, M. J., Susukida, R., Mojtabai, R., &amp; Stuart, E. A. (2019). Implementing statistical methods for generalizing randomized trial findings to a target population. </w:t>
      </w:r>
      <w:r w:rsidRPr="00EB11D3">
        <w:rPr>
          <w:i/>
          <w:iCs/>
          <w:szCs w:val="24"/>
        </w:rPr>
        <w:t>Addictive Behaviors</w:t>
      </w:r>
      <w:r w:rsidRPr="00EB11D3">
        <w:rPr>
          <w:szCs w:val="24"/>
        </w:rPr>
        <w:t>, 94, 124-132.</w:t>
      </w:r>
    </w:p>
    <w:p w14:paraId="07A713E2"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lang w:eastAsia="zh-CN"/>
        </w:rPr>
        <w:t>Adam, F., &amp;Kamase, J. (2019). The Effect Competence and Motivation to Satisfaction and Performance</w:t>
      </w:r>
      <w:r w:rsidRPr="00EB11D3">
        <w:rPr>
          <w:i/>
          <w:iCs/>
          <w:szCs w:val="24"/>
          <w:shd w:val="clear" w:color="auto" w:fill="FFFFFF"/>
          <w:lang w:eastAsia="zh-CN"/>
        </w:rPr>
        <w:t>. International Journal of Scientific &amp; Technology Research</w:t>
      </w:r>
      <w:r w:rsidRPr="00EB11D3">
        <w:rPr>
          <w:szCs w:val="24"/>
          <w:shd w:val="clear" w:color="auto" w:fill="FFFFFF"/>
          <w:lang w:eastAsia="zh-CN"/>
        </w:rPr>
        <w:t>, 8(03), 132140.</w:t>
      </w:r>
    </w:p>
    <w:p w14:paraId="2FB28CE2"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Adams, R., &amp; Ferreira, D. (2019). Women in the boardroom and their impact on governance and performance. </w:t>
      </w:r>
      <w:r w:rsidRPr="00FA7816">
        <w:rPr>
          <w:rFonts w:eastAsia="Times New Roman"/>
          <w:bCs/>
          <w:i/>
          <w:iCs/>
          <w:szCs w:val="24"/>
        </w:rPr>
        <w:t>Journal of Financial Economics</w:t>
      </w:r>
      <w:r w:rsidRPr="00EB11D3">
        <w:rPr>
          <w:rFonts w:eastAsia="Times New Roman"/>
          <w:bCs/>
          <w:szCs w:val="24"/>
        </w:rPr>
        <w:t>, 94(2), 291-309.</w:t>
      </w:r>
    </w:p>
    <w:p w14:paraId="6FD39463"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Affes, W., &amp; Jarboui, A. (2023). The impact of corporate governance on financial performance: a cross-sector study. </w:t>
      </w:r>
      <w:r w:rsidRPr="00EB11D3">
        <w:rPr>
          <w:i/>
          <w:iCs/>
          <w:color w:val="222222"/>
          <w:szCs w:val="24"/>
          <w:shd w:val="clear" w:color="auto" w:fill="FFFFFF"/>
        </w:rPr>
        <w:t>International Journal of Disclosure and Governance</w:t>
      </w:r>
      <w:r w:rsidRPr="00EB11D3">
        <w:rPr>
          <w:color w:val="222222"/>
          <w:szCs w:val="24"/>
          <w:shd w:val="clear" w:color="auto" w:fill="FFFFFF"/>
        </w:rPr>
        <w:t>, </w:t>
      </w:r>
      <w:r w:rsidRPr="00EB11D3">
        <w:rPr>
          <w:i/>
          <w:iCs/>
          <w:color w:val="222222"/>
          <w:szCs w:val="24"/>
          <w:shd w:val="clear" w:color="auto" w:fill="FFFFFF"/>
        </w:rPr>
        <w:t>20</w:t>
      </w:r>
      <w:r w:rsidRPr="00EB11D3">
        <w:rPr>
          <w:color w:val="222222"/>
          <w:szCs w:val="24"/>
          <w:shd w:val="clear" w:color="auto" w:fill="FFFFFF"/>
        </w:rPr>
        <w:t>(4), 374-394.</w:t>
      </w:r>
    </w:p>
    <w:p w14:paraId="22F09573"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Afriyie, E. Y., Aidoo, G. K. A., &amp; Agboga, R. S. (2021). Corporate Governance and Its Impact on Financial Performance of Commercial Banks in Ghana. </w:t>
      </w:r>
      <w:r w:rsidRPr="00EB11D3">
        <w:rPr>
          <w:rStyle w:val="Emphasis"/>
          <w:szCs w:val="24"/>
          <w:shd w:val="clear" w:color="auto" w:fill="FFFFFF"/>
        </w:rPr>
        <w:t>Journal of Southwest Jiaotong University</w:t>
      </w:r>
      <w:r w:rsidRPr="00EB11D3">
        <w:rPr>
          <w:szCs w:val="24"/>
          <w:shd w:val="clear" w:color="auto" w:fill="FFFFFF"/>
        </w:rPr>
        <w:t>, </w:t>
      </w:r>
      <w:r w:rsidRPr="00EB11D3">
        <w:rPr>
          <w:rStyle w:val="Emphasis"/>
          <w:szCs w:val="24"/>
          <w:shd w:val="clear" w:color="auto" w:fill="FFFFFF"/>
        </w:rPr>
        <w:t>56</w:t>
      </w:r>
      <w:r w:rsidRPr="00EB11D3">
        <w:rPr>
          <w:szCs w:val="24"/>
          <w:shd w:val="clear" w:color="auto" w:fill="FFFFFF"/>
        </w:rPr>
        <w:t>(4), 58-69.</w:t>
      </w:r>
    </w:p>
    <w:p w14:paraId="02A21D72" w14:textId="77777777" w:rsidR="003A6047" w:rsidRPr="00EB11D3" w:rsidRDefault="003A6047" w:rsidP="00813B05">
      <w:pPr>
        <w:shd w:val="clear" w:color="auto" w:fill="FFFFFF"/>
        <w:spacing w:after="0" w:line="360" w:lineRule="auto"/>
        <w:ind w:left="720" w:hanging="720"/>
        <w:rPr>
          <w:rFonts w:eastAsia="Times New Roman"/>
          <w:bCs/>
          <w:szCs w:val="24"/>
        </w:rPr>
      </w:pPr>
      <w:bookmarkStart w:id="1151" w:name="_Hlk170831570"/>
      <w:r w:rsidRPr="00EB11D3">
        <w:rPr>
          <w:rFonts w:eastAsia="Times New Roman"/>
          <w:bCs/>
          <w:szCs w:val="24"/>
        </w:rPr>
        <w:t>Afriyie, S. O., Kong, Y., Ampimah, B. C., Akuamoah, C. D., Vanderpuije, L. N. O., &amp; Xinlei, Z. (2020). Verifying the impact of corporate governance on hospital performance on HIV and malaria control: A structural equation modelling approach. </w:t>
      </w:r>
      <w:r w:rsidRPr="00EB11D3">
        <w:rPr>
          <w:rFonts w:eastAsia="Times New Roman"/>
          <w:bCs/>
          <w:i/>
          <w:iCs/>
          <w:szCs w:val="24"/>
        </w:rPr>
        <w:t>The International journal of health planning and management</w:t>
      </w:r>
      <w:r w:rsidRPr="00EB11D3">
        <w:rPr>
          <w:rFonts w:eastAsia="Times New Roman"/>
          <w:bCs/>
          <w:szCs w:val="24"/>
        </w:rPr>
        <w:t>, </w:t>
      </w:r>
      <w:r w:rsidRPr="00EB11D3">
        <w:rPr>
          <w:rFonts w:eastAsia="Times New Roman"/>
          <w:bCs/>
          <w:i/>
          <w:iCs/>
          <w:szCs w:val="24"/>
        </w:rPr>
        <w:t>35</w:t>
      </w:r>
      <w:r w:rsidRPr="00EB11D3">
        <w:rPr>
          <w:rFonts w:eastAsia="Times New Roman"/>
          <w:bCs/>
          <w:szCs w:val="24"/>
        </w:rPr>
        <w:t>(1), 22-35.</w:t>
      </w:r>
    </w:p>
    <w:bookmarkEnd w:id="1151"/>
    <w:p w14:paraId="20504887" w14:textId="77777777" w:rsidR="003A6047" w:rsidRDefault="003A6047" w:rsidP="00813B05">
      <w:pPr>
        <w:spacing w:after="0" w:line="360" w:lineRule="auto"/>
        <w:ind w:left="720" w:hanging="720"/>
        <w:rPr>
          <w:szCs w:val="24"/>
          <w:shd w:val="clear" w:color="auto" w:fill="FFFFFF"/>
        </w:rPr>
      </w:pPr>
      <w:r w:rsidRPr="00EB11D3">
        <w:rPr>
          <w:szCs w:val="24"/>
          <w:shd w:val="clear" w:color="auto" w:fill="FFFFFF"/>
        </w:rPr>
        <w:t>Afriyie, S. O., Kong, Y., Lartey, P. Y., Kaodui, L., Bediako, I. A., Wu, W., &amp; Kyeremateng, P. H. (2020). Financial performance of hospitals: A critical obligation of corporate governance dimensions. </w:t>
      </w:r>
      <w:r w:rsidRPr="00EB11D3">
        <w:rPr>
          <w:i/>
          <w:iCs/>
          <w:szCs w:val="24"/>
          <w:shd w:val="clear" w:color="auto" w:fill="FFFFFF"/>
        </w:rPr>
        <w:t>The International Journal of Health Planning and Management</w:t>
      </w:r>
      <w:r w:rsidRPr="00EB11D3">
        <w:rPr>
          <w:szCs w:val="24"/>
          <w:shd w:val="clear" w:color="auto" w:fill="FFFFFF"/>
        </w:rPr>
        <w:t>, </w:t>
      </w:r>
      <w:r w:rsidRPr="00EB11D3">
        <w:rPr>
          <w:i/>
          <w:iCs/>
          <w:szCs w:val="24"/>
          <w:shd w:val="clear" w:color="auto" w:fill="FFFFFF"/>
        </w:rPr>
        <w:t>35</w:t>
      </w:r>
      <w:r w:rsidRPr="00EB11D3">
        <w:rPr>
          <w:szCs w:val="24"/>
          <w:shd w:val="clear" w:color="auto" w:fill="FFFFFF"/>
        </w:rPr>
        <w:t>(6), 1468-1485.</w:t>
      </w:r>
    </w:p>
    <w:p w14:paraId="42FB19AB"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rPr>
        <w:t>Agbenyo, W., Jiang, Y., &amp; Cobblah, P. K. (2018). Assessment of government internal control systems on financial reporting quality in Ghana: A case study of Ghana revenue authority. </w:t>
      </w:r>
      <w:r w:rsidRPr="00EB11D3">
        <w:rPr>
          <w:i/>
          <w:iCs/>
          <w:szCs w:val="24"/>
          <w:shd w:val="clear" w:color="auto" w:fill="FFFFFF"/>
        </w:rPr>
        <w:t>International Journal of Economics and Finance</w:t>
      </w:r>
      <w:r w:rsidRPr="00EB11D3">
        <w:rPr>
          <w:szCs w:val="24"/>
          <w:shd w:val="clear" w:color="auto" w:fill="FFFFFF"/>
        </w:rPr>
        <w:t>, </w:t>
      </w:r>
      <w:r w:rsidRPr="00EB11D3">
        <w:rPr>
          <w:i/>
          <w:iCs/>
          <w:szCs w:val="24"/>
          <w:shd w:val="clear" w:color="auto" w:fill="FFFFFF"/>
        </w:rPr>
        <w:t>10</w:t>
      </w:r>
      <w:r w:rsidRPr="00EB11D3">
        <w:rPr>
          <w:szCs w:val="24"/>
          <w:shd w:val="clear" w:color="auto" w:fill="FFFFFF"/>
        </w:rPr>
        <w:t>(11), 40-50.</w:t>
      </w:r>
    </w:p>
    <w:p w14:paraId="36148F8F" w14:textId="77777777" w:rsidR="003A6047" w:rsidRPr="00EB11D3" w:rsidRDefault="003A6047" w:rsidP="00813B05">
      <w:pPr>
        <w:spacing w:after="0" w:line="360" w:lineRule="auto"/>
        <w:ind w:left="720" w:hanging="720"/>
        <w:rPr>
          <w:color w:val="000000"/>
          <w:szCs w:val="24"/>
        </w:rPr>
      </w:pPr>
      <w:bookmarkStart w:id="1152" w:name="_Hlk170831869"/>
      <w:r w:rsidRPr="00EB11D3">
        <w:rPr>
          <w:color w:val="000000"/>
          <w:szCs w:val="24"/>
        </w:rPr>
        <w:t>Agnihotri, A., &amp; Arora, S. (2021). Study of corporate governance in government hospitals: A case study of the emerging market. </w:t>
      </w:r>
      <w:r w:rsidRPr="00EB11D3">
        <w:rPr>
          <w:i/>
          <w:iCs/>
          <w:color w:val="000000"/>
          <w:szCs w:val="24"/>
        </w:rPr>
        <w:t>Corporate Governance and Sustainability Review, 5</w:t>
      </w:r>
      <w:r w:rsidRPr="00EB11D3">
        <w:rPr>
          <w:color w:val="000000"/>
          <w:szCs w:val="24"/>
        </w:rPr>
        <w:t>(1), 8-14.</w:t>
      </w:r>
    </w:p>
    <w:bookmarkEnd w:id="1152"/>
    <w:p w14:paraId="4DD44401"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Aguilera, R. V., Filatotchev, I., Gospel, H., &amp; Jackson, G. (2018). An organizational approach to comparative corporate governance: Costs, contingencies, and complementarities. </w:t>
      </w:r>
      <w:r w:rsidRPr="00FA7816">
        <w:rPr>
          <w:rFonts w:eastAsia="Times New Roman"/>
          <w:bCs/>
          <w:i/>
          <w:iCs/>
          <w:szCs w:val="24"/>
        </w:rPr>
        <w:t>Organization Science</w:t>
      </w:r>
      <w:r w:rsidRPr="00EB11D3">
        <w:rPr>
          <w:rFonts w:eastAsia="Times New Roman"/>
          <w:bCs/>
          <w:szCs w:val="24"/>
        </w:rPr>
        <w:t>, 19(3), 475-492.</w:t>
      </w:r>
    </w:p>
    <w:p w14:paraId="6341B925"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Akomea-Frimpong, I., Tenakwah, E., Tenakwah, E. J., &amp; Amponsah, M. (2022). Corporate governance and performance of pension funds in Ghana: A mixed-method study. </w:t>
      </w:r>
      <w:r w:rsidRPr="00EB11D3">
        <w:rPr>
          <w:i/>
          <w:iCs/>
          <w:szCs w:val="24"/>
          <w:shd w:val="clear" w:color="auto" w:fill="FFFFFF"/>
        </w:rPr>
        <w:t>International Journal of Financial Studies</w:t>
      </w:r>
      <w:r w:rsidRPr="00EB11D3">
        <w:rPr>
          <w:szCs w:val="24"/>
          <w:shd w:val="clear" w:color="auto" w:fill="FFFFFF"/>
        </w:rPr>
        <w:t>, 10(3), 1–22.</w:t>
      </w:r>
    </w:p>
    <w:p w14:paraId="6B68B806" w14:textId="77777777" w:rsidR="003A6047" w:rsidRPr="00EB11D3" w:rsidRDefault="003A6047" w:rsidP="00813B05">
      <w:pPr>
        <w:spacing w:after="0" w:line="360" w:lineRule="auto"/>
        <w:ind w:left="720" w:hanging="720"/>
        <w:rPr>
          <w:szCs w:val="24"/>
          <w:shd w:val="clear" w:color="auto" w:fill="FFFFFF"/>
        </w:rPr>
      </w:pPr>
      <w:bookmarkStart w:id="1153" w:name="_Hlk171088907"/>
      <w:r w:rsidRPr="00EB11D3">
        <w:rPr>
          <w:szCs w:val="24"/>
          <w:shd w:val="clear" w:color="auto" w:fill="FFFFFF"/>
        </w:rPr>
        <w:t>Al Mamun, A., Hayat, N., Fazal, S. A., Salameh, A. A., Zainol, N. R., &amp; Makhbul, Z. K. M. (2022). The Mediating Effect of Innovation in Between Strategic Orientation and Enterprise Performance: Evidence from Malaysian Manufacturing Small-to-Medium-Sized Enterprises. </w:t>
      </w:r>
      <w:r w:rsidRPr="00EB11D3">
        <w:rPr>
          <w:i/>
          <w:iCs/>
          <w:szCs w:val="24"/>
          <w:shd w:val="clear" w:color="auto" w:fill="FFFFFF"/>
        </w:rPr>
        <w:t>Frontiers in Psychology</w:t>
      </w:r>
      <w:r w:rsidRPr="00EB11D3">
        <w:rPr>
          <w:szCs w:val="24"/>
          <w:shd w:val="clear" w:color="auto" w:fill="FFFFFF"/>
        </w:rPr>
        <w:t>, </w:t>
      </w:r>
      <w:r w:rsidRPr="00EB11D3">
        <w:rPr>
          <w:i/>
          <w:iCs/>
          <w:szCs w:val="24"/>
          <w:shd w:val="clear" w:color="auto" w:fill="FFFFFF"/>
        </w:rPr>
        <w:t>13</w:t>
      </w:r>
      <w:r w:rsidRPr="00EB11D3">
        <w:rPr>
          <w:szCs w:val="24"/>
          <w:shd w:val="clear" w:color="auto" w:fill="FFFFFF"/>
        </w:rPr>
        <w:t>.</w:t>
      </w:r>
    </w:p>
    <w:bookmarkEnd w:id="1153"/>
    <w:p w14:paraId="2B68BA7D"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 xml:space="preserve">Al Maqtari, F. A., Farhan, N. H., Al-Hattami, H. M., &amp; Khalid, A. S. D. (2020). Impact of country-level corporate governance on entrepreneurial conditions. </w:t>
      </w:r>
      <w:r w:rsidRPr="00EB11D3">
        <w:rPr>
          <w:i/>
          <w:iCs/>
          <w:color w:val="222222"/>
          <w:szCs w:val="24"/>
          <w:shd w:val="clear" w:color="auto" w:fill="FFFFFF"/>
        </w:rPr>
        <w:t>Cogent Business &amp; Management</w:t>
      </w:r>
      <w:r w:rsidRPr="00EB11D3">
        <w:rPr>
          <w:color w:val="222222"/>
          <w:szCs w:val="24"/>
          <w:shd w:val="clear" w:color="auto" w:fill="FFFFFF"/>
        </w:rPr>
        <w:t>, 7(1), 1797261. https://doi.org/10.1080/23311975.2020.1797261</w:t>
      </w:r>
    </w:p>
    <w:p w14:paraId="6BC70E12"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Alabdullah, T. T. Y., Ahmed, E. R., &amp; Kanaan-Jebna, A. (2022). Corporate governance system and firm financial performance. </w:t>
      </w:r>
      <w:r w:rsidRPr="00EB11D3">
        <w:rPr>
          <w:i/>
          <w:iCs/>
          <w:szCs w:val="24"/>
          <w:shd w:val="clear" w:color="auto" w:fill="FFFFFF"/>
        </w:rPr>
        <w:t>Acta Scientific Computer Sciences</w:t>
      </w:r>
      <w:r w:rsidRPr="00EB11D3">
        <w:rPr>
          <w:szCs w:val="24"/>
          <w:shd w:val="clear" w:color="auto" w:fill="FFFFFF"/>
        </w:rPr>
        <w:t>, 4(6), 97–103.</w:t>
      </w:r>
    </w:p>
    <w:p w14:paraId="4E73BF60"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Al-Ahdal, W. M., Alsamhi, M. H., Tabash, M. I., &amp; Farhan, N. H. (2020). The impact of corporate governance on financial performance of Indian and GCC listed firms: An empirical investigation. </w:t>
      </w:r>
      <w:r w:rsidRPr="00EB11D3">
        <w:rPr>
          <w:i/>
          <w:iCs/>
          <w:szCs w:val="24"/>
          <w:shd w:val="clear" w:color="auto" w:fill="FFFFFF"/>
        </w:rPr>
        <w:t>Research in International Business and Finance</w:t>
      </w:r>
      <w:r w:rsidRPr="00EB11D3">
        <w:rPr>
          <w:szCs w:val="24"/>
          <w:shd w:val="clear" w:color="auto" w:fill="FFFFFF"/>
        </w:rPr>
        <w:t>, </w:t>
      </w:r>
      <w:r w:rsidRPr="00EB11D3">
        <w:rPr>
          <w:i/>
          <w:iCs/>
          <w:szCs w:val="24"/>
          <w:shd w:val="clear" w:color="auto" w:fill="FFFFFF"/>
        </w:rPr>
        <w:t>51</w:t>
      </w:r>
      <w:r w:rsidRPr="00EB11D3">
        <w:rPr>
          <w:szCs w:val="24"/>
          <w:shd w:val="clear" w:color="auto" w:fill="FFFFFF"/>
        </w:rPr>
        <w:t>, 101083.</w:t>
      </w:r>
    </w:p>
    <w:p w14:paraId="4981A2DC"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Alarcón, D., Sánchez, J. A., &amp; De Olavide, U. (2015). Assessing convergent and discriminant validity in the ADHD-R IV rating scale: User-written commands for Average Variance Extracted (AVE), Composite Reliability (CR), and Heterotrait-Monotrait ratio of correlations (HTMT). In </w:t>
      </w:r>
      <w:r w:rsidRPr="00EB11D3">
        <w:rPr>
          <w:i/>
          <w:iCs/>
          <w:szCs w:val="24"/>
          <w:shd w:val="clear" w:color="auto" w:fill="FFFFFF"/>
        </w:rPr>
        <w:t>Spanish STATA meeting</w:t>
      </w:r>
      <w:r w:rsidRPr="00EB11D3">
        <w:rPr>
          <w:szCs w:val="24"/>
          <w:shd w:val="clear" w:color="auto" w:fill="FFFFFF"/>
        </w:rPr>
        <w:t xml:space="preserve">, </w:t>
      </w:r>
      <w:r w:rsidRPr="00EB11D3" w:rsidDel="00A87160">
        <w:rPr>
          <w:szCs w:val="24"/>
          <w:shd w:val="clear" w:color="auto" w:fill="FFFFFF"/>
        </w:rPr>
        <w:t>39</w:t>
      </w:r>
      <w:r w:rsidRPr="00EB11D3">
        <w:rPr>
          <w:szCs w:val="24"/>
          <w:shd w:val="clear" w:color="auto" w:fill="FFFFFF"/>
        </w:rPr>
        <w:t>, 1-39.</w:t>
      </w:r>
    </w:p>
    <w:p w14:paraId="0D51BBB9"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Alda, M. (2021). The environmental, social, and governance (ESG) dimension of firms in which social responsible investment (SRI) and conventional pension funds invest: The mainstream SRI and the ESG inclusion. </w:t>
      </w:r>
      <w:r w:rsidRPr="00EB11D3">
        <w:rPr>
          <w:i/>
          <w:iCs/>
          <w:szCs w:val="24"/>
          <w:shd w:val="clear" w:color="auto" w:fill="FFFFFF"/>
        </w:rPr>
        <w:t>Journal of Cleaner Production</w:t>
      </w:r>
      <w:r w:rsidRPr="00EB11D3">
        <w:rPr>
          <w:szCs w:val="24"/>
          <w:shd w:val="clear" w:color="auto" w:fill="FFFFFF"/>
        </w:rPr>
        <w:t>, 298, 126812.</w:t>
      </w:r>
    </w:p>
    <w:p w14:paraId="139B6DF8"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Ali AlShehail, O., Khan, M., &amp; Ajmal, M. (2022). Total quality management and sustainability in the public service sector: the mediating effect of service innovation. </w:t>
      </w:r>
      <w:r w:rsidRPr="00EB11D3">
        <w:rPr>
          <w:rFonts w:eastAsia="Times New Roman"/>
          <w:bCs/>
          <w:i/>
          <w:iCs/>
          <w:szCs w:val="24"/>
        </w:rPr>
        <w:t>Benchmarking: An International Journal</w:t>
      </w:r>
      <w:r w:rsidRPr="00EB11D3">
        <w:rPr>
          <w:rFonts w:eastAsia="Times New Roman"/>
          <w:bCs/>
          <w:szCs w:val="24"/>
        </w:rPr>
        <w:t>, </w:t>
      </w:r>
      <w:r w:rsidRPr="00EB11D3">
        <w:rPr>
          <w:rFonts w:eastAsia="Times New Roman"/>
          <w:bCs/>
          <w:i/>
          <w:iCs/>
          <w:szCs w:val="24"/>
        </w:rPr>
        <w:t>29</w:t>
      </w:r>
      <w:r w:rsidRPr="00EB11D3">
        <w:rPr>
          <w:rFonts w:eastAsia="Times New Roman"/>
          <w:bCs/>
          <w:szCs w:val="24"/>
        </w:rPr>
        <w:t>(2), 382-410.</w:t>
      </w:r>
    </w:p>
    <w:p w14:paraId="4CD67AB1"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Ali, A., Iqbal, S., Haider, S. A., Tehseen, S., Anwar, B., Sohail, M., &amp; Rehman, K. (2021). Does governance in information technology matter when it comes to organizational performance in Pakistani public sector organizations? Mediating effect of innovation. </w:t>
      </w:r>
      <w:r w:rsidRPr="00EB11D3">
        <w:rPr>
          <w:rFonts w:eastAsia="Times New Roman"/>
          <w:bCs/>
          <w:i/>
          <w:iCs/>
          <w:szCs w:val="24"/>
        </w:rPr>
        <w:t>SAGE open</w:t>
      </w:r>
      <w:r w:rsidRPr="00EB11D3">
        <w:rPr>
          <w:rFonts w:eastAsia="Times New Roman"/>
          <w:bCs/>
          <w:szCs w:val="24"/>
        </w:rPr>
        <w:t>, </w:t>
      </w:r>
      <w:r w:rsidRPr="00EB11D3">
        <w:rPr>
          <w:rFonts w:eastAsia="Times New Roman"/>
          <w:bCs/>
          <w:i/>
          <w:iCs/>
          <w:szCs w:val="24"/>
        </w:rPr>
        <w:t>11</w:t>
      </w:r>
      <w:r w:rsidRPr="00EB11D3">
        <w:rPr>
          <w:rFonts w:eastAsia="Times New Roman"/>
          <w:bCs/>
          <w:szCs w:val="24"/>
        </w:rPr>
        <w:t>(2), 21582440211016557.</w:t>
      </w:r>
    </w:p>
    <w:p w14:paraId="5B2DA999"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Ali, O., &amp; Osmanaj, V. (2020). The role of government regulations in the adoption of cloud computing: A case study of local government. </w:t>
      </w:r>
      <w:r w:rsidRPr="00EB11D3">
        <w:rPr>
          <w:i/>
          <w:iCs/>
          <w:szCs w:val="24"/>
          <w:shd w:val="clear" w:color="auto" w:fill="FFFFFF"/>
        </w:rPr>
        <w:t>computer law &amp; security review</w:t>
      </w:r>
      <w:r w:rsidRPr="00EB11D3">
        <w:rPr>
          <w:szCs w:val="24"/>
          <w:shd w:val="clear" w:color="auto" w:fill="FFFFFF"/>
        </w:rPr>
        <w:t>, </w:t>
      </w:r>
      <w:r w:rsidRPr="00EB11D3">
        <w:rPr>
          <w:i/>
          <w:iCs/>
          <w:szCs w:val="24"/>
          <w:shd w:val="clear" w:color="auto" w:fill="FFFFFF"/>
        </w:rPr>
        <w:t>36</w:t>
      </w:r>
      <w:r w:rsidRPr="00EB11D3">
        <w:rPr>
          <w:szCs w:val="24"/>
          <w:shd w:val="clear" w:color="auto" w:fill="FFFFFF"/>
        </w:rPr>
        <w:t>, 105396.</w:t>
      </w:r>
    </w:p>
    <w:p w14:paraId="01D02F7F"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Ali, S. T., Yang, Z., Sarwar, Z., &amp; Ali, F. (2019). The impact of corporate governance on the cost of equity: Evidence from cement sector of Pakistan. </w:t>
      </w:r>
      <w:r w:rsidRPr="00EB11D3">
        <w:rPr>
          <w:i/>
          <w:iCs/>
          <w:szCs w:val="24"/>
          <w:shd w:val="clear" w:color="auto" w:fill="FFFFFF"/>
        </w:rPr>
        <w:t>Asian Journal of Accounting Research</w:t>
      </w:r>
      <w:r w:rsidRPr="00EB11D3">
        <w:rPr>
          <w:szCs w:val="24"/>
          <w:shd w:val="clear" w:color="auto" w:fill="FFFFFF"/>
        </w:rPr>
        <w:t>, </w:t>
      </w:r>
      <w:r w:rsidRPr="00EB11D3">
        <w:rPr>
          <w:i/>
          <w:iCs/>
          <w:szCs w:val="24"/>
          <w:shd w:val="clear" w:color="auto" w:fill="FFFFFF"/>
        </w:rPr>
        <w:t>4</w:t>
      </w:r>
      <w:r w:rsidRPr="00EB11D3">
        <w:rPr>
          <w:szCs w:val="24"/>
          <w:shd w:val="clear" w:color="auto" w:fill="FFFFFF"/>
        </w:rPr>
        <w:t>(2), 293-314.</w:t>
      </w:r>
    </w:p>
    <w:p w14:paraId="2ABAD79B"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Alodat, A. Y., Salleh, Z., Hashim, H. A., &amp; Sulong, F. (2022). Corporate governance and firm performance: Empirical evidence from Jordan. </w:t>
      </w:r>
      <w:r w:rsidRPr="00EB11D3">
        <w:rPr>
          <w:i/>
          <w:iCs/>
          <w:color w:val="222222"/>
          <w:szCs w:val="24"/>
          <w:shd w:val="clear" w:color="auto" w:fill="FFFFFF"/>
        </w:rPr>
        <w:t>Journal of Financial Reporting and Accounting</w:t>
      </w:r>
      <w:r w:rsidRPr="00EB11D3">
        <w:rPr>
          <w:color w:val="222222"/>
          <w:szCs w:val="24"/>
          <w:shd w:val="clear" w:color="auto" w:fill="FFFFFF"/>
        </w:rPr>
        <w:t>, </w:t>
      </w:r>
      <w:r w:rsidRPr="00EB11D3">
        <w:rPr>
          <w:i/>
          <w:iCs/>
          <w:color w:val="222222"/>
          <w:szCs w:val="24"/>
          <w:shd w:val="clear" w:color="auto" w:fill="FFFFFF"/>
        </w:rPr>
        <w:t>20</w:t>
      </w:r>
      <w:r w:rsidRPr="00EB11D3">
        <w:rPr>
          <w:color w:val="222222"/>
          <w:szCs w:val="24"/>
          <w:shd w:val="clear" w:color="auto" w:fill="FFFFFF"/>
        </w:rPr>
        <w:t>(5), 866-896.</w:t>
      </w:r>
    </w:p>
    <w:p w14:paraId="5CEE1F30"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color w:val="222222"/>
          <w:szCs w:val="24"/>
          <w:shd w:val="clear" w:color="auto" w:fill="FFFFFF"/>
        </w:rPr>
        <w:t>Alowais, S. A., Alghamdi, S. S., Alsuhebany, N., Alqahtani, T., Alshaya, A. I., Almohareb, S. N., ... &amp; Albekairy, A. M. (2023). Revolutionizing healthcare: the role of artificial intelligence in clinical practice. </w:t>
      </w:r>
      <w:r w:rsidRPr="00EB11D3">
        <w:rPr>
          <w:i/>
          <w:iCs/>
          <w:color w:val="222222"/>
          <w:szCs w:val="24"/>
          <w:shd w:val="clear" w:color="auto" w:fill="FFFFFF"/>
        </w:rPr>
        <w:t>BMC medical education</w:t>
      </w:r>
      <w:r w:rsidRPr="00EB11D3">
        <w:rPr>
          <w:color w:val="222222"/>
          <w:szCs w:val="24"/>
          <w:shd w:val="clear" w:color="auto" w:fill="FFFFFF"/>
        </w:rPr>
        <w:t>, </w:t>
      </w:r>
      <w:r w:rsidRPr="00EB11D3">
        <w:rPr>
          <w:i/>
          <w:iCs/>
          <w:color w:val="222222"/>
          <w:szCs w:val="24"/>
          <w:shd w:val="clear" w:color="auto" w:fill="FFFFFF"/>
        </w:rPr>
        <w:t>23</w:t>
      </w:r>
      <w:r w:rsidRPr="00EB11D3">
        <w:rPr>
          <w:color w:val="222222"/>
          <w:szCs w:val="24"/>
          <w:shd w:val="clear" w:color="auto" w:fill="FFFFFF"/>
        </w:rPr>
        <w:t>(1), 689.</w:t>
      </w:r>
    </w:p>
    <w:p w14:paraId="362F6907"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Al-Taee, S. H. H., &amp; Kadhim Al-Jauhar, K. A. (2022). The implications of auditing outsourcing on the sustainability of audit services [Special issue]. </w:t>
      </w:r>
      <w:r w:rsidRPr="00EB11D3">
        <w:rPr>
          <w:i/>
          <w:iCs/>
          <w:szCs w:val="24"/>
          <w:shd w:val="clear" w:color="auto" w:fill="FFFFFF"/>
        </w:rPr>
        <w:t>Corporate Governance and Organizational Behavior Review</w:t>
      </w:r>
      <w:r w:rsidRPr="00EB11D3">
        <w:rPr>
          <w:szCs w:val="24"/>
          <w:shd w:val="clear" w:color="auto" w:fill="FFFFFF"/>
        </w:rPr>
        <w:t>, </w:t>
      </w:r>
      <w:r w:rsidRPr="00EB11D3">
        <w:rPr>
          <w:i/>
          <w:iCs/>
          <w:szCs w:val="24"/>
          <w:shd w:val="clear" w:color="auto" w:fill="FFFFFF"/>
        </w:rPr>
        <w:t>6</w:t>
      </w:r>
      <w:r w:rsidRPr="00EB11D3">
        <w:rPr>
          <w:szCs w:val="24"/>
          <w:shd w:val="clear" w:color="auto" w:fill="FFFFFF"/>
        </w:rPr>
        <w:t>(4), 328-337.</w:t>
      </w:r>
    </w:p>
    <w:p w14:paraId="53DCFD4B"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Althubaiti, A. (2023). Sample size determination: A practical guide for health researchers. </w:t>
      </w:r>
      <w:r w:rsidRPr="00EB11D3">
        <w:rPr>
          <w:i/>
          <w:iCs/>
          <w:szCs w:val="24"/>
          <w:shd w:val="clear" w:color="auto" w:fill="FFFFFF"/>
        </w:rPr>
        <w:t>Journal of General and Family Medicine</w:t>
      </w:r>
      <w:r w:rsidRPr="00EB11D3">
        <w:rPr>
          <w:szCs w:val="24"/>
          <w:shd w:val="clear" w:color="auto" w:fill="FFFFFF"/>
        </w:rPr>
        <w:t>, </w:t>
      </w:r>
      <w:r w:rsidRPr="00EB11D3">
        <w:rPr>
          <w:i/>
          <w:iCs/>
          <w:szCs w:val="24"/>
          <w:shd w:val="clear" w:color="auto" w:fill="FFFFFF"/>
        </w:rPr>
        <w:t>24</w:t>
      </w:r>
      <w:r w:rsidRPr="00EB11D3">
        <w:rPr>
          <w:szCs w:val="24"/>
          <w:shd w:val="clear" w:color="auto" w:fill="FFFFFF"/>
        </w:rPr>
        <w:t>(2), 72-78.</w:t>
      </w:r>
    </w:p>
    <w:p w14:paraId="5FEE1896"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Alzahrani, A.H., &amp; Hakami, SA M. (2022). The Influence of Hospital Governance on the Organisational Success: A Study Done at King Fahad Hospital, Al-Baha, KSA. </w:t>
      </w:r>
      <w:r w:rsidRPr="00EB11D3">
        <w:rPr>
          <w:i/>
          <w:iCs/>
          <w:color w:val="222222"/>
          <w:szCs w:val="24"/>
          <w:shd w:val="clear" w:color="auto" w:fill="FFFFFF"/>
        </w:rPr>
        <w:t>Egyptian Journal of Health Care</w:t>
      </w:r>
      <w:r w:rsidRPr="00EB11D3">
        <w:rPr>
          <w:color w:val="222222"/>
          <w:szCs w:val="24"/>
          <w:shd w:val="clear" w:color="auto" w:fill="FFFFFF"/>
        </w:rPr>
        <w:t>, </w:t>
      </w:r>
      <w:r w:rsidRPr="00EB11D3">
        <w:rPr>
          <w:i/>
          <w:iCs/>
          <w:color w:val="222222"/>
          <w:szCs w:val="24"/>
          <w:shd w:val="clear" w:color="auto" w:fill="FFFFFF"/>
        </w:rPr>
        <w:t>13</w:t>
      </w:r>
      <w:r w:rsidRPr="00EB11D3">
        <w:rPr>
          <w:color w:val="222222"/>
          <w:szCs w:val="24"/>
          <w:shd w:val="clear" w:color="auto" w:fill="FFFFFF"/>
        </w:rPr>
        <w:t>(4), 1173-1184.</w:t>
      </w:r>
    </w:p>
    <w:p w14:paraId="4C321360"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Amore, M. D., &amp; Failla, V. (2020). Pay dispersion and executive behaviour: evidence from innovation. </w:t>
      </w:r>
      <w:r w:rsidRPr="00EB11D3">
        <w:rPr>
          <w:i/>
          <w:iCs/>
          <w:color w:val="222222"/>
          <w:szCs w:val="24"/>
          <w:shd w:val="clear" w:color="auto" w:fill="FFFFFF"/>
        </w:rPr>
        <w:t>British Journal of Management</w:t>
      </w:r>
      <w:r w:rsidRPr="00EB11D3">
        <w:rPr>
          <w:color w:val="222222"/>
          <w:szCs w:val="24"/>
          <w:shd w:val="clear" w:color="auto" w:fill="FFFFFF"/>
        </w:rPr>
        <w:t>, </w:t>
      </w:r>
      <w:r w:rsidRPr="00EB11D3">
        <w:rPr>
          <w:i/>
          <w:iCs/>
          <w:color w:val="222222"/>
          <w:szCs w:val="24"/>
          <w:shd w:val="clear" w:color="auto" w:fill="FFFFFF"/>
        </w:rPr>
        <w:t>31</w:t>
      </w:r>
      <w:r w:rsidRPr="00EB11D3">
        <w:rPr>
          <w:color w:val="222222"/>
          <w:szCs w:val="24"/>
          <w:shd w:val="clear" w:color="auto" w:fill="FFFFFF"/>
        </w:rPr>
        <w:t>(3), 487-504.</w:t>
      </w:r>
    </w:p>
    <w:p w14:paraId="381E1E65"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Andrews, R. N., &amp; Smith, D. M. (2021). Government regulation and firm innovation: New evidence from China. </w:t>
      </w:r>
      <w:r w:rsidRPr="00EB11D3">
        <w:rPr>
          <w:rFonts w:eastAsia="Times New Roman"/>
          <w:bCs/>
          <w:i/>
          <w:iCs/>
          <w:szCs w:val="24"/>
        </w:rPr>
        <w:t>Journal of Corporate Finance</w:t>
      </w:r>
      <w:r w:rsidRPr="00EB11D3">
        <w:rPr>
          <w:rFonts w:eastAsia="Times New Roman"/>
          <w:bCs/>
          <w:szCs w:val="24"/>
        </w:rPr>
        <w:t>, 67, 101925. [DOI: 10.1016/j.jcorpfin.2020.101925]</w:t>
      </w:r>
    </w:p>
    <w:p w14:paraId="7680DE55"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Anwar, Z., &amp; Aziz, B. (2019). Does Corporate Governance Stimulate Firm Performance? Assessing Corporate Governance Practices Towards Social Welfare. </w:t>
      </w:r>
      <w:r w:rsidRPr="00EB11D3">
        <w:rPr>
          <w:i/>
          <w:iCs/>
          <w:szCs w:val="24"/>
          <w:shd w:val="clear" w:color="auto" w:fill="FFFFFF"/>
        </w:rPr>
        <w:t>New Horizons (1992-4399)</w:t>
      </w:r>
      <w:r w:rsidRPr="00EB11D3">
        <w:rPr>
          <w:szCs w:val="24"/>
          <w:shd w:val="clear" w:color="auto" w:fill="FFFFFF"/>
        </w:rPr>
        <w:t>, </w:t>
      </w:r>
      <w:r w:rsidRPr="00EB11D3">
        <w:rPr>
          <w:i/>
          <w:iCs/>
          <w:szCs w:val="24"/>
          <w:shd w:val="clear" w:color="auto" w:fill="FFFFFF"/>
        </w:rPr>
        <w:t>13</w:t>
      </w:r>
      <w:r w:rsidRPr="00EB11D3">
        <w:rPr>
          <w:szCs w:val="24"/>
          <w:shd w:val="clear" w:color="auto" w:fill="FFFFFF"/>
        </w:rPr>
        <w:t>(1).</w:t>
      </w:r>
    </w:p>
    <w:p w14:paraId="48DE5452"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Ararat, M., &amp; Yurtoglu, B. B. (2019). Corporate governance and regulation: Can there be too much of a good thing? </w:t>
      </w:r>
      <w:r w:rsidRPr="00EB11D3">
        <w:rPr>
          <w:rFonts w:eastAsia="Times New Roman"/>
          <w:bCs/>
          <w:i/>
          <w:iCs/>
          <w:szCs w:val="24"/>
        </w:rPr>
        <w:t>Journal of Corporate Finance</w:t>
      </w:r>
      <w:r w:rsidRPr="00EB11D3">
        <w:rPr>
          <w:rFonts w:eastAsia="Times New Roman"/>
          <w:bCs/>
          <w:szCs w:val="24"/>
        </w:rPr>
        <w:t>, 43, 241-266.</w:t>
      </w:r>
    </w:p>
    <w:p w14:paraId="1455A7C8"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Arora, A., &amp; Bodhanwala, S. (2018). Relationship between Corporate Governance Index and Firm Performance: Indian Evidence. </w:t>
      </w:r>
      <w:r w:rsidRPr="00EB11D3">
        <w:rPr>
          <w:i/>
          <w:iCs/>
          <w:szCs w:val="24"/>
          <w:shd w:val="clear" w:color="auto" w:fill="FFFFFF"/>
        </w:rPr>
        <w:t>Global Business Review</w:t>
      </w:r>
      <w:r w:rsidRPr="00EB11D3">
        <w:rPr>
          <w:szCs w:val="24"/>
          <w:shd w:val="clear" w:color="auto" w:fill="FFFFFF"/>
        </w:rPr>
        <w:t>, </w:t>
      </w:r>
      <w:r w:rsidRPr="00EB11D3">
        <w:rPr>
          <w:i/>
          <w:iCs/>
          <w:szCs w:val="24"/>
          <w:shd w:val="clear" w:color="auto" w:fill="FFFFFF"/>
        </w:rPr>
        <w:t>19</w:t>
      </w:r>
      <w:r w:rsidRPr="00EB11D3">
        <w:rPr>
          <w:szCs w:val="24"/>
          <w:shd w:val="clear" w:color="auto" w:fill="FFFFFF"/>
        </w:rPr>
        <w:t>(3), 675-689.</w:t>
      </w:r>
    </w:p>
    <w:p w14:paraId="35125CE7"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Arora, A., &amp; Sharma, C. (2016). Corporate governance and firm performance in developing countries: evidence from India. </w:t>
      </w:r>
      <w:r w:rsidRPr="00EB11D3">
        <w:rPr>
          <w:i/>
          <w:iCs/>
          <w:szCs w:val="24"/>
          <w:shd w:val="clear" w:color="auto" w:fill="FFFFFF"/>
        </w:rPr>
        <w:t>Corporate governance</w:t>
      </w:r>
      <w:r w:rsidRPr="00EB11D3">
        <w:rPr>
          <w:szCs w:val="24"/>
          <w:shd w:val="clear" w:color="auto" w:fill="FFFFFF"/>
        </w:rPr>
        <w:t>, 16 (2), 420-436.</w:t>
      </w:r>
    </w:p>
    <w:p w14:paraId="1C82DB11"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Asensio-López, D., Cabeza-García, L., &amp; González-Álvarez, N. (2018). Corporate governance and innovation: A theoretical review. </w:t>
      </w:r>
      <w:r w:rsidRPr="00EB11D3">
        <w:rPr>
          <w:i/>
          <w:iCs/>
          <w:szCs w:val="24"/>
          <w:shd w:val="clear" w:color="auto" w:fill="FFFFFF"/>
        </w:rPr>
        <w:t>European journal of management and business economics</w:t>
      </w:r>
      <w:r w:rsidRPr="00EB11D3">
        <w:rPr>
          <w:szCs w:val="24"/>
          <w:shd w:val="clear" w:color="auto" w:fill="FFFFFF"/>
        </w:rPr>
        <w:t>, </w:t>
      </w:r>
      <w:r w:rsidRPr="00EB11D3">
        <w:rPr>
          <w:i/>
          <w:iCs/>
          <w:szCs w:val="24"/>
          <w:shd w:val="clear" w:color="auto" w:fill="FFFFFF"/>
        </w:rPr>
        <w:t>28</w:t>
      </w:r>
      <w:r w:rsidRPr="00EB11D3">
        <w:rPr>
          <w:szCs w:val="24"/>
          <w:shd w:val="clear" w:color="auto" w:fill="FFFFFF"/>
        </w:rPr>
        <w:t>(3), 266-284.</w:t>
      </w:r>
    </w:p>
    <w:p w14:paraId="631AEA26" w14:textId="77777777" w:rsidR="003A6047" w:rsidRPr="00EB11D3" w:rsidRDefault="003A6047" w:rsidP="00813B05">
      <w:pPr>
        <w:shd w:val="clear" w:color="auto" w:fill="FFFFFF"/>
        <w:spacing w:after="0" w:line="360" w:lineRule="auto"/>
        <w:ind w:left="720" w:hanging="720"/>
        <w:rPr>
          <w:rFonts w:eastAsia="Times New Roman"/>
          <w:bCs/>
          <w:szCs w:val="24"/>
        </w:rPr>
      </w:pPr>
      <w:bookmarkStart w:id="1154" w:name="_Hlk161418810"/>
      <w:r w:rsidRPr="00EB11D3">
        <w:rPr>
          <w:rFonts w:eastAsia="Times New Roman"/>
          <w:bCs/>
          <w:szCs w:val="24"/>
        </w:rPr>
        <w:t xml:space="preserve">Asiimwe, F. (2019). </w:t>
      </w:r>
      <w:bookmarkEnd w:id="1154"/>
      <w:r w:rsidRPr="00EB11D3">
        <w:rPr>
          <w:rFonts w:eastAsia="Times New Roman"/>
          <w:bCs/>
          <w:szCs w:val="24"/>
        </w:rPr>
        <w:t>Corporate governance and performance of SMEs in Uganda. </w:t>
      </w:r>
      <w:r w:rsidRPr="00EB11D3">
        <w:rPr>
          <w:rFonts w:eastAsia="Times New Roman"/>
          <w:bCs/>
          <w:i/>
          <w:iCs/>
          <w:szCs w:val="24"/>
        </w:rPr>
        <w:t>International Journal of Technology and Management</w:t>
      </w:r>
      <w:r w:rsidRPr="00EB11D3">
        <w:rPr>
          <w:rFonts w:eastAsia="Times New Roman"/>
          <w:bCs/>
          <w:szCs w:val="24"/>
        </w:rPr>
        <w:t>, </w:t>
      </w:r>
      <w:r w:rsidRPr="00EB11D3">
        <w:rPr>
          <w:rFonts w:eastAsia="Times New Roman"/>
          <w:bCs/>
          <w:i/>
          <w:iCs/>
          <w:szCs w:val="24"/>
        </w:rPr>
        <w:t>2</w:t>
      </w:r>
      <w:r w:rsidRPr="00EB11D3">
        <w:rPr>
          <w:rFonts w:eastAsia="Times New Roman"/>
          <w:bCs/>
          <w:szCs w:val="24"/>
        </w:rPr>
        <w:t>(1), 14-14.</w:t>
      </w:r>
    </w:p>
    <w:p w14:paraId="1A959EE1"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Assaf, A. G., Tsionas, M., &amp; Tasiopoulos, A. (2019). Diagnosing and correcting the effects of multicollinearity: Bayesian implications of ridge regression. </w:t>
      </w:r>
      <w:r w:rsidRPr="00EB11D3">
        <w:rPr>
          <w:i/>
          <w:iCs/>
          <w:szCs w:val="24"/>
          <w:shd w:val="clear" w:color="auto" w:fill="FFFFFF"/>
        </w:rPr>
        <w:t>Tourism Management</w:t>
      </w:r>
      <w:r w:rsidRPr="00EB11D3">
        <w:rPr>
          <w:szCs w:val="24"/>
          <w:shd w:val="clear" w:color="auto" w:fill="FFFFFF"/>
        </w:rPr>
        <w:t>, </w:t>
      </w:r>
      <w:r w:rsidRPr="00EB11D3">
        <w:rPr>
          <w:i/>
          <w:iCs/>
          <w:szCs w:val="24"/>
          <w:shd w:val="clear" w:color="auto" w:fill="FFFFFF"/>
        </w:rPr>
        <w:t>71</w:t>
      </w:r>
      <w:r w:rsidRPr="00EB11D3">
        <w:rPr>
          <w:szCs w:val="24"/>
          <w:shd w:val="clear" w:color="auto" w:fill="FFFFFF"/>
        </w:rPr>
        <w:t>, 1-8.</w:t>
      </w:r>
    </w:p>
    <w:p w14:paraId="78FCE6DD"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rPr>
        <w:t>Assbeihat, J. M. (2016). Factors affecting delays on private construction projects. </w:t>
      </w:r>
      <w:r w:rsidRPr="00EB11D3">
        <w:rPr>
          <w:i/>
          <w:iCs/>
          <w:szCs w:val="24"/>
          <w:shd w:val="clear" w:color="auto" w:fill="FFFFFF"/>
        </w:rPr>
        <w:t>Technology</w:t>
      </w:r>
      <w:r w:rsidRPr="00EB11D3">
        <w:rPr>
          <w:szCs w:val="24"/>
          <w:shd w:val="clear" w:color="auto" w:fill="FFFFFF"/>
        </w:rPr>
        <w:t>, </w:t>
      </w:r>
      <w:r w:rsidRPr="00EB11D3">
        <w:rPr>
          <w:i/>
          <w:iCs/>
          <w:szCs w:val="24"/>
          <w:shd w:val="clear" w:color="auto" w:fill="FFFFFF"/>
        </w:rPr>
        <w:t>7</w:t>
      </w:r>
      <w:r w:rsidRPr="00EB11D3">
        <w:rPr>
          <w:szCs w:val="24"/>
          <w:shd w:val="clear" w:color="auto" w:fill="FFFFFF"/>
        </w:rPr>
        <w:t>(2), 22-33.</w:t>
      </w:r>
    </w:p>
    <w:p w14:paraId="1931B748"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Assenga, M. P., Aly, D., &amp; Hussainey, K. (2018). The impact of board characteristics on the financial performance of Tanzanian firms. </w:t>
      </w:r>
      <w:r w:rsidRPr="00EB11D3">
        <w:rPr>
          <w:i/>
          <w:iCs/>
          <w:szCs w:val="24"/>
          <w:shd w:val="clear" w:color="auto" w:fill="FFFFFF"/>
        </w:rPr>
        <w:t>Corporate Governance: The international journal of business in society</w:t>
      </w:r>
      <w:r w:rsidRPr="00EB11D3">
        <w:rPr>
          <w:szCs w:val="24"/>
          <w:shd w:val="clear" w:color="auto" w:fill="FFFFFF"/>
        </w:rPr>
        <w:t>, </w:t>
      </w:r>
      <w:r w:rsidRPr="00EB11D3">
        <w:rPr>
          <w:i/>
          <w:iCs/>
          <w:szCs w:val="24"/>
          <w:shd w:val="clear" w:color="auto" w:fill="FFFFFF"/>
        </w:rPr>
        <w:t>18</w:t>
      </w:r>
      <w:r w:rsidRPr="00EB11D3">
        <w:rPr>
          <w:szCs w:val="24"/>
          <w:shd w:val="clear" w:color="auto" w:fill="FFFFFF"/>
        </w:rPr>
        <w:t>(6), 1089-1106.</w:t>
      </w:r>
    </w:p>
    <w:p w14:paraId="2350F689"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Aswani, S., &amp; Mutunga, O. (2023). Relationship between Corporate Governance Practices and Performance of Medium Enterprises in Mombasa County, Kenya. </w:t>
      </w:r>
      <w:r w:rsidRPr="00EB11D3">
        <w:rPr>
          <w:i/>
          <w:iCs/>
          <w:szCs w:val="24"/>
          <w:shd w:val="clear" w:color="auto" w:fill="FFFFFF"/>
        </w:rPr>
        <w:t>International Research Journal of Economics and Management Studies</w:t>
      </w:r>
      <w:r w:rsidRPr="00EB11D3">
        <w:rPr>
          <w:szCs w:val="24"/>
          <w:shd w:val="clear" w:color="auto" w:fill="FFFFFF"/>
        </w:rPr>
        <w:t>, 2 (3), 78-88.</w:t>
      </w:r>
    </w:p>
    <w:p w14:paraId="740EB424"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Audretsch, D. B., &amp; Belitski, M. (2020). The role of R&amp;D and knowledge spillovers in innovation and productivity. </w:t>
      </w:r>
      <w:r w:rsidRPr="00EB11D3">
        <w:rPr>
          <w:i/>
          <w:iCs/>
          <w:szCs w:val="24"/>
          <w:shd w:val="clear" w:color="auto" w:fill="FFFFFF"/>
        </w:rPr>
        <w:t>European economic review</w:t>
      </w:r>
      <w:r w:rsidRPr="00EB11D3">
        <w:rPr>
          <w:szCs w:val="24"/>
          <w:shd w:val="clear" w:color="auto" w:fill="FFFFFF"/>
        </w:rPr>
        <w:t>, </w:t>
      </w:r>
      <w:r w:rsidRPr="00EB11D3">
        <w:rPr>
          <w:i/>
          <w:iCs/>
          <w:szCs w:val="24"/>
          <w:shd w:val="clear" w:color="auto" w:fill="FFFFFF"/>
        </w:rPr>
        <w:t>123</w:t>
      </w:r>
      <w:r w:rsidRPr="00EB11D3">
        <w:rPr>
          <w:szCs w:val="24"/>
          <w:shd w:val="clear" w:color="auto" w:fill="FFFFFF"/>
        </w:rPr>
        <w:t>, 103391.</w:t>
      </w:r>
    </w:p>
    <w:p w14:paraId="7321C921"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Aureli, S., Del Baldo, M., Lombardi, R., &amp; Nappo, F. (2020). Nonfinancial reporting regulation and challenges in sustainability disclosure and corporate governance practices. </w:t>
      </w:r>
      <w:r w:rsidRPr="00EB11D3">
        <w:rPr>
          <w:i/>
          <w:iCs/>
          <w:szCs w:val="24"/>
          <w:shd w:val="clear" w:color="auto" w:fill="FFFFFF"/>
        </w:rPr>
        <w:t>Business Strategy and the Environment</w:t>
      </w:r>
      <w:r w:rsidRPr="00EB11D3">
        <w:rPr>
          <w:szCs w:val="24"/>
          <w:shd w:val="clear" w:color="auto" w:fill="FFFFFF"/>
        </w:rPr>
        <w:t>, </w:t>
      </w:r>
      <w:r w:rsidRPr="00EB11D3">
        <w:rPr>
          <w:i/>
          <w:iCs/>
          <w:szCs w:val="24"/>
          <w:shd w:val="clear" w:color="auto" w:fill="FFFFFF"/>
        </w:rPr>
        <w:t>29</w:t>
      </w:r>
      <w:r w:rsidRPr="00EB11D3">
        <w:rPr>
          <w:szCs w:val="24"/>
          <w:shd w:val="clear" w:color="auto" w:fill="FFFFFF"/>
        </w:rPr>
        <w:t>(6), 2392-2403.</w:t>
      </w:r>
    </w:p>
    <w:p w14:paraId="722DE129"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Baden-Fuller, C., &amp; Haefliger, S. (2018). Business models and technological innovation. </w:t>
      </w:r>
      <w:r w:rsidRPr="00FA7816">
        <w:rPr>
          <w:rFonts w:eastAsia="Times New Roman"/>
          <w:bCs/>
          <w:i/>
          <w:iCs/>
          <w:szCs w:val="24"/>
        </w:rPr>
        <w:t>Long Range Planning</w:t>
      </w:r>
      <w:r w:rsidRPr="00EB11D3">
        <w:rPr>
          <w:rFonts w:eastAsia="Times New Roman"/>
          <w:bCs/>
          <w:szCs w:val="24"/>
        </w:rPr>
        <w:t>, 46(6), 419-426.</w:t>
      </w:r>
    </w:p>
    <w:p w14:paraId="6523CA91"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Bajaher, M., Habbash, M., &amp; Alborr, A. (2022). Board governance, ownership structure and foreign investment in the Saudi capital market. </w:t>
      </w:r>
      <w:r w:rsidRPr="00EB11D3">
        <w:rPr>
          <w:i/>
          <w:iCs/>
          <w:szCs w:val="24"/>
          <w:shd w:val="clear" w:color="auto" w:fill="FFFFFF"/>
        </w:rPr>
        <w:t>Journal of Financial Reporting and Accounting</w:t>
      </w:r>
      <w:r w:rsidRPr="00EB11D3">
        <w:rPr>
          <w:szCs w:val="24"/>
          <w:shd w:val="clear" w:color="auto" w:fill="FFFFFF"/>
        </w:rPr>
        <w:t>, </w:t>
      </w:r>
      <w:r w:rsidRPr="00EB11D3">
        <w:rPr>
          <w:i/>
          <w:iCs/>
          <w:szCs w:val="24"/>
          <w:shd w:val="clear" w:color="auto" w:fill="FFFFFF"/>
        </w:rPr>
        <w:t>20</w:t>
      </w:r>
      <w:r w:rsidRPr="00EB11D3">
        <w:rPr>
          <w:szCs w:val="24"/>
          <w:shd w:val="clear" w:color="auto" w:fill="FFFFFF"/>
        </w:rPr>
        <w:t>(2), 261-278.</w:t>
      </w:r>
    </w:p>
    <w:p w14:paraId="291F1370"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rPr>
        <w:t>Barasa, E., Nguhiu, P., &amp; McIntyre, D. (2018). Measuring progress towards sustainable development goal 3.8 on universal health coverage in Kenya. </w:t>
      </w:r>
      <w:r w:rsidRPr="00EB11D3">
        <w:rPr>
          <w:i/>
          <w:iCs/>
          <w:szCs w:val="24"/>
          <w:shd w:val="clear" w:color="auto" w:fill="FFFFFF"/>
        </w:rPr>
        <w:t>BMJ global health</w:t>
      </w:r>
      <w:r w:rsidRPr="00EB11D3">
        <w:rPr>
          <w:szCs w:val="24"/>
          <w:shd w:val="clear" w:color="auto" w:fill="FFFFFF"/>
        </w:rPr>
        <w:t>, </w:t>
      </w:r>
      <w:r w:rsidRPr="00EB11D3">
        <w:rPr>
          <w:i/>
          <w:iCs/>
          <w:szCs w:val="24"/>
          <w:shd w:val="clear" w:color="auto" w:fill="FFFFFF"/>
        </w:rPr>
        <w:t>3</w:t>
      </w:r>
      <w:r w:rsidRPr="00EB11D3">
        <w:rPr>
          <w:szCs w:val="24"/>
          <w:shd w:val="clear" w:color="auto" w:fill="FFFFFF"/>
        </w:rPr>
        <w:t>(3), e000904.</w:t>
      </w:r>
    </w:p>
    <w:p w14:paraId="283985B5"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Barrett, M., Davidson, E., Prabhu, J., &amp; Vargo, S. L. (2015). Service innovation in the digital age: Key contributions and future directions. </w:t>
      </w:r>
      <w:r w:rsidRPr="00EB11D3">
        <w:rPr>
          <w:i/>
          <w:iCs/>
          <w:color w:val="222222"/>
          <w:szCs w:val="24"/>
          <w:shd w:val="clear" w:color="auto" w:fill="FFFFFF"/>
        </w:rPr>
        <w:t>MIS Quarterly, 39</w:t>
      </w:r>
      <w:r w:rsidRPr="00EB11D3">
        <w:rPr>
          <w:color w:val="222222"/>
          <w:szCs w:val="24"/>
          <w:shd w:val="clear" w:color="auto" w:fill="FFFFFF"/>
        </w:rPr>
        <w:t>(1), 135–154.</w:t>
      </w:r>
    </w:p>
    <w:p w14:paraId="41CB3850"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Baum, C. F., Lööf, H., Stephan, A., &amp; Viklund-Ros, I. (2022). Innovation by start-up firms: The role of the board of directors for knowledge spillovers. </w:t>
      </w:r>
      <w:r w:rsidRPr="00EB11D3">
        <w:rPr>
          <w:i/>
          <w:iCs/>
          <w:color w:val="222222"/>
          <w:szCs w:val="24"/>
          <w:shd w:val="clear" w:color="auto" w:fill="FFFFFF"/>
        </w:rPr>
        <w:t>Research Policy</w:t>
      </w:r>
      <w:r w:rsidRPr="00EB11D3">
        <w:rPr>
          <w:color w:val="222222"/>
          <w:szCs w:val="24"/>
          <w:shd w:val="clear" w:color="auto" w:fill="FFFFFF"/>
        </w:rPr>
        <w:t>, </w:t>
      </w:r>
      <w:r w:rsidRPr="00EB11D3">
        <w:rPr>
          <w:i/>
          <w:iCs/>
          <w:color w:val="222222"/>
          <w:szCs w:val="24"/>
          <w:shd w:val="clear" w:color="auto" w:fill="FFFFFF"/>
        </w:rPr>
        <w:t>51</w:t>
      </w:r>
      <w:r w:rsidRPr="00EB11D3">
        <w:rPr>
          <w:color w:val="222222"/>
          <w:szCs w:val="24"/>
          <w:shd w:val="clear" w:color="auto" w:fill="FFFFFF"/>
        </w:rPr>
        <w:t>(1), 104375.</w:t>
      </w:r>
    </w:p>
    <w:p w14:paraId="2C3C1A73"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Beasley, J. W., Starfield, B., van Weel, C., Rosser, W. W., &amp; Haq, C. L. (2018). Global health and primary care research. </w:t>
      </w:r>
      <w:r w:rsidRPr="00EB11D3">
        <w:rPr>
          <w:rFonts w:eastAsia="Times New Roman"/>
          <w:bCs/>
          <w:i/>
          <w:iCs/>
          <w:szCs w:val="24"/>
        </w:rPr>
        <w:t>The Journal of the American Board of Family Medicine</w:t>
      </w:r>
      <w:r w:rsidRPr="00EB11D3">
        <w:rPr>
          <w:rFonts w:eastAsia="Times New Roman"/>
          <w:bCs/>
          <w:szCs w:val="24"/>
        </w:rPr>
        <w:t>, </w:t>
      </w:r>
      <w:r w:rsidRPr="00EB11D3">
        <w:rPr>
          <w:rFonts w:eastAsia="Times New Roman"/>
          <w:bCs/>
          <w:i/>
          <w:iCs/>
          <w:szCs w:val="24"/>
        </w:rPr>
        <w:t>20</w:t>
      </w:r>
      <w:r w:rsidRPr="00EB11D3">
        <w:rPr>
          <w:rFonts w:eastAsia="Times New Roman"/>
          <w:bCs/>
          <w:szCs w:val="24"/>
        </w:rPr>
        <w:t xml:space="preserve">(6), 518-526. </w:t>
      </w:r>
    </w:p>
    <w:p w14:paraId="18CF68E6"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Bebchuk, L. A., &amp; Cohen, A. (2020). The costs of entrenched boards. Journal of Financial Economics, 78(2), 409-433.</w:t>
      </w:r>
    </w:p>
    <w:p w14:paraId="67F7FF17"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Bell, E., Bryman, A., &amp; Harley, B. (2019). </w:t>
      </w:r>
      <w:r w:rsidRPr="00EB11D3">
        <w:rPr>
          <w:i/>
          <w:szCs w:val="24"/>
          <w:shd w:val="clear" w:color="auto" w:fill="FFFFFF"/>
        </w:rPr>
        <w:t>Business Research Methods</w:t>
      </w:r>
      <w:r w:rsidRPr="00EB11D3">
        <w:rPr>
          <w:szCs w:val="24"/>
          <w:shd w:val="clear" w:color="auto" w:fill="FFFFFF"/>
        </w:rPr>
        <w:t>. Oxford university press 5</w:t>
      </w:r>
      <w:r w:rsidRPr="00EB11D3">
        <w:rPr>
          <w:szCs w:val="24"/>
          <w:shd w:val="clear" w:color="auto" w:fill="FFFFFF"/>
          <w:vertAlign w:val="superscript"/>
        </w:rPr>
        <w:t>th</w:t>
      </w:r>
      <w:r w:rsidRPr="00EB11D3">
        <w:rPr>
          <w:szCs w:val="24"/>
          <w:shd w:val="clear" w:color="auto" w:fill="FFFFFF"/>
        </w:rPr>
        <w:t xml:space="preserve"> Ed. Oxford University Press, New York. NY 10016.</w:t>
      </w:r>
    </w:p>
    <w:p w14:paraId="300216C2" w14:textId="77777777" w:rsidR="003A6047" w:rsidRPr="00EB11D3" w:rsidRDefault="003A6047" w:rsidP="00813B05">
      <w:pPr>
        <w:spacing w:after="0" w:line="360" w:lineRule="auto"/>
        <w:ind w:left="720" w:hanging="720"/>
        <w:rPr>
          <w:szCs w:val="24"/>
        </w:rPr>
      </w:pPr>
      <w:r w:rsidRPr="00EB11D3">
        <w:rPr>
          <w:szCs w:val="24"/>
        </w:rPr>
        <w:t xml:space="preserve">Bell, E., Harley, B., &amp; Bryman, A. (2022). </w:t>
      </w:r>
      <w:r w:rsidRPr="00EB11D3">
        <w:rPr>
          <w:i/>
          <w:iCs/>
          <w:szCs w:val="24"/>
        </w:rPr>
        <w:t>Business research methods. Oxford</w:t>
      </w:r>
      <w:r w:rsidRPr="00EB11D3">
        <w:rPr>
          <w:szCs w:val="24"/>
        </w:rPr>
        <w:t>: Oxford university press.</w:t>
      </w:r>
    </w:p>
    <w:p w14:paraId="5B2FDE8D"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Belloc, F., &amp; Pagano, U. (2019). Organizational innovation and corporate performance: The effect of internal and external factors. </w:t>
      </w:r>
      <w:r w:rsidRPr="00B60548">
        <w:rPr>
          <w:rFonts w:eastAsia="Times New Roman"/>
          <w:bCs/>
          <w:i/>
          <w:iCs/>
          <w:szCs w:val="24"/>
        </w:rPr>
        <w:t>Journal of Business Research</w:t>
      </w:r>
      <w:r w:rsidRPr="00EB11D3">
        <w:rPr>
          <w:rFonts w:eastAsia="Times New Roman"/>
          <w:bCs/>
          <w:szCs w:val="24"/>
        </w:rPr>
        <w:t>, 97, 1-12.</w:t>
      </w:r>
    </w:p>
    <w:p w14:paraId="5679AB67"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Benedetti, H., Nikbakht, E., Sarkar, S., &amp; Spieler, A. C. (2021). Blockchain and corporate fraud. </w:t>
      </w:r>
      <w:r w:rsidRPr="00EB11D3">
        <w:rPr>
          <w:i/>
          <w:iCs/>
          <w:szCs w:val="24"/>
          <w:shd w:val="clear" w:color="auto" w:fill="FFFFFF"/>
        </w:rPr>
        <w:t>Journal of Financial Crime</w:t>
      </w:r>
      <w:r w:rsidRPr="00EB11D3">
        <w:rPr>
          <w:szCs w:val="24"/>
          <w:shd w:val="clear" w:color="auto" w:fill="FFFFFF"/>
        </w:rPr>
        <w:t>, </w:t>
      </w:r>
      <w:r w:rsidRPr="00EB11D3">
        <w:rPr>
          <w:i/>
          <w:iCs/>
          <w:szCs w:val="24"/>
          <w:shd w:val="clear" w:color="auto" w:fill="FFFFFF"/>
        </w:rPr>
        <w:t>28</w:t>
      </w:r>
      <w:r w:rsidRPr="00EB11D3">
        <w:rPr>
          <w:szCs w:val="24"/>
          <w:shd w:val="clear" w:color="auto" w:fill="FFFFFF"/>
        </w:rPr>
        <w:t>(3), 702-721.</w:t>
      </w:r>
    </w:p>
    <w:p w14:paraId="14B162A4"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Berry, L. L. (2019). Service innovation is urgent in healthcare. </w:t>
      </w:r>
      <w:r w:rsidRPr="00EB11D3">
        <w:rPr>
          <w:i/>
          <w:iCs/>
          <w:color w:val="222222"/>
          <w:szCs w:val="24"/>
          <w:shd w:val="clear" w:color="auto" w:fill="FFFFFF"/>
        </w:rPr>
        <w:t>AMS review</w:t>
      </w:r>
      <w:r w:rsidRPr="00EB11D3">
        <w:rPr>
          <w:color w:val="222222"/>
          <w:szCs w:val="24"/>
          <w:shd w:val="clear" w:color="auto" w:fill="FFFFFF"/>
        </w:rPr>
        <w:t>, </w:t>
      </w:r>
      <w:r w:rsidRPr="00EB11D3">
        <w:rPr>
          <w:i/>
          <w:iCs/>
          <w:color w:val="222222"/>
          <w:szCs w:val="24"/>
          <w:shd w:val="clear" w:color="auto" w:fill="FFFFFF"/>
        </w:rPr>
        <w:t>9</w:t>
      </w:r>
      <w:r w:rsidRPr="00EB11D3">
        <w:rPr>
          <w:color w:val="222222"/>
          <w:szCs w:val="24"/>
          <w:shd w:val="clear" w:color="auto" w:fill="FFFFFF"/>
        </w:rPr>
        <w:t>(1), 78-92.</w:t>
      </w:r>
    </w:p>
    <w:p w14:paraId="7421E758" w14:textId="77777777" w:rsidR="003A6047" w:rsidRPr="00EB11D3" w:rsidRDefault="003A6047" w:rsidP="00813B05">
      <w:pPr>
        <w:spacing w:after="0" w:line="360" w:lineRule="auto"/>
        <w:ind w:left="720" w:hanging="720"/>
        <w:rPr>
          <w:szCs w:val="24"/>
        </w:rPr>
      </w:pPr>
      <w:r w:rsidRPr="00EB11D3">
        <w:rPr>
          <w:color w:val="222222"/>
          <w:szCs w:val="24"/>
          <w:shd w:val="clear" w:color="auto" w:fill="FFFFFF"/>
        </w:rPr>
        <w:t>Bhagat, S. V., &amp; Kanyal, D. (2024). Navigating the Future: The Transformative Impact of Artificial Intelligence on Hospital Management-A Comprehensive Review. </w:t>
      </w:r>
      <w:r w:rsidRPr="00EB11D3">
        <w:rPr>
          <w:i/>
          <w:iCs/>
          <w:color w:val="222222"/>
          <w:szCs w:val="24"/>
          <w:shd w:val="clear" w:color="auto" w:fill="FFFFFF"/>
        </w:rPr>
        <w:t>Cureus</w:t>
      </w:r>
      <w:r w:rsidRPr="00EB11D3">
        <w:rPr>
          <w:color w:val="222222"/>
          <w:szCs w:val="24"/>
          <w:shd w:val="clear" w:color="auto" w:fill="FFFFFF"/>
        </w:rPr>
        <w:t>, </w:t>
      </w:r>
      <w:r w:rsidRPr="00EB11D3">
        <w:rPr>
          <w:i/>
          <w:iCs/>
          <w:color w:val="222222"/>
          <w:szCs w:val="24"/>
          <w:shd w:val="clear" w:color="auto" w:fill="FFFFFF"/>
        </w:rPr>
        <w:t>16</w:t>
      </w:r>
      <w:r w:rsidRPr="00EB11D3">
        <w:rPr>
          <w:color w:val="222222"/>
          <w:szCs w:val="24"/>
          <w:shd w:val="clear" w:color="auto" w:fill="FFFFFF"/>
        </w:rPr>
        <w:t>(2).</w:t>
      </w:r>
    </w:p>
    <w:p w14:paraId="53B51CE5"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Bhagat, S., &amp; Bolton, B. (2019). Corporate governance and firm performance: The sequel. </w:t>
      </w:r>
      <w:r w:rsidRPr="00EB11D3">
        <w:rPr>
          <w:i/>
          <w:iCs/>
          <w:szCs w:val="24"/>
          <w:shd w:val="clear" w:color="auto" w:fill="FFFFFF"/>
        </w:rPr>
        <w:t>Journal of Corporate Finance</w:t>
      </w:r>
      <w:r w:rsidRPr="00EB11D3">
        <w:rPr>
          <w:szCs w:val="24"/>
          <w:shd w:val="clear" w:color="auto" w:fill="FFFFFF"/>
        </w:rPr>
        <w:t>, </w:t>
      </w:r>
      <w:r w:rsidRPr="00EB11D3">
        <w:rPr>
          <w:i/>
          <w:iCs/>
          <w:szCs w:val="24"/>
          <w:shd w:val="clear" w:color="auto" w:fill="FFFFFF"/>
        </w:rPr>
        <w:t>58</w:t>
      </w:r>
      <w:r w:rsidRPr="00EB11D3">
        <w:rPr>
          <w:szCs w:val="24"/>
          <w:shd w:val="clear" w:color="auto" w:fill="FFFFFF"/>
        </w:rPr>
        <w:t>, 142-168.</w:t>
      </w:r>
    </w:p>
    <w:p w14:paraId="662255AE"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Bhat, D. A. R., &amp; Sharma, V. (2022). Enabling service innovation and firm performance: the role of co-creation and technological innovation in the hospitality industry. </w:t>
      </w:r>
      <w:r w:rsidRPr="00EB11D3">
        <w:rPr>
          <w:i/>
          <w:iCs/>
          <w:szCs w:val="24"/>
          <w:shd w:val="clear" w:color="auto" w:fill="FFFFFF"/>
        </w:rPr>
        <w:t>Technology Analysis &amp; Strategic Management</w:t>
      </w:r>
      <w:r w:rsidRPr="00EB11D3">
        <w:rPr>
          <w:szCs w:val="24"/>
          <w:shd w:val="clear" w:color="auto" w:fill="FFFFFF"/>
        </w:rPr>
        <w:t>, </w:t>
      </w:r>
      <w:r w:rsidRPr="00EB11D3">
        <w:rPr>
          <w:i/>
          <w:iCs/>
          <w:szCs w:val="24"/>
          <w:shd w:val="clear" w:color="auto" w:fill="FFFFFF"/>
        </w:rPr>
        <w:t>34</w:t>
      </w:r>
      <w:r w:rsidRPr="00EB11D3">
        <w:rPr>
          <w:szCs w:val="24"/>
          <w:shd w:val="clear" w:color="auto" w:fill="FFFFFF"/>
        </w:rPr>
        <w:t>(7), 774-786.</w:t>
      </w:r>
    </w:p>
    <w:p w14:paraId="4E3DE1E8"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Bhat, K. U., Chen, Y., Jebran, K., &amp; Bhutto, N. A. (2018). Corporate governance and firm value: a comparative analysis of state and non-state-owned companies in the context of Pakistan. </w:t>
      </w:r>
      <w:r w:rsidRPr="00EB11D3">
        <w:rPr>
          <w:i/>
          <w:iCs/>
          <w:color w:val="222222"/>
          <w:szCs w:val="24"/>
          <w:shd w:val="clear" w:color="auto" w:fill="FFFFFF"/>
        </w:rPr>
        <w:t>Corporate Governance: The international journal of business in society</w:t>
      </w:r>
      <w:r w:rsidRPr="00EB11D3">
        <w:rPr>
          <w:color w:val="222222"/>
          <w:szCs w:val="24"/>
          <w:shd w:val="clear" w:color="auto" w:fill="FFFFFF"/>
        </w:rPr>
        <w:t>, </w:t>
      </w:r>
      <w:r w:rsidRPr="00EB11D3">
        <w:rPr>
          <w:i/>
          <w:iCs/>
          <w:color w:val="222222"/>
          <w:szCs w:val="24"/>
          <w:shd w:val="clear" w:color="auto" w:fill="FFFFFF"/>
        </w:rPr>
        <w:t>18</w:t>
      </w:r>
      <w:r w:rsidRPr="00EB11D3">
        <w:rPr>
          <w:color w:val="222222"/>
          <w:szCs w:val="24"/>
          <w:shd w:val="clear" w:color="auto" w:fill="FFFFFF"/>
        </w:rPr>
        <w:t>(6), 1196-1206.</w:t>
      </w:r>
    </w:p>
    <w:p w14:paraId="37105820"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Bhatta, T. P. (2018). Case study research, philosophical position and theory building: A methodological discussion. </w:t>
      </w:r>
      <w:r w:rsidRPr="00EB11D3">
        <w:rPr>
          <w:i/>
          <w:iCs/>
          <w:szCs w:val="24"/>
          <w:shd w:val="clear" w:color="auto" w:fill="FFFFFF"/>
        </w:rPr>
        <w:t>Dhaulagiri Journal of Sociology and Anthropology</w:t>
      </w:r>
      <w:r w:rsidRPr="00EB11D3">
        <w:rPr>
          <w:szCs w:val="24"/>
          <w:shd w:val="clear" w:color="auto" w:fill="FFFFFF"/>
        </w:rPr>
        <w:t>, </w:t>
      </w:r>
      <w:r w:rsidRPr="00EB11D3">
        <w:rPr>
          <w:i/>
          <w:iCs/>
          <w:szCs w:val="24"/>
          <w:shd w:val="clear" w:color="auto" w:fill="FFFFFF"/>
        </w:rPr>
        <w:t>12</w:t>
      </w:r>
      <w:r w:rsidRPr="00EB11D3">
        <w:rPr>
          <w:szCs w:val="24"/>
          <w:shd w:val="clear" w:color="auto" w:fill="FFFFFF"/>
        </w:rPr>
        <w:t>, 72-79.</w:t>
      </w:r>
    </w:p>
    <w:p w14:paraId="09118B1C"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Biswas, P. K., Mansi, M., &amp; Pandey, R. (2018). Board composition, sustainability committee and corporate social and environmental performance in Australia. </w:t>
      </w:r>
      <w:r w:rsidRPr="00EB11D3">
        <w:rPr>
          <w:i/>
          <w:iCs/>
          <w:szCs w:val="24"/>
          <w:shd w:val="clear" w:color="auto" w:fill="FFFFFF"/>
        </w:rPr>
        <w:t>Pacific Accounting Review</w:t>
      </w:r>
      <w:r w:rsidRPr="00EB11D3">
        <w:rPr>
          <w:szCs w:val="24"/>
          <w:shd w:val="clear" w:color="auto" w:fill="FFFFFF"/>
        </w:rPr>
        <w:t>, </w:t>
      </w:r>
      <w:r w:rsidRPr="00EB11D3">
        <w:rPr>
          <w:i/>
          <w:iCs/>
          <w:szCs w:val="24"/>
          <w:shd w:val="clear" w:color="auto" w:fill="FFFFFF"/>
        </w:rPr>
        <w:t>30</w:t>
      </w:r>
      <w:r w:rsidRPr="00EB11D3">
        <w:rPr>
          <w:szCs w:val="24"/>
          <w:shd w:val="clear" w:color="auto" w:fill="FFFFFF"/>
        </w:rPr>
        <w:t>(4), 517-540.</w:t>
      </w:r>
    </w:p>
    <w:p w14:paraId="01126F97" w14:textId="77777777" w:rsidR="003A6047" w:rsidRDefault="003A6047" w:rsidP="00813B05">
      <w:pPr>
        <w:spacing w:after="0" w:line="360" w:lineRule="auto"/>
        <w:ind w:left="720" w:hanging="720"/>
        <w:rPr>
          <w:szCs w:val="24"/>
          <w:shd w:val="clear" w:color="auto" w:fill="FFFFFF"/>
        </w:rPr>
      </w:pPr>
      <w:r w:rsidRPr="006C3575">
        <w:rPr>
          <w:szCs w:val="24"/>
          <w:shd w:val="clear" w:color="auto" w:fill="FFFFFF"/>
        </w:rPr>
        <w:t>Blevins, D. P., Ragozzino, R., &amp; Eckardt, R. (2022). “Corporate governance” and performance in nonprofit organizations. </w:t>
      </w:r>
      <w:r w:rsidRPr="006C3575">
        <w:rPr>
          <w:i/>
          <w:iCs/>
          <w:szCs w:val="24"/>
          <w:shd w:val="clear" w:color="auto" w:fill="FFFFFF"/>
        </w:rPr>
        <w:t>Strategic organization</w:t>
      </w:r>
      <w:r w:rsidRPr="006C3575">
        <w:rPr>
          <w:szCs w:val="24"/>
          <w:shd w:val="clear" w:color="auto" w:fill="FFFFFF"/>
        </w:rPr>
        <w:t>, </w:t>
      </w:r>
      <w:r w:rsidRPr="006C3575">
        <w:rPr>
          <w:i/>
          <w:iCs/>
          <w:szCs w:val="24"/>
          <w:shd w:val="clear" w:color="auto" w:fill="FFFFFF"/>
        </w:rPr>
        <w:t>20</w:t>
      </w:r>
      <w:r w:rsidRPr="006C3575">
        <w:rPr>
          <w:szCs w:val="24"/>
          <w:shd w:val="clear" w:color="auto" w:fill="FFFFFF"/>
        </w:rPr>
        <w:t>(2), 293-317.</w:t>
      </w:r>
    </w:p>
    <w:p w14:paraId="3B4FB318"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Blommerde, T. (2022). Service innovation and performance in micro, small, and medium-sized organizations. </w:t>
      </w:r>
      <w:r w:rsidRPr="00EB11D3">
        <w:rPr>
          <w:i/>
          <w:iCs/>
          <w:szCs w:val="24"/>
          <w:shd w:val="clear" w:color="auto" w:fill="FFFFFF"/>
        </w:rPr>
        <w:t>European Journal of Business and Management Research</w:t>
      </w:r>
      <w:r w:rsidRPr="00EB11D3">
        <w:rPr>
          <w:szCs w:val="24"/>
          <w:shd w:val="clear" w:color="auto" w:fill="FFFFFF"/>
        </w:rPr>
        <w:t>, </w:t>
      </w:r>
      <w:r w:rsidRPr="00EB11D3">
        <w:rPr>
          <w:i/>
          <w:iCs/>
          <w:szCs w:val="24"/>
          <w:shd w:val="clear" w:color="auto" w:fill="FFFFFF"/>
        </w:rPr>
        <w:t>7</w:t>
      </w:r>
      <w:r w:rsidRPr="00EB11D3">
        <w:rPr>
          <w:szCs w:val="24"/>
          <w:shd w:val="clear" w:color="auto" w:fill="FFFFFF"/>
        </w:rPr>
        <w:t>(4), 46-54.</w:t>
      </w:r>
    </w:p>
    <w:p w14:paraId="7B96853F" w14:textId="77777777" w:rsidR="003A6047" w:rsidRPr="00EB11D3" w:rsidRDefault="003A6047" w:rsidP="00813B05">
      <w:pPr>
        <w:shd w:val="clear" w:color="auto" w:fill="FFFFFF"/>
        <w:spacing w:after="0" w:line="360" w:lineRule="auto"/>
        <w:ind w:left="720" w:hanging="720"/>
        <w:rPr>
          <w:rFonts w:eastAsia="Times New Roman"/>
          <w:bCs/>
          <w:szCs w:val="24"/>
        </w:rPr>
      </w:pPr>
      <w:bookmarkStart w:id="1155" w:name="_Hlk160642736"/>
      <w:r w:rsidRPr="00EB11D3">
        <w:rPr>
          <w:rFonts w:eastAsia="Times New Roman"/>
          <w:bCs/>
          <w:szCs w:val="24"/>
        </w:rPr>
        <w:t xml:space="preserve">Boadi, E. A., Li, Y., &amp; He, Z. (2020). </w:t>
      </w:r>
      <w:bookmarkEnd w:id="1155"/>
      <w:r w:rsidRPr="00EB11D3">
        <w:rPr>
          <w:rFonts w:eastAsia="Times New Roman"/>
          <w:bCs/>
          <w:szCs w:val="24"/>
        </w:rPr>
        <w:t xml:space="preserve">Regulatory knowledge and sustainable development: The impact of regulatory knowledge on corporate social responsibility. </w:t>
      </w:r>
      <w:r w:rsidRPr="00B60548">
        <w:rPr>
          <w:rFonts w:eastAsia="Times New Roman"/>
          <w:bCs/>
          <w:i/>
          <w:iCs/>
          <w:szCs w:val="24"/>
        </w:rPr>
        <w:t>Corporate Social Responsibility and Environmental Management</w:t>
      </w:r>
      <w:r w:rsidRPr="00EB11D3">
        <w:rPr>
          <w:rFonts w:eastAsia="Times New Roman"/>
          <w:bCs/>
          <w:szCs w:val="24"/>
        </w:rPr>
        <w:t>, 27(1), 147-159.</w:t>
      </w:r>
    </w:p>
    <w:p w14:paraId="5882ABE9" w14:textId="77777777" w:rsidR="003A6047" w:rsidRPr="00EB11D3" w:rsidRDefault="003A6047" w:rsidP="00813B05">
      <w:pPr>
        <w:shd w:val="clear" w:color="auto" w:fill="FFFFFF"/>
        <w:spacing w:after="0" w:line="360" w:lineRule="auto"/>
        <w:ind w:left="720" w:hanging="720"/>
        <w:rPr>
          <w:color w:val="222222"/>
          <w:szCs w:val="24"/>
          <w:shd w:val="clear" w:color="auto" w:fill="FFFFFF"/>
        </w:rPr>
      </w:pPr>
      <w:r w:rsidRPr="00EB11D3">
        <w:rPr>
          <w:color w:val="222222"/>
          <w:szCs w:val="24"/>
          <w:shd w:val="clear" w:color="auto" w:fill="FFFFFF"/>
        </w:rPr>
        <w:t>Bohr, A., &amp; Memarzadeh, K. (2020). The rise of artificial intelligence in healthcare applications. In </w:t>
      </w:r>
      <w:r w:rsidRPr="00EB11D3">
        <w:rPr>
          <w:i/>
          <w:iCs/>
          <w:color w:val="222222"/>
          <w:szCs w:val="24"/>
          <w:shd w:val="clear" w:color="auto" w:fill="FFFFFF"/>
        </w:rPr>
        <w:t>Artificial Intelligence in healthcare</w:t>
      </w:r>
      <w:r w:rsidRPr="00EB11D3">
        <w:rPr>
          <w:color w:val="222222"/>
          <w:szCs w:val="24"/>
          <w:shd w:val="clear" w:color="auto" w:fill="FFFFFF"/>
        </w:rPr>
        <w:t> (pp. 25-60). Academic Press.</w:t>
      </w:r>
    </w:p>
    <w:p w14:paraId="2809E462"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 xml:space="preserve">Bolton, B., &amp; Zhao, J. (2018). </w:t>
      </w:r>
      <w:r w:rsidRPr="00B60548">
        <w:rPr>
          <w:i/>
          <w:iCs/>
          <w:color w:val="222222"/>
          <w:szCs w:val="24"/>
          <w:shd w:val="clear" w:color="auto" w:fill="FFFFFF"/>
        </w:rPr>
        <w:t>What matters in corporate governance and innovation</w:t>
      </w:r>
      <w:r w:rsidRPr="00EB11D3">
        <w:rPr>
          <w:color w:val="222222"/>
          <w:szCs w:val="24"/>
          <w:shd w:val="clear" w:color="auto" w:fill="FFFFFF"/>
        </w:rPr>
        <w:t>? Retrieved from https://www.efmaefm.org/0EFMAMEETINGS/EFMA%20ANNUAL%20MEETINGS/2018-Milan/papers/EFMA2018_0632_fullpaper.pdf</w:t>
      </w:r>
    </w:p>
    <w:p w14:paraId="1E8B5C2B"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Bond, C., Lancaster, G. A., Campbell, M., Chan, C., Eddy, S., Hopewell, S., ... &amp; Eldridge, S. (2023). Pilot and feasibility studies: extending the conceptual framework. </w:t>
      </w:r>
      <w:r w:rsidRPr="00EB11D3">
        <w:rPr>
          <w:i/>
          <w:iCs/>
          <w:szCs w:val="24"/>
          <w:shd w:val="clear" w:color="auto" w:fill="FFFFFF"/>
        </w:rPr>
        <w:t>Pilot and Feasibility Studies</w:t>
      </w:r>
      <w:r w:rsidRPr="00EB11D3">
        <w:rPr>
          <w:szCs w:val="24"/>
          <w:shd w:val="clear" w:color="auto" w:fill="FFFFFF"/>
        </w:rPr>
        <w:t>, </w:t>
      </w:r>
      <w:r w:rsidRPr="00EB11D3">
        <w:rPr>
          <w:i/>
          <w:iCs/>
          <w:szCs w:val="24"/>
          <w:shd w:val="clear" w:color="auto" w:fill="FFFFFF"/>
        </w:rPr>
        <w:t>9</w:t>
      </w:r>
      <w:r w:rsidRPr="00EB11D3">
        <w:rPr>
          <w:szCs w:val="24"/>
          <w:shd w:val="clear" w:color="auto" w:fill="FFFFFF"/>
        </w:rPr>
        <w:t>(1), 24.</w:t>
      </w:r>
    </w:p>
    <w:p w14:paraId="635BABEB"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Bose, S., Khan, H. Z., Rashid, A., &amp; Islam, S. (2018). What drives green banking disclosure? An institutional and corporate governance perspective. </w:t>
      </w:r>
      <w:r w:rsidRPr="00EB11D3">
        <w:rPr>
          <w:i/>
          <w:iCs/>
          <w:szCs w:val="24"/>
          <w:shd w:val="clear" w:color="auto" w:fill="FFFFFF"/>
        </w:rPr>
        <w:t>Asia Pacific Journal of Management</w:t>
      </w:r>
      <w:r w:rsidRPr="00EB11D3">
        <w:rPr>
          <w:szCs w:val="24"/>
          <w:shd w:val="clear" w:color="auto" w:fill="FFFFFF"/>
        </w:rPr>
        <w:t>, 35(2), 501–527.</w:t>
      </w:r>
    </w:p>
    <w:p w14:paraId="4EDF4F74"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Bougie, R., Uma Sekaran, &amp; Wiley, J. (2020). </w:t>
      </w:r>
      <w:r w:rsidRPr="00EB11D3">
        <w:rPr>
          <w:i/>
          <w:szCs w:val="24"/>
          <w:shd w:val="clear" w:color="auto" w:fill="FFFFFF"/>
        </w:rPr>
        <w:t>Research methods for business: a skill building approach</w:t>
      </w:r>
      <w:r w:rsidRPr="00EB11D3">
        <w:rPr>
          <w:szCs w:val="24"/>
          <w:shd w:val="clear" w:color="auto" w:fill="FFFFFF"/>
        </w:rPr>
        <w:t>. John Wiley &amp; Sons, Copyright.</w:t>
      </w:r>
    </w:p>
    <w:p w14:paraId="67F8035C"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Brettel, M., &amp; Voss, U. (2013). Antecedents of management control combinations-an explanation from resource dependence theory. </w:t>
      </w:r>
      <w:r w:rsidRPr="00EB11D3">
        <w:rPr>
          <w:i/>
          <w:iCs/>
          <w:szCs w:val="24"/>
          <w:shd w:val="clear" w:color="auto" w:fill="FFFFFF"/>
        </w:rPr>
        <w:t>Schmalenbach Business Review</w:t>
      </w:r>
      <w:r w:rsidRPr="00EB11D3">
        <w:rPr>
          <w:szCs w:val="24"/>
          <w:shd w:val="clear" w:color="auto" w:fill="FFFFFF"/>
        </w:rPr>
        <w:t>, </w:t>
      </w:r>
      <w:r w:rsidRPr="00EB11D3">
        <w:rPr>
          <w:i/>
          <w:iCs/>
          <w:szCs w:val="24"/>
          <w:shd w:val="clear" w:color="auto" w:fill="FFFFFF"/>
        </w:rPr>
        <w:t>65</w:t>
      </w:r>
      <w:r w:rsidRPr="00EB11D3">
        <w:rPr>
          <w:szCs w:val="24"/>
          <w:shd w:val="clear" w:color="auto" w:fill="FFFFFF"/>
        </w:rPr>
        <w:t>, 409-430.</w:t>
      </w:r>
    </w:p>
    <w:p w14:paraId="30A5C1AE"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Brown, A. (2019). Understanding corporate governance of healthcare quality: a comparative case study of eight Australian public hospitals. </w:t>
      </w:r>
      <w:r w:rsidRPr="00EB11D3">
        <w:rPr>
          <w:i/>
          <w:iCs/>
          <w:szCs w:val="24"/>
          <w:shd w:val="clear" w:color="auto" w:fill="FFFFFF"/>
        </w:rPr>
        <w:t>BMC health services research</w:t>
      </w:r>
      <w:r w:rsidRPr="00EB11D3">
        <w:rPr>
          <w:szCs w:val="24"/>
          <w:shd w:val="clear" w:color="auto" w:fill="FFFFFF"/>
        </w:rPr>
        <w:t>, </w:t>
      </w:r>
      <w:r w:rsidRPr="00EB11D3">
        <w:rPr>
          <w:i/>
          <w:iCs/>
          <w:szCs w:val="24"/>
          <w:shd w:val="clear" w:color="auto" w:fill="FFFFFF"/>
        </w:rPr>
        <w:t>19</w:t>
      </w:r>
      <w:r w:rsidRPr="00EB11D3">
        <w:rPr>
          <w:szCs w:val="24"/>
          <w:shd w:val="clear" w:color="auto" w:fill="FFFFFF"/>
        </w:rPr>
        <w:t>(1), 1-14.</w:t>
      </w:r>
    </w:p>
    <w:p w14:paraId="62040135"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Brown, I., &amp; Marsden, C. T. (2023). </w:t>
      </w:r>
      <w:r w:rsidRPr="00EB11D3">
        <w:rPr>
          <w:rFonts w:eastAsia="Times New Roman"/>
          <w:bCs/>
          <w:i/>
          <w:iCs/>
          <w:szCs w:val="24"/>
        </w:rPr>
        <w:t>Regulating code: Good governance and better regulation in the information age</w:t>
      </w:r>
      <w:r w:rsidRPr="00EB11D3">
        <w:rPr>
          <w:rFonts w:eastAsia="Times New Roman"/>
          <w:bCs/>
          <w:szCs w:val="24"/>
        </w:rPr>
        <w:t>. MIT Press.</w:t>
      </w:r>
    </w:p>
    <w:p w14:paraId="4EAF35A8"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Buallay, A. (2021). Corporate governance, Sharia’ah governance and performance: A cross-country comparison in the MENA region. </w:t>
      </w:r>
      <w:r w:rsidRPr="00EB11D3">
        <w:rPr>
          <w:i/>
          <w:iCs/>
          <w:szCs w:val="24"/>
          <w:shd w:val="clear" w:color="auto" w:fill="FFFFFF"/>
        </w:rPr>
        <w:t>Al Qasimia University Journal of Islamic Economics</w:t>
      </w:r>
      <w:r w:rsidRPr="00EB11D3">
        <w:rPr>
          <w:szCs w:val="24"/>
          <w:shd w:val="clear" w:color="auto" w:fill="FFFFFF"/>
        </w:rPr>
        <w:t>, </w:t>
      </w:r>
      <w:r w:rsidRPr="00EB11D3">
        <w:rPr>
          <w:i/>
          <w:iCs/>
          <w:szCs w:val="24"/>
          <w:shd w:val="clear" w:color="auto" w:fill="FFFFFF"/>
        </w:rPr>
        <w:t>1</w:t>
      </w:r>
      <w:r w:rsidRPr="00EB11D3">
        <w:rPr>
          <w:szCs w:val="24"/>
          <w:shd w:val="clear" w:color="auto" w:fill="FFFFFF"/>
        </w:rPr>
        <w:t>(1), 189-215.</w:t>
      </w:r>
    </w:p>
    <w:p w14:paraId="32AA3AFC"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Buallay, A., &amp; Al-Ajmi, J. (2020). The role of audit committee attributes in corporate sustainability reporting: Evidence from banks in the Gulf Cooperation Council. </w:t>
      </w:r>
      <w:r w:rsidRPr="00EB11D3">
        <w:rPr>
          <w:i/>
          <w:iCs/>
          <w:szCs w:val="24"/>
          <w:shd w:val="clear" w:color="auto" w:fill="FFFFFF"/>
        </w:rPr>
        <w:t>Journal of Applied Accounting Research</w:t>
      </w:r>
      <w:r w:rsidRPr="00EB11D3">
        <w:rPr>
          <w:szCs w:val="24"/>
          <w:shd w:val="clear" w:color="auto" w:fill="FFFFFF"/>
        </w:rPr>
        <w:t>, </w:t>
      </w:r>
      <w:r w:rsidRPr="00EB11D3">
        <w:rPr>
          <w:i/>
          <w:iCs/>
          <w:szCs w:val="24"/>
          <w:shd w:val="clear" w:color="auto" w:fill="FFFFFF"/>
        </w:rPr>
        <w:t>21</w:t>
      </w:r>
      <w:r w:rsidRPr="00EB11D3">
        <w:rPr>
          <w:szCs w:val="24"/>
          <w:shd w:val="clear" w:color="auto" w:fill="FFFFFF"/>
        </w:rPr>
        <w:t>(2), 249-264.</w:t>
      </w:r>
    </w:p>
    <w:p w14:paraId="47A59DED"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Buallay, A., &amp; Hamdan, A. (2019). The relationship between corporate governance and intellectual capital: The moderating role of firm size. </w:t>
      </w:r>
      <w:r w:rsidRPr="00EB11D3">
        <w:rPr>
          <w:i/>
          <w:iCs/>
          <w:szCs w:val="24"/>
          <w:shd w:val="clear" w:color="auto" w:fill="FFFFFF"/>
        </w:rPr>
        <w:t>International Journal of Law and Management</w:t>
      </w:r>
      <w:r w:rsidRPr="00EB11D3">
        <w:rPr>
          <w:szCs w:val="24"/>
          <w:shd w:val="clear" w:color="auto" w:fill="FFFFFF"/>
        </w:rPr>
        <w:t xml:space="preserve">, </w:t>
      </w:r>
      <w:r w:rsidRPr="00EB11D3">
        <w:rPr>
          <w:i/>
          <w:iCs/>
          <w:szCs w:val="24"/>
          <w:shd w:val="clear" w:color="auto" w:fill="FFFFFF"/>
        </w:rPr>
        <w:t xml:space="preserve">61 </w:t>
      </w:r>
      <w:r w:rsidRPr="00EB11D3">
        <w:rPr>
          <w:szCs w:val="24"/>
          <w:shd w:val="clear" w:color="auto" w:fill="FFFFFF"/>
        </w:rPr>
        <w:t>(2), 384-401.</w:t>
      </w:r>
    </w:p>
    <w:p w14:paraId="37A878C5" w14:textId="77777777" w:rsidR="003A6047" w:rsidRPr="00EB11D3" w:rsidRDefault="003A6047" w:rsidP="00813B05">
      <w:pPr>
        <w:shd w:val="clear" w:color="auto" w:fill="FFFFFF"/>
        <w:spacing w:after="0" w:line="360" w:lineRule="auto"/>
        <w:ind w:left="720" w:hanging="720"/>
        <w:rPr>
          <w:rFonts w:eastAsia="Times New Roman"/>
          <w:bCs/>
          <w:szCs w:val="24"/>
        </w:rPr>
      </w:pPr>
      <w:bookmarkStart w:id="1156" w:name="_Hlk161151960"/>
      <w:r w:rsidRPr="00EB11D3">
        <w:rPr>
          <w:rFonts w:eastAsia="Times New Roman"/>
          <w:bCs/>
          <w:szCs w:val="24"/>
        </w:rPr>
        <w:t xml:space="preserve">Bui, H., &amp; Krajcsák, Z. (2023). </w:t>
      </w:r>
      <w:bookmarkEnd w:id="1156"/>
      <w:r w:rsidRPr="00EB11D3">
        <w:rPr>
          <w:rFonts w:eastAsia="Times New Roman"/>
          <w:bCs/>
          <w:szCs w:val="24"/>
        </w:rPr>
        <w:t>The impacts of corporate governance on firms’ performance: from theories and approaches to empirical findings. </w:t>
      </w:r>
      <w:r w:rsidRPr="00EB11D3">
        <w:rPr>
          <w:rFonts w:eastAsia="Times New Roman"/>
          <w:bCs/>
          <w:i/>
          <w:iCs/>
          <w:szCs w:val="24"/>
        </w:rPr>
        <w:t>Journal of Financial Regulation and Compliance</w:t>
      </w:r>
      <w:r w:rsidRPr="00EB11D3">
        <w:rPr>
          <w:rFonts w:eastAsia="Times New Roman"/>
          <w:bCs/>
          <w:szCs w:val="24"/>
        </w:rPr>
        <w:t>, </w:t>
      </w:r>
      <w:r w:rsidRPr="00EB11D3">
        <w:rPr>
          <w:rFonts w:eastAsia="Times New Roman"/>
          <w:bCs/>
          <w:i/>
          <w:iCs/>
          <w:szCs w:val="24"/>
        </w:rPr>
        <w:t>32</w:t>
      </w:r>
      <w:r w:rsidRPr="00EB11D3">
        <w:rPr>
          <w:rFonts w:eastAsia="Times New Roman"/>
          <w:bCs/>
          <w:szCs w:val="24"/>
        </w:rPr>
        <w:t>(1), 18-46.</w:t>
      </w:r>
    </w:p>
    <w:p w14:paraId="552DF814"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Burns, G. N., Morris, M. B., Periard, D. A., LaHuis, D., Flannery, N. M., Carretta, T. R., &amp; Roebke, M. (2017). Criterion‐related validity of a Big Five general factor of personality from the TIPI to the IPIP. </w:t>
      </w:r>
      <w:r w:rsidRPr="00EB11D3">
        <w:rPr>
          <w:i/>
          <w:iCs/>
          <w:szCs w:val="24"/>
          <w:shd w:val="clear" w:color="auto" w:fill="FFFFFF"/>
        </w:rPr>
        <w:t>International Journal of Selection and Assessment</w:t>
      </w:r>
      <w:r w:rsidRPr="00EB11D3">
        <w:rPr>
          <w:szCs w:val="24"/>
          <w:shd w:val="clear" w:color="auto" w:fill="FFFFFF"/>
        </w:rPr>
        <w:t>, </w:t>
      </w:r>
      <w:r w:rsidRPr="00EB11D3">
        <w:rPr>
          <w:i/>
          <w:iCs/>
          <w:szCs w:val="24"/>
          <w:shd w:val="clear" w:color="auto" w:fill="FFFFFF"/>
        </w:rPr>
        <w:t>25</w:t>
      </w:r>
      <w:r w:rsidRPr="00EB11D3">
        <w:rPr>
          <w:szCs w:val="24"/>
          <w:shd w:val="clear" w:color="auto" w:fill="FFFFFF"/>
        </w:rPr>
        <w:t>(3), 213-222.</w:t>
      </w:r>
    </w:p>
    <w:p w14:paraId="5F93014A"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Busetto, L., Wick, W., &amp; Gumbinger, C. (2020). How to use and assess qualitative research methods. </w:t>
      </w:r>
      <w:r w:rsidRPr="00EB11D3">
        <w:rPr>
          <w:i/>
          <w:iCs/>
          <w:szCs w:val="24"/>
          <w:shd w:val="clear" w:color="auto" w:fill="FFFFFF"/>
        </w:rPr>
        <w:t>Neurological Research and practice</w:t>
      </w:r>
      <w:r w:rsidRPr="00EB11D3">
        <w:rPr>
          <w:szCs w:val="24"/>
          <w:shd w:val="clear" w:color="auto" w:fill="FFFFFF"/>
        </w:rPr>
        <w:t>, </w:t>
      </w:r>
      <w:r w:rsidRPr="00EB11D3">
        <w:rPr>
          <w:i/>
          <w:iCs/>
          <w:szCs w:val="24"/>
          <w:shd w:val="clear" w:color="auto" w:fill="FFFFFF"/>
        </w:rPr>
        <w:t>2</w:t>
      </w:r>
      <w:r w:rsidRPr="00EB11D3">
        <w:rPr>
          <w:szCs w:val="24"/>
          <w:shd w:val="clear" w:color="auto" w:fill="FFFFFF"/>
        </w:rPr>
        <w:t>, 1-10.</w:t>
      </w:r>
    </w:p>
    <w:p w14:paraId="25A54E8C"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Bustinza, O. F., Vendrell-Herrero, F., Gomes, E., Lafuente, E., Opazo-Basáez, M., Rabetino, R., &amp; Vaillant, Y. (2018). Product-service innovation and performance: unveiling the complexities. </w:t>
      </w:r>
      <w:r w:rsidRPr="00EB11D3">
        <w:rPr>
          <w:rFonts w:eastAsia="Times New Roman"/>
          <w:bCs/>
          <w:i/>
          <w:iCs/>
          <w:szCs w:val="24"/>
        </w:rPr>
        <w:t>International journal of business environment</w:t>
      </w:r>
      <w:r w:rsidRPr="00EB11D3">
        <w:rPr>
          <w:rFonts w:eastAsia="Times New Roman"/>
          <w:bCs/>
          <w:szCs w:val="24"/>
        </w:rPr>
        <w:t>, </w:t>
      </w:r>
      <w:r w:rsidRPr="00EB11D3">
        <w:rPr>
          <w:rFonts w:eastAsia="Times New Roman"/>
          <w:bCs/>
          <w:i/>
          <w:iCs/>
          <w:szCs w:val="24"/>
        </w:rPr>
        <w:t>10</w:t>
      </w:r>
      <w:r w:rsidRPr="00EB11D3">
        <w:rPr>
          <w:rFonts w:eastAsia="Times New Roman"/>
          <w:bCs/>
          <w:szCs w:val="24"/>
        </w:rPr>
        <w:t>(2), 95-111.</w:t>
      </w:r>
    </w:p>
    <w:p w14:paraId="51C32275"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Capozza, C., &amp; Divella, M. (2019). Human capital and firms’ innovation: evidence from emerging economies. </w:t>
      </w:r>
      <w:r w:rsidRPr="00EB11D3">
        <w:rPr>
          <w:i/>
          <w:iCs/>
          <w:szCs w:val="24"/>
          <w:shd w:val="clear" w:color="auto" w:fill="FFFFFF"/>
        </w:rPr>
        <w:t>Economics of Innovation and New Technology</w:t>
      </w:r>
      <w:r w:rsidRPr="00EB11D3">
        <w:rPr>
          <w:szCs w:val="24"/>
          <w:shd w:val="clear" w:color="auto" w:fill="FFFFFF"/>
        </w:rPr>
        <w:t>, </w:t>
      </w:r>
      <w:r w:rsidRPr="00EB11D3">
        <w:rPr>
          <w:i/>
          <w:iCs/>
          <w:szCs w:val="24"/>
          <w:shd w:val="clear" w:color="auto" w:fill="FFFFFF"/>
        </w:rPr>
        <w:t>28</w:t>
      </w:r>
      <w:r w:rsidRPr="00EB11D3">
        <w:rPr>
          <w:szCs w:val="24"/>
          <w:shd w:val="clear" w:color="auto" w:fill="FFFFFF"/>
        </w:rPr>
        <w:t>(7), 741-757.</w:t>
      </w:r>
    </w:p>
    <w:p w14:paraId="460DB4ED"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 xml:space="preserve">Caraiman, A.-C. (2020). Internal control in corporate governance. Ovidius University Annals, Economic Sciences Series, 20(2), 606–611. Retrieved from </w:t>
      </w:r>
      <w:hyperlink r:id="rId28" w:history="1">
        <w:r w:rsidRPr="00EB11D3">
          <w:rPr>
            <w:rStyle w:val="Hyperlink"/>
            <w:szCs w:val="24"/>
            <w:shd w:val="clear" w:color="auto" w:fill="FFFFFF"/>
          </w:rPr>
          <w:t>https://stec.univ-ovidius.ro/html/anale/RO/wp-content/uploads</w:t>
        </w:r>
      </w:hyperlink>
      <w:r w:rsidRPr="00EB11D3">
        <w:rPr>
          <w:color w:val="222222"/>
          <w:szCs w:val="24"/>
          <w:shd w:val="clear" w:color="auto" w:fill="FFFFFF"/>
        </w:rPr>
        <w:t xml:space="preserve"> /2021/03/Section%204/5.pdf  </w:t>
      </w:r>
    </w:p>
    <w:p w14:paraId="16E2BA72"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Carroll, W. M. (2022). Digital health and new technologies. In Nursing and Informatics for the 21st Century-Embracing a Digital World, Book 1 (pp. 29-48). Productivity Press.</w:t>
      </w:r>
    </w:p>
    <w:p w14:paraId="131772CC"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rPr>
        <w:t>Casidy, R., Nyadzayo, M., &amp; Mohan, M. (2020). Service innovation and adoption in industrial markets: An SME perspective. </w:t>
      </w:r>
      <w:r w:rsidRPr="00EB11D3">
        <w:rPr>
          <w:i/>
          <w:iCs/>
          <w:szCs w:val="24"/>
          <w:shd w:val="clear" w:color="auto" w:fill="FFFFFF"/>
        </w:rPr>
        <w:t>Industrial Marketing Management</w:t>
      </w:r>
      <w:r w:rsidRPr="00EB11D3">
        <w:rPr>
          <w:szCs w:val="24"/>
          <w:shd w:val="clear" w:color="auto" w:fill="FFFFFF"/>
        </w:rPr>
        <w:t>, </w:t>
      </w:r>
      <w:r w:rsidRPr="00EB11D3">
        <w:rPr>
          <w:i/>
          <w:iCs/>
          <w:szCs w:val="24"/>
          <w:shd w:val="clear" w:color="auto" w:fill="FFFFFF"/>
        </w:rPr>
        <w:t>89</w:t>
      </w:r>
      <w:r w:rsidRPr="00EB11D3">
        <w:rPr>
          <w:szCs w:val="24"/>
          <w:shd w:val="clear" w:color="auto" w:fill="FFFFFF"/>
        </w:rPr>
        <w:t>, 157-170.</w:t>
      </w:r>
    </w:p>
    <w:p w14:paraId="059BA540"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Cegarra-Navarro, J. G., Soto-Acosta, P., &amp; Wensley, A. K. (2016). Structured knowledge processes and firm performance: The role of organizational agility. </w:t>
      </w:r>
      <w:r w:rsidRPr="00EB11D3">
        <w:rPr>
          <w:i/>
          <w:iCs/>
          <w:szCs w:val="24"/>
          <w:shd w:val="clear" w:color="auto" w:fill="FFFFFF"/>
        </w:rPr>
        <w:t>Journal of Business Research</w:t>
      </w:r>
      <w:r w:rsidRPr="00EB11D3">
        <w:rPr>
          <w:szCs w:val="24"/>
          <w:shd w:val="clear" w:color="auto" w:fill="FFFFFF"/>
        </w:rPr>
        <w:t>, </w:t>
      </w:r>
      <w:r w:rsidRPr="00EB11D3">
        <w:rPr>
          <w:i/>
          <w:iCs/>
          <w:szCs w:val="24"/>
          <w:shd w:val="clear" w:color="auto" w:fill="FFFFFF"/>
        </w:rPr>
        <w:t>69</w:t>
      </w:r>
      <w:r w:rsidRPr="00EB11D3">
        <w:rPr>
          <w:szCs w:val="24"/>
          <w:shd w:val="clear" w:color="auto" w:fill="FFFFFF"/>
        </w:rPr>
        <w:t>(5), 1544-1549.</w:t>
      </w:r>
    </w:p>
    <w:p w14:paraId="3F1F3103" w14:textId="77777777" w:rsidR="003A6047" w:rsidRPr="00EB11D3" w:rsidRDefault="003A6047" w:rsidP="00813B05">
      <w:pPr>
        <w:spacing w:after="0" w:line="360" w:lineRule="auto"/>
        <w:ind w:left="720" w:hanging="720"/>
        <w:rPr>
          <w:szCs w:val="24"/>
          <w:shd w:val="clear" w:color="auto" w:fill="FFFFFF"/>
        </w:rPr>
      </w:pPr>
      <w:r w:rsidRPr="00EB11D3">
        <w:rPr>
          <w:szCs w:val="24"/>
        </w:rPr>
        <w:t>CHAK (Christian Health Association of Kenya). (</w:t>
      </w:r>
      <w:r w:rsidRPr="00EB11D3">
        <w:rPr>
          <w:rStyle w:val="nlmyear"/>
          <w:szCs w:val="24"/>
        </w:rPr>
        <w:t>2016)</w:t>
      </w:r>
      <w:r w:rsidRPr="00EB11D3">
        <w:rPr>
          <w:szCs w:val="24"/>
        </w:rPr>
        <w:t>. “Celebrating 70 Years of Quality Health Care.” </w:t>
      </w:r>
      <w:r w:rsidRPr="00EB11D3">
        <w:rPr>
          <w:i/>
          <w:iCs/>
          <w:szCs w:val="24"/>
        </w:rPr>
        <w:t>CHAK Times</w:t>
      </w:r>
      <w:r w:rsidRPr="00EB11D3">
        <w:rPr>
          <w:szCs w:val="24"/>
        </w:rPr>
        <w:t> 50 (Sept 2016-Jan 2017).</w:t>
      </w:r>
    </w:p>
    <w:p w14:paraId="2AA812BD" w14:textId="77777777" w:rsidR="003A6047" w:rsidRPr="00EB11D3" w:rsidRDefault="003A6047" w:rsidP="00813B05">
      <w:pPr>
        <w:spacing w:after="0" w:line="360" w:lineRule="auto"/>
        <w:ind w:left="720" w:hanging="720"/>
        <w:rPr>
          <w:szCs w:val="24"/>
          <w:shd w:val="clear" w:color="auto" w:fill="FFFFFF"/>
          <w:lang w:eastAsia="zh-CN"/>
        </w:rPr>
      </w:pPr>
      <w:bookmarkStart w:id="1157" w:name="_Hlk129609954"/>
      <w:r w:rsidRPr="00EB11D3">
        <w:rPr>
          <w:szCs w:val="24"/>
          <w:shd w:val="clear" w:color="auto" w:fill="FFFFFF"/>
        </w:rPr>
        <w:t xml:space="preserve">Chakraborty, I. (2015). </w:t>
      </w:r>
      <w:bookmarkEnd w:id="1157"/>
      <w:r w:rsidRPr="00EB11D3">
        <w:rPr>
          <w:szCs w:val="24"/>
          <w:shd w:val="clear" w:color="auto" w:fill="FFFFFF"/>
        </w:rPr>
        <w:t>How Does Corruption Influence Corporate Governance? </w:t>
      </w:r>
      <w:r w:rsidRPr="00EB11D3">
        <w:rPr>
          <w:i/>
          <w:iCs/>
          <w:szCs w:val="24"/>
          <w:shd w:val="clear" w:color="auto" w:fill="FFFFFF"/>
        </w:rPr>
        <w:t>Money &amp; Finance</w:t>
      </w:r>
      <w:r w:rsidRPr="00EB11D3">
        <w:rPr>
          <w:szCs w:val="24"/>
          <w:shd w:val="clear" w:color="auto" w:fill="FFFFFF"/>
        </w:rPr>
        <w:t>, 67-88.</w:t>
      </w:r>
    </w:p>
    <w:p w14:paraId="0CE39D8D"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Chemmanur, T. J., &amp; Tian, X. (2018). Do antitakeover provisions spur corporate innovation? A regression discontinuity analysis. </w:t>
      </w:r>
      <w:r w:rsidRPr="00B60548">
        <w:rPr>
          <w:i/>
          <w:iCs/>
          <w:szCs w:val="24"/>
          <w:shd w:val="clear" w:color="auto" w:fill="FFFFFF"/>
        </w:rPr>
        <w:t>Journal of Financial and Quantitative Analysis</w:t>
      </w:r>
      <w:r w:rsidRPr="00EB11D3">
        <w:rPr>
          <w:szCs w:val="24"/>
          <w:shd w:val="clear" w:color="auto" w:fill="FFFFFF"/>
        </w:rPr>
        <w:t>, 53(3), 1163–1194.</w:t>
      </w:r>
    </w:p>
    <w:p w14:paraId="131FE93E"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Chen, G., Firth, M., Gao, D. N., &amp; Rui, O. M. (2020). Ownership structure, corporate governance, and fraud: Evidence from China. </w:t>
      </w:r>
      <w:r w:rsidRPr="00B60548">
        <w:rPr>
          <w:rFonts w:eastAsia="Times New Roman"/>
          <w:bCs/>
          <w:i/>
          <w:iCs/>
          <w:szCs w:val="24"/>
        </w:rPr>
        <w:t>Journal of Corporate Finance</w:t>
      </w:r>
      <w:r w:rsidRPr="00EB11D3">
        <w:rPr>
          <w:rFonts w:eastAsia="Times New Roman"/>
          <w:bCs/>
          <w:szCs w:val="24"/>
        </w:rPr>
        <w:t>, 12(3), 424-448.</w:t>
      </w:r>
    </w:p>
    <w:p w14:paraId="4A4399C8"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 xml:space="preserve">Chen, J. S., Weng, H. H., &amp; Huang, C. L. (2018). A multilevel analysis of customer engagement, its antecedents, and the effects on service innovation. </w:t>
      </w:r>
      <w:r w:rsidRPr="00EB11D3">
        <w:rPr>
          <w:i/>
          <w:iCs/>
          <w:color w:val="222222"/>
          <w:szCs w:val="24"/>
          <w:shd w:val="clear" w:color="auto" w:fill="FFFFFF"/>
        </w:rPr>
        <w:t>Total Quality Management &amp; Business Excellence</w:t>
      </w:r>
      <w:r w:rsidRPr="00EB11D3">
        <w:rPr>
          <w:color w:val="222222"/>
          <w:szCs w:val="24"/>
          <w:shd w:val="clear" w:color="auto" w:fill="FFFFFF"/>
        </w:rPr>
        <w:t>, 29(3-4), 410-428. h</w:t>
      </w:r>
    </w:p>
    <w:p w14:paraId="1E6F7895"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Chen, J., Leung, W. S., &amp; Evans, K. P. (2018). Female board representation, corporate innovation and firm performance. </w:t>
      </w:r>
      <w:r w:rsidRPr="00EB11D3">
        <w:rPr>
          <w:i/>
          <w:iCs/>
          <w:color w:val="222222"/>
          <w:szCs w:val="24"/>
          <w:shd w:val="clear" w:color="auto" w:fill="FFFFFF"/>
        </w:rPr>
        <w:t>Journal of Empirical Finance</w:t>
      </w:r>
      <w:r w:rsidRPr="00EB11D3">
        <w:rPr>
          <w:color w:val="222222"/>
          <w:szCs w:val="24"/>
          <w:shd w:val="clear" w:color="auto" w:fill="FFFFFF"/>
        </w:rPr>
        <w:t>, </w:t>
      </w:r>
      <w:r w:rsidRPr="00EB11D3">
        <w:rPr>
          <w:i/>
          <w:iCs/>
          <w:color w:val="222222"/>
          <w:szCs w:val="24"/>
          <w:shd w:val="clear" w:color="auto" w:fill="FFFFFF"/>
        </w:rPr>
        <w:t>48</w:t>
      </w:r>
      <w:r w:rsidRPr="00EB11D3">
        <w:rPr>
          <w:color w:val="222222"/>
          <w:szCs w:val="24"/>
          <w:shd w:val="clear" w:color="auto" w:fill="FFFFFF"/>
        </w:rPr>
        <w:t>, 236-254.</w:t>
      </w:r>
    </w:p>
    <w:p w14:paraId="3571A753"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Chesbrough, H., &amp; Vanhaverbeke, W. (2019). Business model innovation: Towards an integrated future research agenda. </w:t>
      </w:r>
      <w:r w:rsidRPr="00B60548">
        <w:rPr>
          <w:rFonts w:eastAsia="Times New Roman"/>
          <w:bCs/>
          <w:i/>
          <w:iCs/>
          <w:szCs w:val="24"/>
        </w:rPr>
        <w:t>Journal of Business Research</w:t>
      </w:r>
      <w:r w:rsidRPr="00EB11D3">
        <w:rPr>
          <w:rFonts w:eastAsia="Times New Roman"/>
          <w:bCs/>
          <w:szCs w:val="24"/>
        </w:rPr>
        <w:t>, 79, 230-240.</w:t>
      </w:r>
    </w:p>
    <w:p w14:paraId="642CE1A8"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Chijoke-Mgbame, A. M., Mgbame, C. O., Akintoye, S., &amp; Ohalehi, P. (2020). The role of corporate governance on CSR disclosure and firm performance in a voluntary environment. </w:t>
      </w:r>
      <w:r w:rsidRPr="00EB11D3">
        <w:rPr>
          <w:i/>
          <w:iCs/>
          <w:szCs w:val="24"/>
          <w:shd w:val="clear" w:color="auto" w:fill="FFFFFF"/>
        </w:rPr>
        <w:t>Corporate Governance: The International Journal of Business in Society</w:t>
      </w:r>
      <w:r w:rsidRPr="00EB11D3">
        <w:rPr>
          <w:szCs w:val="24"/>
          <w:shd w:val="clear" w:color="auto" w:fill="FFFFFF"/>
        </w:rPr>
        <w:t xml:space="preserve">, </w:t>
      </w:r>
      <w:r w:rsidRPr="00EB11D3">
        <w:rPr>
          <w:i/>
          <w:iCs/>
          <w:szCs w:val="24"/>
          <w:shd w:val="clear" w:color="auto" w:fill="FFFFFF"/>
        </w:rPr>
        <w:t xml:space="preserve">20 </w:t>
      </w:r>
      <w:r w:rsidRPr="00EB11D3">
        <w:rPr>
          <w:szCs w:val="24"/>
          <w:shd w:val="clear" w:color="auto" w:fill="FFFFFF"/>
        </w:rPr>
        <w:t>(2), 294-306.</w:t>
      </w:r>
    </w:p>
    <w:p w14:paraId="28D9E750"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Chodhari, R., &amp; Chakravorty, I. (2024). Hospital Innovations for the Next Decade: Promise and Challenges. </w:t>
      </w:r>
      <w:r w:rsidRPr="00EB11D3">
        <w:rPr>
          <w:i/>
          <w:iCs/>
          <w:color w:val="222222"/>
          <w:szCs w:val="24"/>
          <w:shd w:val="clear" w:color="auto" w:fill="FFFFFF"/>
        </w:rPr>
        <w:t>The Physician</w:t>
      </w:r>
      <w:r w:rsidRPr="00EB11D3">
        <w:rPr>
          <w:color w:val="222222"/>
          <w:szCs w:val="24"/>
          <w:shd w:val="clear" w:color="auto" w:fill="FFFFFF"/>
        </w:rPr>
        <w:t>, </w:t>
      </w:r>
      <w:r w:rsidRPr="00EB11D3">
        <w:rPr>
          <w:i/>
          <w:iCs/>
          <w:color w:val="222222"/>
          <w:szCs w:val="24"/>
          <w:shd w:val="clear" w:color="auto" w:fill="FFFFFF"/>
        </w:rPr>
        <w:t>9</w:t>
      </w:r>
      <w:r w:rsidRPr="00EB11D3">
        <w:rPr>
          <w:color w:val="222222"/>
          <w:szCs w:val="24"/>
          <w:shd w:val="clear" w:color="auto" w:fill="FFFFFF"/>
        </w:rPr>
        <w:t>(1), 1-8.</w:t>
      </w:r>
    </w:p>
    <w:p w14:paraId="4A8BB683"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Christensen, C. M. (1997). </w:t>
      </w:r>
      <w:r w:rsidRPr="00EB11D3">
        <w:rPr>
          <w:rStyle w:val="Emphasis"/>
          <w:szCs w:val="24"/>
          <w:bdr w:val="none" w:sz="0" w:space="0" w:color="auto" w:frame="1"/>
        </w:rPr>
        <w:t>The innovator’s dilemma: When new technologies cause great firms to fail</w:t>
      </w:r>
      <w:r w:rsidRPr="00EB11D3">
        <w:rPr>
          <w:szCs w:val="24"/>
        </w:rPr>
        <w:t>. Harvard Business School Press. Boston</w:t>
      </w:r>
    </w:p>
    <w:p w14:paraId="6CE5A03F" w14:textId="77777777" w:rsidR="003A6047" w:rsidRPr="00EB11D3" w:rsidRDefault="003A6047" w:rsidP="00813B05">
      <w:pPr>
        <w:spacing w:after="0" w:line="360" w:lineRule="auto"/>
        <w:ind w:left="720" w:hanging="720"/>
        <w:rPr>
          <w:szCs w:val="24"/>
          <w:shd w:val="clear" w:color="auto" w:fill="FFFFFF"/>
          <w:lang w:eastAsia="zh-CN"/>
        </w:rPr>
      </w:pPr>
      <w:bookmarkStart w:id="1158" w:name="_Hlk130399513"/>
      <w:r w:rsidRPr="00EB11D3">
        <w:rPr>
          <w:szCs w:val="24"/>
          <w:shd w:val="clear" w:color="auto" w:fill="FFFFFF"/>
        </w:rPr>
        <w:t>Christensen, C. M., McDonald, R., Altman, E. J., &amp; Palmer</w:t>
      </w:r>
      <w:bookmarkEnd w:id="1158"/>
      <w:r w:rsidRPr="00EB11D3">
        <w:rPr>
          <w:szCs w:val="24"/>
          <w:shd w:val="clear" w:color="auto" w:fill="FFFFFF"/>
        </w:rPr>
        <w:t>, J. E. (2018). Disruptive innovation: An intellectual history and directions for future research. </w:t>
      </w:r>
      <w:r w:rsidRPr="00EB11D3">
        <w:rPr>
          <w:i/>
          <w:iCs/>
          <w:szCs w:val="24"/>
          <w:shd w:val="clear" w:color="auto" w:fill="FFFFFF"/>
        </w:rPr>
        <w:t>Journal of management studies</w:t>
      </w:r>
      <w:r w:rsidRPr="00EB11D3">
        <w:rPr>
          <w:szCs w:val="24"/>
          <w:shd w:val="clear" w:color="auto" w:fill="FFFFFF"/>
        </w:rPr>
        <w:t>, </w:t>
      </w:r>
      <w:r w:rsidRPr="00EB11D3">
        <w:rPr>
          <w:i/>
          <w:iCs/>
          <w:szCs w:val="24"/>
          <w:shd w:val="clear" w:color="auto" w:fill="FFFFFF"/>
        </w:rPr>
        <w:t>55</w:t>
      </w:r>
      <w:r w:rsidRPr="00EB11D3">
        <w:rPr>
          <w:szCs w:val="24"/>
          <w:shd w:val="clear" w:color="auto" w:fill="FFFFFF"/>
        </w:rPr>
        <w:t>(7), 1043-1078.</w:t>
      </w:r>
    </w:p>
    <w:p w14:paraId="404176DD" w14:textId="77777777" w:rsidR="003A6047" w:rsidRPr="00EB11D3" w:rsidRDefault="003A6047" w:rsidP="00813B05">
      <w:pPr>
        <w:spacing w:after="0" w:line="360" w:lineRule="auto"/>
        <w:ind w:left="720" w:hanging="720"/>
        <w:rPr>
          <w:szCs w:val="24"/>
          <w:shd w:val="clear" w:color="auto" w:fill="FFFFFF"/>
          <w:lang w:eastAsia="zh-CN"/>
        </w:rPr>
      </w:pPr>
      <w:bookmarkStart w:id="1159" w:name="_Hlk130399481"/>
      <w:r w:rsidRPr="00EB11D3">
        <w:rPr>
          <w:szCs w:val="24"/>
          <w:shd w:val="clear" w:color="auto" w:fill="FFFFFF"/>
          <w:lang w:eastAsia="zh-CN"/>
        </w:rPr>
        <w:t>Christensen, C.M., Raynor, M. &amp; McDonald, R. (2015</w:t>
      </w:r>
      <w:bookmarkEnd w:id="1159"/>
      <w:r w:rsidRPr="00EB11D3">
        <w:rPr>
          <w:szCs w:val="24"/>
          <w:shd w:val="clear" w:color="auto" w:fill="FFFFFF"/>
          <w:lang w:eastAsia="zh-CN"/>
        </w:rPr>
        <w:t xml:space="preserve">). What is disruptive innovation? </w:t>
      </w:r>
      <w:r w:rsidRPr="00EB11D3">
        <w:rPr>
          <w:i/>
          <w:iCs/>
          <w:szCs w:val="24"/>
          <w:shd w:val="clear" w:color="auto" w:fill="FFFFFF"/>
          <w:lang w:eastAsia="zh-CN"/>
        </w:rPr>
        <w:t>Harvard Business Review</w:t>
      </w:r>
      <w:r w:rsidRPr="00EB11D3">
        <w:rPr>
          <w:szCs w:val="24"/>
          <w:shd w:val="clear" w:color="auto" w:fill="FFFFFF"/>
          <w:lang w:eastAsia="zh-CN"/>
        </w:rPr>
        <w:t>, 1-16.</w:t>
      </w:r>
    </w:p>
    <w:p w14:paraId="2A79DE5E"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Chua, R. Y. J., Han, M., &amp; Lee, G. (2021). Corporate governance, risk management, and hospital performance. </w:t>
      </w:r>
      <w:r w:rsidRPr="00B60548">
        <w:rPr>
          <w:rFonts w:eastAsia="Times New Roman"/>
          <w:bCs/>
          <w:i/>
          <w:iCs/>
          <w:szCs w:val="24"/>
        </w:rPr>
        <w:t>Journal of Healthcare Management</w:t>
      </w:r>
      <w:r w:rsidRPr="00EB11D3">
        <w:rPr>
          <w:rFonts w:eastAsia="Times New Roman"/>
          <w:bCs/>
          <w:szCs w:val="24"/>
        </w:rPr>
        <w:t>, 66(1), 33–48.</w:t>
      </w:r>
    </w:p>
    <w:p w14:paraId="20548D13"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Ciftci, I., Tatoglu, E., Wood, G., Demirbag, M., &amp; Zaim, S. (2019). Corporate governance and firm performance in emerging markets: Evidence from Turkey. </w:t>
      </w:r>
      <w:r w:rsidRPr="00EB11D3">
        <w:rPr>
          <w:i/>
          <w:iCs/>
          <w:szCs w:val="24"/>
          <w:shd w:val="clear" w:color="auto" w:fill="FFFFFF"/>
        </w:rPr>
        <w:t>International Business Review</w:t>
      </w:r>
      <w:r w:rsidRPr="00EB11D3">
        <w:rPr>
          <w:szCs w:val="24"/>
          <w:shd w:val="clear" w:color="auto" w:fill="FFFFFF"/>
        </w:rPr>
        <w:t>, </w:t>
      </w:r>
      <w:r w:rsidRPr="00EB11D3">
        <w:rPr>
          <w:i/>
          <w:iCs/>
          <w:szCs w:val="24"/>
          <w:shd w:val="clear" w:color="auto" w:fill="FFFFFF"/>
        </w:rPr>
        <w:t>28</w:t>
      </w:r>
      <w:r w:rsidRPr="00EB11D3">
        <w:rPr>
          <w:szCs w:val="24"/>
          <w:shd w:val="clear" w:color="auto" w:fill="FFFFFF"/>
        </w:rPr>
        <w:t>(1), 90-103.</w:t>
      </w:r>
    </w:p>
    <w:p w14:paraId="66B4CBF8"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Clark, L. A., &amp; Watson, D. (2019). Constructing validity: New developments in creating objective measuring instruments. </w:t>
      </w:r>
      <w:r w:rsidRPr="00EB11D3">
        <w:rPr>
          <w:i/>
          <w:iCs/>
          <w:szCs w:val="24"/>
          <w:shd w:val="clear" w:color="auto" w:fill="FFFFFF"/>
        </w:rPr>
        <w:t>Psychological assessment</w:t>
      </w:r>
      <w:r w:rsidRPr="00EB11D3">
        <w:rPr>
          <w:szCs w:val="24"/>
          <w:shd w:val="clear" w:color="auto" w:fill="FFFFFF"/>
        </w:rPr>
        <w:t>, </w:t>
      </w:r>
      <w:r w:rsidRPr="00EB11D3">
        <w:rPr>
          <w:i/>
          <w:iCs/>
          <w:szCs w:val="24"/>
          <w:shd w:val="clear" w:color="auto" w:fill="FFFFFF"/>
        </w:rPr>
        <w:t>31</w:t>
      </w:r>
      <w:r w:rsidRPr="00EB11D3">
        <w:rPr>
          <w:szCs w:val="24"/>
          <w:shd w:val="clear" w:color="auto" w:fill="FFFFFF"/>
        </w:rPr>
        <w:t>(12), 1412.</w:t>
      </w:r>
    </w:p>
    <w:p w14:paraId="4101E088"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Clark, T., Foster, L., Bryman, A., &amp; Sloan, L. (2021). </w:t>
      </w:r>
      <w:r w:rsidRPr="00EB11D3">
        <w:rPr>
          <w:i/>
          <w:iCs/>
          <w:szCs w:val="24"/>
          <w:shd w:val="clear" w:color="auto" w:fill="FFFFFF"/>
        </w:rPr>
        <w:t>Bryman's social research methods</w:t>
      </w:r>
      <w:r w:rsidRPr="00EB11D3">
        <w:rPr>
          <w:szCs w:val="24"/>
          <w:shd w:val="clear" w:color="auto" w:fill="FFFFFF"/>
        </w:rPr>
        <w:t>. Oxford University Press.</w:t>
      </w:r>
    </w:p>
    <w:p w14:paraId="000F896B" w14:textId="77777777" w:rsidR="003A6047" w:rsidRPr="00EB11D3" w:rsidRDefault="003A6047" w:rsidP="00813B05">
      <w:pPr>
        <w:shd w:val="clear" w:color="auto" w:fill="FFFFFF"/>
        <w:spacing w:after="0" w:line="360" w:lineRule="auto"/>
        <w:ind w:left="720" w:hanging="720"/>
        <w:rPr>
          <w:rFonts w:eastAsia="Times New Roman"/>
          <w:bCs/>
          <w:szCs w:val="24"/>
        </w:rPr>
      </w:pPr>
      <w:bookmarkStart w:id="1160" w:name="_Hlk160641473"/>
      <w:r w:rsidRPr="00EB11D3">
        <w:rPr>
          <w:rFonts w:eastAsia="Times New Roman"/>
          <w:bCs/>
          <w:szCs w:val="24"/>
        </w:rPr>
        <w:t>Coad,</w:t>
      </w:r>
      <w:bookmarkEnd w:id="1160"/>
      <w:r w:rsidRPr="00EB11D3">
        <w:rPr>
          <w:rFonts w:eastAsia="Times New Roman"/>
          <w:bCs/>
          <w:szCs w:val="24"/>
        </w:rPr>
        <w:t xml:space="preserve"> A., Holm, J. R., Krafft, J., &amp; Quatraro, F. (2018). Firm age and performance. </w:t>
      </w:r>
      <w:r w:rsidRPr="00EB11D3">
        <w:rPr>
          <w:rFonts w:eastAsia="Times New Roman"/>
          <w:bCs/>
          <w:i/>
          <w:iCs/>
          <w:szCs w:val="24"/>
        </w:rPr>
        <w:t>Journal of Evolutionary Economics</w:t>
      </w:r>
      <w:r w:rsidRPr="00EB11D3">
        <w:rPr>
          <w:rFonts w:eastAsia="Times New Roman"/>
          <w:bCs/>
          <w:szCs w:val="24"/>
        </w:rPr>
        <w:t>, </w:t>
      </w:r>
      <w:r w:rsidRPr="00EB11D3">
        <w:rPr>
          <w:rFonts w:eastAsia="Times New Roman"/>
          <w:bCs/>
          <w:i/>
          <w:iCs/>
          <w:szCs w:val="24"/>
        </w:rPr>
        <w:t>28</w:t>
      </w:r>
      <w:r w:rsidRPr="00EB11D3">
        <w:rPr>
          <w:rFonts w:eastAsia="Times New Roman"/>
          <w:bCs/>
          <w:szCs w:val="24"/>
        </w:rPr>
        <w:t>, 1-11.</w:t>
      </w:r>
    </w:p>
    <w:p w14:paraId="6F177056" w14:textId="77777777" w:rsidR="003A6047" w:rsidRPr="00EB11D3" w:rsidRDefault="003A6047" w:rsidP="00813B05">
      <w:pPr>
        <w:spacing w:after="0" w:line="360" w:lineRule="auto"/>
        <w:ind w:left="720" w:hanging="720"/>
        <w:rPr>
          <w:szCs w:val="24"/>
          <w:shd w:val="clear" w:color="auto" w:fill="FFFFFF"/>
        </w:rPr>
      </w:pPr>
      <w:bookmarkStart w:id="1161" w:name="_Hlk129612269"/>
      <w:bookmarkStart w:id="1162" w:name="_Hlk129611933"/>
      <w:r w:rsidRPr="00EB11D3">
        <w:rPr>
          <w:szCs w:val="24"/>
          <w:shd w:val="clear" w:color="auto" w:fill="FFFFFF"/>
        </w:rPr>
        <w:t xml:space="preserve">Corruption Perceptions Index </w:t>
      </w:r>
      <w:bookmarkEnd w:id="1161"/>
      <w:r w:rsidRPr="00EB11D3">
        <w:rPr>
          <w:szCs w:val="24"/>
          <w:shd w:val="clear" w:color="auto" w:fill="FFFFFF"/>
        </w:rPr>
        <w:t xml:space="preserve">(2018). </w:t>
      </w:r>
      <w:bookmarkEnd w:id="1162"/>
      <w:r w:rsidRPr="00EB11D3">
        <w:rPr>
          <w:szCs w:val="24"/>
          <w:shd w:val="clear" w:color="auto" w:fill="FFFFFF"/>
        </w:rPr>
        <w:t>Corruption perception index. </w:t>
      </w:r>
      <w:r w:rsidRPr="00EB11D3" w:rsidDel="001D2A7C">
        <w:rPr>
          <w:i/>
          <w:iCs/>
          <w:szCs w:val="24"/>
          <w:shd w:val="clear" w:color="auto" w:fill="FFFFFF"/>
        </w:rPr>
        <w:t>Transparancy</w:t>
      </w:r>
      <w:r w:rsidRPr="00EB11D3">
        <w:rPr>
          <w:i/>
          <w:iCs/>
          <w:szCs w:val="24"/>
          <w:shd w:val="clear" w:color="auto" w:fill="FFFFFF"/>
        </w:rPr>
        <w:t>Transparency International</w:t>
      </w:r>
      <w:r w:rsidRPr="00EB11D3">
        <w:rPr>
          <w:szCs w:val="24"/>
          <w:shd w:val="clear" w:color="auto" w:fill="FFFFFF"/>
        </w:rPr>
        <w:t xml:space="preserve">. Retrieved from </w:t>
      </w:r>
      <w:hyperlink r:id="rId29" w:history="1">
        <w:r w:rsidRPr="00EB11D3">
          <w:rPr>
            <w:rStyle w:val="Hyperlink"/>
            <w:color w:val="auto"/>
            <w:szCs w:val="24"/>
            <w:shd w:val="clear" w:color="auto" w:fill="FFFFFF"/>
          </w:rPr>
          <w:t>http://transparency.org.my/filemanager/files/shares/CPI-2014-Presentation_Final.pdf</w:t>
        </w:r>
      </w:hyperlink>
    </w:p>
    <w:p w14:paraId="713D825C"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Corry, M., Porter, S.  &amp; McKenna, H.  (2018).  The redundancy of positivism as a paradigm for nursing Research, </w:t>
      </w:r>
      <w:r w:rsidRPr="00EB11D3">
        <w:rPr>
          <w:i/>
          <w:iCs/>
          <w:szCs w:val="24"/>
          <w:shd w:val="clear" w:color="auto" w:fill="FFFFFF"/>
        </w:rPr>
        <w:t>Nursing Philosophy</w:t>
      </w:r>
      <w:r w:rsidRPr="00EB11D3">
        <w:rPr>
          <w:szCs w:val="24"/>
          <w:shd w:val="clear" w:color="auto" w:fill="FFFFFF"/>
        </w:rPr>
        <w:t>, 20, e12230:1-10.</w:t>
      </w:r>
    </w:p>
    <w:p w14:paraId="5FBEF948"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Creswell, J. W., &amp; Creswell, J. D. (2017). </w:t>
      </w:r>
      <w:r w:rsidRPr="00EB11D3">
        <w:rPr>
          <w:i/>
          <w:iCs/>
          <w:szCs w:val="24"/>
          <w:shd w:val="clear" w:color="auto" w:fill="FFFFFF"/>
        </w:rPr>
        <w:t>Research design: Qualitative, quantitative, and mixed methods approaches</w:t>
      </w:r>
      <w:r w:rsidRPr="00EB11D3">
        <w:rPr>
          <w:szCs w:val="24"/>
          <w:shd w:val="clear" w:color="auto" w:fill="FFFFFF"/>
        </w:rPr>
        <w:t>. Sage publications.</w:t>
      </w:r>
    </w:p>
    <w:p w14:paraId="3C6E34B8"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Csedo, Z., Magyari, J., &amp; Zavarkó, M. (2022). Dynamic corporate governance, innovation, and sustainability: Post-COVID period. </w:t>
      </w:r>
      <w:r w:rsidRPr="00B60548">
        <w:rPr>
          <w:i/>
          <w:iCs/>
          <w:szCs w:val="24"/>
          <w:shd w:val="clear" w:color="auto" w:fill="FFFFFF"/>
        </w:rPr>
        <w:t>Sustainability</w:t>
      </w:r>
      <w:r w:rsidRPr="00EB11D3">
        <w:rPr>
          <w:szCs w:val="24"/>
          <w:shd w:val="clear" w:color="auto" w:fill="FFFFFF"/>
        </w:rPr>
        <w:t>, 14(6), 1–21.</w:t>
      </w:r>
    </w:p>
    <w:p w14:paraId="6AE95075"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Czuszynski K, Ruminski J, Kocejko T, Wtorek J (2015). Septic safe interactions with smart glasses in health care. In </w:t>
      </w:r>
      <w:r w:rsidRPr="00EB11D3">
        <w:rPr>
          <w:i/>
          <w:iCs/>
          <w:color w:val="222222"/>
          <w:szCs w:val="24"/>
          <w:shd w:val="clear" w:color="auto" w:fill="FFFFFF"/>
        </w:rPr>
        <w:t>2015 37th Annual International Conference of the IEEE Engineering in Medicine and Biology Society (EMBC)</w:t>
      </w:r>
      <w:r w:rsidRPr="00EB11D3">
        <w:rPr>
          <w:color w:val="222222"/>
          <w:szCs w:val="24"/>
          <w:shd w:val="clear" w:color="auto" w:fill="FFFFFF"/>
        </w:rPr>
        <w:t> (pp. 1604–1607). IEEE.</w:t>
      </w:r>
    </w:p>
    <w:p w14:paraId="13C07BA3"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Dag, O., Dolgun, A., &amp; Konar, N. M. (2018). Onewaytests: An R package for one-way tests in independent groups designs. </w:t>
      </w:r>
      <w:r w:rsidRPr="00EB11D3">
        <w:rPr>
          <w:i/>
          <w:iCs/>
          <w:szCs w:val="24"/>
          <w:shd w:val="clear" w:color="auto" w:fill="FFFFFF"/>
        </w:rPr>
        <w:t>R Journal</w:t>
      </w:r>
      <w:r w:rsidRPr="00EB11D3">
        <w:rPr>
          <w:szCs w:val="24"/>
          <w:shd w:val="clear" w:color="auto" w:fill="FFFFFF"/>
        </w:rPr>
        <w:t>, 10 (1), 175-199.</w:t>
      </w:r>
    </w:p>
    <w:p w14:paraId="5A53DBAE"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Dalton, D. R., Daily, C. M., Ellstrand, A. E., &amp; Johnson, J. L. (2020). Meta-analytic reviews of board composition, leadership structure, and financial performance. </w:t>
      </w:r>
      <w:r w:rsidRPr="00B60548">
        <w:rPr>
          <w:rFonts w:eastAsia="Times New Roman"/>
          <w:bCs/>
          <w:i/>
          <w:iCs/>
          <w:szCs w:val="24"/>
        </w:rPr>
        <w:t>Strategic Management Journal</w:t>
      </w:r>
      <w:r w:rsidRPr="00EB11D3">
        <w:rPr>
          <w:rFonts w:eastAsia="Times New Roman"/>
          <w:bCs/>
          <w:szCs w:val="24"/>
        </w:rPr>
        <w:t>, 29(4), 383-399.</w:t>
      </w:r>
    </w:p>
    <w:p w14:paraId="5E1F7647" w14:textId="77777777" w:rsidR="003A6047" w:rsidRPr="00EB11D3" w:rsidRDefault="003A6047" w:rsidP="00813B05">
      <w:pPr>
        <w:spacing w:after="0" w:line="360" w:lineRule="auto"/>
        <w:ind w:left="720" w:hanging="720"/>
        <w:rPr>
          <w:szCs w:val="24"/>
          <w:shd w:val="clear" w:color="auto" w:fill="FFFFFF"/>
        </w:rPr>
      </w:pPr>
      <w:bookmarkStart w:id="1163" w:name="_Hlk171084217"/>
      <w:r w:rsidRPr="00EB11D3">
        <w:rPr>
          <w:szCs w:val="24"/>
          <w:shd w:val="clear" w:color="auto" w:fill="FFFFFF"/>
        </w:rPr>
        <w:t>Dang A, R., Houanti, L., Le, N. T., &amp; Vu, M. C. (2018). Does corporate governance influence firm performance? Quantile regression evidence from a transactional economy. </w:t>
      </w:r>
      <w:r w:rsidRPr="00EB11D3">
        <w:rPr>
          <w:i/>
          <w:iCs/>
          <w:szCs w:val="24"/>
          <w:shd w:val="clear" w:color="auto" w:fill="FFFFFF"/>
        </w:rPr>
        <w:t>Applied Economics Letters</w:t>
      </w:r>
      <w:r w:rsidRPr="00EB11D3">
        <w:rPr>
          <w:szCs w:val="24"/>
          <w:shd w:val="clear" w:color="auto" w:fill="FFFFFF"/>
        </w:rPr>
        <w:t>, </w:t>
      </w:r>
      <w:r w:rsidRPr="00EB11D3">
        <w:rPr>
          <w:i/>
          <w:iCs/>
          <w:szCs w:val="24"/>
          <w:shd w:val="clear" w:color="auto" w:fill="FFFFFF"/>
        </w:rPr>
        <w:t>25</w:t>
      </w:r>
      <w:r w:rsidRPr="00EB11D3">
        <w:rPr>
          <w:szCs w:val="24"/>
          <w:shd w:val="clear" w:color="auto" w:fill="FFFFFF"/>
        </w:rPr>
        <w:t>(14), 984-988.</w:t>
      </w:r>
    </w:p>
    <w:p w14:paraId="78097A59" w14:textId="77777777" w:rsidR="003A6047" w:rsidRPr="00EB11D3" w:rsidRDefault="003A6047" w:rsidP="00813B05">
      <w:pPr>
        <w:spacing w:after="0" w:line="360" w:lineRule="auto"/>
        <w:ind w:left="720" w:hanging="720"/>
        <w:rPr>
          <w:szCs w:val="24"/>
          <w:shd w:val="clear" w:color="auto" w:fill="FFFFFF"/>
        </w:rPr>
      </w:pPr>
      <w:bookmarkStart w:id="1164" w:name="_Hlk171082753"/>
      <w:bookmarkEnd w:id="1163"/>
      <w:r w:rsidRPr="00EB11D3">
        <w:rPr>
          <w:szCs w:val="24"/>
          <w:shd w:val="clear" w:color="auto" w:fill="FFFFFF"/>
        </w:rPr>
        <w:t>Dastane, D. O. (2020). The impact of technology adoption on organizational productivity. </w:t>
      </w:r>
      <w:r w:rsidRPr="00EB11D3">
        <w:rPr>
          <w:i/>
          <w:iCs/>
          <w:szCs w:val="24"/>
          <w:shd w:val="clear" w:color="auto" w:fill="FFFFFF"/>
        </w:rPr>
        <w:t>Journal of Industrial Distribution &amp; Business</w:t>
      </w:r>
      <w:r w:rsidRPr="00EB11D3">
        <w:rPr>
          <w:szCs w:val="24"/>
          <w:shd w:val="clear" w:color="auto" w:fill="FFFFFF"/>
        </w:rPr>
        <w:t>, </w:t>
      </w:r>
      <w:r w:rsidRPr="00EB11D3">
        <w:rPr>
          <w:i/>
          <w:iCs/>
          <w:szCs w:val="24"/>
          <w:shd w:val="clear" w:color="auto" w:fill="FFFFFF"/>
        </w:rPr>
        <w:t>11</w:t>
      </w:r>
      <w:r w:rsidRPr="00EB11D3">
        <w:rPr>
          <w:szCs w:val="24"/>
          <w:shd w:val="clear" w:color="auto" w:fill="FFFFFF"/>
        </w:rPr>
        <w:t>(4), 7-18.</w:t>
      </w:r>
    </w:p>
    <w:bookmarkEnd w:id="1164"/>
    <w:p w14:paraId="1EA7B281"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Davis, G. F., &amp; Cobb, J. A. (2010). Resource dependence theory: Past and future. </w:t>
      </w:r>
      <w:r w:rsidRPr="00EB11D3">
        <w:rPr>
          <w:i/>
          <w:iCs/>
          <w:szCs w:val="24"/>
          <w:shd w:val="clear" w:color="auto" w:fill="FFFFFF"/>
        </w:rPr>
        <w:t>Stanford's organization theory renaissance, 1970–2000</w:t>
      </w:r>
      <w:r w:rsidRPr="00EB11D3">
        <w:rPr>
          <w:szCs w:val="24"/>
          <w:shd w:val="clear" w:color="auto" w:fill="FFFFFF"/>
        </w:rPr>
        <w:t>, </w:t>
      </w:r>
      <w:r w:rsidRPr="00EB11D3">
        <w:rPr>
          <w:i/>
          <w:iCs/>
          <w:szCs w:val="24"/>
          <w:shd w:val="clear" w:color="auto" w:fill="FFFFFF"/>
        </w:rPr>
        <w:t>28</w:t>
      </w:r>
      <w:r w:rsidRPr="00EB11D3">
        <w:rPr>
          <w:szCs w:val="24"/>
          <w:shd w:val="clear" w:color="auto" w:fill="FFFFFF"/>
        </w:rPr>
        <w:t>, 21-42.</w:t>
      </w:r>
    </w:p>
    <w:p w14:paraId="2277B03E"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de Mello, B. H., Rigo, S. J., da Costa, C. A., da Rosa Righi, R., Donida, B., Bez, M. R., &amp; Schunke, L. C. (2022). Semantic interoperability in health records standards: a systematic literature review. </w:t>
      </w:r>
      <w:r w:rsidRPr="00EB11D3">
        <w:rPr>
          <w:rFonts w:eastAsia="Times New Roman"/>
          <w:bCs/>
          <w:i/>
          <w:iCs/>
          <w:szCs w:val="24"/>
        </w:rPr>
        <w:t>Health and technology</w:t>
      </w:r>
      <w:r w:rsidRPr="00EB11D3">
        <w:rPr>
          <w:rFonts w:eastAsia="Times New Roman"/>
          <w:bCs/>
          <w:szCs w:val="24"/>
        </w:rPr>
        <w:t>, </w:t>
      </w:r>
      <w:r w:rsidRPr="00EB11D3">
        <w:rPr>
          <w:rFonts w:eastAsia="Times New Roman"/>
          <w:bCs/>
          <w:i/>
          <w:iCs/>
          <w:szCs w:val="24"/>
        </w:rPr>
        <w:t>12</w:t>
      </w:r>
      <w:r w:rsidRPr="00EB11D3">
        <w:rPr>
          <w:rFonts w:eastAsia="Times New Roman"/>
          <w:bCs/>
          <w:szCs w:val="24"/>
        </w:rPr>
        <w:t>(2), 255-272.</w:t>
      </w:r>
    </w:p>
    <w:p w14:paraId="64B108E6"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rPr>
        <w:t xml:space="preserve">Dereli, D.D. (2015). Innovation management in global competition and competitive advantage. </w:t>
      </w:r>
      <w:r w:rsidRPr="00EB11D3">
        <w:rPr>
          <w:i/>
          <w:iCs/>
          <w:szCs w:val="24"/>
        </w:rPr>
        <w:t>Procedia-Social and Behavioral Sciences</w:t>
      </w:r>
      <w:r w:rsidRPr="00EB11D3">
        <w:rPr>
          <w:szCs w:val="24"/>
        </w:rPr>
        <w:t>, 195, 1365-1370.</w:t>
      </w:r>
    </w:p>
    <w:p w14:paraId="76AF393E"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Desmice, D., Yacob, S., &amp; Lubis, T. A. (2022). An investigation of corporate governance, motivation, innovative behavior, and competitiveness on MSMEs performance: An empirical study in Indonesia. </w:t>
      </w:r>
      <w:r w:rsidRPr="00EB11D3">
        <w:rPr>
          <w:i/>
          <w:iCs/>
          <w:color w:val="222222"/>
          <w:szCs w:val="24"/>
          <w:shd w:val="clear" w:color="auto" w:fill="FFFFFF"/>
        </w:rPr>
        <w:t>International Journal of Research in Business and Social Science (2147-4478)</w:t>
      </w:r>
      <w:r w:rsidRPr="00EB11D3">
        <w:rPr>
          <w:color w:val="222222"/>
          <w:szCs w:val="24"/>
          <w:shd w:val="clear" w:color="auto" w:fill="FFFFFF"/>
        </w:rPr>
        <w:t>, </w:t>
      </w:r>
      <w:r w:rsidRPr="00EB11D3">
        <w:rPr>
          <w:i/>
          <w:iCs/>
          <w:color w:val="222222"/>
          <w:szCs w:val="24"/>
          <w:shd w:val="clear" w:color="auto" w:fill="FFFFFF"/>
        </w:rPr>
        <w:t>11</w:t>
      </w:r>
      <w:r w:rsidRPr="00EB11D3">
        <w:rPr>
          <w:color w:val="222222"/>
          <w:szCs w:val="24"/>
          <w:shd w:val="clear" w:color="auto" w:fill="FFFFFF"/>
        </w:rPr>
        <w:t>(5), 126-137.</w:t>
      </w:r>
    </w:p>
    <w:p w14:paraId="3B33E99F"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lang w:eastAsia="zh-CN"/>
        </w:rPr>
        <w:t xml:space="preserve">Dewi, S., Kasali, R., Balqiah, T., &amp; Widjaja, A. (2018). Government regulations and stakeholders’ entrepreneurial orientation in achieving organizational performance: An empirical study on private hospitals in Indonesia. </w:t>
      </w:r>
      <w:r w:rsidRPr="00EB11D3">
        <w:rPr>
          <w:i/>
          <w:iCs/>
          <w:szCs w:val="24"/>
          <w:shd w:val="clear" w:color="auto" w:fill="FFFFFF"/>
          <w:lang w:eastAsia="zh-CN"/>
        </w:rPr>
        <w:t>Management Science Letters</w:t>
      </w:r>
      <w:r w:rsidRPr="00EB11D3">
        <w:rPr>
          <w:szCs w:val="24"/>
          <w:shd w:val="clear" w:color="auto" w:fill="FFFFFF"/>
          <w:lang w:eastAsia="zh-CN"/>
        </w:rPr>
        <w:t xml:space="preserve">, </w:t>
      </w:r>
      <w:r w:rsidRPr="00EB11D3">
        <w:rPr>
          <w:i/>
          <w:iCs/>
          <w:szCs w:val="24"/>
          <w:shd w:val="clear" w:color="auto" w:fill="FFFFFF"/>
          <w:lang w:eastAsia="zh-CN"/>
        </w:rPr>
        <w:t>8</w:t>
      </w:r>
      <w:r w:rsidRPr="00EB11D3">
        <w:rPr>
          <w:szCs w:val="24"/>
          <w:shd w:val="clear" w:color="auto" w:fill="FFFFFF"/>
          <w:lang w:eastAsia="zh-CN"/>
        </w:rPr>
        <w:t>(12), 1273-1282.</w:t>
      </w:r>
    </w:p>
    <w:p w14:paraId="51965A64"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Di, H., An, J., &amp; Yao, M. (2022). Finding the key to the black box of board diversity and firm performance: A mediating effect analysis of technological innovation. </w:t>
      </w:r>
      <w:r w:rsidRPr="00EB11D3">
        <w:rPr>
          <w:i/>
          <w:iCs/>
          <w:color w:val="222222"/>
          <w:szCs w:val="24"/>
          <w:shd w:val="clear" w:color="auto" w:fill="FFFFFF"/>
        </w:rPr>
        <w:t>Frontiers in Psychology</w:t>
      </w:r>
      <w:r w:rsidRPr="00EB11D3">
        <w:rPr>
          <w:color w:val="222222"/>
          <w:szCs w:val="24"/>
          <w:shd w:val="clear" w:color="auto" w:fill="FFFFFF"/>
        </w:rPr>
        <w:t>, </w:t>
      </w:r>
      <w:r w:rsidRPr="00EB11D3">
        <w:rPr>
          <w:i/>
          <w:iCs/>
          <w:color w:val="222222"/>
          <w:szCs w:val="24"/>
          <w:shd w:val="clear" w:color="auto" w:fill="FFFFFF"/>
        </w:rPr>
        <w:t>13</w:t>
      </w:r>
      <w:r w:rsidRPr="00EB11D3">
        <w:rPr>
          <w:color w:val="222222"/>
          <w:szCs w:val="24"/>
          <w:shd w:val="clear" w:color="auto" w:fill="FFFFFF"/>
        </w:rPr>
        <w:t>, 914215.</w:t>
      </w:r>
    </w:p>
    <w:p w14:paraId="1016A22C"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 xml:space="preserve">Diffley, S., McCole, P., &amp; Carvajal-Trujillo, E. (2018). Examining social customer relationship management among Irish hotels. </w:t>
      </w:r>
      <w:r w:rsidRPr="00B60548">
        <w:rPr>
          <w:i/>
          <w:iCs/>
          <w:color w:val="222222"/>
          <w:szCs w:val="24"/>
          <w:shd w:val="clear" w:color="auto" w:fill="FFFFFF"/>
        </w:rPr>
        <w:t>International Journal of Contemporary Hospitality Management</w:t>
      </w:r>
      <w:r w:rsidRPr="00EB11D3">
        <w:rPr>
          <w:color w:val="222222"/>
          <w:szCs w:val="24"/>
          <w:shd w:val="clear" w:color="auto" w:fill="FFFFFF"/>
        </w:rPr>
        <w:t>, 30(2), 1072-1091.</w:t>
      </w:r>
    </w:p>
    <w:p w14:paraId="4F581E6B"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Dion, H., &amp; Evans, M. (2024). Strategic frameworks for sustainability and corporate governance in healthcare facilities; approaches to energy-efficient hospital management. </w:t>
      </w:r>
      <w:r w:rsidRPr="00EB11D3">
        <w:rPr>
          <w:rFonts w:eastAsia="Times New Roman"/>
          <w:bCs/>
          <w:i/>
          <w:iCs/>
          <w:szCs w:val="24"/>
        </w:rPr>
        <w:t>Benchmarking: An International Journal</w:t>
      </w:r>
      <w:r w:rsidRPr="00EB11D3">
        <w:rPr>
          <w:rFonts w:eastAsia="Times New Roman"/>
          <w:bCs/>
          <w:szCs w:val="24"/>
        </w:rPr>
        <w:t>, </w:t>
      </w:r>
      <w:r w:rsidRPr="00EB11D3">
        <w:rPr>
          <w:rFonts w:eastAsia="Times New Roman"/>
          <w:bCs/>
          <w:i/>
          <w:iCs/>
          <w:szCs w:val="24"/>
        </w:rPr>
        <w:t>31</w:t>
      </w:r>
      <w:r w:rsidRPr="00EB11D3">
        <w:rPr>
          <w:rFonts w:eastAsia="Times New Roman"/>
          <w:bCs/>
          <w:szCs w:val="24"/>
        </w:rPr>
        <w:t xml:space="preserve">(2), 353-390. </w:t>
      </w:r>
    </w:p>
    <w:p w14:paraId="0293BDB3"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 xml:space="preserve">Divisekera, S., &amp; Nguyen, V. K. (2018). Determinants of innovation in tourism evidence from Australia. </w:t>
      </w:r>
      <w:r w:rsidRPr="00EB11D3">
        <w:rPr>
          <w:i/>
          <w:iCs/>
          <w:color w:val="222222"/>
          <w:szCs w:val="24"/>
          <w:shd w:val="clear" w:color="auto" w:fill="FFFFFF"/>
        </w:rPr>
        <w:t>Tourism Management</w:t>
      </w:r>
      <w:r w:rsidRPr="00EB11D3">
        <w:rPr>
          <w:color w:val="222222"/>
          <w:szCs w:val="24"/>
          <w:shd w:val="clear" w:color="auto" w:fill="FFFFFF"/>
        </w:rPr>
        <w:t>, 67, 157-167.</w:t>
      </w:r>
    </w:p>
    <w:p w14:paraId="78E132CC" w14:textId="77777777" w:rsidR="003A6047" w:rsidRPr="00EB11D3" w:rsidRDefault="003A6047" w:rsidP="00813B05">
      <w:pPr>
        <w:shd w:val="clear" w:color="auto" w:fill="FFFFFF"/>
        <w:spacing w:after="0" w:line="360" w:lineRule="auto"/>
        <w:ind w:left="720" w:hanging="720"/>
        <w:rPr>
          <w:color w:val="222222"/>
          <w:szCs w:val="24"/>
          <w:shd w:val="clear" w:color="auto" w:fill="FFFFFF"/>
        </w:rPr>
      </w:pPr>
      <w:r w:rsidRPr="00EB11D3">
        <w:rPr>
          <w:color w:val="222222"/>
          <w:szCs w:val="24"/>
          <w:shd w:val="clear" w:color="auto" w:fill="FFFFFF"/>
        </w:rPr>
        <w:t>Dobrzykowski, D. D., &amp; McFadden, K. L. (2020). Examining governance in hospital operations: The effects of trust and physician employment in achieving efficiency and patient satisfaction. </w:t>
      </w:r>
      <w:r w:rsidRPr="00EB11D3">
        <w:rPr>
          <w:i/>
          <w:iCs/>
          <w:color w:val="222222"/>
          <w:szCs w:val="24"/>
          <w:shd w:val="clear" w:color="auto" w:fill="FFFFFF"/>
        </w:rPr>
        <w:t>Decision Sciences</w:t>
      </w:r>
      <w:r w:rsidRPr="00EB11D3">
        <w:rPr>
          <w:color w:val="222222"/>
          <w:szCs w:val="24"/>
          <w:shd w:val="clear" w:color="auto" w:fill="FFFFFF"/>
        </w:rPr>
        <w:t>, </w:t>
      </w:r>
      <w:r w:rsidRPr="00EB11D3">
        <w:rPr>
          <w:i/>
          <w:iCs/>
          <w:color w:val="222222"/>
          <w:szCs w:val="24"/>
          <w:shd w:val="clear" w:color="auto" w:fill="FFFFFF"/>
        </w:rPr>
        <w:t>51</w:t>
      </w:r>
      <w:r w:rsidRPr="00EB11D3">
        <w:rPr>
          <w:color w:val="222222"/>
          <w:szCs w:val="24"/>
          <w:shd w:val="clear" w:color="auto" w:fill="FFFFFF"/>
        </w:rPr>
        <w:t>(1), 74-109.</w:t>
      </w:r>
    </w:p>
    <w:p w14:paraId="7266B3D8"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Drees, J. M., &amp; Heugens, P. P. (2013). Synthesizing and extending resource dependence theory: A meta-analysis. </w:t>
      </w:r>
      <w:r w:rsidRPr="00EB11D3">
        <w:rPr>
          <w:i/>
          <w:iCs/>
          <w:szCs w:val="24"/>
          <w:shd w:val="clear" w:color="auto" w:fill="FFFFFF"/>
        </w:rPr>
        <w:t>Journal of management</w:t>
      </w:r>
      <w:r w:rsidRPr="00EB11D3">
        <w:rPr>
          <w:szCs w:val="24"/>
          <w:shd w:val="clear" w:color="auto" w:fill="FFFFFF"/>
        </w:rPr>
        <w:t>, </w:t>
      </w:r>
      <w:r w:rsidRPr="00EB11D3">
        <w:rPr>
          <w:i/>
          <w:iCs/>
          <w:szCs w:val="24"/>
          <w:shd w:val="clear" w:color="auto" w:fill="FFFFFF"/>
        </w:rPr>
        <w:t>39</w:t>
      </w:r>
      <w:r w:rsidRPr="00EB11D3">
        <w:rPr>
          <w:szCs w:val="24"/>
          <w:shd w:val="clear" w:color="auto" w:fill="FFFFFF"/>
        </w:rPr>
        <w:t>(6), 1666-1698.</w:t>
      </w:r>
    </w:p>
    <w:p w14:paraId="690E6046"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Duckett L. J. (2021). Quantitative research excellence: Study design and reliable and valid measurement of variables. </w:t>
      </w:r>
      <w:r w:rsidRPr="00EB11D3">
        <w:rPr>
          <w:rStyle w:val="Emphasis"/>
          <w:szCs w:val="24"/>
          <w:shd w:val="clear" w:color="auto" w:fill="FFFFFF"/>
        </w:rPr>
        <w:t>Journal of Human Lactation</w:t>
      </w:r>
      <w:r w:rsidRPr="00EB11D3">
        <w:rPr>
          <w:szCs w:val="24"/>
          <w:shd w:val="clear" w:color="auto" w:fill="FFFFFF"/>
        </w:rPr>
        <w:t xml:space="preserve">, </w:t>
      </w:r>
      <w:r w:rsidRPr="00EB11D3">
        <w:rPr>
          <w:i/>
          <w:iCs/>
          <w:szCs w:val="24"/>
          <w:shd w:val="clear" w:color="auto" w:fill="FFFFFF"/>
        </w:rPr>
        <w:t>37</w:t>
      </w:r>
      <w:r w:rsidRPr="00EB11D3">
        <w:rPr>
          <w:szCs w:val="24"/>
          <w:shd w:val="clear" w:color="auto" w:fill="FFFFFF"/>
        </w:rPr>
        <w:t>(3), 456-463.</w:t>
      </w:r>
    </w:p>
    <w:p w14:paraId="6790528A"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Dźwigoł, H. (2020). Pilot study in the research procedure. </w:t>
      </w:r>
      <w:r w:rsidRPr="00EB11D3">
        <w:rPr>
          <w:i/>
          <w:iCs/>
          <w:szCs w:val="24"/>
          <w:shd w:val="clear" w:color="auto" w:fill="FFFFFF"/>
        </w:rPr>
        <w:t>Organizacja i Zarządzanie: kwartalnik naukowy</w:t>
      </w:r>
      <w:r w:rsidRPr="00EB11D3">
        <w:rPr>
          <w:szCs w:val="24"/>
          <w:shd w:val="clear" w:color="auto" w:fill="FFFFFF"/>
        </w:rPr>
        <w:t>.</w:t>
      </w:r>
    </w:p>
    <w:p w14:paraId="26BB74AA"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Eccles, R. G., Ioannou, I., &amp; Serafeim, G. (2014). The impact of corporate sustainability on organizational processes and performance. </w:t>
      </w:r>
      <w:r w:rsidRPr="00EB11D3">
        <w:rPr>
          <w:i/>
          <w:iCs/>
          <w:szCs w:val="24"/>
          <w:shd w:val="clear" w:color="auto" w:fill="FFFFFF"/>
        </w:rPr>
        <w:t>Management science</w:t>
      </w:r>
      <w:r w:rsidRPr="00EB11D3">
        <w:rPr>
          <w:szCs w:val="24"/>
          <w:shd w:val="clear" w:color="auto" w:fill="FFFFFF"/>
        </w:rPr>
        <w:t>, </w:t>
      </w:r>
      <w:r w:rsidRPr="00EB11D3">
        <w:rPr>
          <w:i/>
          <w:iCs/>
          <w:szCs w:val="24"/>
          <w:shd w:val="clear" w:color="auto" w:fill="FFFFFF"/>
        </w:rPr>
        <w:t>60</w:t>
      </w:r>
      <w:r w:rsidRPr="00EB11D3">
        <w:rPr>
          <w:szCs w:val="24"/>
          <w:shd w:val="clear" w:color="auto" w:fill="FFFFFF"/>
        </w:rPr>
        <w:t>(11), 2835-2857.</w:t>
      </w:r>
    </w:p>
    <w:p w14:paraId="00777341" w14:textId="77777777" w:rsidR="003A6047" w:rsidRDefault="003A6047" w:rsidP="00813B05">
      <w:pPr>
        <w:shd w:val="clear" w:color="auto" w:fill="FFFFFF"/>
        <w:spacing w:after="0" w:line="360" w:lineRule="auto"/>
        <w:ind w:left="720" w:hanging="720"/>
        <w:rPr>
          <w:rFonts w:eastAsia="Times New Roman"/>
          <w:bCs/>
          <w:szCs w:val="24"/>
        </w:rPr>
      </w:pPr>
      <w:r w:rsidRPr="00813B05">
        <w:rPr>
          <w:rFonts w:eastAsia="Times New Roman"/>
          <w:bCs/>
          <w:szCs w:val="24"/>
        </w:rPr>
        <w:t>Edemekong, P. F., Annamaraju, P., &amp; Haydel, M. J. (2018). Health insurance portability and accountability act.</w:t>
      </w:r>
      <w:r>
        <w:rPr>
          <w:rFonts w:eastAsia="Times New Roman"/>
          <w:bCs/>
          <w:szCs w:val="24"/>
        </w:rPr>
        <w:t xml:space="preserve"> Retrieved from </w:t>
      </w:r>
      <w:hyperlink r:id="rId30" w:history="1">
        <w:r w:rsidRPr="0085710B">
          <w:rPr>
            <w:rStyle w:val="Hyperlink"/>
            <w:rFonts w:eastAsia="Times New Roman"/>
            <w:bCs/>
            <w:szCs w:val="24"/>
          </w:rPr>
          <w:t>https://europepmc.org/article/NBK/nbk500019</w:t>
        </w:r>
      </w:hyperlink>
      <w:r>
        <w:rPr>
          <w:rFonts w:eastAsia="Times New Roman"/>
          <w:bCs/>
          <w:szCs w:val="24"/>
        </w:rPr>
        <w:t>.</w:t>
      </w:r>
    </w:p>
    <w:p w14:paraId="018D41C2"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Edmans, A., Gabaix, X., &amp; Jenter, D. (2020). Executive Compensation: A Survey of Theory and Evidence. </w:t>
      </w:r>
      <w:r w:rsidRPr="00EB11D3">
        <w:rPr>
          <w:rFonts w:eastAsia="Times New Roman"/>
          <w:bCs/>
          <w:i/>
          <w:iCs/>
          <w:szCs w:val="24"/>
        </w:rPr>
        <w:t>Journal of Finance</w:t>
      </w:r>
      <w:r w:rsidRPr="00EB11D3">
        <w:rPr>
          <w:rFonts w:eastAsia="Times New Roman"/>
          <w:bCs/>
          <w:szCs w:val="24"/>
        </w:rPr>
        <w:t>, 75(4), 797-848.</w:t>
      </w:r>
    </w:p>
    <w:p w14:paraId="23206B59"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 xml:space="preserve">Edvardsson, B., Frow, P., Jaakkola, E., Keiningham, T. L., Koskela-Huotari, K., Mele, C., &amp; Tombs, A. (2018). Examining how context change foster service innovation. </w:t>
      </w:r>
      <w:r w:rsidRPr="00EB11D3">
        <w:rPr>
          <w:i/>
          <w:iCs/>
          <w:color w:val="222222"/>
          <w:szCs w:val="24"/>
          <w:shd w:val="clear" w:color="auto" w:fill="FFFFFF"/>
        </w:rPr>
        <w:t>Journal of Service Management</w:t>
      </w:r>
      <w:r w:rsidRPr="00EB11D3">
        <w:rPr>
          <w:color w:val="222222"/>
          <w:szCs w:val="24"/>
          <w:shd w:val="clear" w:color="auto" w:fill="FFFFFF"/>
        </w:rPr>
        <w:t>, 29(5), 932-955.</w:t>
      </w:r>
    </w:p>
    <w:p w14:paraId="2DC2F954"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Eeckloo, K., &amp; De Regge, M. (2023). Healthcare board leadership and governance: conceptual framings and controversies. In </w:t>
      </w:r>
      <w:r w:rsidRPr="00EB11D3">
        <w:rPr>
          <w:i/>
          <w:iCs/>
          <w:color w:val="222222"/>
          <w:szCs w:val="24"/>
          <w:shd w:val="clear" w:color="auto" w:fill="FFFFFF"/>
        </w:rPr>
        <w:t>Research Handbook on Leadership in Healthcare</w:t>
      </w:r>
      <w:r w:rsidRPr="00EB11D3">
        <w:rPr>
          <w:color w:val="222222"/>
          <w:szCs w:val="24"/>
          <w:shd w:val="clear" w:color="auto" w:fill="FFFFFF"/>
        </w:rPr>
        <w:t> (pp. 305-319). Edward Elgar Publishing.</w:t>
      </w:r>
    </w:p>
    <w:p w14:paraId="2BE3DB5A" w14:textId="77777777" w:rsidR="003A6047" w:rsidRPr="00EB11D3" w:rsidRDefault="003A6047" w:rsidP="00813B05">
      <w:pPr>
        <w:spacing w:after="0" w:line="360" w:lineRule="auto"/>
        <w:ind w:left="720" w:hanging="720"/>
        <w:rPr>
          <w:szCs w:val="24"/>
        </w:rPr>
      </w:pPr>
      <w:r w:rsidRPr="00EB11D3">
        <w:rPr>
          <w:szCs w:val="24"/>
          <w:shd w:val="clear" w:color="auto" w:fill="FFFFFF"/>
        </w:rPr>
        <w:t>Eide, T., Gullslett, M. K., Eide, H., Dugstad, J. H., McCormack, B., &amp; Nilsen, E. R. (2022). Trust-based service innovation of municipal home care: a longitudinal mixed methods study. </w:t>
      </w:r>
      <w:r w:rsidRPr="00EB11D3">
        <w:rPr>
          <w:i/>
          <w:iCs/>
          <w:szCs w:val="24"/>
          <w:shd w:val="clear" w:color="auto" w:fill="FFFFFF"/>
        </w:rPr>
        <w:t>BMC Health Services Research</w:t>
      </w:r>
      <w:r w:rsidRPr="00EB11D3">
        <w:rPr>
          <w:szCs w:val="24"/>
          <w:shd w:val="clear" w:color="auto" w:fill="FFFFFF"/>
        </w:rPr>
        <w:t>, </w:t>
      </w:r>
      <w:r w:rsidRPr="00EB11D3">
        <w:rPr>
          <w:i/>
          <w:iCs/>
          <w:szCs w:val="24"/>
          <w:shd w:val="clear" w:color="auto" w:fill="FFFFFF"/>
        </w:rPr>
        <w:t>22</w:t>
      </w:r>
      <w:r w:rsidRPr="00EB11D3">
        <w:rPr>
          <w:szCs w:val="24"/>
          <w:shd w:val="clear" w:color="auto" w:fill="FFFFFF"/>
        </w:rPr>
        <w:t>(1), 1-20.</w:t>
      </w:r>
    </w:p>
    <w:p w14:paraId="5F62E6FE"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El-Chaarani, H., Abraham, R., &amp; Skaf, Y. (2022). The impact of corporate governance on the financial performance of the banking sector in the MENA (Middle Eastern and North African) region: An immunity test of banks for COVID-19. </w:t>
      </w:r>
      <w:r w:rsidRPr="00EB11D3">
        <w:rPr>
          <w:i/>
          <w:iCs/>
          <w:szCs w:val="24"/>
          <w:shd w:val="clear" w:color="auto" w:fill="FFFFFF"/>
        </w:rPr>
        <w:t>Journal of Risk and Financial Management</w:t>
      </w:r>
      <w:r w:rsidRPr="00EB11D3">
        <w:rPr>
          <w:szCs w:val="24"/>
          <w:shd w:val="clear" w:color="auto" w:fill="FFFFFF"/>
        </w:rPr>
        <w:t>, </w:t>
      </w:r>
      <w:r w:rsidRPr="00EB11D3">
        <w:rPr>
          <w:i/>
          <w:iCs/>
          <w:szCs w:val="24"/>
          <w:shd w:val="clear" w:color="auto" w:fill="FFFFFF"/>
        </w:rPr>
        <w:t>15</w:t>
      </w:r>
      <w:r w:rsidRPr="00EB11D3">
        <w:rPr>
          <w:szCs w:val="24"/>
          <w:shd w:val="clear" w:color="auto" w:fill="FFFFFF"/>
        </w:rPr>
        <w:t>(2), 82.</w:t>
      </w:r>
    </w:p>
    <w:p w14:paraId="704497EB"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Elgazzar, S., Tipi, N., &amp; Jones, G. (2019). Key characteristics for designing a supply chain performance measurement system. </w:t>
      </w:r>
      <w:r w:rsidRPr="00EB11D3">
        <w:rPr>
          <w:i/>
          <w:iCs/>
          <w:szCs w:val="24"/>
          <w:shd w:val="clear" w:color="auto" w:fill="FFFFFF"/>
        </w:rPr>
        <w:t>International journal of productivity and performance management</w:t>
      </w:r>
      <w:r w:rsidRPr="00EB11D3">
        <w:rPr>
          <w:szCs w:val="24"/>
          <w:shd w:val="clear" w:color="auto" w:fill="FFFFFF"/>
        </w:rPr>
        <w:t>, </w:t>
      </w:r>
      <w:r w:rsidRPr="00EB11D3">
        <w:rPr>
          <w:i/>
          <w:iCs/>
          <w:szCs w:val="24"/>
          <w:shd w:val="clear" w:color="auto" w:fill="FFFFFF"/>
        </w:rPr>
        <w:t>68</w:t>
      </w:r>
      <w:r w:rsidRPr="00EB11D3">
        <w:rPr>
          <w:szCs w:val="24"/>
          <w:shd w:val="clear" w:color="auto" w:fill="FFFFFF"/>
        </w:rPr>
        <w:t>(2), 296-318.</w:t>
      </w:r>
    </w:p>
    <w:p w14:paraId="1284FB59"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Elmagrhi, M. H., Ntim, C. G., Elamer, A. A., &amp; Zhang, Q. (2019). A study of environmental policies and regulations, governance structures, and environmental performance: The role of female directors. </w:t>
      </w:r>
      <w:r w:rsidRPr="00EB11D3">
        <w:rPr>
          <w:rFonts w:eastAsia="Times New Roman"/>
          <w:bCs/>
          <w:i/>
          <w:iCs/>
          <w:szCs w:val="24"/>
        </w:rPr>
        <w:t>Business strategy and the environment</w:t>
      </w:r>
      <w:r w:rsidRPr="00EB11D3">
        <w:rPr>
          <w:rFonts w:eastAsia="Times New Roman"/>
          <w:bCs/>
          <w:szCs w:val="24"/>
        </w:rPr>
        <w:t>, </w:t>
      </w:r>
      <w:r w:rsidRPr="00EB11D3">
        <w:rPr>
          <w:rFonts w:eastAsia="Times New Roman"/>
          <w:bCs/>
          <w:i/>
          <w:iCs/>
          <w:szCs w:val="24"/>
        </w:rPr>
        <w:t>28</w:t>
      </w:r>
      <w:r w:rsidRPr="00EB11D3">
        <w:rPr>
          <w:rFonts w:eastAsia="Times New Roman"/>
          <w:bCs/>
          <w:szCs w:val="24"/>
        </w:rPr>
        <w:t>(1), 206-220.</w:t>
      </w:r>
    </w:p>
    <w:p w14:paraId="12AB4B3E"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Emodia, N. A., &amp; Mwanzia, M. (2021). Effect of Corporate Governance Practices on Organizational Performance of State Corporations in the Health Sector, Kenya.</w:t>
      </w:r>
      <w:r w:rsidRPr="00EB11D3">
        <w:rPr>
          <w:szCs w:val="24"/>
        </w:rPr>
        <w:t xml:space="preserve"> </w:t>
      </w:r>
      <w:r w:rsidRPr="00EB11D3">
        <w:rPr>
          <w:i/>
          <w:iCs/>
          <w:szCs w:val="24"/>
        </w:rPr>
        <w:t>Journal of Public Policy &amp; Governance Volume, 5</w:t>
      </w:r>
      <w:r w:rsidRPr="00EB11D3">
        <w:rPr>
          <w:szCs w:val="24"/>
        </w:rPr>
        <w:t xml:space="preserve"> (3), 99-111</w:t>
      </w:r>
    </w:p>
    <w:p w14:paraId="50724F0E"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 xml:space="preserve">Engen, M., &amp; Magnusson, P. (2018). Casting for service innovation: the roles of frontline employees. </w:t>
      </w:r>
      <w:r w:rsidRPr="00EB11D3">
        <w:rPr>
          <w:i/>
          <w:iCs/>
          <w:color w:val="222222"/>
          <w:szCs w:val="24"/>
          <w:shd w:val="clear" w:color="auto" w:fill="FFFFFF"/>
        </w:rPr>
        <w:t>Creativity and Innovation Management</w:t>
      </w:r>
      <w:r w:rsidRPr="00EB11D3">
        <w:rPr>
          <w:color w:val="222222"/>
          <w:szCs w:val="24"/>
          <w:shd w:val="clear" w:color="auto" w:fill="FFFFFF"/>
        </w:rPr>
        <w:t>, 27(3), 255-269.</w:t>
      </w:r>
    </w:p>
    <w:p w14:paraId="4C4FBB81" w14:textId="77777777" w:rsidR="003A6047" w:rsidRPr="00EB11D3" w:rsidRDefault="003A6047" w:rsidP="00813B05">
      <w:pPr>
        <w:spacing w:after="0" w:line="360" w:lineRule="auto"/>
        <w:ind w:left="720" w:hanging="720"/>
        <w:rPr>
          <w:szCs w:val="24"/>
        </w:rPr>
      </w:pPr>
      <w:r w:rsidRPr="00EB11D3">
        <w:rPr>
          <w:szCs w:val="24"/>
        </w:rPr>
        <w:t xml:space="preserve">Eriksson, P., &amp; Kovalainen, A. (2015). </w:t>
      </w:r>
      <w:r w:rsidRPr="00EB11D3">
        <w:rPr>
          <w:i/>
          <w:iCs/>
          <w:szCs w:val="24"/>
        </w:rPr>
        <w:t>Qualitative methods in business research: A practical guide to social research</w:t>
      </w:r>
      <w:r w:rsidRPr="00EB11D3">
        <w:rPr>
          <w:szCs w:val="24"/>
        </w:rPr>
        <w:t>. Thousand Oaks, CA: Sage.</w:t>
      </w:r>
    </w:p>
    <w:p w14:paraId="29D92186"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Erwin, C. O., Landry, A. Y., Livingston, A. C., &amp; Dias, A. (2019). Effective governance and hospital boards revisited: Reflections on 25 years of research. </w:t>
      </w:r>
      <w:r w:rsidRPr="00EB11D3">
        <w:rPr>
          <w:i/>
          <w:iCs/>
          <w:szCs w:val="24"/>
          <w:shd w:val="clear" w:color="auto" w:fill="FFFFFF"/>
        </w:rPr>
        <w:t>Medical Care Research and Review</w:t>
      </w:r>
      <w:r w:rsidRPr="00EB11D3">
        <w:rPr>
          <w:szCs w:val="24"/>
          <w:shd w:val="clear" w:color="auto" w:fill="FFFFFF"/>
        </w:rPr>
        <w:t>, </w:t>
      </w:r>
      <w:r w:rsidRPr="00EB11D3">
        <w:rPr>
          <w:i/>
          <w:iCs/>
          <w:szCs w:val="24"/>
          <w:shd w:val="clear" w:color="auto" w:fill="FFFFFF"/>
        </w:rPr>
        <w:t>76</w:t>
      </w:r>
      <w:r w:rsidRPr="00EB11D3">
        <w:rPr>
          <w:szCs w:val="24"/>
          <w:shd w:val="clear" w:color="auto" w:fill="FFFFFF"/>
        </w:rPr>
        <w:t>(2), 131-166.</w:t>
      </w:r>
    </w:p>
    <w:p w14:paraId="09E7ED78"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Fahmi, A., Qomariah, N., &amp; Cahyono, D. (2020). Effect of Service Quality and Service Innovation of Patient Satisfaction and Loyalty. </w:t>
      </w:r>
      <w:r w:rsidRPr="00EB11D3">
        <w:rPr>
          <w:i/>
          <w:iCs/>
          <w:color w:val="222222"/>
          <w:szCs w:val="24"/>
          <w:shd w:val="clear" w:color="auto" w:fill="FFFFFF"/>
        </w:rPr>
        <w:t>International Journal of Engineering Research &amp; Technology (IJERT)</w:t>
      </w:r>
      <w:r w:rsidRPr="00EB11D3">
        <w:rPr>
          <w:color w:val="222222"/>
          <w:szCs w:val="24"/>
          <w:shd w:val="clear" w:color="auto" w:fill="FFFFFF"/>
        </w:rPr>
        <w:t>, </w:t>
      </w:r>
      <w:r w:rsidRPr="00EB11D3">
        <w:rPr>
          <w:i/>
          <w:iCs/>
          <w:color w:val="222222"/>
          <w:szCs w:val="24"/>
          <w:shd w:val="clear" w:color="auto" w:fill="FFFFFF"/>
        </w:rPr>
        <w:t>9</w:t>
      </w:r>
      <w:r w:rsidRPr="00EB11D3">
        <w:rPr>
          <w:color w:val="222222"/>
          <w:szCs w:val="24"/>
          <w:shd w:val="clear" w:color="auto" w:fill="FFFFFF"/>
        </w:rPr>
        <w:t>(06), 1085-1090.</w:t>
      </w:r>
    </w:p>
    <w:p w14:paraId="218DDBA1"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Fayed, A. M. S., Elshoura, S. M. Y., &amp; Mosallam, R. A. (2021). Governance structures and practices in for‐profit and not‐for profit hospitals in Egypt. </w:t>
      </w:r>
      <w:r w:rsidRPr="00EB11D3">
        <w:rPr>
          <w:i/>
          <w:iCs/>
          <w:color w:val="222222"/>
          <w:szCs w:val="24"/>
          <w:shd w:val="clear" w:color="auto" w:fill="FFFFFF"/>
        </w:rPr>
        <w:t>The International Journal of Health Planning and Management</w:t>
      </w:r>
      <w:r w:rsidRPr="00EB11D3">
        <w:rPr>
          <w:color w:val="222222"/>
          <w:szCs w:val="24"/>
          <w:shd w:val="clear" w:color="auto" w:fill="FFFFFF"/>
        </w:rPr>
        <w:t>, </w:t>
      </w:r>
      <w:r w:rsidRPr="00EB11D3">
        <w:rPr>
          <w:i/>
          <w:iCs/>
          <w:color w:val="222222"/>
          <w:szCs w:val="24"/>
          <w:shd w:val="clear" w:color="auto" w:fill="FFFFFF"/>
        </w:rPr>
        <w:t>36</w:t>
      </w:r>
      <w:r w:rsidRPr="00EB11D3">
        <w:rPr>
          <w:color w:val="222222"/>
          <w:szCs w:val="24"/>
          <w:shd w:val="clear" w:color="auto" w:fill="FFFFFF"/>
        </w:rPr>
        <w:t>(4), 1069-1080.</w:t>
      </w:r>
    </w:p>
    <w:p w14:paraId="5A2F6A75" w14:textId="77777777" w:rsidR="003A6047" w:rsidRPr="00EB11D3" w:rsidRDefault="003A6047" w:rsidP="00813B05">
      <w:pPr>
        <w:shd w:val="clear" w:color="auto" w:fill="FFFFFF"/>
        <w:spacing w:after="0" w:line="360" w:lineRule="auto"/>
        <w:ind w:left="720" w:hanging="720"/>
        <w:rPr>
          <w:rFonts w:eastAsia="Times New Roman"/>
          <w:bCs/>
          <w:szCs w:val="24"/>
        </w:rPr>
      </w:pPr>
      <w:bookmarkStart w:id="1165" w:name="_Hlk161408623"/>
      <w:r w:rsidRPr="00EB11D3">
        <w:rPr>
          <w:rFonts w:eastAsia="Times New Roman"/>
          <w:bCs/>
          <w:szCs w:val="24"/>
        </w:rPr>
        <w:t xml:space="preserve">Feng, C., Ma, R., &amp; Jiang, L. (2021). </w:t>
      </w:r>
      <w:bookmarkEnd w:id="1165"/>
      <w:r w:rsidRPr="00EB11D3">
        <w:rPr>
          <w:rFonts w:eastAsia="Times New Roman"/>
          <w:bCs/>
          <w:szCs w:val="24"/>
        </w:rPr>
        <w:t>The impact of service innovation on firm performance: a meta-analysis. </w:t>
      </w:r>
      <w:r w:rsidRPr="00EB11D3">
        <w:rPr>
          <w:rFonts w:eastAsia="Times New Roman"/>
          <w:bCs/>
          <w:i/>
          <w:iCs/>
          <w:szCs w:val="24"/>
        </w:rPr>
        <w:t>Journal of Service Management</w:t>
      </w:r>
      <w:r w:rsidRPr="00EB11D3">
        <w:rPr>
          <w:rFonts w:eastAsia="Times New Roman"/>
          <w:bCs/>
          <w:szCs w:val="24"/>
        </w:rPr>
        <w:t>, </w:t>
      </w:r>
      <w:r w:rsidRPr="00EB11D3">
        <w:rPr>
          <w:rFonts w:eastAsia="Times New Roman"/>
          <w:bCs/>
          <w:i/>
          <w:iCs/>
          <w:szCs w:val="24"/>
        </w:rPr>
        <w:t>32</w:t>
      </w:r>
      <w:r w:rsidRPr="00EB11D3">
        <w:rPr>
          <w:rFonts w:eastAsia="Times New Roman"/>
          <w:bCs/>
          <w:szCs w:val="24"/>
        </w:rPr>
        <w:t>(3), 289-314.</w:t>
      </w:r>
    </w:p>
    <w:p w14:paraId="6813E278"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Fernandez-Crehuet, J. M., Rosales-Salas, J., &amp; Avilés, R. (2020). Governance, risks and rules between theoretical studies and empirical analyses. </w:t>
      </w:r>
      <w:r w:rsidRPr="00EB11D3">
        <w:rPr>
          <w:i/>
          <w:iCs/>
          <w:szCs w:val="24"/>
          <w:shd w:val="clear" w:color="auto" w:fill="FFFFFF"/>
        </w:rPr>
        <w:t>Risk Governance &amp; Control: Financial Markets &amp; Institutions</w:t>
      </w:r>
      <w:r w:rsidRPr="00EB11D3">
        <w:rPr>
          <w:szCs w:val="24"/>
          <w:shd w:val="clear" w:color="auto" w:fill="FFFFFF"/>
        </w:rPr>
        <w:t xml:space="preserve">, </w:t>
      </w:r>
      <w:r w:rsidRPr="00EB11D3">
        <w:rPr>
          <w:i/>
          <w:iCs/>
          <w:szCs w:val="24"/>
          <w:shd w:val="clear" w:color="auto" w:fill="FFFFFF"/>
        </w:rPr>
        <w:t>10</w:t>
      </w:r>
      <w:r w:rsidRPr="00EB11D3">
        <w:rPr>
          <w:szCs w:val="24"/>
          <w:shd w:val="clear" w:color="auto" w:fill="FFFFFF"/>
        </w:rPr>
        <w:t xml:space="preserve"> (1),4-6.</w:t>
      </w:r>
    </w:p>
    <w:p w14:paraId="5DE3F8DF" w14:textId="77777777" w:rsidR="003A6047" w:rsidRDefault="003A6047" w:rsidP="00813B05">
      <w:pPr>
        <w:spacing w:after="0" w:line="360" w:lineRule="auto"/>
        <w:ind w:left="720" w:hanging="720"/>
        <w:rPr>
          <w:szCs w:val="24"/>
          <w:shd w:val="clear" w:color="auto" w:fill="FFFFFF"/>
        </w:rPr>
      </w:pPr>
      <w:r w:rsidRPr="00EB11D3">
        <w:rPr>
          <w:szCs w:val="24"/>
          <w:shd w:val="clear" w:color="auto" w:fill="FFFFFF"/>
        </w:rPr>
        <w:t xml:space="preserve">Forlines, G. L. (2018). </w:t>
      </w:r>
      <w:r w:rsidRPr="00EB11D3">
        <w:rPr>
          <w:i/>
          <w:iCs/>
          <w:szCs w:val="24"/>
          <w:shd w:val="clear" w:color="auto" w:fill="FFFFFF"/>
        </w:rPr>
        <w:t>Essays on the Role of Government Regulation and Policy in Health Care Markets</w:t>
      </w:r>
      <w:r w:rsidRPr="00EB11D3">
        <w:rPr>
          <w:szCs w:val="24"/>
          <w:shd w:val="clear" w:color="auto" w:fill="FFFFFF"/>
        </w:rPr>
        <w:t>. (Doctoral dissertation, University of Kentucky).</w:t>
      </w:r>
    </w:p>
    <w:p w14:paraId="0DCF76B4" w14:textId="77777777" w:rsidR="003A6047" w:rsidRPr="00EB11D3" w:rsidRDefault="003A6047" w:rsidP="00813B05">
      <w:pPr>
        <w:spacing w:after="0" w:line="360" w:lineRule="auto"/>
        <w:ind w:left="720" w:hanging="720"/>
        <w:rPr>
          <w:szCs w:val="24"/>
          <w:lang w:eastAsia="zh-CN"/>
        </w:rPr>
      </w:pPr>
      <w:r w:rsidRPr="005F4610">
        <w:rPr>
          <w:szCs w:val="24"/>
          <w:lang w:eastAsia="zh-CN"/>
        </w:rPr>
        <w:t xml:space="preserve">Frederick, O., &amp; Dibie, I. (2024). Economic And Financial Implications of Government Regulations </w:t>
      </w:r>
      <w:r>
        <w:rPr>
          <w:szCs w:val="24"/>
          <w:lang w:eastAsia="zh-CN"/>
        </w:rPr>
        <w:t>o</w:t>
      </w:r>
      <w:r w:rsidRPr="005F4610">
        <w:rPr>
          <w:szCs w:val="24"/>
          <w:lang w:eastAsia="zh-CN"/>
        </w:rPr>
        <w:t xml:space="preserve">n Organisational Performance </w:t>
      </w:r>
      <w:r>
        <w:rPr>
          <w:szCs w:val="24"/>
          <w:lang w:eastAsia="zh-CN"/>
        </w:rPr>
        <w:t>o</w:t>
      </w:r>
      <w:r w:rsidRPr="005F4610">
        <w:rPr>
          <w:szCs w:val="24"/>
          <w:lang w:eastAsia="zh-CN"/>
        </w:rPr>
        <w:t>f Selected S</w:t>
      </w:r>
      <w:r>
        <w:rPr>
          <w:szCs w:val="24"/>
          <w:lang w:eastAsia="zh-CN"/>
        </w:rPr>
        <w:t>ME</w:t>
      </w:r>
      <w:r w:rsidRPr="005F4610">
        <w:rPr>
          <w:szCs w:val="24"/>
          <w:lang w:eastAsia="zh-CN"/>
        </w:rPr>
        <w:t>s Operating In Asaba, Delta State. </w:t>
      </w:r>
      <w:r w:rsidRPr="005F4610">
        <w:rPr>
          <w:i/>
          <w:iCs/>
          <w:szCs w:val="24"/>
          <w:lang w:eastAsia="zh-CN"/>
        </w:rPr>
        <w:t>International Journal of Innovative Studies</w:t>
      </w:r>
      <w:r w:rsidRPr="005F4610">
        <w:rPr>
          <w:szCs w:val="24"/>
          <w:lang w:eastAsia="zh-CN"/>
        </w:rPr>
        <w:t>, </w:t>
      </w:r>
      <w:r w:rsidRPr="005F4610">
        <w:rPr>
          <w:i/>
          <w:iCs/>
          <w:szCs w:val="24"/>
          <w:lang w:eastAsia="zh-CN"/>
        </w:rPr>
        <w:t>2</w:t>
      </w:r>
      <w:r w:rsidRPr="005F4610">
        <w:rPr>
          <w:szCs w:val="24"/>
          <w:lang w:eastAsia="zh-CN"/>
        </w:rPr>
        <w:t>(1), 124-141.</w:t>
      </w:r>
    </w:p>
    <w:p w14:paraId="6B099C3F"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Ganesha, H., R, &amp; Aithal, P. S. (2022). Deriving right sample size and choosing an appropriate sampling technique to select samples from the research population during Ph. D. program in India. </w:t>
      </w:r>
      <w:r w:rsidRPr="00EB11D3">
        <w:rPr>
          <w:i/>
          <w:iCs/>
          <w:szCs w:val="24"/>
          <w:shd w:val="clear" w:color="auto" w:fill="FFFFFF"/>
        </w:rPr>
        <w:t>International Journal of Applied Engineering and Management Letters (IJAEML)</w:t>
      </w:r>
      <w:r w:rsidRPr="00EB11D3">
        <w:rPr>
          <w:szCs w:val="24"/>
          <w:shd w:val="clear" w:color="auto" w:fill="FFFFFF"/>
        </w:rPr>
        <w:t>, </w:t>
      </w:r>
      <w:r w:rsidRPr="00EB11D3">
        <w:rPr>
          <w:i/>
          <w:iCs/>
          <w:szCs w:val="24"/>
          <w:shd w:val="clear" w:color="auto" w:fill="FFFFFF"/>
        </w:rPr>
        <w:t>6</w:t>
      </w:r>
      <w:r w:rsidRPr="00EB11D3">
        <w:rPr>
          <w:szCs w:val="24"/>
          <w:shd w:val="clear" w:color="auto" w:fill="FFFFFF"/>
        </w:rPr>
        <w:t>(2), 288-306.</w:t>
      </w:r>
    </w:p>
    <w:p w14:paraId="6ABC1A50" w14:textId="77777777" w:rsidR="003A6047" w:rsidRPr="00EB11D3" w:rsidRDefault="003A6047" w:rsidP="00813B05">
      <w:pPr>
        <w:shd w:val="clear" w:color="auto" w:fill="FFFFFF"/>
        <w:spacing w:after="0" w:line="360" w:lineRule="auto"/>
        <w:ind w:left="720" w:hanging="720"/>
        <w:rPr>
          <w:color w:val="222222"/>
          <w:szCs w:val="24"/>
          <w:shd w:val="clear" w:color="auto" w:fill="FFFFFF"/>
        </w:rPr>
      </w:pPr>
      <w:r w:rsidRPr="00EB11D3">
        <w:rPr>
          <w:color w:val="222222"/>
          <w:szCs w:val="24"/>
          <w:shd w:val="clear" w:color="auto" w:fill="FFFFFF"/>
        </w:rPr>
        <w:t>Garcia, M. B., Arif, Y. M., Khlaif, Z. N., Zhu, M., de Almeida, R. P. P., de Almeida, R. S., &amp; Masters, K. (2024). Effective integration of artificial intelligence in medical education: Practical tips and actionable insights. In </w:t>
      </w:r>
      <w:r w:rsidRPr="00EB11D3">
        <w:rPr>
          <w:i/>
          <w:iCs/>
          <w:color w:val="222222"/>
          <w:szCs w:val="24"/>
          <w:shd w:val="clear" w:color="auto" w:fill="FFFFFF"/>
        </w:rPr>
        <w:t>Transformative Approaches to Patient Literacy and Healthcare Innovation</w:t>
      </w:r>
      <w:r w:rsidRPr="00EB11D3">
        <w:rPr>
          <w:color w:val="222222"/>
          <w:szCs w:val="24"/>
          <w:shd w:val="clear" w:color="auto" w:fill="FFFFFF"/>
        </w:rPr>
        <w:t> (pp. 1-19). IGI Global.</w:t>
      </w:r>
    </w:p>
    <w:p w14:paraId="4D4A71D0"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Gaur, S. S., Bathula, H., &amp; Singh, D. (2015). Ownership concentration, board characteristics and firm performance: A contingency framework. </w:t>
      </w:r>
      <w:r w:rsidRPr="00EB11D3">
        <w:rPr>
          <w:i/>
          <w:iCs/>
          <w:szCs w:val="24"/>
          <w:shd w:val="clear" w:color="auto" w:fill="FFFFFF"/>
        </w:rPr>
        <w:t>Management Decision</w:t>
      </w:r>
      <w:r w:rsidRPr="00EB11D3">
        <w:rPr>
          <w:szCs w:val="24"/>
          <w:shd w:val="clear" w:color="auto" w:fill="FFFFFF"/>
        </w:rPr>
        <w:t xml:space="preserve">, </w:t>
      </w:r>
      <w:r w:rsidRPr="00EB11D3">
        <w:rPr>
          <w:i/>
          <w:iCs/>
          <w:szCs w:val="24"/>
          <w:shd w:val="clear" w:color="auto" w:fill="FFFFFF"/>
        </w:rPr>
        <w:t>53</w:t>
      </w:r>
      <w:r w:rsidRPr="00EB11D3">
        <w:rPr>
          <w:szCs w:val="24"/>
          <w:shd w:val="clear" w:color="auto" w:fill="FFFFFF"/>
        </w:rPr>
        <w:t xml:space="preserve"> (5), 911-931.</w:t>
      </w:r>
    </w:p>
    <w:p w14:paraId="3BFD10FA"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Ghosh, R., Kempf, D., Pufko, A., Barrios Martinez, L. F., Davis, C. M., &amp; Sethi, S. (2020). Automation opportunities in pharmacovigilance: an industry survey. </w:t>
      </w:r>
      <w:r w:rsidRPr="00EB11D3">
        <w:rPr>
          <w:rFonts w:eastAsia="Times New Roman"/>
          <w:bCs/>
          <w:i/>
          <w:iCs/>
          <w:szCs w:val="24"/>
        </w:rPr>
        <w:t>Pharmaceutical Medicine</w:t>
      </w:r>
      <w:r w:rsidRPr="00EB11D3">
        <w:rPr>
          <w:rFonts w:eastAsia="Times New Roman"/>
          <w:bCs/>
          <w:szCs w:val="24"/>
        </w:rPr>
        <w:t>, 34, 7-18.</w:t>
      </w:r>
    </w:p>
    <w:p w14:paraId="76812D8B"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Gonzales-Bustos, J. P., Hernandez-Lara, A. B., &amp; Li, X. (2020). Board effects on innovation in family and non-family business. </w:t>
      </w:r>
      <w:r w:rsidRPr="00B60548">
        <w:rPr>
          <w:i/>
          <w:iCs/>
          <w:szCs w:val="24"/>
          <w:shd w:val="clear" w:color="auto" w:fill="FFFFFF"/>
        </w:rPr>
        <w:t>Heliyon</w:t>
      </w:r>
      <w:r w:rsidRPr="00EB11D3">
        <w:rPr>
          <w:szCs w:val="24"/>
          <w:shd w:val="clear" w:color="auto" w:fill="FFFFFF"/>
        </w:rPr>
        <w:t>, 6(9), 1–12.</w:t>
      </w:r>
    </w:p>
    <w:p w14:paraId="54BD2ED2"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González-Estrada, E., Villaseñor, J. A., &amp; Acosta-Pech, R. (2022). Shapiro-Wilk test for multivariate skew-normality. </w:t>
      </w:r>
      <w:r w:rsidRPr="00EB11D3">
        <w:rPr>
          <w:i/>
          <w:iCs/>
          <w:szCs w:val="24"/>
          <w:shd w:val="clear" w:color="auto" w:fill="FFFFFF"/>
        </w:rPr>
        <w:t>Computational Statistics</w:t>
      </w:r>
      <w:r w:rsidRPr="00EB11D3">
        <w:rPr>
          <w:szCs w:val="24"/>
          <w:shd w:val="clear" w:color="auto" w:fill="FFFFFF"/>
        </w:rPr>
        <w:t>, </w:t>
      </w:r>
      <w:r w:rsidRPr="00EB11D3">
        <w:rPr>
          <w:i/>
          <w:iCs/>
          <w:szCs w:val="24"/>
          <w:shd w:val="clear" w:color="auto" w:fill="FFFFFF"/>
        </w:rPr>
        <w:t>37</w:t>
      </w:r>
      <w:r w:rsidRPr="00EB11D3">
        <w:rPr>
          <w:szCs w:val="24"/>
          <w:shd w:val="clear" w:color="auto" w:fill="FFFFFF"/>
        </w:rPr>
        <w:t>(4), 1985-2001.</w:t>
      </w:r>
    </w:p>
    <w:p w14:paraId="78BA1BC2"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Gopal, G., Suter-Crazzolara, C., Toldo, L., &amp; Eberhardt, W. (2019). Digital transformation in healthcare–architectures of present and future information technologies. </w:t>
      </w:r>
      <w:r w:rsidRPr="00EB11D3">
        <w:rPr>
          <w:i/>
          <w:iCs/>
          <w:color w:val="222222"/>
          <w:szCs w:val="24"/>
          <w:shd w:val="clear" w:color="auto" w:fill="FFFFFF"/>
        </w:rPr>
        <w:t>Clinical Chemistry and Laboratory Medicine, 57</w:t>
      </w:r>
      <w:r w:rsidRPr="00EB11D3">
        <w:rPr>
          <w:color w:val="222222"/>
          <w:szCs w:val="24"/>
          <w:shd w:val="clear" w:color="auto" w:fill="FFFFFF"/>
        </w:rPr>
        <w:t>(3), 328–335.</w:t>
      </w:r>
    </w:p>
    <w:p w14:paraId="16C7C9C8"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Goranova, M., &amp; Ryan, L. V. (2021). Shareholder Activism: A Multidisciplinary Review. </w:t>
      </w:r>
      <w:r w:rsidRPr="00EB11D3">
        <w:rPr>
          <w:rFonts w:eastAsia="Times New Roman"/>
          <w:bCs/>
          <w:i/>
          <w:iCs/>
          <w:szCs w:val="24"/>
        </w:rPr>
        <w:t>Journal of Management</w:t>
      </w:r>
      <w:r w:rsidRPr="00EB11D3">
        <w:rPr>
          <w:rFonts w:eastAsia="Times New Roman"/>
          <w:bCs/>
          <w:szCs w:val="24"/>
        </w:rPr>
        <w:t>, 47(6), 1374-1409.</w:t>
      </w:r>
    </w:p>
    <w:p w14:paraId="0994AB24"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rPr>
        <w:t>Graafland, J., &amp; Bovenberg, L. (2020). Government regulation, business leaders’ motivations and environmental performance of SMEs. </w:t>
      </w:r>
      <w:r w:rsidRPr="00EB11D3">
        <w:rPr>
          <w:i/>
          <w:iCs/>
          <w:szCs w:val="24"/>
          <w:shd w:val="clear" w:color="auto" w:fill="FFFFFF"/>
        </w:rPr>
        <w:t>Journal of Environmental Planning and Management</w:t>
      </w:r>
      <w:r w:rsidRPr="00EB11D3">
        <w:rPr>
          <w:szCs w:val="24"/>
          <w:shd w:val="clear" w:color="auto" w:fill="FFFFFF"/>
        </w:rPr>
        <w:t>, </w:t>
      </w:r>
      <w:r w:rsidRPr="00EB11D3">
        <w:rPr>
          <w:i/>
          <w:iCs/>
          <w:szCs w:val="24"/>
          <w:shd w:val="clear" w:color="auto" w:fill="FFFFFF"/>
        </w:rPr>
        <w:t>63</w:t>
      </w:r>
      <w:r w:rsidRPr="00EB11D3">
        <w:rPr>
          <w:szCs w:val="24"/>
          <w:shd w:val="clear" w:color="auto" w:fill="FFFFFF"/>
        </w:rPr>
        <w:t>(8), 1335-1355.</w:t>
      </w:r>
    </w:p>
    <w:p w14:paraId="2776415F" w14:textId="77777777" w:rsidR="003A6047" w:rsidRPr="00EB11D3" w:rsidRDefault="003A6047" w:rsidP="00813B05">
      <w:pPr>
        <w:spacing w:after="0" w:line="360" w:lineRule="auto"/>
        <w:ind w:left="720" w:hanging="720"/>
        <w:rPr>
          <w:szCs w:val="24"/>
        </w:rPr>
      </w:pPr>
      <w:r w:rsidRPr="00EB11D3">
        <w:rPr>
          <w:szCs w:val="24"/>
          <w:shd w:val="clear" w:color="auto" w:fill="FFFFFF"/>
        </w:rPr>
        <w:t xml:space="preserve">Gray, D. E. (2018). </w:t>
      </w:r>
      <w:r w:rsidRPr="00EB11D3">
        <w:rPr>
          <w:i/>
          <w:iCs/>
          <w:szCs w:val="24"/>
          <w:shd w:val="clear" w:color="auto" w:fill="FFFFFF"/>
        </w:rPr>
        <w:t>Doing research in the real-world</w:t>
      </w:r>
      <w:r w:rsidRPr="00EB11D3">
        <w:rPr>
          <w:szCs w:val="24"/>
          <w:shd w:val="clear" w:color="auto" w:fill="FFFFFF"/>
        </w:rPr>
        <w:t>. 4th Ed. London, Sage.</w:t>
      </w:r>
    </w:p>
    <w:p w14:paraId="7EB6A350"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Guarcello, C., &amp; de Vargas, E. R. (2020). Service innovation in healthcare: A systematic literature review. </w:t>
      </w:r>
      <w:r w:rsidRPr="00EB11D3">
        <w:rPr>
          <w:i/>
          <w:iCs/>
          <w:szCs w:val="24"/>
          <w:shd w:val="clear" w:color="auto" w:fill="FFFFFF"/>
        </w:rPr>
        <w:t>Latin American Business Review</w:t>
      </w:r>
      <w:r w:rsidRPr="00EB11D3">
        <w:rPr>
          <w:szCs w:val="24"/>
          <w:shd w:val="clear" w:color="auto" w:fill="FFFFFF"/>
        </w:rPr>
        <w:t>, </w:t>
      </w:r>
      <w:r w:rsidRPr="00EB11D3">
        <w:rPr>
          <w:i/>
          <w:iCs/>
          <w:szCs w:val="24"/>
          <w:shd w:val="clear" w:color="auto" w:fill="FFFFFF"/>
        </w:rPr>
        <w:t>21</w:t>
      </w:r>
      <w:r w:rsidRPr="00EB11D3">
        <w:rPr>
          <w:szCs w:val="24"/>
          <w:shd w:val="clear" w:color="auto" w:fill="FFFFFF"/>
        </w:rPr>
        <w:t>(4), 353-369.</w:t>
      </w:r>
    </w:p>
    <w:p w14:paraId="3FA4310B"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Guluma, T. F. (2021). The impact of corporate governance measures on firm performance: the influences of managerial overconfidence. </w:t>
      </w:r>
      <w:r w:rsidRPr="00EB11D3">
        <w:rPr>
          <w:i/>
          <w:iCs/>
          <w:szCs w:val="24"/>
          <w:shd w:val="clear" w:color="auto" w:fill="FFFFFF"/>
        </w:rPr>
        <w:t>Future Business Journal</w:t>
      </w:r>
      <w:r w:rsidRPr="00EB11D3">
        <w:rPr>
          <w:szCs w:val="24"/>
          <w:shd w:val="clear" w:color="auto" w:fill="FFFFFF"/>
        </w:rPr>
        <w:t>, </w:t>
      </w:r>
      <w:r w:rsidRPr="00EB11D3">
        <w:rPr>
          <w:i/>
          <w:iCs/>
          <w:szCs w:val="24"/>
          <w:shd w:val="clear" w:color="auto" w:fill="FFFFFF"/>
        </w:rPr>
        <w:t>7</w:t>
      </w:r>
      <w:r w:rsidRPr="00EB11D3">
        <w:rPr>
          <w:szCs w:val="24"/>
          <w:shd w:val="clear" w:color="auto" w:fill="FFFFFF"/>
        </w:rPr>
        <w:t>(1), 1-18.</w:t>
      </w:r>
    </w:p>
    <w:p w14:paraId="18FA4BF0"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Gupta, G., &amp; Sehgal, S. (2019). Market orientation and service innovation: Examining the linkages to organisation performance. </w:t>
      </w:r>
      <w:r w:rsidRPr="00EB11D3">
        <w:rPr>
          <w:rFonts w:eastAsia="Times New Roman"/>
          <w:bCs/>
          <w:i/>
          <w:iCs/>
          <w:szCs w:val="24"/>
        </w:rPr>
        <w:t>Indore Management Journal</w:t>
      </w:r>
      <w:r w:rsidRPr="00EB11D3">
        <w:rPr>
          <w:rFonts w:eastAsia="Times New Roman"/>
          <w:bCs/>
          <w:szCs w:val="24"/>
        </w:rPr>
        <w:t>, </w:t>
      </w:r>
      <w:r w:rsidRPr="00EB11D3">
        <w:rPr>
          <w:rFonts w:eastAsia="Times New Roman"/>
          <w:bCs/>
          <w:i/>
          <w:iCs/>
          <w:szCs w:val="24"/>
        </w:rPr>
        <w:t>7</w:t>
      </w:r>
      <w:r w:rsidRPr="00EB11D3">
        <w:rPr>
          <w:rFonts w:eastAsia="Times New Roman"/>
          <w:bCs/>
          <w:szCs w:val="24"/>
        </w:rPr>
        <w:t>(2), 22-35.</w:t>
      </w:r>
    </w:p>
    <w:p w14:paraId="554000F7"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color w:val="222222"/>
          <w:szCs w:val="24"/>
          <w:shd w:val="clear" w:color="auto" w:fill="FFFFFF"/>
        </w:rPr>
        <w:t>Haleem, A., Javaid, M., Singh, R. P., &amp; Suman, R. (2022). Medical 4.0 technologies for healthcare: Features, capabilities, and applications. </w:t>
      </w:r>
      <w:r w:rsidRPr="00EB11D3">
        <w:rPr>
          <w:i/>
          <w:iCs/>
          <w:color w:val="222222"/>
          <w:szCs w:val="24"/>
          <w:shd w:val="clear" w:color="auto" w:fill="FFFFFF"/>
        </w:rPr>
        <w:t>Internet of Things and Cyber-Physical Systems</w:t>
      </w:r>
      <w:r w:rsidRPr="00EB11D3">
        <w:rPr>
          <w:color w:val="222222"/>
          <w:szCs w:val="24"/>
          <w:shd w:val="clear" w:color="auto" w:fill="FFFFFF"/>
        </w:rPr>
        <w:t>, </w:t>
      </w:r>
      <w:r w:rsidRPr="00EB11D3">
        <w:rPr>
          <w:i/>
          <w:iCs/>
          <w:color w:val="222222"/>
          <w:szCs w:val="24"/>
          <w:shd w:val="clear" w:color="auto" w:fill="FFFFFF"/>
        </w:rPr>
        <w:t>2</w:t>
      </w:r>
      <w:r w:rsidRPr="00EB11D3">
        <w:rPr>
          <w:color w:val="222222"/>
          <w:szCs w:val="24"/>
          <w:shd w:val="clear" w:color="auto" w:fill="FFFFFF"/>
        </w:rPr>
        <w:t>, 12-30.</w:t>
      </w:r>
    </w:p>
    <w:p w14:paraId="1371E836"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Hameed, W. U., Nisar, Q. A., &amp; Wu, H. C. (2021). Relationships between external knowledge, internal innovation, firms’ open innovation performance, service innovation and business performance in the Pakistani hotel industry. </w:t>
      </w:r>
      <w:r w:rsidRPr="00EB11D3">
        <w:rPr>
          <w:rFonts w:eastAsia="Times New Roman"/>
          <w:bCs/>
          <w:i/>
          <w:iCs/>
          <w:szCs w:val="24"/>
        </w:rPr>
        <w:t>International Journal of Hospitality Management</w:t>
      </w:r>
      <w:r w:rsidRPr="00EB11D3">
        <w:rPr>
          <w:rFonts w:eastAsia="Times New Roman"/>
          <w:bCs/>
          <w:szCs w:val="24"/>
        </w:rPr>
        <w:t>, </w:t>
      </w:r>
      <w:r w:rsidRPr="00EB11D3">
        <w:rPr>
          <w:rFonts w:eastAsia="Times New Roman"/>
          <w:bCs/>
          <w:i/>
          <w:iCs/>
          <w:szCs w:val="24"/>
        </w:rPr>
        <w:t>92</w:t>
      </w:r>
      <w:r w:rsidRPr="00EB11D3">
        <w:rPr>
          <w:rFonts w:eastAsia="Times New Roman"/>
          <w:bCs/>
          <w:szCs w:val="24"/>
        </w:rPr>
        <w:t>, 102745.</w:t>
      </w:r>
    </w:p>
    <w:p w14:paraId="13E6295A"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lang w:eastAsia="zh-CN"/>
        </w:rPr>
        <w:t xml:space="preserve">Hanif, M., &amp; Asgher, M. (2018). Service Innovation and Service Innovation Performance: A Study of Banking Services. </w:t>
      </w:r>
      <w:r w:rsidRPr="00EB11D3">
        <w:rPr>
          <w:i/>
          <w:iCs/>
          <w:szCs w:val="24"/>
          <w:shd w:val="clear" w:color="auto" w:fill="FFFFFF"/>
          <w:lang w:eastAsia="zh-CN"/>
        </w:rPr>
        <w:t>Pakistan Journal of Commerce and Social Sciences</w:t>
      </w:r>
      <w:r w:rsidRPr="00EB11D3">
        <w:rPr>
          <w:szCs w:val="24"/>
          <w:shd w:val="clear" w:color="auto" w:fill="FFFFFF"/>
          <w:lang w:eastAsia="zh-CN"/>
        </w:rPr>
        <w:t xml:space="preserve">, </w:t>
      </w:r>
      <w:r w:rsidRPr="00EB11D3">
        <w:rPr>
          <w:i/>
          <w:iCs/>
          <w:szCs w:val="24"/>
          <w:shd w:val="clear" w:color="auto" w:fill="FFFFFF"/>
          <w:lang w:eastAsia="zh-CN"/>
        </w:rPr>
        <w:t>12</w:t>
      </w:r>
      <w:r w:rsidRPr="00EB11D3">
        <w:rPr>
          <w:szCs w:val="24"/>
          <w:shd w:val="clear" w:color="auto" w:fill="FFFFFF"/>
          <w:lang w:eastAsia="zh-CN"/>
        </w:rPr>
        <w:t>(2), 670-694.</w:t>
      </w:r>
    </w:p>
    <w:p w14:paraId="7FCD0AFA"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rPr>
        <w:t>Hashed, A., &amp; Almaqtari, F. (2021). The impact of corporate governance mechanisms and IFRS on earning management in Saudi Arabia. </w:t>
      </w:r>
      <w:r w:rsidRPr="00EB11D3">
        <w:rPr>
          <w:i/>
          <w:iCs/>
          <w:szCs w:val="24"/>
          <w:shd w:val="clear" w:color="auto" w:fill="FFFFFF"/>
        </w:rPr>
        <w:t>Accounting</w:t>
      </w:r>
      <w:r w:rsidRPr="00EB11D3">
        <w:rPr>
          <w:szCs w:val="24"/>
          <w:shd w:val="clear" w:color="auto" w:fill="FFFFFF"/>
        </w:rPr>
        <w:t>, </w:t>
      </w:r>
      <w:r w:rsidRPr="00EB11D3">
        <w:rPr>
          <w:i/>
          <w:iCs/>
          <w:szCs w:val="24"/>
          <w:shd w:val="clear" w:color="auto" w:fill="FFFFFF"/>
        </w:rPr>
        <w:t>7</w:t>
      </w:r>
      <w:r w:rsidRPr="00EB11D3">
        <w:rPr>
          <w:szCs w:val="24"/>
          <w:shd w:val="clear" w:color="auto" w:fill="FFFFFF"/>
        </w:rPr>
        <w:t>(1), 207-224.</w:t>
      </w:r>
    </w:p>
    <w:p w14:paraId="782B1C3E"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Hatscher, B., Luz, M., Elkmann, N., Hansen, C. (2017) GazeTap: Towards hands-free interaction in the operating room. In: </w:t>
      </w:r>
      <w:r w:rsidRPr="00EB11D3">
        <w:rPr>
          <w:i/>
          <w:iCs/>
          <w:color w:val="222222"/>
          <w:szCs w:val="24"/>
          <w:shd w:val="clear" w:color="auto" w:fill="FFFFFF"/>
        </w:rPr>
        <w:t>Proceedings of the 19th ACM international conference on multimodal interaction</w:t>
      </w:r>
      <w:r w:rsidRPr="00EB11D3">
        <w:rPr>
          <w:color w:val="222222"/>
          <w:szCs w:val="24"/>
          <w:shd w:val="clear" w:color="auto" w:fill="FFFFFF"/>
        </w:rPr>
        <w:t>. pp 243–251.</w:t>
      </w:r>
    </w:p>
    <w:p w14:paraId="28E7674B"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Heirati, N., &amp; Siahtiri, V. (2019). Driving service innovativeness via collaboration with customers and suppliers: Evidence from business-to-business services. </w:t>
      </w:r>
      <w:r w:rsidRPr="00EB11D3">
        <w:rPr>
          <w:i/>
          <w:iCs/>
          <w:color w:val="222222"/>
          <w:szCs w:val="24"/>
          <w:shd w:val="clear" w:color="auto" w:fill="FFFFFF"/>
        </w:rPr>
        <w:t>Industrial Marketing Management</w:t>
      </w:r>
      <w:r w:rsidRPr="00EB11D3">
        <w:rPr>
          <w:color w:val="222222"/>
          <w:szCs w:val="24"/>
          <w:shd w:val="clear" w:color="auto" w:fill="FFFFFF"/>
        </w:rPr>
        <w:t>, </w:t>
      </w:r>
      <w:r w:rsidRPr="00EB11D3">
        <w:rPr>
          <w:i/>
          <w:iCs/>
          <w:color w:val="222222"/>
          <w:szCs w:val="24"/>
          <w:shd w:val="clear" w:color="auto" w:fill="FFFFFF"/>
        </w:rPr>
        <w:t>78</w:t>
      </w:r>
      <w:r w:rsidRPr="00EB11D3">
        <w:rPr>
          <w:color w:val="222222"/>
          <w:szCs w:val="24"/>
          <w:shd w:val="clear" w:color="auto" w:fill="FFFFFF"/>
        </w:rPr>
        <w:t>, 6-16.</w:t>
      </w:r>
    </w:p>
    <w:p w14:paraId="507269F5"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Heracleous, L. (2023). What is the impact of corporate governance on organisational performance?. </w:t>
      </w:r>
      <w:r w:rsidRPr="00EB11D3">
        <w:rPr>
          <w:rFonts w:eastAsia="Times New Roman"/>
          <w:bCs/>
          <w:i/>
          <w:iCs/>
          <w:szCs w:val="24"/>
        </w:rPr>
        <w:t>Corporate governance: an international review</w:t>
      </w:r>
      <w:r w:rsidRPr="00EB11D3">
        <w:rPr>
          <w:rFonts w:eastAsia="Times New Roman"/>
          <w:bCs/>
          <w:szCs w:val="24"/>
        </w:rPr>
        <w:t>, </w:t>
      </w:r>
      <w:r w:rsidRPr="00EB11D3">
        <w:rPr>
          <w:rFonts w:eastAsia="Times New Roman"/>
          <w:bCs/>
          <w:i/>
          <w:iCs/>
          <w:szCs w:val="24"/>
        </w:rPr>
        <w:t>9</w:t>
      </w:r>
      <w:r w:rsidRPr="00EB11D3">
        <w:rPr>
          <w:rFonts w:eastAsia="Times New Roman"/>
          <w:bCs/>
          <w:szCs w:val="24"/>
        </w:rPr>
        <w:t>(3), 165-173.</w:t>
      </w:r>
    </w:p>
    <w:p w14:paraId="5057C14E"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Hermalin, B. E., &amp; Weisbach, M. S. (2021). Information disclosure and corporate governance. </w:t>
      </w:r>
      <w:r w:rsidRPr="00EB11D3">
        <w:rPr>
          <w:rFonts w:eastAsia="Times New Roman"/>
          <w:bCs/>
          <w:i/>
          <w:iCs/>
          <w:szCs w:val="24"/>
        </w:rPr>
        <w:t>Journal of Finance</w:t>
      </w:r>
      <w:r w:rsidRPr="00EB11D3">
        <w:rPr>
          <w:rFonts w:eastAsia="Times New Roman"/>
          <w:bCs/>
          <w:szCs w:val="24"/>
        </w:rPr>
        <w:t>, 67(1), 195-234.</w:t>
      </w:r>
    </w:p>
    <w:p w14:paraId="519FBD5A"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Herndon, F. (2020). </w:t>
      </w:r>
      <w:r w:rsidRPr="00EB11D3">
        <w:rPr>
          <w:i/>
          <w:iCs/>
          <w:szCs w:val="24"/>
          <w:shd w:val="clear" w:color="auto" w:fill="FFFFFF"/>
        </w:rPr>
        <w:t>The relationship of CEO duality to financial performance and efficiency in electronics firms</w:t>
      </w:r>
      <w:r w:rsidRPr="00EB11D3">
        <w:rPr>
          <w:szCs w:val="24"/>
          <w:shd w:val="clear" w:color="auto" w:fill="FFFFFF"/>
        </w:rPr>
        <w:t> (Doctoral dissertation, Capella University).</w:t>
      </w:r>
    </w:p>
    <w:p w14:paraId="783014BC"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Horwitz, J. R., &amp; Nichols, A. (2021). Hospital Ownership and Medical Services: Market Mix, Spillover Effects, and Nonprofit Objectives. </w:t>
      </w:r>
      <w:r w:rsidRPr="00EB11D3">
        <w:rPr>
          <w:rFonts w:eastAsia="Times New Roman"/>
          <w:bCs/>
          <w:i/>
          <w:iCs/>
          <w:szCs w:val="24"/>
        </w:rPr>
        <w:t>Journal of Health Economics</w:t>
      </w:r>
      <w:r w:rsidRPr="00EB11D3">
        <w:rPr>
          <w:rFonts w:eastAsia="Times New Roman"/>
          <w:bCs/>
          <w:szCs w:val="24"/>
        </w:rPr>
        <w:t>, 30(5), 924-937.</w:t>
      </w:r>
    </w:p>
    <w:p w14:paraId="679877D7"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rPr>
        <w:t>Hussain, M., Ahmad, S. Z., &amp; Visvizi, A. (2022). Government regulation and organizational effectiveness in the health-care supply chain. </w:t>
      </w:r>
      <w:r w:rsidRPr="00EB11D3">
        <w:rPr>
          <w:i/>
          <w:iCs/>
          <w:szCs w:val="24"/>
          <w:shd w:val="clear" w:color="auto" w:fill="FFFFFF"/>
        </w:rPr>
        <w:t>Transforming Government: People, Process and Policy</w:t>
      </w:r>
      <w:r w:rsidRPr="00EB11D3">
        <w:rPr>
          <w:szCs w:val="24"/>
          <w:shd w:val="clear" w:color="auto" w:fill="FFFFFF"/>
        </w:rPr>
        <w:t xml:space="preserve">, </w:t>
      </w:r>
      <w:r w:rsidRPr="00EB11D3">
        <w:rPr>
          <w:i/>
          <w:iCs/>
          <w:szCs w:val="24"/>
          <w:shd w:val="clear" w:color="auto" w:fill="FFFFFF"/>
        </w:rPr>
        <w:t xml:space="preserve">16 </w:t>
      </w:r>
      <w:r w:rsidRPr="00EB11D3">
        <w:rPr>
          <w:szCs w:val="24"/>
          <w:shd w:val="clear" w:color="auto" w:fill="FFFFFF"/>
        </w:rPr>
        <w:t>(4), 649-662.</w:t>
      </w:r>
    </w:p>
    <w:p w14:paraId="5F3A6392"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rPr>
        <w:t>Hussain, N., Rigoni, U., &amp; Orij, R. P. (2018). Corporate governance and sustainability performance: Analysis of triple bottom line performance. </w:t>
      </w:r>
      <w:r w:rsidRPr="00EB11D3">
        <w:rPr>
          <w:i/>
          <w:iCs/>
          <w:szCs w:val="24"/>
          <w:shd w:val="clear" w:color="auto" w:fill="FFFFFF"/>
        </w:rPr>
        <w:t>Journal of business ethics</w:t>
      </w:r>
      <w:r w:rsidRPr="00EB11D3">
        <w:rPr>
          <w:szCs w:val="24"/>
          <w:shd w:val="clear" w:color="auto" w:fill="FFFFFF"/>
        </w:rPr>
        <w:t>, </w:t>
      </w:r>
      <w:r w:rsidRPr="00EB11D3">
        <w:rPr>
          <w:i/>
          <w:iCs/>
          <w:szCs w:val="24"/>
          <w:shd w:val="clear" w:color="auto" w:fill="FFFFFF"/>
        </w:rPr>
        <w:t>149</w:t>
      </w:r>
      <w:r w:rsidRPr="00EB11D3">
        <w:rPr>
          <w:szCs w:val="24"/>
          <w:shd w:val="clear" w:color="auto" w:fill="FFFFFF"/>
        </w:rPr>
        <w:t>, 411-432.</w:t>
      </w:r>
    </w:p>
    <w:p w14:paraId="5E0ACA87" w14:textId="77777777" w:rsidR="003A6047" w:rsidRPr="00EB11D3" w:rsidRDefault="003A6047" w:rsidP="00813B05">
      <w:pPr>
        <w:shd w:val="clear" w:color="auto" w:fill="FFFFFF"/>
        <w:spacing w:after="0" w:line="360" w:lineRule="auto"/>
        <w:ind w:left="720" w:hanging="720"/>
        <w:rPr>
          <w:rFonts w:eastAsia="Times New Roman"/>
          <w:b/>
          <w:bCs/>
          <w:szCs w:val="24"/>
        </w:rPr>
      </w:pPr>
      <w:r w:rsidRPr="00EB11D3">
        <w:rPr>
          <w:szCs w:val="24"/>
          <w:shd w:val="clear" w:color="auto" w:fill="FFFFFF"/>
        </w:rPr>
        <w:t>Ibrahim, M., &amp; Yusheng, K. (2020). Service innovation and organisational performance: Mediating role of customer satisfaction. </w:t>
      </w:r>
      <w:r w:rsidRPr="00EB11D3">
        <w:rPr>
          <w:i/>
          <w:iCs/>
          <w:szCs w:val="24"/>
          <w:shd w:val="clear" w:color="auto" w:fill="FFFFFF"/>
        </w:rPr>
        <w:t>International Journal of Management &amp; Entrepreneurship Research</w:t>
      </w:r>
      <w:r w:rsidRPr="00EB11D3">
        <w:rPr>
          <w:szCs w:val="24"/>
          <w:shd w:val="clear" w:color="auto" w:fill="FFFFFF"/>
        </w:rPr>
        <w:t>, </w:t>
      </w:r>
      <w:r w:rsidRPr="00EB11D3">
        <w:rPr>
          <w:i/>
          <w:iCs/>
          <w:szCs w:val="24"/>
          <w:shd w:val="clear" w:color="auto" w:fill="FFFFFF"/>
        </w:rPr>
        <w:t>2</w:t>
      </w:r>
      <w:r w:rsidRPr="00EB11D3">
        <w:rPr>
          <w:szCs w:val="24"/>
          <w:shd w:val="clear" w:color="auto" w:fill="FFFFFF"/>
        </w:rPr>
        <w:t>(3), 97-108.</w:t>
      </w:r>
    </w:p>
    <w:p w14:paraId="5F088BDC"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Ibrahim, M., Yusheng, K., &amp; Adam, D. R. (2022). Linking service innovation to organisational performance: Mediating role of employee productivity and job satisfaction. </w:t>
      </w:r>
      <w:r w:rsidRPr="00EB11D3">
        <w:rPr>
          <w:rFonts w:eastAsia="Times New Roman"/>
          <w:bCs/>
          <w:i/>
          <w:iCs/>
          <w:szCs w:val="24"/>
        </w:rPr>
        <w:t>International Journal of Service Science, Management, Engineering, and Technology (IJSSMET)</w:t>
      </w:r>
      <w:r w:rsidRPr="00EB11D3">
        <w:rPr>
          <w:rFonts w:eastAsia="Times New Roman"/>
          <w:bCs/>
          <w:szCs w:val="24"/>
        </w:rPr>
        <w:t>, </w:t>
      </w:r>
      <w:r w:rsidRPr="00EB11D3">
        <w:rPr>
          <w:rFonts w:eastAsia="Times New Roman"/>
          <w:bCs/>
          <w:i/>
          <w:iCs/>
          <w:szCs w:val="24"/>
        </w:rPr>
        <w:t>13</w:t>
      </w:r>
      <w:r w:rsidRPr="00EB11D3">
        <w:rPr>
          <w:rFonts w:eastAsia="Times New Roman"/>
          <w:bCs/>
          <w:szCs w:val="24"/>
        </w:rPr>
        <w:t>(1), 1-16.</w:t>
      </w:r>
    </w:p>
    <w:p w14:paraId="65EA698F"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Imran, M., Ismail, F., Arshad, I., Zeb, F., &amp; Zahid, H. (2022). The mediating role of innovation in the relationship between organizational culture and organizational performance in Pakistan's banking sector. </w:t>
      </w:r>
      <w:r w:rsidRPr="00EB11D3">
        <w:rPr>
          <w:rFonts w:eastAsia="Times New Roman"/>
          <w:bCs/>
          <w:i/>
          <w:iCs/>
          <w:szCs w:val="24"/>
        </w:rPr>
        <w:t>Journal of Public Affairs</w:t>
      </w:r>
      <w:r w:rsidRPr="00EB11D3">
        <w:rPr>
          <w:rFonts w:eastAsia="Times New Roman"/>
          <w:bCs/>
          <w:szCs w:val="24"/>
        </w:rPr>
        <w:t>, </w:t>
      </w:r>
      <w:r w:rsidRPr="00EB11D3">
        <w:rPr>
          <w:rFonts w:eastAsia="Times New Roman"/>
          <w:bCs/>
          <w:i/>
          <w:iCs/>
          <w:szCs w:val="24"/>
        </w:rPr>
        <w:t>22</w:t>
      </w:r>
      <w:r w:rsidRPr="00EB11D3">
        <w:rPr>
          <w:rFonts w:eastAsia="Times New Roman"/>
          <w:bCs/>
          <w:szCs w:val="24"/>
        </w:rPr>
        <w:t>, e2717.</w:t>
      </w:r>
    </w:p>
    <w:p w14:paraId="6CE08FB4" w14:textId="77777777" w:rsidR="003A6047" w:rsidRPr="00EB11D3" w:rsidRDefault="003A6047" w:rsidP="00813B05">
      <w:pPr>
        <w:spacing w:after="0" w:line="360" w:lineRule="auto"/>
        <w:ind w:left="720" w:hanging="720"/>
        <w:rPr>
          <w:szCs w:val="24"/>
        </w:rPr>
      </w:pPr>
      <w:r w:rsidRPr="00EB11D3">
        <w:rPr>
          <w:color w:val="222222"/>
          <w:szCs w:val="24"/>
          <w:shd w:val="clear" w:color="auto" w:fill="FFFFFF"/>
        </w:rPr>
        <w:t>İncedağ, B., &amp; Aksoylu, S. (2022). Corporate Governance Perception and Job Satisfaction Levels of Health Workers. </w:t>
      </w:r>
      <w:r w:rsidRPr="00EB11D3">
        <w:rPr>
          <w:i/>
          <w:iCs/>
          <w:color w:val="222222"/>
          <w:szCs w:val="24"/>
          <w:shd w:val="clear" w:color="auto" w:fill="FFFFFF"/>
        </w:rPr>
        <w:t>Hacettepe Sağlık İdaresi Dergisi</w:t>
      </w:r>
      <w:r w:rsidRPr="00EB11D3">
        <w:rPr>
          <w:color w:val="222222"/>
          <w:szCs w:val="24"/>
          <w:shd w:val="clear" w:color="auto" w:fill="FFFFFF"/>
        </w:rPr>
        <w:t>, </w:t>
      </w:r>
      <w:r w:rsidRPr="00EB11D3">
        <w:rPr>
          <w:i/>
          <w:iCs/>
          <w:color w:val="222222"/>
          <w:szCs w:val="24"/>
          <w:shd w:val="clear" w:color="auto" w:fill="FFFFFF"/>
        </w:rPr>
        <w:t>25</w:t>
      </w:r>
      <w:r w:rsidRPr="00EB11D3">
        <w:rPr>
          <w:color w:val="222222"/>
          <w:szCs w:val="24"/>
          <w:shd w:val="clear" w:color="auto" w:fill="FFFFFF"/>
        </w:rPr>
        <w:t>(3), 445-464.</w:t>
      </w:r>
    </w:p>
    <w:p w14:paraId="7DF5D6C9"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lang w:eastAsia="zh-CN"/>
        </w:rPr>
        <w:t xml:space="preserve">International Finance Corporation (2020). Corporate governance; overview. </w:t>
      </w:r>
      <w:hyperlink r:id="rId31" w:history="1">
        <w:r w:rsidRPr="00EB11D3">
          <w:rPr>
            <w:rStyle w:val="Hyperlink"/>
            <w:color w:val="auto"/>
            <w:szCs w:val="24"/>
            <w:shd w:val="clear" w:color="auto" w:fill="FFFFFF"/>
            <w:lang w:eastAsia="zh-CN"/>
          </w:rPr>
          <w:t>https://www.ifc.org/wps/wcm/connect/Topics_Ext_Content/IFC_External_Corporate_Site/IFC+CG</w:t>
        </w:r>
      </w:hyperlink>
      <w:r w:rsidRPr="00EB11D3">
        <w:rPr>
          <w:szCs w:val="24"/>
          <w:shd w:val="clear" w:color="auto" w:fill="FFFFFF"/>
          <w:lang w:eastAsia="zh-CN"/>
        </w:rPr>
        <w:t>.</w:t>
      </w:r>
    </w:p>
    <w:p w14:paraId="5B3DDA86"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Iqbal, A., Latif, F., Marimon, F., Sahibzada, U. F., &amp; Hussain, S. (2018). From knowledge management to organizational performance: Modelling the mediating role of innovation and intellectual capital in higher education. </w:t>
      </w:r>
      <w:r w:rsidRPr="00EB11D3">
        <w:rPr>
          <w:rFonts w:eastAsia="Times New Roman"/>
          <w:bCs/>
          <w:i/>
          <w:iCs/>
          <w:szCs w:val="24"/>
        </w:rPr>
        <w:t>Journal of Enterprise Information Management</w:t>
      </w:r>
      <w:r w:rsidRPr="00EB11D3">
        <w:rPr>
          <w:rFonts w:eastAsia="Times New Roman"/>
          <w:bCs/>
          <w:szCs w:val="24"/>
        </w:rPr>
        <w:t>, </w:t>
      </w:r>
      <w:r w:rsidRPr="00EB11D3">
        <w:rPr>
          <w:rFonts w:eastAsia="Times New Roman"/>
          <w:bCs/>
          <w:i/>
          <w:iCs/>
          <w:szCs w:val="24"/>
        </w:rPr>
        <w:t>32</w:t>
      </w:r>
      <w:r w:rsidRPr="00EB11D3">
        <w:rPr>
          <w:rFonts w:eastAsia="Times New Roman"/>
          <w:bCs/>
          <w:szCs w:val="24"/>
        </w:rPr>
        <w:t>(1), 36-59.</w:t>
      </w:r>
    </w:p>
    <w:p w14:paraId="6EF52A1B"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Iranmanesh, M., Kumar, K. M., Foroughi, B., Mavi, R. K., &amp; Min, N. H. (2021). The impacts of organizational structure on operational performance through innovation capability: innovative culture as moderator. </w:t>
      </w:r>
      <w:r w:rsidRPr="00EB11D3">
        <w:rPr>
          <w:rFonts w:eastAsia="Times New Roman"/>
          <w:bCs/>
          <w:i/>
          <w:iCs/>
          <w:szCs w:val="24"/>
        </w:rPr>
        <w:t>Review of Managerial Science</w:t>
      </w:r>
      <w:r w:rsidRPr="00EB11D3">
        <w:rPr>
          <w:rFonts w:eastAsia="Times New Roman"/>
          <w:bCs/>
          <w:szCs w:val="24"/>
        </w:rPr>
        <w:t>, </w:t>
      </w:r>
      <w:r w:rsidRPr="00EB11D3">
        <w:rPr>
          <w:rFonts w:eastAsia="Times New Roman"/>
          <w:bCs/>
          <w:i/>
          <w:iCs/>
          <w:szCs w:val="24"/>
        </w:rPr>
        <w:t>15</w:t>
      </w:r>
      <w:r w:rsidRPr="00EB11D3">
        <w:rPr>
          <w:rFonts w:eastAsia="Times New Roman"/>
          <w:bCs/>
          <w:szCs w:val="24"/>
        </w:rPr>
        <w:t>, 1885-1911.</w:t>
      </w:r>
    </w:p>
    <w:p w14:paraId="4E5D4F6F" w14:textId="77777777" w:rsidR="003A6047"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Jackson, G., Moldrich, M., &amp; Roome, N. (2022). Corporate Governance and Sustainability Performance: Analysis of Triple Bottom Line Performance. </w:t>
      </w:r>
      <w:r w:rsidRPr="00EB11D3">
        <w:rPr>
          <w:rFonts w:eastAsia="Times New Roman"/>
          <w:bCs/>
          <w:i/>
          <w:iCs/>
          <w:szCs w:val="24"/>
        </w:rPr>
        <w:t>Journal of Business Ethics</w:t>
      </w:r>
      <w:r w:rsidRPr="00EB11D3">
        <w:rPr>
          <w:rFonts w:eastAsia="Times New Roman"/>
          <w:bCs/>
          <w:szCs w:val="24"/>
        </w:rPr>
        <w:t>, 118(2), 411-435.</w:t>
      </w:r>
    </w:p>
    <w:p w14:paraId="6CBD384D" w14:textId="77777777" w:rsidR="003A6047" w:rsidRPr="00EB11D3" w:rsidRDefault="003A6047" w:rsidP="003A6047">
      <w:pPr>
        <w:spacing w:after="0" w:line="360" w:lineRule="auto"/>
        <w:ind w:left="720" w:hanging="720"/>
        <w:rPr>
          <w:szCs w:val="24"/>
          <w:shd w:val="clear" w:color="auto" w:fill="FFFFFF"/>
        </w:rPr>
      </w:pPr>
      <w:r w:rsidRPr="00EB11D3">
        <w:rPr>
          <w:color w:val="222222"/>
          <w:szCs w:val="24"/>
          <w:shd w:val="clear" w:color="auto" w:fill="FFFFFF"/>
        </w:rPr>
        <w:t>Jalilvand, M. A., Raeisi, A. R., &amp; Shaarbafchizadeh, N. (2024). Hospital governance accountability structure: a scoping review. </w:t>
      </w:r>
      <w:r w:rsidRPr="00EB11D3">
        <w:rPr>
          <w:i/>
          <w:iCs/>
          <w:color w:val="222222"/>
          <w:szCs w:val="24"/>
          <w:shd w:val="clear" w:color="auto" w:fill="FFFFFF"/>
        </w:rPr>
        <w:t>BMC Health Services Research</w:t>
      </w:r>
      <w:r w:rsidRPr="00EB11D3">
        <w:rPr>
          <w:color w:val="222222"/>
          <w:szCs w:val="24"/>
          <w:shd w:val="clear" w:color="auto" w:fill="FFFFFF"/>
        </w:rPr>
        <w:t>, </w:t>
      </w:r>
      <w:r w:rsidRPr="00EB11D3">
        <w:rPr>
          <w:i/>
          <w:iCs/>
          <w:color w:val="222222"/>
          <w:szCs w:val="24"/>
          <w:shd w:val="clear" w:color="auto" w:fill="FFFFFF"/>
        </w:rPr>
        <w:t>24</w:t>
      </w:r>
      <w:r w:rsidRPr="00EB11D3">
        <w:rPr>
          <w:color w:val="222222"/>
          <w:szCs w:val="24"/>
          <w:shd w:val="clear" w:color="auto" w:fill="FFFFFF"/>
        </w:rPr>
        <w:t>(1), 47.</w:t>
      </w:r>
    </w:p>
    <w:p w14:paraId="3225E027" w14:textId="77777777" w:rsidR="003A6047" w:rsidRDefault="003A6047" w:rsidP="003A6047">
      <w:pPr>
        <w:shd w:val="clear" w:color="auto" w:fill="FFFFFF"/>
        <w:spacing w:after="0" w:line="360" w:lineRule="auto"/>
        <w:ind w:left="720" w:hanging="720"/>
        <w:rPr>
          <w:rFonts w:eastAsia="Times New Roman"/>
          <w:bCs/>
          <w:szCs w:val="24"/>
        </w:rPr>
      </w:pPr>
      <w:r w:rsidRPr="00EB11D3">
        <w:rPr>
          <w:rFonts w:eastAsia="Times New Roman"/>
          <w:bCs/>
          <w:szCs w:val="24"/>
        </w:rPr>
        <w:t>Jaradat, Z. A., Taha, R. B., Zin, R. B. M., &amp; Zakaria, W. Z. W. (2018). The impact of financial accessibility constraints and government regulations on the organisational performance of small-and-medium-sized enterprises. </w:t>
      </w:r>
      <w:r w:rsidRPr="00EB11D3">
        <w:rPr>
          <w:rFonts w:eastAsia="Times New Roman"/>
          <w:bCs/>
          <w:i/>
          <w:iCs/>
          <w:szCs w:val="24"/>
        </w:rPr>
        <w:t>Journal of Business and Retail Management Research</w:t>
      </w:r>
      <w:r w:rsidRPr="00EB11D3">
        <w:rPr>
          <w:rFonts w:eastAsia="Times New Roman"/>
          <w:bCs/>
          <w:szCs w:val="24"/>
        </w:rPr>
        <w:t>, </w:t>
      </w:r>
      <w:r w:rsidRPr="00EB11D3">
        <w:rPr>
          <w:rFonts w:eastAsia="Times New Roman"/>
          <w:bCs/>
          <w:i/>
          <w:iCs/>
          <w:szCs w:val="24"/>
        </w:rPr>
        <w:t>13</w:t>
      </w:r>
      <w:r w:rsidRPr="00EB11D3">
        <w:rPr>
          <w:rFonts w:eastAsia="Times New Roman"/>
          <w:bCs/>
          <w:szCs w:val="24"/>
        </w:rPr>
        <w:t>(1).</w:t>
      </w:r>
    </w:p>
    <w:p w14:paraId="72150D82" w14:textId="77777777" w:rsidR="003A6047" w:rsidRPr="00EB11D3" w:rsidRDefault="003A6047" w:rsidP="00813B05">
      <w:pPr>
        <w:spacing w:after="0" w:line="360" w:lineRule="auto"/>
        <w:ind w:left="720" w:hanging="720"/>
        <w:rPr>
          <w:szCs w:val="24"/>
        </w:rPr>
      </w:pPr>
      <w:r w:rsidRPr="00EB11D3">
        <w:rPr>
          <w:szCs w:val="24"/>
          <w:shd w:val="clear" w:color="auto" w:fill="FFFFFF"/>
        </w:rPr>
        <w:t>Jensen, M. C., &amp; Meckling, W. H. (1976). Theory of the firm: Managerial behavior, agency costs and ownership structure. </w:t>
      </w:r>
      <w:r w:rsidRPr="00EB11D3">
        <w:rPr>
          <w:i/>
          <w:iCs/>
          <w:szCs w:val="24"/>
        </w:rPr>
        <w:t>Journal of financial economics</w:t>
      </w:r>
      <w:r w:rsidRPr="00EB11D3">
        <w:rPr>
          <w:szCs w:val="24"/>
        </w:rPr>
        <w:t>, </w:t>
      </w:r>
      <w:r w:rsidRPr="00EB11D3">
        <w:rPr>
          <w:i/>
          <w:iCs/>
          <w:szCs w:val="24"/>
        </w:rPr>
        <w:t>3</w:t>
      </w:r>
      <w:r w:rsidRPr="00EB11D3">
        <w:rPr>
          <w:szCs w:val="24"/>
        </w:rPr>
        <w:t>(4), 305-360.</w:t>
      </w:r>
    </w:p>
    <w:p w14:paraId="2CB43029"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Jiang, H., Luo, Y., Xia, J., Hitt, M., &amp; Shen, J. (2023). Resource dependence theory in international business: Progress and prospects. </w:t>
      </w:r>
      <w:r w:rsidRPr="00EB11D3">
        <w:rPr>
          <w:i/>
          <w:iCs/>
          <w:szCs w:val="24"/>
          <w:shd w:val="clear" w:color="auto" w:fill="FFFFFF"/>
        </w:rPr>
        <w:t>Global Strategy Journal</w:t>
      </w:r>
      <w:r w:rsidRPr="00EB11D3">
        <w:rPr>
          <w:szCs w:val="24"/>
          <w:shd w:val="clear" w:color="auto" w:fill="FFFFFF"/>
        </w:rPr>
        <w:t>, </w:t>
      </w:r>
      <w:r w:rsidRPr="00EB11D3">
        <w:rPr>
          <w:i/>
          <w:iCs/>
          <w:szCs w:val="24"/>
          <w:shd w:val="clear" w:color="auto" w:fill="FFFFFF"/>
        </w:rPr>
        <w:t>13</w:t>
      </w:r>
      <w:r w:rsidRPr="00EB11D3">
        <w:rPr>
          <w:szCs w:val="24"/>
          <w:shd w:val="clear" w:color="auto" w:fill="FFFFFF"/>
        </w:rPr>
        <w:t>(1), 3-57.</w:t>
      </w:r>
    </w:p>
    <w:p w14:paraId="17A85902"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Joensuu-Salo, S., Kangas, E., &amp; Mäkipelkola, J. (2021). Service Innovation Capability in Social and Health Care SMEs: The Impact of Market Orientation and Technology Orientation. </w:t>
      </w:r>
      <w:r w:rsidRPr="00EB11D3">
        <w:rPr>
          <w:i/>
          <w:iCs/>
          <w:szCs w:val="24"/>
          <w:shd w:val="clear" w:color="auto" w:fill="FFFFFF"/>
        </w:rPr>
        <w:t>Journal of Enterprising Culture</w:t>
      </w:r>
      <w:r w:rsidRPr="00EB11D3">
        <w:rPr>
          <w:szCs w:val="24"/>
          <w:shd w:val="clear" w:color="auto" w:fill="FFFFFF"/>
        </w:rPr>
        <w:t>, </w:t>
      </w:r>
      <w:r w:rsidRPr="00EB11D3">
        <w:rPr>
          <w:i/>
          <w:iCs/>
          <w:szCs w:val="24"/>
          <w:shd w:val="clear" w:color="auto" w:fill="FFFFFF"/>
        </w:rPr>
        <w:t>29</w:t>
      </w:r>
      <w:r w:rsidRPr="00EB11D3">
        <w:rPr>
          <w:szCs w:val="24"/>
          <w:shd w:val="clear" w:color="auto" w:fill="FFFFFF"/>
        </w:rPr>
        <w:t>(03), 183-206.</w:t>
      </w:r>
    </w:p>
    <w:p w14:paraId="306B5979" w14:textId="77777777" w:rsidR="003A6047" w:rsidRPr="00EB11D3" w:rsidRDefault="003A6047" w:rsidP="00813B05">
      <w:pPr>
        <w:spacing w:after="0" w:line="360" w:lineRule="auto"/>
        <w:ind w:left="720" w:hanging="720"/>
        <w:rPr>
          <w:szCs w:val="24"/>
        </w:rPr>
      </w:pPr>
      <w:r w:rsidRPr="00EB11D3">
        <w:rPr>
          <w:szCs w:val="24"/>
        </w:rPr>
        <w:t xml:space="preserve">Joly, M. P., Teixeira, J. G., Patrício, L., &amp; Sangiorgi, D. (2019). Leveraging service design as a multidisciplinary approach to service innovation. </w:t>
      </w:r>
      <w:r w:rsidRPr="00EB11D3">
        <w:rPr>
          <w:i/>
          <w:iCs/>
          <w:szCs w:val="24"/>
        </w:rPr>
        <w:t>Journal of Service Management</w:t>
      </w:r>
      <w:r w:rsidRPr="00EB11D3">
        <w:rPr>
          <w:szCs w:val="24"/>
        </w:rPr>
        <w:t xml:space="preserve">, </w:t>
      </w:r>
      <w:r w:rsidRPr="00EB11D3">
        <w:rPr>
          <w:i/>
          <w:iCs/>
          <w:szCs w:val="24"/>
        </w:rPr>
        <w:t>30</w:t>
      </w:r>
      <w:r w:rsidRPr="00EB11D3">
        <w:rPr>
          <w:szCs w:val="24"/>
        </w:rPr>
        <w:t>(6), 681-715.</w:t>
      </w:r>
    </w:p>
    <w:p w14:paraId="21545631"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 xml:space="preserve">Joseph, E. (2019). Corporate Governance and Service Delivery in Healthcare. A Case of Gaborone Private Hospital. </w:t>
      </w:r>
      <w:r w:rsidRPr="00EB11D3">
        <w:rPr>
          <w:i/>
          <w:iCs/>
          <w:color w:val="222222"/>
          <w:szCs w:val="24"/>
          <w:shd w:val="clear" w:color="auto" w:fill="FFFFFF"/>
        </w:rPr>
        <w:t xml:space="preserve">Texila International Journal of Management, </w:t>
      </w:r>
      <w:r w:rsidRPr="00EB11D3">
        <w:rPr>
          <w:color w:val="222222"/>
          <w:szCs w:val="24"/>
          <w:shd w:val="clear" w:color="auto" w:fill="FFFFFF"/>
        </w:rPr>
        <w:t>ISSN: 2520-310X. DOI: 10.21522/TIJMG.2015.SE.19.01. Art014</w:t>
      </w:r>
    </w:p>
    <w:p w14:paraId="3B7B6A78"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Judith, S. (2020). </w:t>
      </w:r>
      <w:r w:rsidRPr="00EB11D3">
        <w:rPr>
          <w:i/>
          <w:iCs/>
          <w:szCs w:val="24"/>
          <w:shd w:val="clear" w:color="auto" w:fill="FFFFFF"/>
        </w:rPr>
        <w:t>Corporate Governance Practices, Organizational Factors and Service Delivery of County Owned Water Organizations in Western Kenya</w:t>
      </w:r>
      <w:r w:rsidRPr="00EB11D3">
        <w:rPr>
          <w:szCs w:val="24"/>
          <w:shd w:val="clear" w:color="auto" w:fill="FFFFFF"/>
        </w:rPr>
        <w:t> (Doctoral dissertation, Masinde Muliro University of Science and Technology).</w:t>
      </w:r>
    </w:p>
    <w:p w14:paraId="08B0612D"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Kabeyi, M. J. B. (2020). Corporate governance in manufacturing and management with analysis of governance failures at Enron and Volkswagen Corporations. </w:t>
      </w:r>
      <w:r w:rsidRPr="00EB11D3">
        <w:rPr>
          <w:i/>
          <w:iCs/>
          <w:szCs w:val="24"/>
          <w:shd w:val="clear" w:color="auto" w:fill="FFFFFF"/>
        </w:rPr>
        <w:t>Am J Oper Manage Inform Syst</w:t>
      </w:r>
      <w:r w:rsidRPr="00EB11D3">
        <w:rPr>
          <w:szCs w:val="24"/>
          <w:shd w:val="clear" w:color="auto" w:fill="FFFFFF"/>
        </w:rPr>
        <w:t>, </w:t>
      </w:r>
      <w:r w:rsidRPr="00EB11D3">
        <w:rPr>
          <w:i/>
          <w:iCs/>
          <w:szCs w:val="24"/>
          <w:shd w:val="clear" w:color="auto" w:fill="FFFFFF"/>
        </w:rPr>
        <w:t>4</w:t>
      </w:r>
      <w:r w:rsidRPr="00EB11D3">
        <w:rPr>
          <w:szCs w:val="24"/>
          <w:shd w:val="clear" w:color="auto" w:fill="FFFFFF"/>
        </w:rPr>
        <w:t>(4), 109-123.</w:t>
      </w:r>
    </w:p>
    <w:p w14:paraId="718CBE2E"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Kamau, G. (2018). </w:t>
      </w:r>
      <w:r w:rsidRPr="00EB11D3">
        <w:rPr>
          <w:i/>
          <w:iCs/>
          <w:szCs w:val="24"/>
          <w:shd w:val="clear" w:color="auto" w:fill="FFFFFF"/>
        </w:rPr>
        <w:t>Corporate Governance, Agency Conflicts, Strategic Choices and Performance of Financial Institutions in Kenya</w:t>
      </w:r>
      <w:r w:rsidRPr="00EB11D3">
        <w:rPr>
          <w:szCs w:val="24"/>
          <w:shd w:val="clear" w:color="auto" w:fill="FFFFFF"/>
        </w:rPr>
        <w:t> (Doctoral dissertation, University of Nairobi).</w:t>
      </w:r>
    </w:p>
    <w:p w14:paraId="3F68EBD0"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rPr>
        <w:t>Kankam-Kwarteng, C., Osei, F., Asante-Gyabaah, G., &amp; Ferkah, K. A. (2022). Mediation role of service innovation in the effects of knowledge creation on marketing performance of restaurant. </w:t>
      </w:r>
      <w:r w:rsidRPr="00EB11D3">
        <w:rPr>
          <w:i/>
          <w:iCs/>
          <w:szCs w:val="24"/>
          <w:shd w:val="clear" w:color="auto" w:fill="FFFFFF"/>
        </w:rPr>
        <w:t>Technium Soc. Sci. J.</w:t>
      </w:r>
      <w:r w:rsidRPr="00EB11D3">
        <w:rPr>
          <w:szCs w:val="24"/>
          <w:shd w:val="clear" w:color="auto" w:fill="FFFFFF"/>
        </w:rPr>
        <w:t>, </w:t>
      </w:r>
      <w:r w:rsidRPr="00EB11D3">
        <w:rPr>
          <w:i/>
          <w:iCs/>
          <w:szCs w:val="24"/>
          <w:shd w:val="clear" w:color="auto" w:fill="FFFFFF"/>
        </w:rPr>
        <w:t>27</w:t>
      </w:r>
      <w:r w:rsidRPr="00EB11D3">
        <w:rPr>
          <w:szCs w:val="24"/>
          <w:shd w:val="clear" w:color="auto" w:fill="FFFFFF"/>
        </w:rPr>
        <w:t>, 620.</w:t>
      </w:r>
    </w:p>
    <w:p w14:paraId="372B6334"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Kapil, S., &amp; Mishra, R. (2019). Corporate governance and firm performance in emerging markets: Evidence from India. </w:t>
      </w:r>
      <w:r w:rsidRPr="00EB11D3">
        <w:rPr>
          <w:i/>
          <w:iCs/>
          <w:szCs w:val="24"/>
          <w:shd w:val="clear" w:color="auto" w:fill="FFFFFF"/>
        </w:rPr>
        <w:t>Theoretical Economics Letters</w:t>
      </w:r>
      <w:r w:rsidRPr="00EB11D3">
        <w:rPr>
          <w:szCs w:val="24"/>
          <w:shd w:val="clear" w:color="auto" w:fill="FFFFFF"/>
        </w:rPr>
        <w:t>, 09(06), 2033–2069.</w:t>
      </w:r>
    </w:p>
    <w:p w14:paraId="16899729"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Karisa, J. Y., &amp; Wainaina, L. (2020). Balanced Scorecard Perspectives and Organizational Performance: Case of Kenyatta National Hospital, Kenya. </w:t>
      </w:r>
      <w:r w:rsidRPr="00EB11D3">
        <w:rPr>
          <w:i/>
          <w:iCs/>
          <w:szCs w:val="24"/>
          <w:shd w:val="clear" w:color="auto" w:fill="FFFFFF"/>
        </w:rPr>
        <w:t>International Journal of Business Management, Entrepreneurship and Innovation</w:t>
      </w:r>
      <w:r w:rsidRPr="00EB11D3">
        <w:rPr>
          <w:szCs w:val="24"/>
          <w:shd w:val="clear" w:color="auto" w:fill="FFFFFF"/>
        </w:rPr>
        <w:t>, </w:t>
      </w:r>
      <w:r w:rsidRPr="00EB11D3">
        <w:rPr>
          <w:i/>
          <w:iCs/>
          <w:szCs w:val="24"/>
          <w:shd w:val="clear" w:color="auto" w:fill="FFFFFF"/>
        </w:rPr>
        <w:t>2</w:t>
      </w:r>
      <w:r w:rsidRPr="00EB11D3">
        <w:rPr>
          <w:szCs w:val="24"/>
          <w:shd w:val="clear" w:color="auto" w:fill="FFFFFF"/>
        </w:rPr>
        <w:t>(3), 102-113.</w:t>
      </w:r>
    </w:p>
    <w:p w14:paraId="3778CE7F"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Kariuki, S. N., &amp; Kariuki, P. W. (2019). Moderating Effect of Government Regulations on Internal Control System and Fraud Prevention. A Case Banking Sector in Kenya. </w:t>
      </w:r>
      <w:r w:rsidRPr="00EB11D3">
        <w:rPr>
          <w:i/>
          <w:iCs/>
          <w:szCs w:val="24"/>
          <w:shd w:val="clear" w:color="auto" w:fill="FFFFFF"/>
        </w:rPr>
        <w:t>The Journal of Social Sciences Research</w:t>
      </w:r>
      <w:r w:rsidRPr="00EB11D3">
        <w:rPr>
          <w:szCs w:val="24"/>
          <w:shd w:val="clear" w:color="auto" w:fill="FFFFFF"/>
        </w:rPr>
        <w:t>, </w:t>
      </w:r>
      <w:r w:rsidRPr="00EB11D3">
        <w:rPr>
          <w:i/>
          <w:iCs/>
          <w:szCs w:val="24"/>
          <w:shd w:val="clear" w:color="auto" w:fill="FFFFFF"/>
        </w:rPr>
        <w:t>5</w:t>
      </w:r>
      <w:r w:rsidRPr="00EB11D3">
        <w:rPr>
          <w:szCs w:val="24"/>
          <w:shd w:val="clear" w:color="auto" w:fill="FFFFFF"/>
        </w:rPr>
        <w:t>(12), 1900-1907.</w:t>
      </w:r>
    </w:p>
    <w:p w14:paraId="3096A65E"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 xml:space="preserve">Kempner-Moreira, F., Freire, P. S., &amp; Zilli, J. C. (2020). Corporate governance as an innovative booster: a literature revision. </w:t>
      </w:r>
      <w:r w:rsidRPr="00B60548">
        <w:rPr>
          <w:i/>
          <w:iCs/>
          <w:color w:val="222222"/>
          <w:szCs w:val="24"/>
          <w:shd w:val="clear" w:color="auto" w:fill="FFFFFF"/>
        </w:rPr>
        <w:t>International Journal of Innovation</w:t>
      </w:r>
      <w:r w:rsidRPr="00EB11D3">
        <w:rPr>
          <w:color w:val="222222"/>
          <w:szCs w:val="24"/>
          <w:shd w:val="clear" w:color="auto" w:fill="FFFFFF"/>
        </w:rPr>
        <w:t xml:space="preserve"> - IJI, São Paulo, 8(3), 356-372.</w:t>
      </w:r>
    </w:p>
    <w:p w14:paraId="1E7941E3"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Kenga, S. T., &amp; Nzulwa, J. (2018). The Role of Corporate Governance Practices on Firm Performance of Medium Sized Enterprises in Kilifi County, Kenya. </w:t>
      </w:r>
      <w:r w:rsidRPr="00EB11D3">
        <w:rPr>
          <w:i/>
          <w:iCs/>
          <w:szCs w:val="24"/>
          <w:shd w:val="clear" w:color="auto" w:fill="FFFFFF"/>
        </w:rPr>
        <w:t>Strategic Journal of Business &amp; Change Management</w:t>
      </w:r>
      <w:r w:rsidRPr="00EB11D3">
        <w:rPr>
          <w:szCs w:val="24"/>
          <w:shd w:val="clear" w:color="auto" w:fill="FFFFFF"/>
        </w:rPr>
        <w:t>, </w:t>
      </w:r>
      <w:r w:rsidRPr="00EB11D3">
        <w:rPr>
          <w:i/>
          <w:iCs/>
          <w:szCs w:val="24"/>
          <w:shd w:val="clear" w:color="auto" w:fill="FFFFFF"/>
        </w:rPr>
        <w:t>5</w:t>
      </w:r>
      <w:r w:rsidRPr="00EB11D3">
        <w:rPr>
          <w:szCs w:val="24"/>
          <w:shd w:val="clear" w:color="auto" w:fill="FFFFFF"/>
        </w:rPr>
        <w:t>(2).</w:t>
      </w:r>
    </w:p>
    <w:p w14:paraId="2CE15DDC"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Kenya Master Health Facility List (KMHFL) (2020): Find all the health facilities in Kenya.” </w:t>
      </w:r>
      <w:hyperlink r:id="rId32" w:anchor="/home" w:history="1">
        <w:r w:rsidRPr="00EB11D3">
          <w:rPr>
            <w:rStyle w:val="Hyperlink"/>
            <w:color w:val="auto"/>
            <w:szCs w:val="24"/>
            <w:shd w:val="clear" w:color="auto" w:fill="FFFFFF"/>
          </w:rPr>
          <w:t>http://kmhfl.health.go.ke/#/home</w:t>
        </w:r>
      </w:hyperlink>
      <w:r w:rsidRPr="00EB11D3">
        <w:rPr>
          <w:szCs w:val="24"/>
          <w:shd w:val="clear" w:color="auto" w:fill="FFFFFF"/>
        </w:rPr>
        <w:t xml:space="preserve"> (accessed Dec. 18, 2020).</w:t>
      </w:r>
    </w:p>
    <w:p w14:paraId="5CDA83D5"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Kesmodel, U. S. (2018). Cross‐sectional studies–what are they good for?. </w:t>
      </w:r>
      <w:r w:rsidRPr="00EB11D3">
        <w:rPr>
          <w:i/>
          <w:iCs/>
          <w:szCs w:val="24"/>
          <w:shd w:val="clear" w:color="auto" w:fill="FFFFFF"/>
        </w:rPr>
        <w:t>Acta obstetricia et gynecologica Scandinavica</w:t>
      </w:r>
      <w:r w:rsidRPr="00EB11D3">
        <w:rPr>
          <w:szCs w:val="24"/>
          <w:shd w:val="clear" w:color="auto" w:fill="FFFFFF"/>
        </w:rPr>
        <w:t>, </w:t>
      </w:r>
      <w:r w:rsidRPr="00EB11D3">
        <w:rPr>
          <w:i/>
          <w:iCs/>
          <w:szCs w:val="24"/>
          <w:shd w:val="clear" w:color="auto" w:fill="FFFFFF"/>
        </w:rPr>
        <w:t>97</w:t>
      </w:r>
      <w:r w:rsidRPr="00EB11D3">
        <w:rPr>
          <w:szCs w:val="24"/>
          <w:shd w:val="clear" w:color="auto" w:fill="FFFFFF"/>
        </w:rPr>
        <w:t>(4), 388-393.</w:t>
      </w:r>
    </w:p>
    <w:p w14:paraId="46006416"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Khan, B. A., &amp; Naeem, H. (2018). Measuring the impact of soft and hard quality practices on service innovation and organisational performance. </w:t>
      </w:r>
      <w:r w:rsidRPr="00EB11D3">
        <w:rPr>
          <w:rFonts w:eastAsia="Times New Roman"/>
          <w:bCs/>
          <w:i/>
          <w:iCs/>
          <w:szCs w:val="24"/>
        </w:rPr>
        <w:t>Total Quality Management &amp; Business Excellence</w:t>
      </w:r>
      <w:r w:rsidRPr="00EB11D3">
        <w:rPr>
          <w:rFonts w:eastAsia="Times New Roman"/>
          <w:bCs/>
          <w:szCs w:val="24"/>
        </w:rPr>
        <w:t>, </w:t>
      </w:r>
      <w:r w:rsidRPr="00EB11D3">
        <w:rPr>
          <w:rFonts w:eastAsia="Times New Roman"/>
          <w:bCs/>
          <w:i/>
          <w:iCs/>
          <w:szCs w:val="24"/>
        </w:rPr>
        <w:t>29</w:t>
      </w:r>
      <w:r w:rsidRPr="00EB11D3">
        <w:rPr>
          <w:rFonts w:eastAsia="Times New Roman"/>
          <w:bCs/>
          <w:szCs w:val="24"/>
        </w:rPr>
        <w:t>(11-12), 1402-1426.</w:t>
      </w:r>
    </w:p>
    <w:p w14:paraId="180C7470"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Khan, M. J., Ahmad, S., Halim, A. H., &amp; Ahmad, N. H. (2022). The Effect of Service Innovation Orientation and Open Innovation on Innovation Performance of Medium and Small Private Hospitals in India. </w:t>
      </w:r>
      <w:r w:rsidRPr="00EB11D3">
        <w:rPr>
          <w:i/>
          <w:iCs/>
          <w:szCs w:val="24"/>
          <w:shd w:val="clear" w:color="auto" w:fill="FFFFFF"/>
        </w:rPr>
        <w:t>SAGE Open</w:t>
      </w:r>
      <w:r w:rsidRPr="00EB11D3">
        <w:rPr>
          <w:szCs w:val="24"/>
          <w:shd w:val="clear" w:color="auto" w:fill="FFFFFF"/>
        </w:rPr>
        <w:t>, </w:t>
      </w:r>
      <w:r w:rsidRPr="00EB11D3">
        <w:rPr>
          <w:i/>
          <w:iCs/>
          <w:szCs w:val="24"/>
          <w:shd w:val="clear" w:color="auto" w:fill="FFFFFF"/>
        </w:rPr>
        <w:t>12</w:t>
      </w:r>
      <w:r w:rsidRPr="00EB11D3">
        <w:rPr>
          <w:szCs w:val="24"/>
          <w:shd w:val="clear" w:color="auto" w:fill="FFFFFF"/>
        </w:rPr>
        <w:t>(3), 21582440221116110.</w:t>
      </w:r>
    </w:p>
    <w:p w14:paraId="30DBBB5D"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Khan, M. K., Zahid, R. A., Saleem, A., &amp; Sági, J. (2021). Board composition and social &amp; environmental accountability: a dynamic model analysis of Chinese firms. </w:t>
      </w:r>
      <w:r w:rsidRPr="00EB11D3">
        <w:rPr>
          <w:i/>
          <w:iCs/>
          <w:szCs w:val="24"/>
          <w:shd w:val="clear" w:color="auto" w:fill="FFFFFF"/>
        </w:rPr>
        <w:t>Sustainability</w:t>
      </w:r>
      <w:r w:rsidRPr="00EB11D3">
        <w:rPr>
          <w:szCs w:val="24"/>
          <w:shd w:val="clear" w:color="auto" w:fill="FFFFFF"/>
        </w:rPr>
        <w:t>, </w:t>
      </w:r>
      <w:r w:rsidRPr="00EB11D3">
        <w:rPr>
          <w:i/>
          <w:iCs/>
          <w:szCs w:val="24"/>
          <w:shd w:val="clear" w:color="auto" w:fill="FFFFFF"/>
        </w:rPr>
        <w:t>13</w:t>
      </w:r>
      <w:r w:rsidRPr="00EB11D3">
        <w:rPr>
          <w:szCs w:val="24"/>
          <w:shd w:val="clear" w:color="auto" w:fill="FFFFFF"/>
        </w:rPr>
        <w:t>(19), 10662.</w:t>
      </w:r>
    </w:p>
    <w:p w14:paraId="78AFADFB"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Kieschnick, R., &amp; Moussawi, R. (2018). Firm age, corporate governance, and capital structure choices. </w:t>
      </w:r>
      <w:r w:rsidRPr="00EB11D3">
        <w:rPr>
          <w:rFonts w:eastAsia="Times New Roman"/>
          <w:bCs/>
          <w:i/>
          <w:iCs/>
          <w:szCs w:val="24"/>
        </w:rPr>
        <w:t>Journal of Corporate Finance</w:t>
      </w:r>
      <w:r w:rsidRPr="00EB11D3">
        <w:rPr>
          <w:rFonts w:eastAsia="Times New Roman"/>
          <w:bCs/>
          <w:szCs w:val="24"/>
        </w:rPr>
        <w:t>, </w:t>
      </w:r>
      <w:r w:rsidRPr="00EB11D3">
        <w:rPr>
          <w:rFonts w:eastAsia="Times New Roman"/>
          <w:bCs/>
          <w:i/>
          <w:iCs/>
          <w:szCs w:val="24"/>
        </w:rPr>
        <w:t>48</w:t>
      </w:r>
      <w:r w:rsidRPr="00EB11D3">
        <w:rPr>
          <w:rFonts w:eastAsia="Times New Roman"/>
          <w:bCs/>
          <w:szCs w:val="24"/>
        </w:rPr>
        <w:t>, 597-614.</w:t>
      </w:r>
    </w:p>
    <w:p w14:paraId="06B2762A"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Kiilu, C. S. (2021). </w:t>
      </w:r>
      <w:r w:rsidRPr="00EB11D3">
        <w:rPr>
          <w:i/>
          <w:iCs/>
          <w:szCs w:val="24"/>
          <w:shd w:val="clear" w:color="auto" w:fill="FFFFFF"/>
        </w:rPr>
        <w:t>Effects of Corporate Governance Practices on Organizational Performance: A case of Coffee Cooperative Societies in Machakos County</w:t>
      </w:r>
      <w:r w:rsidRPr="00EB11D3">
        <w:rPr>
          <w:szCs w:val="24"/>
          <w:shd w:val="clear" w:color="auto" w:fill="FFFFFF"/>
        </w:rPr>
        <w:t> (Doctoral dissertation, St. Paul's University).</w:t>
      </w:r>
    </w:p>
    <w:p w14:paraId="076BE607"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Kim, M. S., &amp; Thapa, B. (2018). Relationship of ethical leadership, corporate social responsibility and organizational performance. </w:t>
      </w:r>
      <w:r w:rsidRPr="00EB11D3">
        <w:rPr>
          <w:rFonts w:eastAsia="Times New Roman"/>
          <w:bCs/>
          <w:i/>
          <w:iCs/>
          <w:szCs w:val="24"/>
        </w:rPr>
        <w:t>Sustainability</w:t>
      </w:r>
      <w:r w:rsidRPr="00EB11D3">
        <w:rPr>
          <w:rFonts w:eastAsia="Times New Roman"/>
          <w:bCs/>
          <w:szCs w:val="24"/>
        </w:rPr>
        <w:t>, </w:t>
      </w:r>
      <w:r w:rsidRPr="00EB11D3">
        <w:rPr>
          <w:rFonts w:eastAsia="Times New Roman"/>
          <w:bCs/>
          <w:i/>
          <w:iCs/>
          <w:szCs w:val="24"/>
        </w:rPr>
        <w:t>10</w:t>
      </w:r>
      <w:r w:rsidRPr="00EB11D3">
        <w:rPr>
          <w:rFonts w:eastAsia="Times New Roman"/>
          <w:bCs/>
          <w:szCs w:val="24"/>
        </w:rPr>
        <w:t>(2), 447.</w:t>
      </w:r>
    </w:p>
    <w:p w14:paraId="516459EE"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Kinyeki, S. W., Amuhaya, M., Mwimali, J., &amp; Orwa, J. (2018). Effect of Corporate Governance on Health Service Delivery in Kenya. </w:t>
      </w:r>
      <w:r w:rsidRPr="00EB11D3">
        <w:rPr>
          <w:i/>
          <w:iCs/>
          <w:szCs w:val="24"/>
          <w:shd w:val="clear" w:color="auto" w:fill="FFFFFF"/>
        </w:rPr>
        <w:t>Strategic Journal of Business and Change Management</w:t>
      </w:r>
      <w:r w:rsidRPr="00EB11D3">
        <w:rPr>
          <w:szCs w:val="24"/>
          <w:shd w:val="clear" w:color="auto" w:fill="FFFFFF"/>
        </w:rPr>
        <w:t>, </w:t>
      </w:r>
      <w:r w:rsidRPr="00EB11D3">
        <w:rPr>
          <w:i/>
          <w:iCs/>
          <w:szCs w:val="24"/>
          <w:shd w:val="clear" w:color="auto" w:fill="FFFFFF"/>
        </w:rPr>
        <w:t>5</w:t>
      </w:r>
      <w:r w:rsidRPr="00EB11D3">
        <w:rPr>
          <w:szCs w:val="24"/>
          <w:shd w:val="clear" w:color="auto" w:fill="FFFFFF"/>
        </w:rPr>
        <w:t>, 898-913.</w:t>
      </w:r>
    </w:p>
    <w:p w14:paraId="11DAF2EE"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Kinyua, C., &amp; Ngari, L. (2021). Influence of Corporate Governance on Performance in Public Hospitals in Embu County, Kenya. </w:t>
      </w:r>
      <w:r w:rsidRPr="00EB11D3">
        <w:rPr>
          <w:i/>
          <w:iCs/>
          <w:szCs w:val="24"/>
          <w:shd w:val="clear" w:color="auto" w:fill="FFFFFF"/>
        </w:rPr>
        <w:t>International Journal of Current Aspects</w:t>
      </w:r>
      <w:r w:rsidRPr="00EB11D3">
        <w:rPr>
          <w:szCs w:val="24"/>
          <w:shd w:val="clear" w:color="auto" w:fill="FFFFFF"/>
        </w:rPr>
        <w:t>, 5(4), 33-52.</w:t>
      </w:r>
    </w:p>
    <w:p w14:paraId="17A6446B"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Kitsios, F. C., &amp; Grigoroudis, E. (2020). Evaluating service innovation and business performance in tourism: a multicriteria decision analysis approach. </w:t>
      </w:r>
      <w:r w:rsidRPr="00EB11D3">
        <w:rPr>
          <w:i/>
          <w:iCs/>
          <w:szCs w:val="24"/>
          <w:shd w:val="clear" w:color="auto" w:fill="FFFFFF"/>
        </w:rPr>
        <w:t>Management Decision</w:t>
      </w:r>
      <w:r w:rsidRPr="00EB11D3">
        <w:rPr>
          <w:szCs w:val="24"/>
          <w:shd w:val="clear" w:color="auto" w:fill="FFFFFF"/>
        </w:rPr>
        <w:t>, </w:t>
      </w:r>
      <w:r w:rsidRPr="00EB11D3">
        <w:rPr>
          <w:i/>
          <w:iCs/>
          <w:szCs w:val="24"/>
          <w:shd w:val="clear" w:color="auto" w:fill="FFFFFF"/>
        </w:rPr>
        <w:t>58</w:t>
      </w:r>
      <w:r w:rsidRPr="00EB11D3">
        <w:rPr>
          <w:szCs w:val="24"/>
          <w:shd w:val="clear" w:color="auto" w:fill="FFFFFF"/>
        </w:rPr>
        <w:t>(11), 2429-2453.</w:t>
      </w:r>
    </w:p>
    <w:p w14:paraId="609B79F0"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Kneip, F., Rasch, A., &amp; Bauer, T. (2020). Environmental regulation and innovation: The case of the German automotive industry. </w:t>
      </w:r>
      <w:r w:rsidRPr="00B60548">
        <w:rPr>
          <w:rFonts w:eastAsia="Times New Roman"/>
          <w:bCs/>
          <w:i/>
          <w:iCs/>
          <w:szCs w:val="24"/>
        </w:rPr>
        <w:t>Journal of Environmental Economics and Management</w:t>
      </w:r>
      <w:r w:rsidRPr="00EB11D3">
        <w:rPr>
          <w:rFonts w:eastAsia="Times New Roman"/>
          <w:bCs/>
          <w:szCs w:val="24"/>
        </w:rPr>
        <w:t>, 100, 102324. [DOI: 10.1016/j.jeem.2019.102324]</w:t>
      </w:r>
    </w:p>
    <w:p w14:paraId="47A1C773" w14:textId="77777777" w:rsidR="003A6047" w:rsidRPr="00EB11D3" w:rsidRDefault="003A6047" w:rsidP="00813B05">
      <w:pPr>
        <w:spacing w:after="0" w:line="360" w:lineRule="auto"/>
        <w:ind w:left="720" w:hanging="720"/>
        <w:rPr>
          <w:szCs w:val="24"/>
        </w:rPr>
      </w:pPr>
      <w:r w:rsidRPr="00EB11D3">
        <w:rPr>
          <w:szCs w:val="24"/>
          <w:shd w:val="clear" w:color="auto" w:fill="FFFFFF"/>
        </w:rPr>
        <w:t xml:space="preserve">Komlos, J. (2019). </w:t>
      </w:r>
      <w:r w:rsidRPr="00B60548">
        <w:rPr>
          <w:i/>
          <w:iCs/>
          <w:szCs w:val="24"/>
          <w:shd w:val="clear" w:color="auto" w:fill="FFFFFF"/>
        </w:rPr>
        <w:t>Multicollinearity in the presence of errors-in-variables can increase the probability of type-I error</w:t>
      </w:r>
      <w:r w:rsidRPr="00EB11D3">
        <w:rPr>
          <w:szCs w:val="24"/>
          <w:shd w:val="clear" w:color="auto" w:fill="FFFFFF"/>
        </w:rPr>
        <w:t>. Komlos, John, Multicollinearity in the Presence of Errors-in-Variables Can Increase the Probability of Type-I Error (2019). CESifo Working Paper No. 7459, Available at SSRN: </w:t>
      </w:r>
      <w:hyperlink r:id="rId33" w:tgtFrame="_blank" w:history="1">
        <w:r w:rsidRPr="00EB11D3">
          <w:rPr>
            <w:rStyle w:val="Hyperlink"/>
            <w:color w:val="auto"/>
            <w:szCs w:val="24"/>
            <w:shd w:val="clear" w:color="auto" w:fill="FFFFFF"/>
          </w:rPr>
          <w:t>https://ssrn.com/abstract=3338813</w:t>
        </w:r>
      </w:hyperlink>
      <w:r w:rsidRPr="00EB11D3">
        <w:rPr>
          <w:szCs w:val="24"/>
          <w:shd w:val="clear" w:color="auto" w:fill="FFFFFF"/>
        </w:rPr>
        <w:t> or </w:t>
      </w:r>
      <w:hyperlink r:id="rId34" w:tgtFrame="_blank" w:history="1">
        <w:r w:rsidRPr="00EB11D3">
          <w:rPr>
            <w:rStyle w:val="Hyperlink"/>
            <w:color w:val="auto"/>
            <w:szCs w:val="24"/>
            <w:shd w:val="clear" w:color="auto" w:fill="FFFFFF"/>
          </w:rPr>
          <w:t>http://dx.doi.org/10.2139/ssrn.3338813</w:t>
        </w:r>
      </w:hyperlink>
    </w:p>
    <w:p w14:paraId="246D69C2" w14:textId="77777777" w:rsidR="003A6047" w:rsidRPr="00EB11D3" w:rsidRDefault="003A6047" w:rsidP="00813B05">
      <w:pPr>
        <w:spacing w:after="0" w:line="360" w:lineRule="auto"/>
        <w:ind w:left="720" w:hanging="720"/>
        <w:rPr>
          <w:szCs w:val="24"/>
          <w:shd w:val="clear" w:color="auto" w:fill="FFFFFF"/>
        </w:rPr>
      </w:pPr>
      <w:bookmarkStart w:id="1166" w:name="_Hlk170834484"/>
      <w:r w:rsidRPr="00EB11D3">
        <w:rPr>
          <w:szCs w:val="24"/>
          <w:shd w:val="clear" w:color="auto" w:fill="FFFFFF"/>
        </w:rPr>
        <w:t xml:space="preserve">Kothari, C. R., &amp; Garg, G. (2014). </w:t>
      </w:r>
      <w:r w:rsidRPr="006E2E46">
        <w:rPr>
          <w:i/>
          <w:iCs/>
          <w:szCs w:val="24"/>
          <w:shd w:val="clear" w:color="auto" w:fill="FFFFFF"/>
        </w:rPr>
        <w:t>Research Methodology: Methods and Techniques</w:t>
      </w:r>
      <w:r w:rsidRPr="00EB11D3">
        <w:rPr>
          <w:szCs w:val="24"/>
          <w:shd w:val="clear" w:color="auto" w:fill="FFFFFF"/>
        </w:rPr>
        <w:t>. New Delhi: New Age International Publishers.</w:t>
      </w:r>
    </w:p>
    <w:bookmarkEnd w:id="1166"/>
    <w:p w14:paraId="147F0F4C"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Kowo, S. A., Akinbola, A. O., &amp; Akinrinola, O. O. (2018). The impact of process innovation on organisational performance. </w:t>
      </w:r>
      <w:r w:rsidRPr="00EB11D3">
        <w:rPr>
          <w:rFonts w:eastAsia="Times New Roman"/>
          <w:bCs/>
          <w:i/>
          <w:iCs/>
          <w:szCs w:val="24"/>
        </w:rPr>
        <w:t>Acta Universitatis Danubius. Œconomica</w:t>
      </w:r>
      <w:r w:rsidRPr="00EB11D3">
        <w:rPr>
          <w:rFonts w:eastAsia="Times New Roman"/>
          <w:bCs/>
          <w:szCs w:val="24"/>
        </w:rPr>
        <w:t>, </w:t>
      </w:r>
      <w:r w:rsidRPr="00EB11D3">
        <w:rPr>
          <w:rFonts w:eastAsia="Times New Roman"/>
          <w:bCs/>
          <w:i/>
          <w:iCs/>
          <w:szCs w:val="24"/>
        </w:rPr>
        <w:t>15</w:t>
      </w:r>
      <w:r w:rsidRPr="00EB11D3">
        <w:rPr>
          <w:rFonts w:eastAsia="Times New Roman"/>
          <w:bCs/>
          <w:szCs w:val="24"/>
        </w:rPr>
        <w:t>(2).</w:t>
      </w:r>
    </w:p>
    <w:p w14:paraId="697A8596"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 xml:space="preserve">Kroh, J., Luetjen, H., Globocnik, D., &amp; Schultz, C. (2018). Use and efficacy of information technology in innovation processes: the specific role of servitization. </w:t>
      </w:r>
      <w:r w:rsidRPr="00EB11D3">
        <w:rPr>
          <w:i/>
          <w:iCs/>
          <w:color w:val="222222"/>
          <w:szCs w:val="24"/>
          <w:shd w:val="clear" w:color="auto" w:fill="FFFFFF"/>
        </w:rPr>
        <w:t>Journal of Product Innovation Management</w:t>
      </w:r>
      <w:r w:rsidRPr="00EB11D3">
        <w:rPr>
          <w:color w:val="222222"/>
          <w:szCs w:val="24"/>
          <w:shd w:val="clear" w:color="auto" w:fill="FFFFFF"/>
        </w:rPr>
        <w:t>, 35(5), 720-741.</w:t>
      </w:r>
    </w:p>
    <w:p w14:paraId="1C63C76D"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Kumar, P., Chauhan, S., &amp; Awasthi, L. (2023). Artificial Intelligence in Healthcare: Review, Ethics, Trust Challenges &amp; Future Research Directions. </w:t>
      </w:r>
      <w:r w:rsidRPr="00EB11D3">
        <w:rPr>
          <w:rFonts w:eastAsia="Times New Roman"/>
          <w:bCs/>
          <w:i/>
          <w:iCs/>
          <w:szCs w:val="24"/>
        </w:rPr>
        <w:t>Engineering Applications of Artificial Intelligence</w:t>
      </w:r>
      <w:r w:rsidRPr="00EB11D3">
        <w:rPr>
          <w:rFonts w:eastAsia="Times New Roman"/>
          <w:bCs/>
          <w:szCs w:val="24"/>
        </w:rPr>
        <w:t>, 120, 2023, 1-20.</w:t>
      </w:r>
    </w:p>
    <w:p w14:paraId="3AE664B5"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Kuncoro, E. A., Sudrajat, D., Saroso, H., Syahchari, D. H., &amp; Moeke, D. (2021). Moderating Effect of Government Regulation on Supply Chain Collaboration and Firm Performance. In </w:t>
      </w:r>
      <w:r w:rsidRPr="00EB11D3">
        <w:rPr>
          <w:i/>
          <w:iCs/>
          <w:szCs w:val="24"/>
          <w:shd w:val="clear" w:color="auto" w:fill="FFFFFF"/>
        </w:rPr>
        <w:t>Proceedings of the 11th Annual International Conference on Industrial Engineering and Operations Management Singapore, March 7</w:t>
      </w:r>
      <w:r w:rsidRPr="00EB11D3">
        <w:rPr>
          <w:szCs w:val="24"/>
          <w:shd w:val="clear" w:color="auto" w:fill="FFFFFF"/>
        </w:rPr>
        <w:t> (Vol. 11, p. 2021).</w:t>
      </w:r>
    </w:p>
    <w:p w14:paraId="33B251DD"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Kurtmollaiev, S., &amp; Pedersen, P. E. (2022). Bringing together the whats and hows in the service innovation literature: An integrative framework. </w:t>
      </w:r>
      <w:r w:rsidRPr="00EB11D3">
        <w:rPr>
          <w:i/>
          <w:iCs/>
          <w:szCs w:val="24"/>
          <w:shd w:val="clear" w:color="auto" w:fill="FFFFFF"/>
        </w:rPr>
        <w:t>International Journal of Management Reviews</w:t>
      </w:r>
      <w:r w:rsidRPr="00EB11D3">
        <w:rPr>
          <w:szCs w:val="24"/>
          <w:shd w:val="clear" w:color="auto" w:fill="FFFFFF"/>
        </w:rPr>
        <w:t>, </w:t>
      </w:r>
      <w:r w:rsidRPr="00EB11D3">
        <w:rPr>
          <w:i/>
          <w:iCs/>
          <w:szCs w:val="24"/>
          <w:shd w:val="clear" w:color="auto" w:fill="FFFFFF"/>
        </w:rPr>
        <w:t>24</w:t>
      </w:r>
      <w:r w:rsidRPr="00EB11D3">
        <w:rPr>
          <w:szCs w:val="24"/>
          <w:shd w:val="clear" w:color="auto" w:fill="FFFFFF"/>
        </w:rPr>
        <w:t>(4), 625-653.</w:t>
      </w:r>
    </w:p>
    <w:p w14:paraId="5AFB6A85" w14:textId="77777777" w:rsidR="003A6047" w:rsidRPr="00EB11D3" w:rsidRDefault="003A6047" w:rsidP="00813B05">
      <w:pPr>
        <w:spacing w:after="0" w:line="360" w:lineRule="auto"/>
        <w:ind w:left="720" w:hanging="720"/>
        <w:rPr>
          <w:szCs w:val="24"/>
          <w:shd w:val="clear" w:color="auto" w:fill="FFFFFF"/>
        </w:rPr>
      </w:pPr>
      <w:bookmarkStart w:id="1167" w:name="_Hlk129619280"/>
      <w:r w:rsidRPr="00EB11D3">
        <w:rPr>
          <w:szCs w:val="24"/>
          <w:shd w:val="clear" w:color="auto" w:fill="FFFFFF"/>
        </w:rPr>
        <w:t>Kyalo,P., (2014</w:t>
      </w:r>
      <w:bookmarkEnd w:id="1167"/>
      <w:r w:rsidRPr="00EB11D3">
        <w:rPr>
          <w:szCs w:val="24"/>
          <w:shd w:val="clear" w:color="auto" w:fill="FFFFFF"/>
        </w:rPr>
        <w:t xml:space="preserve">). </w:t>
      </w:r>
      <w:hyperlink r:id="rId35" w:tooltip="HR Management Policy Implementation at Presbyterian Church of East Africa Kikuyu Mission Hospital" w:history="1">
        <w:r w:rsidRPr="00EB11D3">
          <w:rPr>
            <w:i/>
            <w:iCs/>
            <w:szCs w:val="24"/>
            <w:shd w:val="clear" w:color="auto" w:fill="FFFFFF"/>
          </w:rPr>
          <w:t>HR Management Policy Implementation at Presbyterian Church of East Africa Kikuyu Mission Hospital</w:t>
        </w:r>
      </w:hyperlink>
      <w:r w:rsidRPr="00EB11D3">
        <w:rPr>
          <w:szCs w:val="24"/>
          <w:shd w:val="clear" w:color="auto" w:fill="FFFFFF"/>
        </w:rPr>
        <w:t xml:space="preserve">. Retrieved from </w:t>
      </w:r>
      <w:hyperlink r:id="rId36" w:history="1">
        <w:r w:rsidRPr="00EB11D3">
          <w:rPr>
            <w:rStyle w:val="Hyperlink"/>
            <w:color w:val="auto"/>
            <w:szCs w:val="24"/>
            <w:shd w:val="clear" w:color="auto" w:fill="FFFFFF"/>
          </w:rPr>
          <w:t>https://www.capacityplus.org/category/blog-tags/faith-based-organizations.html</w:t>
        </w:r>
      </w:hyperlink>
      <w:r w:rsidRPr="00EB11D3">
        <w:rPr>
          <w:szCs w:val="24"/>
          <w:shd w:val="clear" w:color="auto" w:fill="FFFFFF"/>
        </w:rPr>
        <w:t>.</w:t>
      </w:r>
    </w:p>
    <w:p w14:paraId="7A3244FB"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Kyere, M., &amp; Ausloos, M. (2021). Corporate governance and firms’ financial performance in the United Kingdom. </w:t>
      </w:r>
      <w:r w:rsidRPr="00EB11D3">
        <w:rPr>
          <w:i/>
          <w:iCs/>
          <w:szCs w:val="24"/>
          <w:shd w:val="clear" w:color="auto" w:fill="FFFFFF"/>
        </w:rPr>
        <w:t>International Journal of Finance &amp; Economics</w:t>
      </w:r>
      <w:r w:rsidRPr="00EB11D3">
        <w:rPr>
          <w:szCs w:val="24"/>
          <w:shd w:val="clear" w:color="auto" w:fill="FFFFFF"/>
        </w:rPr>
        <w:t>, 26(2), 1871-1885.</w:t>
      </w:r>
    </w:p>
    <w:p w14:paraId="758D5B20"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Lateef, M. A., &amp; Akinsulore, A. O. (2021). Covid-19: Implications for Corporate Governance and Corporate Social Responsibility (CSR) in Africa. </w:t>
      </w:r>
      <w:r w:rsidRPr="00EB11D3">
        <w:rPr>
          <w:i/>
          <w:iCs/>
          <w:szCs w:val="24"/>
          <w:shd w:val="clear" w:color="auto" w:fill="FFFFFF"/>
        </w:rPr>
        <w:t>Beijing L. Rev.</w:t>
      </w:r>
      <w:r w:rsidRPr="00EB11D3">
        <w:rPr>
          <w:szCs w:val="24"/>
          <w:shd w:val="clear" w:color="auto" w:fill="FFFFFF"/>
        </w:rPr>
        <w:t>, </w:t>
      </w:r>
      <w:r w:rsidRPr="00EB11D3">
        <w:rPr>
          <w:i/>
          <w:iCs/>
          <w:szCs w:val="24"/>
          <w:shd w:val="clear" w:color="auto" w:fill="FFFFFF"/>
        </w:rPr>
        <w:t>12</w:t>
      </w:r>
      <w:r w:rsidRPr="00EB11D3">
        <w:rPr>
          <w:szCs w:val="24"/>
          <w:shd w:val="clear" w:color="auto" w:fill="FFFFFF"/>
        </w:rPr>
        <w:t>, 139.</w:t>
      </w:r>
    </w:p>
    <w:p w14:paraId="4AEDC3E6"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Le Anh, T., Nguyen, T., &amp; Tran, L. (2023). Relationships between innovation, its antecedents, and organisational performance: evidences from auditing service industry. </w:t>
      </w:r>
      <w:r w:rsidRPr="00EB11D3">
        <w:rPr>
          <w:rFonts w:eastAsia="Times New Roman"/>
          <w:bCs/>
          <w:i/>
          <w:iCs/>
          <w:szCs w:val="24"/>
        </w:rPr>
        <w:t>Knowledge Management Research &amp; Practice</w:t>
      </w:r>
      <w:r w:rsidRPr="00EB11D3">
        <w:rPr>
          <w:rFonts w:eastAsia="Times New Roman"/>
          <w:bCs/>
          <w:szCs w:val="24"/>
        </w:rPr>
        <w:t>, </w:t>
      </w:r>
      <w:r w:rsidRPr="00EB11D3">
        <w:rPr>
          <w:rFonts w:eastAsia="Times New Roman"/>
          <w:bCs/>
          <w:i/>
          <w:iCs/>
          <w:szCs w:val="24"/>
        </w:rPr>
        <w:t>21</w:t>
      </w:r>
      <w:r w:rsidRPr="00EB11D3">
        <w:rPr>
          <w:rFonts w:eastAsia="Times New Roman"/>
          <w:bCs/>
          <w:szCs w:val="24"/>
        </w:rPr>
        <w:t>(3), 607-621.</w:t>
      </w:r>
    </w:p>
    <w:p w14:paraId="1E813057"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Lea, J. W., O’Driscoll, J. M., Coleman, D. A., &amp; Wiles, J. D. (2021). Validity and reliability of the ‘Isometric Exercise Scale’(IES) for measuring ratings of perceived exertion during continuous isometric exercise. </w:t>
      </w:r>
      <w:r w:rsidRPr="00EB11D3">
        <w:rPr>
          <w:i/>
          <w:iCs/>
          <w:szCs w:val="24"/>
          <w:shd w:val="clear" w:color="auto" w:fill="FFFFFF"/>
        </w:rPr>
        <w:t>Scientific Reports</w:t>
      </w:r>
      <w:r w:rsidRPr="00EB11D3">
        <w:rPr>
          <w:szCs w:val="24"/>
          <w:shd w:val="clear" w:color="auto" w:fill="FFFFFF"/>
        </w:rPr>
        <w:t>, </w:t>
      </w:r>
      <w:r w:rsidRPr="00EB11D3">
        <w:rPr>
          <w:i/>
          <w:iCs/>
          <w:szCs w:val="24"/>
          <w:shd w:val="clear" w:color="auto" w:fill="FFFFFF"/>
        </w:rPr>
        <w:t>11</w:t>
      </w:r>
      <w:r w:rsidRPr="00EB11D3">
        <w:rPr>
          <w:szCs w:val="24"/>
          <w:shd w:val="clear" w:color="auto" w:fill="FFFFFF"/>
        </w:rPr>
        <w:t>(1), 5334.</w:t>
      </w:r>
    </w:p>
    <w:p w14:paraId="5D282EA7"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Leavy, P. (2022). </w:t>
      </w:r>
      <w:r w:rsidRPr="00EB11D3">
        <w:rPr>
          <w:i/>
          <w:iCs/>
          <w:szCs w:val="24"/>
          <w:shd w:val="clear" w:color="auto" w:fill="FFFFFF"/>
        </w:rPr>
        <w:t>Research design: Quantitative, qualitative, mixed methods, arts-based, and community-based participatory research approaches</w:t>
      </w:r>
      <w:r w:rsidRPr="00EB11D3">
        <w:rPr>
          <w:szCs w:val="24"/>
          <w:shd w:val="clear" w:color="auto" w:fill="FFFFFF"/>
        </w:rPr>
        <w:t>. Guilford Publications.</w:t>
      </w:r>
    </w:p>
    <w:p w14:paraId="6992AD95"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Lee, M. H., Park, S., &amp; Kim, K. H. (2019). Corporate governance and innovation: Evidence from the healthcare industry. </w:t>
      </w:r>
      <w:r w:rsidRPr="00B60548">
        <w:rPr>
          <w:rFonts w:eastAsia="Times New Roman"/>
          <w:bCs/>
          <w:i/>
          <w:iCs/>
          <w:szCs w:val="24"/>
        </w:rPr>
        <w:t>Sustainability</w:t>
      </w:r>
      <w:r w:rsidRPr="00EB11D3">
        <w:rPr>
          <w:rFonts w:eastAsia="Times New Roman"/>
          <w:bCs/>
          <w:szCs w:val="24"/>
        </w:rPr>
        <w:t>, 11(21), 5952.</w:t>
      </w:r>
    </w:p>
    <w:p w14:paraId="3B1A2311"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Lee, S. M., Lee, D., &amp; Rho, B. H. (2020). Corporate governance and firm value: Evidence from the Korean financial crisis. </w:t>
      </w:r>
      <w:r w:rsidRPr="00B60548">
        <w:rPr>
          <w:rFonts w:eastAsia="Times New Roman"/>
          <w:bCs/>
          <w:i/>
          <w:iCs/>
          <w:szCs w:val="24"/>
        </w:rPr>
        <w:t>Journal of Financial Economics</w:t>
      </w:r>
      <w:r w:rsidRPr="00EB11D3">
        <w:rPr>
          <w:rFonts w:eastAsia="Times New Roman"/>
          <w:bCs/>
          <w:szCs w:val="24"/>
        </w:rPr>
        <w:t>, 98(2), 313-326.</w:t>
      </w:r>
    </w:p>
    <w:p w14:paraId="74C01944"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Leedham-Green, K., Knight, A., &amp; Reedy, G. B. (2021). Success and limiting factors in health service innovation: a theory-generating mixed methods evaluation of UK projects. </w:t>
      </w:r>
      <w:r w:rsidRPr="00EB11D3">
        <w:rPr>
          <w:i/>
          <w:iCs/>
          <w:szCs w:val="24"/>
          <w:shd w:val="clear" w:color="auto" w:fill="FFFFFF"/>
        </w:rPr>
        <w:t>BMJ open</w:t>
      </w:r>
      <w:r w:rsidRPr="00EB11D3">
        <w:rPr>
          <w:szCs w:val="24"/>
          <w:shd w:val="clear" w:color="auto" w:fill="FFFFFF"/>
        </w:rPr>
        <w:t>, </w:t>
      </w:r>
      <w:r w:rsidRPr="00EB11D3">
        <w:rPr>
          <w:i/>
          <w:iCs/>
          <w:szCs w:val="24"/>
          <w:shd w:val="clear" w:color="auto" w:fill="FFFFFF"/>
        </w:rPr>
        <w:t>11</w:t>
      </w:r>
      <w:r w:rsidRPr="00EB11D3">
        <w:rPr>
          <w:szCs w:val="24"/>
          <w:shd w:val="clear" w:color="auto" w:fill="FFFFFF"/>
        </w:rPr>
        <w:t>(5), e047943.</w:t>
      </w:r>
    </w:p>
    <w:p w14:paraId="08963A98"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Leonard, E., de Kock, I., &amp; Bam, W. (2020). Barriers and facilitators to implementing evidence-based health innovations in low-and middle-income countries: a systematic literature review. </w:t>
      </w:r>
      <w:r w:rsidRPr="00EB11D3">
        <w:rPr>
          <w:i/>
          <w:iCs/>
          <w:color w:val="222222"/>
          <w:szCs w:val="24"/>
          <w:shd w:val="clear" w:color="auto" w:fill="FFFFFF"/>
        </w:rPr>
        <w:t>Evaluation and Program Planning</w:t>
      </w:r>
      <w:r w:rsidRPr="00EB11D3">
        <w:rPr>
          <w:color w:val="222222"/>
          <w:szCs w:val="24"/>
          <w:shd w:val="clear" w:color="auto" w:fill="FFFFFF"/>
        </w:rPr>
        <w:t>, </w:t>
      </w:r>
      <w:r w:rsidRPr="00EB11D3">
        <w:rPr>
          <w:i/>
          <w:iCs/>
          <w:color w:val="222222"/>
          <w:szCs w:val="24"/>
          <w:shd w:val="clear" w:color="auto" w:fill="FFFFFF"/>
        </w:rPr>
        <w:t>82</w:t>
      </w:r>
      <w:r w:rsidRPr="00EB11D3">
        <w:rPr>
          <w:color w:val="222222"/>
          <w:szCs w:val="24"/>
          <w:shd w:val="clear" w:color="auto" w:fill="FFFFFF"/>
        </w:rPr>
        <w:t>, 101832.</w:t>
      </w:r>
    </w:p>
    <w:p w14:paraId="06529A7C"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rPr>
        <w:t>Li, D., Cao, C., Zhang, L., Chen, X., Ren, S., &amp; Zhao, Y. (2017). Effects of corporate environmental responsibility on financial performance: The moderating role of government regulation and organizational slack. </w:t>
      </w:r>
      <w:r w:rsidRPr="00EB11D3">
        <w:rPr>
          <w:i/>
          <w:iCs/>
          <w:szCs w:val="24"/>
          <w:shd w:val="clear" w:color="auto" w:fill="FFFFFF"/>
        </w:rPr>
        <w:t>Journal of Cleaner Production</w:t>
      </w:r>
      <w:r w:rsidRPr="00EB11D3">
        <w:rPr>
          <w:szCs w:val="24"/>
          <w:shd w:val="clear" w:color="auto" w:fill="FFFFFF"/>
        </w:rPr>
        <w:t>, </w:t>
      </w:r>
      <w:r w:rsidRPr="00EB11D3">
        <w:rPr>
          <w:i/>
          <w:iCs/>
          <w:szCs w:val="24"/>
          <w:shd w:val="clear" w:color="auto" w:fill="FFFFFF"/>
        </w:rPr>
        <w:t>166</w:t>
      </w:r>
      <w:r w:rsidRPr="00EB11D3">
        <w:rPr>
          <w:szCs w:val="24"/>
          <w:shd w:val="clear" w:color="auto" w:fill="FFFFFF"/>
        </w:rPr>
        <w:t>, 1323-1334.</w:t>
      </w:r>
    </w:p>
    <w:p w14:paraId="29FD428B"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Li, J., Li, X., &amp; Gao, P. B. (2019). </w:t>
      </w:r>
      <w:r w:rsidRPr="00FA7816">
        <w:rPr>
          <w:rFonts w:eastAsia="Times New Roman"/>
          <w:bCs/>
          <w:i/>
          <w:iCs/>
          <w:szCs w:val="24"/>
        </w:rPr>
        <w:t>A meta-analysis of the relationship between service innovation and firm performance</w:t>
      </w:r>
      <w:r w:rsidRPr="00EB11D3">
        <w:rPr>
          <w:rFonts w:eastAsia="Times New Roman"/>
          <w:bCs/>
          <w:szCs w:val="24"/>
        </w:rPr>
        <w:t>. In 6th International Conference on Management Science and Management Innovation (MSMI 2019) (pp. 256-261). Atlantis Press.</w:t>
      </w:r>
    </w:p>
    <w:p w14:paraId="73EE8A83"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Lin, J., &amp; Qamruzzaman, M. (2023). The impact of environmental disclosure and the quality of financial disclosure and IT adoption on firm performance: Does corporate governance ensure sustainability?. </w:t>
      </w:r>
      <w:r w:rsidRPr="00EB11D3">
        <w:rPr>
          <w:i/>
          <w:iCs/>
          <w:szCs w:val="24"/>
          <w:shd w:val="clear" w:color="auto" w:fill="FFFFFF"/>
        </w:rPr>
        <w:t>Frontiers in Environmental Science</w:t>
      </w:r>
      <w:r w:rsidRPr="00EB11D3">
        <w:rPr>
          <w:szCs w:val="24"/>
          <w:shd w:val="clear" w:color="auto" w:fill="FFFFFF"/>
        </w:rPr>
        <w:t xml:space="preserve">. </w:t>
      </w:r>
      <w:r w:rsidRPr="00EB11D3">
        <w:rPr>
          <w:i/>
          <w:iCs/>
          <w:szCs w:val="24"/>
          <w:shd w:val="clear" w:color="auto" w:fill="FFFFFF"/>
        </w:rPr>
        <w:t>11</w:t>
      </w:r>
      <w:r w:rsidRPr="00EB11D3">
        <w:rPr>
          <w:szCs w:val="24"/>
          <w:shd w:val="clear" w:color="auto" w:fill="FFFFFF"/>
        </w:rPr>
        <w:t>, 1002357.</w:t>
      </w:r>
    </w:p>
    <w:p w14:paraId="2144B063" w14:textId="77777777" w:rsidR="003A6047" w:rsidRPr="00EB11D3" w:rsidRDefault="003A6047" w:rsidP="00813B05">
      <w:pPr>
        <w:shd w:val="clear" w:color="auto" w:fill="FFFFFF"/>
        <w:spacing w:after="0" w:line="360" w:lineRule="auto"/>
        <w:ind w:left="720" w:hanging="720"/>
        <w:rPr>
          <w:rFonts w:eastAsia="Times New Roman"/>
          <w:b/>
          <w:bCs/>
          <w:szCs w:val="24"/>
        </w:rPr>
      </w:pPr>
      <w:r w:rsidRPr="00EB11D3">
        <w:rPr>
          <w:szCs w:val="24"/>
          <w:shd w:val="clear" w:color="auto" w:fill="FFFFFF"/>
        </w:rPr>
        <w:t>Lin, L. (2023). The impact of service innovation on firm performance. </w:t>
      </w:r>
      <w:r w:rsidRPr="00EB11D3">
        <w:rPr>
          <w:i/>
          <w:iCs/>
          <w:szCs w:val="24"/>
          <w:shd w:val="clear" w:color="auto" w:fill="FFFFFF"/>
        </w:rPr>
        <w:t>The Service Industries Journal</w:t>
      </w:r>
      <w:r w:rsidRPr="00EB11D3">
        <w:rPr>
          <w:szCs w:val="24"/>
          <w:shd w:val="clear" w:color="auto" w:fill="FFFFFF"/>
        </w:rPr>
        <w:t>, </w:t>
      </w:r>
      <w:r w:rsidRPr="00EB11D3">
        <w:rPr>
          <w:i/>
          <w:iCs/>
          <w:szCs w:val="24"/>
          <w:shd w:val="clear" w:color="auto" w:fill="FFFFFF"/>
        </w:rPr>
        <w:t>33</w:t>
      </w:r>
      <w:r w:rsidRPr="00EB11D3">
        <w:rPr>
          <w:szCs w:val="24"/>
          <w:shd w:val="clear" w:color="auto" w:fill="FFFFFF"/>
        </w:rPr>
        <w:t>(15-16), 1599-1632.</w:t>
      </w:r>
    </w:p>
    <w:p w14:paraId="632F95E9"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 xml:space="preserve">Lipunga, A. M., Tchereni, B. M., &amp; Bakuwa, R. C. (2019). Emerging structural models for governance of public hospitals. </w:t>
      </w:r>
      <w:r w:rsidRPr="00EB11D3">
        <w:rPr>
          <w:i/>
          <w:iCs/>
          <w:color w:val="222222"/>
          <w:szCs w:val="24"/>
          <w:shd w:val="clear" w:color="auto" w:fill="FFFFFF"/>
        </w:rPr>
        <w:t>International Journal of Health Governance</w:t>
      </w:r>
      <w:r w:rsidRPr="00EB11D3">
        <w:rPr>
          <w:color w:val="222222"/>
          <w:szCs w:val="24"/>
          <w:shd w:val="clear" w:color="auto" w:fill="FFFFFF"/>
        </w:rPr>
        <w:t>, 24(2), 98-116.</w:t>
      </w:r>
    </w:p>
    <w:p w14:paraId="33970494"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Ma, Y., Rahim, N. S. B. A., Panatik, S. A. B., &amp; Li, R. (2024). Corporate governance, technological innovation, and corporate performance: Evidence from China. </w:t>
      </w:r>
      <w:r w:rsidRPr="00EB11D3">
        <w:rPr>
          <w:i/>
          <w:iCs/>
          <w:color w:val="222222"/>
          <w:szCs w:val="24"/>
          <w:shd w:val="clear" w:color="auto" w:fill="FFFFFF"/>
        </w:rPr>
        <w:t>Heliyon</w:t>
      </w:r>
      <w:r w:rsidRPr="00EB11D3">
        <w:rPr>
          <w:color w:val="222222"/>
          <w:szCs w:val="24"/>
          <w:shd w:val="clear" w:color="auto" w:fill="FFFFFF"/>
        </w:rPr>
        <w:t>, </w:t>
      </w:r>
      <w:r w:rsidRPr="00EB11D3">
        <w:rPr>
          <w:i/>
          <w:iCs/>
          <w:color w:val="222222"/>
          <w:szCs w:val="24"/>
          <w:shd w:val="clear" w:color="auto" w:fill="FFFFFF"/>
        </w:rPr>
        <w:t>10</w:t>
      </w:r>
      <w:r w:rsidRPr="00EB11D3">
        <w:rPr>
          <w:color w:val="222222"/>
          <w:szCs w:val="24"/>
          <w:shd w:val="clear" w:color="auto" w:fill="FFFFFF"/>
        </w:rPr>
        <w:t>(11).</w:t>
      </w:r>
    </w:p>
    <w:p w14:paraId="4397820C"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Mahavarpour, N., Marvi, R., &amp; Foroudi, P. (2023). A brief history of service innovation: The evolution of past, present, and future service innovation. </w:t>
      </w:r>
      <w:r w:rsidRPr="00EB11D3">
        <w:rPr>
          <w:i/>
          <w:iCs/>
          <w:szCs w:val="24"/>
          <w:shd w:val="clear" w:color="auto" w:fill="FFFFFF"/>
        </w:rPr>
        <w:t>Journal of Business Research</w:t>
      </w:r>
      <w:r w:rsidRPr="00EB11D3">
        <w:rPr>
          <w:szCs w:val="24"/>
          <w:shd w:val="clear" w:color="auto" w:fill="FFFFFF"/>
        </w:rPr>
        <w:t>, </w:t>
      </w:r>
      <w:r w:rsidRPr="00EB11D3">
        <w:rPr>
          <w:i/>
          <w:iCs/>
          <w:szCs w:val="24"/>
          <w:shd w:val="clear" w:color="auto" w:fill="FFFFFF"/>
        </w:rPr>
        <w:t>160</w:t>
      </w:r>
      <w:r w:rsidRPr="00EB11D3">
        <w:rPr>
          <w:szCs w:val="24"/>
          <w:shd w:val="clear" w:color="auto" w:fill="FFFFFF"/>
        </w:rPr>
        <w:t>, 113795.</w:t>
      </w:r>
    </w:p>
    <w:p w14:paraId="2664EFDC" w14:textId="77777777" w:rsidR="003A6047" w:rsidRPr="00EB11D3" w:rsidRDefault="003A6047" w:rsidP="00813B05">
      <w:pPr>
        <w:spacing w:after="0" w:line="360" w:lineRule="auto"/>
        <w:ind w:left="720" w:hanging="720"/>
        <w:rPr>
          <w:szCs w:val="24"/>
        </w:rPr>
      </w:pPr>
      <w:bookmarkStart w:id="1168" w:name="_Hlk123637297"/>
      <w:r w:rsidRPr="00EB11D3">
        <w:rPr>
          <w:szCs w:val="24"/>
        </w:rPr>
        <w:t xml:space="preserve">Mahmoud, M. A., Hinson, R. E., &amp; Anim, P. A. (2017). Service innovation and customer satisfaction: </w:t>
      </w:r>
      <w:bookmarkEnd w:id="1168"/>
      <w:r w:rsidRPr="00EB11D3">
        <w:rPr>
          <w:szCs w:val="24"/>
        </w:rPr>
        <w:t xml:space="preserve">the role of customer value creation. </w:t>
      </w:r>
      <w:r w:rsidRPr="00EB11D3">
        <w:rPr>
          <w:i/>
          <w:iCs/>
          <w:szCs w:val="24"/>
        </w:rPr>
        <w:t>European Journal of Innovation Management</w:t>
      </w:r>
      <w:r w:rsidRPr="00EB11D3">
        <w:rPr>
          <w:szCs w:val="24"/>
        </w:rPr>
        <w:t xml:space="preserve">, </w:t>
      </w:r>
      <w:r w:rsidRPr="00EB11D3">
        <w:rPr>
          <w:i/>
          <w:iCs/>
          <w:szCs w:val="24"/>
        </w:rPr>
        <w:t>21</w:t>
      </w:r>
      <w:r w:rsidRPr="00EB11D3">
        <w:rPr>
          <w:szCs w:val="24"/>
        </w:rPr>
        <w:t xml:space="preserve"> (3), 402-422.</w:t>
      </w:r>
    </w:p>
    <w:p w14:paraId="09529B2C"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 xml:space="preserve">Makgopa, S.S. (2021). Drivers of Service Innovation in Service Organisations. </w:t>
      </w:r>
      <w:r w:rsidRPr="00EB11D3">
        <w:rPr>
          <w:i/>
          <w:iCs/>
          <w:color w:val="222222"/>
          <w:szCs w:val="24"/>
          <w:shd w:val="clear" w:color="auto" w:fill="FFFFFF"/>
        </w:rPr>
        <w:t>Academic Journal of Interdisciplinary Studies</w:t>
      </w:r>
      <w:r w:rsidRPr="00EB11D3">
        <w:rPr>
          <w:color w:val="222222"/>
          <w:szCs w:val="24"/>
          <w:shd w:val="clear" w:color="auto" w:fill="FFFFFF"/>
        </w:rPr>
        <w:t>, 10(2): 45-45.</w:t>
      </w:r>
    </w:p>
    <w:p w14:paraId="4117AF11"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Malik, M. S., Younus, S., &amp; Sattar, S. (2022). The Impact of Corporate Governance with Mediating Effect of Digital Innovation on Firm Performance. </w:t>
      </w:r>
      <w:r w:rsidRPr="00EB11D3">
        <w:rPr>
          <w:i/>
          <w:iCs/>
          <w:szCs w:val="24"/>
          <w:shd w:val="clear" w:color="auto" w:fill="FFFFFF"/>
        </w:rPr>
        <w:t>Sustainable Business and Society in Emerging Economies</w:t>
      </w:r>
      <w:r w:rsidRPr="00EB11D3">
        <w:rPr>
          <w:szCs w:val="24"/>
          <w:shd w:val="clear" w:color="auto" w:fill="FFFFFF"/>
        </w:rPr>
        <w:t>, </w:t>
      </w:r>
      <w:r w:rsidRPr="00EB11D3">
        <w:rPr>
          <w:i/>
          <w:iCs/>
          <w:szCs w:val="24"/>
          <w:shd w:val="clear" w:color="auto" w:fill="FFFFFF"/>
        </w:rPr>
        <w:t>4</w:t>
      </w:r>
      <w:r w:rsidRPr="00EB11D3">
        <w:rPr>
          <w:szCs w:val="24"/>
          <w:shd w:val="clear" w:color="auto" w:fill="FFFFFF"/>
        </w:rPr>
        <w:t>(1), 179-194.</w:t>
      </w:r>
    </w:p>
    <w:p w14:paraId="44A3EEF9"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Mallin, C., Finkle, T., &amp; Cai, L. (2023). Corporate governance and the financial crisis: A comparative analysis of risk management. </w:t>
      </w:r>
      <w:r w:rsidRPr="00FA7816">
        <w:rPr>
          <w:rFonts w:eastAsia="Times New Roman"/>
          <w:bCs/>
          <w:i/>
          <w:iCs/>
          <w:szCs w:val="24"/>
        </w:rPr>
        <w:t>Journal of Corporate Finance</w:t>
      </w:r>
      <w:r w:rsidRPr="00EB11D3">
        <w:rPr>
          <w:rFonts w:eastAsia="Times New Roman"/>
          <w:bCs/>
          <w:szCs w:val="24"/>
        </w:rPr>
        <w:t>, 19, 357-373.</w:t>
      </w:r>
    </w:p>
    <w:p w14:paraId="6013B174"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Malmqvist, J., Hellberg, K., Möllås, G., Rose, R., &amp; Shevlin, M. (2019). Conducting the pilot study: A neglected part of the research process? Methodological findings supporting the importance of piloting in qualitative research studies. </w:t>
      </w:r>
      <w:r w:rsidRPr="00EB11D3">
        <w:rPr>
          <w:i/>
          <w:iCs/>
          <w:szCs w:val="24"/>
          <w:shd w:val="clear" w:color="auto" w:fill="FFFFFF"/>
        </w:rPr>
        <w:t>International Journal of Qualitative Methods</w:t>
      </w:r>
      <w:r w:rsidRPr="00EB11D3">
        <w:rPr>
          <w:szCs w:val="24"/>
          <w:shd w:val="clear" w:color="auto" w:fill="FFFFFF"/>
        </w:rPr>
        <w:t>, </w:t>
      </w:r>
      <w:r w:rsidRPr="00EB11D3">
        <w:rPr>
          <w:i/>
          <w:iCs/>
          <w:szCs w:val="24"/>
          <w:shd w:val="clear" w:color="auto" w:fill="FFFFFF"/>
        </w:rPr>
        <w:t>18</w:t>
      </w:r>
      <w:r w:rsidRPr="00EB11D3">
        <w:rPr>
          <w:szCs w:val="24"/>
          <w:shd w:val="clear" w:color="auto" w:fill="FFFFFF"/>
        </w:rPr>
        <w:t>, 1609406919878341.</w:t>
      </w:r>
    </w:p>
    <w:p w14:paraId="6E8B97AA"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Mannion, R., Davies, H., Powell, M., Blenkinsopp, J., Millar, R., McHale, J., &amp; Snowden, N. (2019). Healthcare scandals and the failings of doctors: Do official inquiries hold the profession to account?. </w:t>
      </w:r>
      <w:r w:rsidRPr="00EB11D3">
        <w:rPr>
          <w:i/>
          <w:iCs/>
          <w:szCs w:val="24"/>
          <w:shd w:val="clear" w:color="auto" w:fill="FFFFFF"/>
        </w:rPr>
        <w:t>Journal of Health Organization and Management</w:t>
      </w:r>
      <w:r w:rsidRPr="00EB11D3">
        <w:rPr>
          <w:szCs w:val="24"/>
          <w:shd w:val="clear" w:color="auto" w:fill="FFFFFF"/>
        </w:rPr>
        <w:t>, </w:t>
      </w:r>
      <w:r w:rsidRPr="00EB11D3">
        <w:rPr>
          <w:i/>
          <w:iCs/>
          <w:szCs w:val="24"/>
          <w:shd w:val="clear" w:color="auto" w:fill="FFFFFF"/>
        </w:rPr>
        <w:t>33</w:t>
      </w:r>
      <w:r w:rsidRPr="00EB11D3">
        <w:rPr>
          <w:szCs w:val="24"/>
          <w:shd w:val="clear" w:color="auto" w:fill="FFFFFF"/>
        </w:rPr>
        <w:t>(2), 221-240.</w:t>
      </w:r>
    </w:p>
    <w:p w14:paraId="7C463D81"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Mansour, S., &amp; Nogues, S. (2022). Advantages of and Barriers to Crafting New Technology in Healthcare Organizations: A Qualitative Study in the COVID-19 Context. </w:t>
      </w:r>
      <w:r w:rsidRPr="00EB11D3">
        <w:rPr>
          <w:i/>
          <w:iCs/>
          <w:szCs w:val="24"/>
          <w:shd w:val="clear" w:color="auto" w:fill="FFFFFF"/>
        </w:rPr>
        <w:t>International Journal of Environmental Research and Public Health</w:t>
      </w:r>
      <w:r w:rsidRPr="00EB11D3">
        <w:rPr>
          <w:szCs w:val="24"/>
          <w:shd w:val="clear" w:color="auto" w:fill="FFFFFF"/>
        </w:rPr>
        <w:t>, </w:t>
      </w:r>
      <w:r w:rsidRPr="00EB11D3">
        <w:rPr>
          <w:i/>
          <w:iCs/>
          <w:szCs w:val="24"/>
          <w:shd w:val="clear" w:color="auto" w:fill="FFFFFF"/>
        </w:rPr>
        <w:t>19</w:t>
      </w:r>
      <w:r w:rsidRPr="00EB11D3">
        <w:rPr>
          <w:szCs w:val="24"/>
          <w:shd w:val="clear" w:color="auto" w:fill="FFFFFF"/>
        </w:rPr>
        <w:t>(16), 9951.</w:t>
      </w:r>
    </w:p>
    <w:p w14:paraId="2DB27B85" w14:textId="77777777" w:rsidR="003A6047" w:rsidRPr="00EB11D3" w:rsidRDefault="003A6047" w:rsidP="00813B05">
      <w:pPr>
        <w:spacing w:after="0" w:line="360" w:lineRule="auto"/>
        <w:ind w:left="720" w:hanging="720"/>
        <w:rPr>
          <w:szCs w:val="24"/>
          <w:shd w:val="clear" w:color="auto" w:fill="FFFFFF"/>
        </w:rPr>
      </w:pPr>
      <w:bookmarkStart w:id="1169" w:name="_Hlk170831721"/>
      <w:r w:rsidRPr="00EB11D3">
        <w:rPr>
          <w:szCs w:val="24"/>
          <w:shd w:val="clear" w:color="auto" w:fill="FFFFFF"/>
        </w:rPr>
        <w:t>Marques, I. C. P., da Silva, Z. M., Teixeira, S., &amp; Nogueira, F. M. D. (2020). Corporate governance and the environment in the health sector: Systematic literature review. </w:t>
      </w:r>
      <w:r w:rsidRPr="00EB11D3">
        <w:rPr>
          <w:i/>
          <w:iCs/>
          <w:szCs w:val="24"/>
          <w:shd w:val="clear" w:color="auto" w:fill="FFFFFF"/>
        </w:rPr>
        <w:t>Journal of Governance and Regulation/Volume</w:t>
      </w:r>
      <w:r w:rsidRPr="00EB11D3">
        <w:rPr>
          <w:szCs w:val="24"/>
          <w:shd w:val="clear" w:color="auto" w:fill="FFFFFF"/>
        </w:rPr>
        <w:t>, </w:t>
      </w:r>
      <w:r w:rsidRPr="00EB11D3">
        <w:rPr>
          <w:i/>
          <w:iCs/>
          <w:szCs w:val="24"/>
          <w:shd w:val="clear" w:color="auto" w:fill="FFFFFF"/>
        </w:rPr>
        <w:t>9</w:t>
      </w:r>
      <w:r w:rsidRPr="00EB11D3">
        <w:rPr>
          <w:szCs w:val="24"/>
          <w:shd w:val="clear" w:color="auto" w:fill="FFFFFF"/>
        </w:rPr>
        <w:t>(2).</w:t>
      </w:r>
    </w:p>
    <w:bookmarkEnd w:id="1169"/>
    <w:p w14:paraId="33396852"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Martín, C., &amp; Herrero, B. (2018). Boards of directors: composition and effects on the performance of the firm. </w:t>
      </w:r>
      <w:r w:rsidRPr="00EB11D3">
        <w:rPr>
          <w:i/>
          <w:iCs/>
          <w:szCs w:val="24"/>
          <w:shd w:val="clear" w:color="auto" w:fill="FFFFFF"/>
        </w:rPr>
        <w:t>Economic research-Ekonomska istraživanja</w:t>
      </w:r>
      <w:r w:rsidRPr="00EB11D3">
        <w:rPr>
          <w:szCs w:val="24"/>
          <w:shd w:val="clear" w:color="auto" w:fill="FFFFFF"/>
        </w:rPr>
        <w:t>, </w:t>
      </w:r>
      <w:r w:rsidRPr="00EB11D3">
        <w:rPr>
          <w:i/>
          <w:iCs/>
          <w:szCs w:val="24"/>
          <w:shd w:val="clear" w:color="auto" w:fill="FFFFFF"/>
        </w:rPr>
        <w:t>31</w:t>
      </w:r>
      <w:r w:rsidRPr="00EB11D3">
        <w:rPr>
          <w:szCs w:val="24"/>
          <w:shd w:val="clear" w:color="auto" w:fill="FFFFFF"/>
        </w:rPr>
        <w:t>(1), 1015-1041.</w:t>
      </w:r>
    </w:p>
    <w:p w14:paraId="3C63E4CF"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Masud, M. A. K., Nurunnabi, M., &amp; Bae, S. M. (2018). The effects of corporate governance on environmental sustainability reporting: Empirical evidence from South Asian countries. </w:t>
      </w:r>
      <w:r w:rsidRPr="00EB11D3">
        <w:rPr>
          <w:i/>
          <w:iCs/>
          <w:color w:val="222222"/>
          <w:szCs w:val="24"/>
          <w:shd w:val="clear" w:color="auto" w:fill="FFFFFF"/>
        </w:rPr>
        <w:t>Asian Journal of Sustainability and Social Responsibility</w:t>
      </w:r>
      <w:r w:rsidRPr="00EB11D3">
        <w:rPr>
          <w:color w:val="222222"/>
          <w:szCs w:val="24"/>
          <w:shd w:val="clear" w:color="auto" w:fill="FFFFFF"/>
        </w:rPr>
        <w:t>, </w:t>
      </w:r>
      <w:r w:rsidRPr="00EB11D3">
        <w:rPr>
          <w:i/>
          <w:iCs/>
          <w:color w:val="222222"/>
          <w:szCs w:val="24"/>
          <w:shd w:val="clear" w:color="auto" w:fill="FFFFFF"/>
        </w:rPr>
        <w:t>3</w:t>
      </w:r>
      <w:r w:rsidRPr="00EB11D3">
        <w:rPr>
          <w:color w:val="222222"/>
          <w:szCs w:val="24"/>
          <w:shd w:val="clear" w:color="auto" w:fill="FFFFFF"/>
        </w:rPr>
        <w:t>(1), 1-26.</w:t>
      </w:r>
    </w:p>
    <w:p w14:paraId="5F4DBCED"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Mawlawi, A., &amp; El Fawal, A. (2018). Talent management in the lebanese banking sector. </w:t>
      </w:r>
      <w:r w:rsidRPr="00EB11D3">
        <w:rPr>
          <w:i/>
          <w:iCs/>
          <w:color w:val="222222"/>
          <w:szCs w:val="24"/>
          <w:shd w:val="clear" w:color="auto" w:fill="FFFFFF"/>
        </w:rPr>
        <w:t>Management</w:t>
      </w:r>
      <w:r w:rsidRPr="00EB11D3">
        <w:rPr>
          <w:color w:val="222222"/>
          <w:szCs w:val="24"/>
          <w:shd w:val="clear" w:color="auto" w:fill="FFFFFF"/>
        </w:rPr>
        <w:t>, </w:t>
      </w:r>
      <w:r w:rsidRPr="00EB11D3">
        <w:rPr>
          <w:i/>
          <w:iCs/>
          <w:color w:val="222222"/>
          <w:szCs w:val="24"/>
          <w:shd w:val="clear" w:color="auto" w:fill="FFFFFF"/>
        </w:rPr>
        <w:t>8</w:t>
      </w:r>
      <w:r w:rsidRPr="00EB11D3">
        <w:rPr>
          <w:color w:val="222222"/>
          <w:szCs w:val="24"/>
          <w:shd w:val="clear" w:color="auto" w:fill="FFFFFF"/>
        </w:rPr>
        <w:t>(3), 80-85.</w:t>
      </w:r>
    </w:p>
    <w:p w14:paraId="4455C73C"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rPr>
        <w:t>Mbindyo, R., Kioko, J., Siyoi, F., Cheruiyot, S., Wangai, M., Onsongo, J., ... &amp; Miriti, K. (2020). Legal and institutional foundations for universal health coverage, Kenya. </w:t>
      </w:r>
      <w:r w:rsidRPr="00EB11D3">
        <w:rPr>
          <w:i/>
          <w:iCs/>
          <w:szCs w:val="24"/>
          <w:shd w:val="clear" w:color="auto" w:fill="FFFFFF"/>
        </w:rPr>
        <w:t>Bulletin of the World Health Organization</w:t>
      </w:r>
      <w:r w:rsidRPr="00EB11D3">
        <w:rPr>
          <w:szCs w:val="24"/>
          <w:shd w:val="clear" w:color="auto" w:fill="FFFFFF"/>
        </w:rPr>
        <w:t>, </w:t>
      </w:r>
      <w:r w:rsidRPr="00EB11D3">
        <w:rPr>
          <w:i/>
          <w:iCs/>
          <w:szCs w:val="24"/>
          <w:shd w:val="clear" w:color="auto" w:fill="FFFFFF"/>
        </w:rPr>
        <w:t>98</w:t>
      </w:r>
      <w:r w:rsidRPr="00EB11D3">
        <w:rPr>
          <w:szCs w:val="24"/>
          <w:shd w:val="clear" w:color="auto" w:fill="FFFFFF"/>
        </w:rPr>
        <w:t>(10), 706.</w:t>
      </w:r>
    </w:p>
    <w:p w14:paraId="29C91B4B"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McNeish D. (2018). Thanks coefficient alpha, we’ll take it from here. </w:t>
      </w:r>
      <w:r w:rsidRPr="00EB11D3">
        <w:rPr>
          <w:rStyle w:val="Emphasis"/>
          <w:szCs w:val="24"/>
          <w:shd w:val="clear" w:color="auto" w:fill="FFFFFF"/>
        </w:rPr>
        <w:t>Psychological Methods</w:t>
      </w:r>
      <w:r w:rsidRPr="00EB11D3">
        <w:rPr>
          <w:szCs w:val="24"/>
          <w:shd w:val="clear" w:color="auto" w:fill="FFFFFF"/>
        </w:rPr>
        <w:t xml:space="preserve">, </w:t>
      </w:r>
      <w:r w:rsidRPr="00EB11D3">
        <w:rPr>
          <w:i/>
          <w:iCs/>
          <w:szCs w:val="24"/>
          <w:shd w:val="clear" w:color="auto" w:fill="FFFFFF"/>
        </w:rPr>
        <w:t>23</w:t>
      </w:r>
      <w:r w:rsidRPr="00EB11D3">
        <w:rPr>
          <w:szCs w:val="24"/>
          <w:shd w:val="clear" w:color="auto" w:fill="FFFFFF"/>
        </w:rPr>
        <w:t>(3), 412. </w:t>
      </w:r>
    </w:p>
    <w:p w14:paraId="2328E590" w14:textId="77777777" w:rsidR="003A6047" w:rsidRPr="00EB11D3" w:rsidDel="004C014E" w:rsidRDefault="003A6047" w:rsidP="00813B05">
      <w:pPr>
        <w:spacing w:after="0" w:line="360" w:lineRule="auto"/>
        <w:ind w:left="720" w:hanging="720"/>
        <w:rPr>
          <w:szCs w:val="24"/>
          <w:shd w:val="clear" w:color="auto" w:fill="FFFFFF"/>
        </w:rPr>
      </w:pPr>
      <w:r w:rsidRPr="00EB11D3" w:rsidDel="004C014E">
        <w:rPr>
          <w:szCs w:val="24"/>
          <w:shd w:val="clear" w:color="auto" w:fill="FFFFFF"/>
        </w:rPr>
        <w:t>Mellado, C., &amp; Saona, P. (2020). Real earnings management and corporate governance: A study of Latin America. </w:t>
      </w:r>
      <w:r w:rsidRPr="00EB11D3" w:rsidDel="004C014E">
        <w:rPr>
          <w:i/>
          <w:iCs/>
          <w:szCs w:val="24"/>
          <w:shd w:val="clear" w:color="auto" w:fill="FFFFFF"/>
        </w:rPr>
        <w:t>Economic research-Ekonomska istraživanja</w:t>
      </w:r>
      <w:r w:rsidRPr="00EB11D3" w:rsidDel="004C014E">
        <w:rPr>
          <w:szCs w:val="24"/>
          <w:shd w:val="clear" w:color="auto" w:fill="FFFFFF"/>
        </w:rPr>
        <w:t>, </w:t>
      </w:r>
      <w:r w:rsidRPr="00EB11D3" w:rsidDel="004C014E">
        <w:rPr>
          <w:i/>
          <w:iCs/>
          <w:szCs w:val="24"/>
          <w:shd w:val="clear" w:color="auto" w:fill="FFFFFF"/>
        </w:rPr>
        <w:t>33</w:t>
      </w:r>
      <w:r w:rsidRPr="00EB11D3" w:rsidDel="004C014E">
        <w:rPr>
          <w:szCs w:val="24"/>
          <w:shd w:val="clear" w:color="auto" w:fill="FFFFFF"/>
        </w:rPr>
        <w:t>(1), 2229-2268.</w:t>
      </w:r>
    </w:p>
    <w:p w14:paraId="72FB8C91"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Miao, Khan, Ghauri, P.S., &amp; Zaman, I.S. (2023). The effect of corporate governance on firm performance: perspectives from an emerging market. </w:t>
      </w:r>
      <w:r w:rsidRPr="00EB11D3">
        <w:rPr>
          <w:i/>
          <w:iCs/>
          <w:szCs w:val="24"/>
          <w:shd w:val="clear" w:color="auto" w:fill="FFFFFF"/>
        </w:rPr>
        <w:t>Economic research-Ekonomska istraživanja</w:t>
      </w:r>
      <w:r w:rsidRPr="00EB11D3">
        <w:rPr>
          <w:szCs w:val="24"/>
          <w:shd w:val="clear" w:color="auto" w:fill="FFFFFF"/>
        </w:rPr>
        <w:t>, </w:t>
      </w:r>
      <w:r w:rsidRPr="00EB11D3">
        <w:rPr>
          <w:i/>
          <w:iCs/>
          <w:szCs w:val="24"/>
          <w:shd w:val="clear" w:color="auto" w:fill="FFFFFF"/>
        </w:rPr>
        <w:t>36</w:t>
      </w:r>
      <w:r w:rsidRPr="00EB11D3">
        <w:rPr>
          <w:szCs w:val="24"/>
          <w:shd w:val="clear" w:color="auto" w:fill="FFFFFF"/>
        </w:rPr>
        <w:t>(3).</w:t>
      </w:r>
    </w:p>
    <w:p w14:paraId="374C8CEA"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Mikalef, P., Boura, M., Lekakos, G., &amp; Krogstie, J. (2019). Big data analytics and firm performance: Findings from a mixed-method approach. </w:t>
      </w:r>
      <w:r w:rsidRPr="00EB11D3">
        <w:rPr>
          <w:i/>
          <w:iCs/>
          <w:szCs w:val="24"/>
          <w:shd w:val="clear" w:color="auto" w:fill="FFFFFF"/>
        </w:rPr>
        <w:t>Journal of Business Research</w:t>
      </w:r>
      <w:r w:rsidRPr="00EB11D3">
        <w:rPr>
          <w:szCs w:val="24"/>
          <w:shd w:val="clear" w:color="auto" w:fill="FFFFFF"/>
        </w:rPr>
        <w:t>, </w:t>
      </w:r>
      <w:r w:rsidRPr="00EB11D3">
        <w:rPr>
          <w:i/>
          <w:iCs/>
          <w:szCs w:val="24"/>
          <w:shd w:val="clear" w:color="auto" w:fill="FFFFFF"/>
        </w:rPr>
        <w:t>98</w:t>
      </w:r>
      <w:r w:rsidRPr="00EB11D3">
        <w:rPr>
          <w:szCs w:val="24"/>
          <w:shd w:val="clear" w:color="auto" w:fill="FFFFFF"/>
        </w:rPr>
        <w:t>, 261-276.</w:t>
      </w:r>
    </w:p>
    <w:p w14:paraId="0EC6B89D"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Millar, C., Lockett, M., &amp; Ladd, T. (2018). Disruption: Technology, innovation and society. </w:t>
      </w:r>
      <w:r w:rsidRPr="00EB11D3">
        <w:rPr>
          <w:i/>
          <w:iCs/>
          <w:szCs w:val="24"/>
          <w:shd w:val="clear" w:color="auto" w:fill="FFFFFF"/>
        </w:rPr>
        <w:t>Technological Forecasting and Social Change</w:t>
      </w:r>
      <w:r w:rsidRPr="00EB11D3">
        <w:rPr>
          <w:szCs w:val="24"/>
          <w:shd w:val="clear" w:color="auto" w:fill="FFFFFF"/>
        </w:rPr>
        <w:t>, </w:t>
      </w:r>
      <w:r w:rsidRPr="00EB11D3">
        <w:rPr>
          <w:i/>
          <w:iCs/>
          <w:szCs w:val="24"/>
          <w:shd w:val="clear" w:color="auto" w:fill="FFFFFF"/>
        </w:rPr>
        <w:t>129</w:t>
      </w:r>
      <w:r w:rsidRPr="00EB11D3">
        <w:rPr>
          <w:szCs w:val="24"/>
          <w:shd w:val="clear" w:color="auto" w:fill="FFFFFF"/>
        </w:rPr>
        <w:t>, 254-260.</w:t>
      </w:r>
    </w:p>
    <w:p w14:paraId="78A51D13"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Ministry of Health, MOH (2016). </w:t>
      </w:r>
      <w:r w:rsidRPr="00FA7816">
        <w:rPr>
          <w:i/>
          <w:iCs/>
          <w:szCs w:val="24"/>
          <w:shd w:val="clear" w:color="auto" w:fill="FFFFFF"/>
        </w:rPr>
        <w:t>Mini-Service Availability and Readiness Assessment</w:t>
      </w:r>
      <w:r w:rsidRPr="00EB11D3">
        <w:rPr>
          <w:szCs w:val="24"/>
          <w:shd w:val="clear" w:color="auto" w:fill="FFFFFF"/>
        </w:rPr>
        <w:t xml:space="preserve"> (Mini-SARA), 2016 Survey Report. Nairobi: Republic of Kenya.</w:t>
      </w:r>
    </w:p>
    <w:p w14:paraId="71594B06"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Mitrasinovic, S., Camacho, E., Trivedi, N., Logan, J., Campbell, C., Zilinyi, R., Lieber, B., Bruce, E., Taylor, B., Martineau, D., Dumont, E. L. P., Appelboom, G., &amp; Connolly Jr, E. S. (2015). Clinical and surgical applications of smart glasses. </w:t>
      </w:r>
      <w:r w:rsidRPr="00EB11D3">
        <w:rPr>
          <w:i/>
          <w:iCs/>
          <w:color w:val="222222"/>
          <w:szCs w:val="24"/>
          <w:shd w:val="clear" w:color="auto" w:fill="FFFFFF"/>
        </w:rPr>
        <w:t>Technology and Health Care, 23</w:t>
      </w:r>
      <w:r w:rsidRPr="00EB11D3">
        <w:rPr>
          <w:color w:val="222222"/>
          <w:szCs w:val="24"/>
          <w:shd w:val="clear" w:color="auto" w:fill="FFFFFF"/>
        </w:rPr>
        <w:t>, 381–401. </w:t>
      </w:r>
    </w:p>
    <w:p w14:paraId="09A01F64"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Mohajan, H. K. (2017). Two criteria for good measurements in research: Validity and reliability. Annals of Spiru Haret University. </w:t>
      </w:r>
      <w:r w:rsidRPr="00EB11D3">
        <w:rPr>
          <w:i/>
          <w:iCs/>
          <w:szCs w:val="24"/>
          <w:shd w:val="clear" w:color="auto" w:fill="FFFFFF"/>
        </w:rPr>
        <w:t>Economic Series</w:t>
      </w:r>
      <w:r w:rsidRPr="00EB11D3">
        <w:rPr>
          <w:szCs w:val="24"/>
          <w:shd w:val="clear" w:color="auto" w:fill="FFFFFF"/>
        </w:rPr>
        <w:t>, </w:t>
      </w:r>
      <w:r w:rsidRPr="00EB11D3">
        <w:rPr>
          <w:i/>
          <w:iCs/>
          <w:szCs w:val="24"/>
          <w:shd w:val="clear" w:color="auto" w:fill="FFFFFF"/>
        </w:rPr>
        <w:t>17</w:t>
      </w:r>
      <w:r w:rsidRPr="00EB11D3">
        <w:rPr>
          <w:szCs w:val="24"/>
          <w:shd w:val="clear" w:color="auto" w:fill="FFFFFF"/>
        </w:rPr>
        <w:t>(4), 59-82.</w:t>
      </w:r>
    </w:p>
    <w:p w14:paraId="5EE0FCB1"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rPr>
        <w:t>Mohammed, F., Ibrahim, O., &amp; Ithnin, N. (2016). Factors influencing cloud computing adoption for e-government implementation in developing countries: Instrument development. </w:t>
      </w:r>
      <w:r w:rsidRPr="00EB11D3">
        <w:rPr>
          <w:i/>
          <w:iCs/>
          <w:szCs w:val="24"/>
          <w:shd w:val="clear" w:color="auto" w:fill="FFFFFF"/>
        </w:rPr>
        <w:t>Journal of Systems and Information Technology</w:t>
      </w:r>
      <w:r w:rsidRPr="00EB11D3">
        <w:rPr>
          <w:szCs w:val="24"/>
          <w:shd w:val="clear" w:color="auto" w:fill="FFFFFF"/>
        </w:rPr>
        <w:t>, </w:t>
      </w:r>
      <w:r w:rsidRPr="00EB11D3">
        <w:rPr>
          <w:i/>
          <w:iCs/>
          <w:szCs w:val="24"/>
          <w:shd w:val="clear" w:color="auto" w:fill="FFFFFF"/>
        </w:rPr>
        <w:t>18</w:t>
      </w:r>
      <w:r w:rsidRPr="00EB11D3">
        <w:rPr>
          <w:szCs w:val="24"/>
          <w:shd w:val="clear" w:color="auto" w:fill="FFFFFF"/>
        </w:rPr>
        <w:t>(3), 297-327.</w:t>
      </w:r>
    </w:p>
    <w:p w14:paraId="784B096F"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Moro Visconti, R., &amp; Morea, D. (2020). Healthcare digitalization and pay-for-performance incentives in smart hospital project financing. </w:t>
      </w:r>
      <w:r w:rsidRPr="00EB11D3">
        <w:rPr>
          <w:i/>
          <w:iCs/>
          <w:color w:val="222222"/>
          <w:szCs w:val="24"/>
          <w:shd w:val="clear" w:color="auto" w:fill="FFFFFF"/>
        </w:rPr>
        <w:t>International journal of environmental research and public health</w:t>
      </w:r>
      <w:r w:rsidRPr="00EB11D3">
        <w:rPr>
          <w:color w:val="222222"/>
          <w:szCs w:val="24"/>
          <w:shd w:val="clear" w:color="auto" w:fill="FFFFFF"/>
        </w:rPr>
        <w:t>, </w:t>
      </w:r>
      <w:r w:rsidRPr="00EB11D3">
        <w:rPr>
          <w:i/>
          <w:iCs/>
          <w:color w:val="222222"/>
          <w:szCs w:val="24"/>
          <w:shd w:val="clear" w:color="auto" w:fill="FFFFFF"/>
        </w:rPr>
        <w:t>17</w:t>
      </w:r>
      <w:r w:rsidRPr="00EB11D3">
        <w:rPr>
          <w:color w:val="222222"/>
          <w:szCs w:val="24"/>
          <w:shd w:val="clear" w:color="auto" w:fill="FFFFFF"/>
        </w:rPr>
        <w:t>(7), 2318.</w:t>
      </w:r>
    </w:p>
    <w:p w14:paraId="71B5E02E"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Mousa, S. K., &amp; Othman, M. (2020). The impact of green human resource management practices on sustainable performance in healthcare organisations: A conceptual framework. </w:t>
      </w:r>
      <w:r w:rsidRPr="00EB11D3">
        <w:rPr>
          <w:i/>
          <w:iCs/>
          <w:szCs w:val="24"/>
          <w:shd w:val="clear" w:color="auto" w:fill="FFFFFF"/>
        </w:rPr>
        <w:t>Journal of Cleaner Production</w:t>
      </w:r>
      <w:r w:rsidRPr="00EB11D3">
        <w:rPr>
          <w:szCs w:val="24"/>
          <w:shd w:val="clear" w:color="auto" w:fill="FFFFFF"/>
        </w:rPr>
        <w:t>, </w:t>
      </w:r>
      <w:r w:rsidRPr="00EB11D3">
        <w:rPr>
          <w:i/>
          <w:iCs/>
          <w:szCs w:val="24"/>
          <w:shd w:val="clear" w:color="auto" w:fill="FFFFFF"/>
        </w:rPr>
        <w:t>243</w:t>
      </w:r>
      <w:r w:rsidRPr="00EB11D3">
        <w:rPr>
          <w:szCs w:val="24"/>
          <w:shd w:val="clear" w:color="auto" w:fill="FFFFFF"/>
        </w:rPr>
        <w:t>, 118595.</w:t>
      </w:r>
    </w:p>
    <w:p w14:paraId="69664476" w14:textId="77777777" w:rsidR="003A6047"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 xml:space="preserve">Mu, Y., Bossink, B., &amp; Vinig, T. (2018). Employee involvement in ideation and healthcare service innovation quality. </w:t>
      </w:r>
      <w:r w:rsidRPr="00EB11D3">
        <w:rPr>
          <w:i/>
          <w:iCs/>
          <w:color w:val="222222"/>
          <w:szCs w:val="24"/>
          <w:shd w:val="clear" w:color="auto" w:fill="FFFFFF"/>
        </w:rPr>
        <w:t>Service Industries Journal</w:t>
      </w:r>
      <w:r w:rsidRPr="00EB11D3">
        <w:rPr>
          <w:color w:val="222222"/>
          <w:szCs w:val="24"/>
          <w:shd w:val="clear" w:color="auto" w:fill="FFFFFF"/>
        </w:rPr>
        <w:t>, 38(1-2), 67-86.</w:t>
      </w:r>
    </w:p>
    <w:p w14:paraId="135D5789" w14:textId="77777777" w:rsidR="003A6047" w:rsidRPr="00EB11D3" w:rsidRDefault="003A6047" w:rsidP="00813B05">
      <w:pPr>
        <w:spacing w:after="0" w:line="360" w:lineRule="auto"/>
        <w:ind w:left="720" w:hanging="720"/>
        <w:rPr>
          <w:color w:val="222222"/>
          <w:szCs w:val="24"/>
          <w:shd w:val="clear" w:color="auto" w:fill="FFFFFF"/>
        </w:rPr>
      </w:pPr>
      <w:bookmarkStart w:id="1170" w:name="_Hlk170834393"/>
      <w:r w:rsidRPr="006E2E46">
        <w:rPr>
          <w:color w:val="222222"/>
          <w:szCs w:val="24"/>
          <w:shd w:val="clear" w:color="auto" w:fill="FFFFFF"/>
        </w:rPr>
        <w:t xml:space="preserve">Mugenda, O.M. &amp; Mugenda, A. G. (2003). </w:t>
      </w:r>
      <w:r w:rsidRPr="006E2E46">
        <w:rPr>
          <w:i/>
          <w:iCs/>
          <w:color w:val="222222"/>
          <w:szCs w:val="24"/>
          <w:shd w:val="clear" w:color="auto" w:fill="FFFFFF"/>
        </w:rPr>
        <w:t>Research methods, qualitative and quantitative Approach</w:t>
      </w:r>
      <w:r w:rsidRPr="006E2E46">
        <w:rPr>
          <w:color w:val="222222"/>
          <w:szCs w:val="24"/>
          <w:shd w:val="clear" w:color="auto" w:fill="FFFFFF"/>
        </w:rPr>
        <w:t>. Nairobi: Acts press.</w:t>
      </w:r>
    </w:p>
    <w:bookmarkEnd w:id="1170"/>
    <w:p w14:paraId="7EF3CF20"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rPr>
        <w:t>Mulda, R. (2020). Government Regulations, Enterpreneurial Orientation and Stakeholder Network Capability in Achieving Organizational Performance. </w:t>
      </w:r>
      <w:r w:rsidRPr="00EB11D3">
        <w:rPr>
          <w:i/>
          <w:iCs/>
          <w:szCs w:val="24"/>
          <w:shd w:val="clear" w:color="auto" w:fill="FFFFFF"/>
        </w:rPr>
        <w:t>Journal La Bisecoman</w:t>
      </w:r>
      <w:r w:rsidRPr="00EB11D3">
        <w:rPr>
          <w:szCs w:val="24"/>
          <w:shd w:val="clear" w:color="auto" w:fill="FFFFFF"/>
        </w:rPr>
        <w:t>, </w:t>
      </w:r>
      <w:r w:rsidRPr="00EB11D3">
        <w:rPr>
          <w:i/>
          <w:iCs/>
          <w:szCs w:val="24"/>
          <w:shd w:val="clear" w:color="auto" w:fill="FFFFFF"/>
        </w:rPr>
        <w:t>1</w:t>
      </w:r>
      <w:r w:rsidRPr="00EB11D3">
        <w:rPr>
          <w:szCs w:val="24"/>
          <w:shd w:val="clear" w:color="auto" w:fill="FFFFFF"/>
        </w:rPr>
        <w:t>(4), 1-8.</w:t>
      </w:r>
    </w:p>
    <w:p w14:paraId="6A5DECD8"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Mumu, J. R., Saona, P., Haque, M. S., &amp; Azad, M. A. K. (2022). Gender diversity in corporate governance: A bibliometric analysis and research agenda. </w:t>
      </w:r>
      <w:r w:rsidRPr="00EB11D3">
        <w:rPr>
          <w:rFonts w:eastAsia="Times New Roman"/>
          <w:bCs/>
          <w:i/>
          <w:iCs/>
          <w:szCs w:val="24"/>
        </w:rPr>
        <w:t>Gender in Management: An International Journal</w:t>
      </w:r>
      <w:r w:rsidRPr="00EB11D3">
        <w:rPr>
          <w:rFonts w:eastAsia="Times New Roman"/>
          <w:bCs/>
          <w:szCs w:val="24"/>
        </w:rPr>
        <w:t>, </w:t>
      </w:r>
      <w:r w:rsidRPr="00EB11D3">
        <w:rPr>
          <w:rFonts w:eastAsia="Times New Roman"/>
          <w:bCs/>
          <w:i/>
          <w:iCs/>
          <w:szCs w:val="24"/>
        </w:rPr>
        <w:t>37</w:t>
      </w:r>
      <w:r w:rsidRPr="00EB11D3">
        <w:rPr>
          <w:rFonts w:eastAsia="Times New Roman"/>
          <w:bCs/>
          <w:szCs w:val="24"/>
        </w:rPr>
        <w:t>(3), 328-343.</w:t>
      </w:r>
    </w:p>
    <w:p w14:paraId="3053FBCD"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Muriuki, J. W., Cheruiyot, T., &amp; Komen, J. (2017). Influence of Corporate Governance on Organizational Performance of State Corporations in Kenya. </w:t>
      </w:r>
      <w:r w:rsidRPr="00EB11D3">
        <w:rPr>
          <w:i/>
          <w:iCs/>
          <w:szCs w:val="24"/>
          <w:shd w:val="clear" w:color="auto" w:fill="FFFFFF"/>
        </w:rPr>
        <w:t>Sci. J. Bus. Manag</w:t>
      </w:r>
      <w:r w:rsidRPr="00EB11D3">
        <w:rPr>
          <w:szCs w:val="24"/>
          <w:shd w:val="clear" w:color="auto" w:fill="FFFFFF"/>
        </w:rPr>
        <w:t>, </w:t>
      </w:r>
      <w:r w:rsidRPr="00EB11D3">
        <w:rPr>
          <w:i/>
          <w:iCs/>
          <w:szCs w:val="24"/>
          <w:shd w:val="clear" w:color="auto" w:fill="FFFFFF"/>
        </w:rPr>
        <w:t>5</w:t>
      </w:r>
      <w:r w:rsidRPr="00EB11D3">
        <w:rPr>
          <w:szCs w:val="24"/>
          <w:shd w:val="clear" w:color="auto" w:fill="FFFFFF"/>
        </w:rPr>
        <w:t>(4), 136.</w:t>
      </w:r>
    </w:p>
    <w:p w14:paraId="20EFBF71" w14:textId="77777777" w:rsidR="003A6047" w:rsidRPr="00EB11D3" w:rsidRDefault="003A6047" w:rsidP="00813B05">
      <w:pPr>
        <w:spacing w:after="0" w:line="360" w:lineRule="auto"/>
        <w:ind w:left="720" w:hanging="720"/>
        <w:rPr>
          <w:szCs w:val="24"/>
          <w:shd w:val="clear" w:color="auto" w:fill="FFFFFF"/>
        </w:rPr>
      </w:pPr>
      <w:bookmarkStart w:id="1171" w:name="_Hlk170832275"/>
      <w:r w:rsidRPr="00EB11D3">
        <w:rPr>
          <w:szCs w:val="24"/>
          <w:shd w:val="clear" w:color="auto" w:fill="FFFFFF"/>
        </w:rPr>
        <w:t>Muthengi, F. K., &amp; Ragui, M. (2023). Corporate Governance and Organizational Performance of Referral Hospitals in Kenya: A Case of Kenyatta National Hospital.</w:t>
      </w:r>
      <w:r w:rsidRPr="00EB11D3">
        <w:rPr>
          <w:szCs w:val="24"/>
        </w:rPr>
        <w:t xml:space="preserve"> </w:t>
      </w:r>
      <w:r w:rsidRPr="00EB11D3">
        <w:rPr>
          <w:i/>
          <w:iCs/>
          <w:szCs w:val="24"/>
          <w:shd w:val="clear" w:color="auto" w:fill="FFFFFF"/>
        </w:rPr>
        <w:t>International Journal of Business Management, Entrepreneurship and Innovation</w:t>
      </w:r>
      <w:r w:rsidRPr="00EB11D3">
        <w:rPr>
          <w:szCs w:val="24"/>
          <w:shd w:val="clear" w:color="auto" w:fill="FFFFFF"/>
        </w:rPr>
        <w:t xml:space="preserve">, </w:t>
      </w:r>
      <w:r w:rsidRPr="00EB11D3">
        <w:rPr>
          <w:i/>
          <w:iCs/>
          <w:szCs w:val="24"/>
          <w:shd w:val="clear" w:color="auto" w:fill="FFFFFF"/>
        </w:rPr>
        <w:t>5</w:t>
      </w:r>
      <w:r w:rsidRPr="00EB11D3">
        <w:rPr>
          <w:szCs w:val="24"/>
          <w:shd w:val="clear" w:color="auto" w:fill="FFFFFF"/>
        </w:rPr>
        <w:t xml:space="preserve"> (2), 1-12</w:t>
      </w:r>
    </w:p>
    <w:bookmarkEnd w:id="1171"/>
    <w:p w14:paraId="28900EF8"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rPr>
        <w:t>Muturi, P. G. (2019). </w:t>
      </w:r>
      <w:r w:rsidRPr="00EB11D3">
        <w:rPr>
          <w:i/>
          <w:iCs/>
          <w:szCs w:val="24"/>
          <w:shd w:val="clear" w:color="auto" w:fill="FFFFFF"/>
        </w:rPr>
        <w:t>Effect of government regulations on the relationship between residential mortgage financing practices and performance of real estate firms in Kenya</w:t>
      </w:r>
      <w:r w:rsidRPr="00EB11D3">
        <w:rPr>
          <w:szCs w:val="24"/>
          <w:shd w:val="clear" w:color="auto" w:fill="FFFFFF"/>
        </w:rPr>
        <w:t> (Doctoral dissertation, JKUAT-COHRED).</w:t>
      </w:r>
    </w:p>
    <w:p w14:paraId="399B0D6C"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Naciti, V. (2019). Corporate governance and board of directors: The effect of a board composition on firm sustainability performance. </w:t>
      </w:r>
      <w:r w:rsidRPr="00EB11D3">
        <w:rPr>
          <w:i/>
          <w:iCs/>
          <w:szCs w:val="24"/>
          <w:shd w:val="clear" w:color="auto" w:fill="FFFFFF"/>
        </w:rPr>
        <w:t>Journal of Cleaner Production</w:t>
      </w:r>
      <w:r w:rsidRPr="00EB11D3">
        <w:rPr>
          <w:szCs w:val="24"/>
          <w:shd w:val="clear" w:color="auto" w:fill="FFFFFF"/>
        </w:rPr>
        <w:t>, </w:t>
      </w:r>
      <w:r w:rsidRPr="00EB11D3">
        <w:rPr>
          <w:i/>
          <w:iCs/>
          <w:szCs w:val="24"/>
          <w:shd w:val="clear" w:color="auto" w:fill="FFFFFF"/>
        </w:rPr>
        <w:t>237</w:t>
      </w:r>
      <w:r w:rsidRPr="00EB11D3">
        <w:rPr>
          <w:szCs w:val="24"/>
          <w:shd w:val="clear" w:color="auto" w:fill="FFFFFF"/>
        </w:rPr>
        <w:t>, 117727.</w:t>
      </w:r>
    </w:p>
    <w:p w14:paraId="0C5EAD19"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Naciti, V., Cesaroni, F., &amp; Pulejo, L. (2022). Corporate governance and sustainability: A review of the existing literature. </w:t>
      </w:r>
      <w:r w:rsidRPr="00EB11D3">
        <w:rPr>
          <w:i/>
          <w:iCs/>
          <w:szCs w:val="24"/>
          <w:shd w:val="clear" w:color="auto" w:fill="FFFFFF"/>
        </w:rPr>
        <w:t>Journal of Management and Governance</w:t>
      </w:r>
      <w:r w:rsidRPr="00EB11D3">
        <w:rPr>
          <w:szCs w:val="24"/>
          <w:shd w:val="clear" w:color="auto" w:fill="FFFFFF"/>
        </w:rPr>
        <w:t>, 26(1), 55–74.</w:t>
      </w:r>
    </w:p>
    <w:p w14:paraId="272348CA"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Nagalingam, N., Kumarapperuma, C., Malinga, C., Gayanthika, K., Amanda, N., &amp; Perera, A. (2022). Corporate governance and firm integrated performance: A conceptual framework. </w:t>
      </w:r>
      <w:r w:rsidRPr="00EB11D3">
        <w:rPr>
          <w:i/>
          <w:iCs/>
          <w:color w:val="222222"/>
          <w:szCs w:val="24"/>
          <w:shd w:val="clear" w:color="auto" w:fill="FFFFFF"/>
        </w:rPr>
        <w:t>Corporate Governance and Sustainability Review</w:t>
      </w:r>
      <w:r w:rsidRPr="00EB11D3">
        <w:rPr>
          <w:color w:val="222222"/>
          <w:szCs w:val="24"/>
          <w:shd w:val="clear" w:color="auto" w:fill="FFFFFF"/>
        </w:rPr>
        <w:t>, </w:t>
      </w:r>
      <w:r w:rsidRPr="00EB11D3">
        <w:rPr>
          <w:i/>
          <w:iCs/>
          <w:color w:val="222222"/>
          <w:szCs w:val="24"/>
          <w:shd w:val="clear" w:color="auto" w:fill="FFFFFF"/>
        </w:rPr>
        <w:t>6</w:t>
      </w:r>
      <w:r w:rsidRPr="00EB11D3">
        <w:rPr>
          <w:color w:val="222222"/>
          <w:szCs w:val="24"/>
          <w:shd w:val="clear" w:color="auto" w:fill="FFFFFF"/>
        </w:rPr>
        <w:t>(2), 8â.</w:t>
      </w:r>
    </w:p>
    <w:p w14:paraId="0FAC2369"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Naranjo-Gil, D. (2019). The influence of environmental and organizational factors on innovation adoptions: Consequences for performance in public sector organizations. </w:t>
      </w:r>
      <w:r w:rsidRPr="00EB11D3">
        <w:rPr>
          <w:rFonts w:eastAsia="Times New Roman"/>
          <w:bCs/>
          <w:i/>
          <w:iCs/>
          <w:szCs w:val="24"/>
        </w:rPr>
        <w:t>Technovation</w:t>
      </w:r>
      <w:r w:rsidRPr="00EB11D3">
        <w:rPr>
          <w:rFonts w:eastAsia="Times New Roman"/>
          <w:bCs/>
          <w:szCs w:val="24"/>
        </w:rPr>
        <w:t>, </w:t>
      </w:r>
      <w:r w:rsidRPr="00EB11D3">
        <w:rPr>
          <w:rFonts w:eastAsia="Times New Roman"/>
          <w:bCs/>
          <w:i/>
          <w:iCs/>
          <w:szCs w:val="24"/>
        </w:rPr>
        <w:t>29</w:t>
      </w:r>
      <w:r w:rsidRPr="00EB11D3">
        <w:rPr>
          <w:rFonts w:eastAsia="Times New Roman"/>
          <w:bCs/>
          <w:szCs w:val="24"/>
        </w:rPr>
        <w:t xml:space="preserve">(12), 810-818. </w:t>
      </w:r>
    </w:p>
    <w:p w14:paraId="59D72532"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 xml:space="preserve">Nasrallah, N., &amp; El Khoury, R. (2022). Is corporate governance a good predictor of SMEs financial performance? Evidence from developing countries (the case of Lebanon). </w:t>
      </w:r>
      <w:r w:rsidRPr="00AF7B4D">
        <w:rPr>
          <w:i/>
          <w:iCs/>
          <w:color w:val="222222"/>
          <w:szCs w:val="24"/>
          <w:shd w:val="clear" w:color="auto" w:fill="FFFFFF"/>
        </w:rPr>
        <w:t>Journal of Sustainable Finance &amp; Investment</w:t>
      </w:r>
      <w:r w:rsidRPr="00EB11D3">
        <w:rPr>
          <w:color w:val="222222"/>
          <w:szCs w:val="24"/>
          <w:shd w:val="clear" w:color="auto" w:fill="FFFFFF"/>
        </w:rPr>
        <w:t>, 12(1), 13-43.</w:t>
      </w:r>
    </w:p>
    <w:p w14:paraId="2DBAD5E4"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Ndege, S. J. M., Mwaura-Tenambergen, W., &amp; Njoroge, K. M. (2022). Influence of Corporate Governance Practices on Performance of Faith-Based Hospitals: A Systematic Review. </w:t>
      </w:r>
      <w:r w:rsidRPr="00EB11D3">
        <w:rPr>
          <w:i/>
          <w:iCs/>
          <w:szCs w:val="24"/>
          <w:shd w:val="clear" w:color="auto" w:fill="FFFFFF"/>
        </w:rPr>
        <w:t>Open Access Library Journal</w:t>
      </w:r>
      <w:r w:rsidRPr="00EB11D3">
        <w:rPr>
          <w:szCs w:val="24"/>
          <w:shd w:val="clear" w:color="auto" w:fill="FFFFFF"/>
        </w:rPr>
        <w:t>, </w:t>
      </w:r>
      <w:r w:rsidRPr="00EB11D3">
        <w:rPr>
          <w:i/>
          <w:iCs/>
          <w:szCs w:val="24"/>
          <w:shd w:val="clear" w:color="auto" w:fill="FFFFFF"/>
        </w:rPr>
        <w:t>9</w:t>
      </w:r>
      <w:r w:rsidRPr="00EB11D3">
        <w:rPr>
          <w:szCs w:val="24"/>
          <w:shd w:val="clear" w:color="auto" w:fill="FFFFFF"/>
        </w:rPr>
        <w:t>(5), 1-9.</w:t>
      </w:r>
    </w:p>
    <w:p w14:paraId="73AC66CA"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Ndubisi, N. O., Dayan, M., Yeniaras, V., &amp; Al-hawari, M. (2020). The effects of complementarity of knowledge and capabilities on joint innovation capabilities and service innovation: The role of competitive intensity and demand uncertainty. </w:t>
      </w:r>
      <w:r w:rsidRPr="00EB11D3">
        <w:rPr>
          <w:i/>
          <w:iCs/>
          <w:color w:val="222222"/>
          <w:szCs w:val="24"/>
          <w:shd w:val="clear" w:color="auto" w:fill="FFFFFF"/>
        </w:rPr>
        <w:t>Industrial Marketing Management</w:t>
      </w:r>
      <w:r w:rsidRPr="00EB11D3">
        <w:rPr>
          <w:color w:val="222222"/>
          <w:szCs w:val="24"/>
          <w:shd w:val="clear" w:color="auto" w:fill="FFFFFF"/>
        </w:rPr>
        <w:t>, </w:t>
      </w:r>
      <w:r w:rsidRPr="00EB11D3">
        <w:rPr>
          <w:i/>
          <w:iCs/>
          <w:color w:val="222222"/>
          <w:szCs w:val="24"/>
          <w:shd w:val="clear" w:color="auto" w:fill="FFFFFF"/>
        </w:rPr>
        <w:t>89</w:t>
      </w:r>
      <w:r w:rsidRPr="00EB11D3">
        <w:rPr>
          <w:color w:val="222222"/>
          <w:szCs w:val="24"/>
          <w:shd w:val="clear" w:color="auto" w:fill="FFFFFF"/>
        </w:rPr>
        <w:t>, 196-208.</w:t>
      </w:r>
    </w:p>
    <w:p w14:paraId="37F040DB"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Neralla, N. G. (2022). Can corporate governance structure effect on corporate performance: an empirical investigation from Indian companies. </w:t>
      </w:r>
      <w:r w:rsidRPr="00EB11D3">
        <w:rPr>
          <w:i/>
          <w:iCs/>
          <w:color w:val="222222"/>
          <w:szCs w:val="24"/>
          <w:shd w:val="clear" w:color="auto" w:fill="FFFFFF"/>
        </w:rPr>
        <w:t>International Journal of Disclosure and Governance</w:t>
      </w:r>
      <w:r w:rsidRPr="00EB11D3">
        <w:rPr>
          <w:color w:val="222222"/>
          <w:szCs w:val="24"/>
          <w:shd w:val="clear" w:color="auto" w:fill="FFFFFF"/>
        </w:rPr>
        <w:t>, </w:t>
      </w:r>
      <w:r w:rsidRPr="00EB11D3">
        <w:rPr>
          <w:i/>
          <w:iCs/>
          <w:color w:val="222222"/>
          <w:szCs w:val="24"/>
          <w:shd w:val="clear" w:color="auto" w:fill="FFFFFF"/>
        </w:rPr>
        <w:t>19</w:t>
      </w:r>
      <w:r w:rsidRPr="00EB11D3">
        <w:rPr>
          <w:color w:val="222222"/>
          <w:szCs w:val="24"/>
          <w:shd w:val="clear" w:color="auto" w:fill="FFFFFF"/>
        </w:rPr>
        <w:t>(3), 282-300.</w:t>
      </w:r>
    </w:p>
    <w:p w14:paraId="16F4D393"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Newhart, M., &amp; Patten, M. L. (2023). Understanding research methods: An overview of the essentials.</w:t>
      </w:r>
    </w:p>
    <w:p w14:paraId="496562DA"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Ng, S. T., Lam, S. S., &amp; Muthuveloo, R. (2020). Corporate governance and financial performance of hospitals: Moderating role of ownership type. </w:t>
      </w:r>
      <w:r w:rsidRPr="00FA7816">
        <w:rPr>
          <w:rFonts w:eastAsia="Times New Roman"/>
          <w:bCs/>
          <w:i/>
          <w:iCs/>
          <w:szCs w:val="24"/>
        </w:rPr>
        <w:t>International Journal of Health Planning and Management</w:t>
      </w:r>
      <w:r w:rsidRPr="00EB11D3">
        <w:rPr>
          <w:rFonts w:eastAsia="Times New Roman"/>
          <w:bCs/>
          <w:szCs w:val="24"/>
        </w:rPr>
        <w:t>, 35(1), 108–123.</w:t>
      </w:r>
    </w:p>
    <w:p w14:paraId="518E24BA"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Nieves, J., &amp; Diaz-Meneses, G. (2018). Knowledge sources and innovation in the hotel industry: Empirical analysis on Gran Canaria Island, a mature mass-tourism destination. </w:t>
      </w:r>
      <w:r w:rsidRPr="00EB11D3">
        <w:rPr>
          <w:i/>
          <w:iCs/>
          <w:color w:val="222222"/>
          <w:szCs w:val="24"/>
          <w:shd w:val="clear" w:color="auto" w:fill="FFFFFF"/>
        </w:rPr>
        <w:t>International Journal of Contemporary Hospitality Management</w:t>
      </w:r>
      <w:r w:rsidRPr="00EB11D3">
        <w:rPr>
          <w:color w:val="222222"/>
          <w:szCs w:val="24"/>
          <w:shd w:val="clear" w:color="auto" w:fill="FFFFFF"/>
        </w:rPr>
        <w:t>, </w:t>
      </w:r>
      <w:r w:rsidRPr="00EB11D3">
        <w:rPr>
          <w:i/>
          <w:iCs/>
          <w:color w:val="222222"/>
          <w:szCs w:val="24"/>
          <w:shd w:val="clear" w:color="auto" w:fill="FFFFFF"/>
        </w:rPr>
        <w:t>30</w:t>
      </w:r>
      <w:r w:rsidRPr="00EB11D3">
        <w:rPr>
          <w:color w:val="222222"/>
          <w:szCs w:val="24"/>
          <w:shd w:val="clear" w:color="auto" w:fill="FFFFFF"/>
        </w:rPr>
        <w:t>(6), 2537-2561.</w:t>
      </w:r>
    </w:p>
    <w:p w14:paraId="5523E41D"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szCs w:val="24"/>
          <w:shd w:val="clear" w:color="auto" w:fill="FFFFFF"/>
        </w:rPr>
        <w:t>Nondo, E. (2018). </w:t>
      </w:r>
      <w:r w:rsidRPr="00EB11D3">
        <w:rPr>
          <w:i/>
          <w:iCs/>
          <w:szCs w:val="24"/>
          <w:shd w:val="clear" w:color="auto" w:fill="FFFFFF"/>
        </w:rPr>
        <w:t>Faith-based organisational management: strengthening church-led healthcare provision in Malawi and Zambia</w:t>
      </w:r>
      <w:r w:rsidRPr="00EB11D3">
        <w:rPr>
          <w:szCs w:val="24"/>
          <w:shd w:val="clear" w:color="auto" w:fill="FFFFFF"/>
        </w:rPr>
        <w:t> (Doctoral dissertation, Kwazulu-Natal).</w:t>
      </w:r>
    </w:p>
    <w:p w14:paraId="5CF2FFA1"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Nyein, K. P., Caylor, J. R., Duong, N. S., Fry, T. N., &amp; Wildman, J. L. (2020). Beyond positivism: Toward a pluralistic approach to studying “real” teams. </w:t>
      </w:r>
      <w:r w:rsidRPr="00EB11D3">
        <w:rPr>
          <w:i/>
          <w:iCs/>
          <w:szCs w:val="24"/>
          <w:shd w:val="clear" w:color="auto" w:fill="FFFFFF"/>
        </w:rPr>
        <w:t>Organizational Psychology Review</w:t>
      </w:r>
      <w:r w:rsidRPr="00EB11D3">
        <w:rPr>
          <w:szCs w:val="24"/>
          <w:shd w:val="clear" w:color="auto" w:fill="FFFFFF"/>
        </w:rPr>
        <w:t>, </w:t>
      </w:r>
      <w:r w:rsidRPr="00EB11D3">
        <w:rPr>
          <w:i/>
          <w:iCs/>
          <w:szCs w:val="24"/>
          <w:shd w:val="clear" w:color="auto" w:fill="FFFFFF"/>
        </w:rPr>
        <w:t>10</w:t>
      </w:r>
      <w:r w:rsidRPr="00EB11D3">
        <w:rPr>
          <w:szCs w:val="24"/>
          <w:shd w:val="clear" w:color="auto" w:fill="FFFFFF"/>
        </w:rPr>
        <w:t>(2), 87-112.</w:t>
      </w:r>
    </w:p>
    <w:p w14:paraId="7145AE2F"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Ogum, E. A., &amp; Jagongo, A. (2022). Investment Decisions and Financial Performance of Deposit Taking Savings and Credit Co-Operative Societies in Nairobi City County, Kenya. </w:t>
      </w:r>
      <w:r w:rsidRPr="00EB11D3">
        <w:rPr>
          <w:rFonts w:eastAsia="Times New Roman"/>
          <w:bCs/>
          <w:i/>
          <w:iCs/>
          <w:szCs w:val="24"/>
        </w:rPr>
        <w:t>International Journal of Current Aspects in Finance, Banking and Accounting</w:t>
      </w:r>
      <w:r w:rsidRPr="00EB11D3">
        <w:rPr>
          <w:rFonts w:eastAsia="Times New Roman"/>
          <w:bCs/>
          <w:szCs w:val="24"/>
        </w:rPr>
        <w:t>, </w:t>
      </w:r>
      <w:r w:rsidRPr="00EB11D3">
        <w:rPr>
          <w:rFonts w:eastAsia="Times New Roman"/>
          <w:bCs/>
          <w:i/>
          <w:iCs/>
          <w:szCs w:val="24"/>
        </w:rPr>
        <w:t>4</w:t>
      </w:r>
      <w:r w:rsidRPr="00EB11D3">
        <w:rPr>
          <w:rFonts w:eastAsia="Times New Roman"/>
          <w:bCs/>
          <w:szCs w:val="24"/>
        </w:rPr>
        <w:t>(1), 72-90.</w:t>
      </w:r>
    </w:p>
    <w:p w14:paraId="19383418"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Ogunnaike, O., Ibidunni, A., &amp; Adetowubo-King, S. (2019). Assessing the link between service innovation and performance in telecommunication industry. </w:t>
      </w:r>
      <w:r w:rsidRPr="00EB11D3">
        <w:rPr>
          <w:rFonts w:eastAsia="Times New Roman"/>
          <w:bCs/>
          <w:i/>
          <w:iCs/>
          <w:szCs w:val="24"/>
        </w:rPr>
        <w:t>Science Journal of Business and Management</w:t>
      </w:r>
      <w:r w:rsidRPr="00EB11D3">
        <w:rPr>
          <w:rFonts w:eastAsia="Times New Roman"/>
          <w:bCs/>
          <w:szCs w:val="24"/>
        </w:rPr>
        <w:t>, </w:t>
      </w:r>
      <w:r w:rsidRPr="00EB11D3">
        <w:rPr>
          <w:rFonts w:eastAsia="Times New Roman"/>
          <w:bCs/>
          <w:i/>
          <w:iCs/>
          <w:szCs w:val="24"/>
        </w:rPr>
        <w:t>2</w:t>
      </w:r>
      <w:r w:rsidRPr="00EB11D3">
        <w:rPr>
          <w:rFonts w:eastAsia="Times New Roman"/>
          <w:bCs/>
          <w:szCs w:val="24"/>
        </w:rPr>
        <w:t>(1), 16-23.</w:t>
      </w:r>
    </w:p>
    <w:p w14:paraId="1C33294E"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Oino, I. (2019). Do disclosure and transparency affect bank’s financial performance?. </w:t>
      </w:r>
      <w:r w:rsidRPr="00EB11D3">
        <w:rPr>
          <w:i/>
          <w:iCs/>
          <w:szCs w:val="24"/>
          <w:shd w:val="clear" w:color="auto" w:fill="FFFFFF"/>
        </w:rPr>
        <w:t>Corporate Governance: The international journal of business in society</w:t>
      </w:r>
      <w:r w:rsidRPr="00EB11D3">
        <w:rPr>
          <w:szCs w:val="24"/>
          <w:shd w:val="clear" w:color="auto" w:fill="FFFFFF"/>
        </w:rPr>
        <w:t>, </w:t>
      </w:r>
      <w:r w:rsidRPr="00EB11D3">
        <w:rPr>
          <w:i/>
          <w:iCs/>
          <w:szCs w:val="24"/>
          <w:shd w:val="clear" w:color="auto" w:fill="FFFFFF"/>
        </w:rPr>
        <w:t>19</w:t>
      </w:r>
      <w:r w:rsidRPr="00EB11D3">
        <w:rPr>
          <w:szCs w:val="24"/>
          <w:shd w:val="clear" w:color="auto" w:fill="FFFFFF"/>
        </w:rPr>
        <w:t>(6), 1344-1361.</w:t>
      </w:r>
    </w:p>
    <w:p w14:paraId="71C44BBB" w14:textId="77777777" w:rsidR="003A6047" w:rsidRPr="00EB11D3" w:rsidRDefault="003A6047" w:rsidP="00813B05">
      <w:pPr>
        <w:shd w:val="clear" w:color="auto" w:fill="FFFFFF"/>
        <w:spacing w:after="0" w:line="360" w:lineRule="auto"/>
        <w:ind w:left="720" w:hanging="720"/>
        <w:rPr>
          <w:color w:val="222222"/>
          <w:szCs w:val="24"/>
          <w:shd w:val="clear" w:color="auto" w:fill="FFFFFF"/>
        </w:rPr>
      </w:pPr>
      <w:r w:rsidRPr="00EB11D3">
        <w:rPr>
          <w:color w:val="222222"/>
          <w:szCs w:val="24"/>
          <w:shd w:val="clear" w:color="auto" w:fill="FFFFFF"/>
        </w:rPr>
        <w:t>Olawade, D. B., Wada, O. J., David-Olawade, A. C., Kunonga, E., Abaire, O., &amp; Ling, J. (2023). Using artificial intelligence to improve public health: a narrative review. </w:t>
      </w:r>
      <w:r w:rsidRPr="00EB11D3">
        <w:rPr>
          <w:i/>
          <w:iCs/>
          <w:color w:val="222222"/>
          <w:szCs w:val="24"/>
          <w:shd w:val="clear" w:color="auto" w:fill="FFFFFF"/>
        </w:rPr>
        <w:t>Frontiers in Public Health</w:t>
      </w:r>
      <w:r w:rsidRPr="00EB11D3">
        <w:rPr>
          <w:color w:val="222222"/>
          <w:szCs w:val="24"/>
          <w:shd w:val="clear" w:color="auto" w:fill="FFFFFF"/>
        </w:rPr>
        <w:t>, </w:t>
      </w:r>
      <w:r w:rsidRPr="00EB11D3">
        <w:rPr>
          <w:i/>
          <w:iCs/>
          <w:color w:val="222222"/>
          <w:szCs w:val="24"/>
          <w:shd w:val="clear" w:color="auto" w:fill="FFFFFF"/>
        </w:rPr>
        <w:t>11</w:t>
      </w:r>
      <w:r w:rsidRPr="00EB11D3">
        <w:rPr>
          <w:color w:val="222222"/>
          <w:szCs w:val="24"/>
          <w:shd w:val="clear" w:color="auto" w:fill="FFFFFF"/>
        </w:rPr>
        <w:t>, 1196397.</w:t>
      </w:r>
    </w:p>
    <w:p w14:paraId="129A4032"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Oleribe, O. O., Momoh, J., Uzochukwu, B. S., Mbofana, F., Adebiyi, A., Barbera, T., ... &amp; Taylor-Robinson, S. D. (2019). Identifying key challenges facing healthcare systems in Africa and potential solutions. </w:t>
      </w:r>
      <w:r w:rsidRPr="00EB11D3">
        <w:rPr>
          <w:i/>
          <w:iCs/>
          <w:szCs w:val="24"/>
          <w:shd w:val="clear" w:color="auto" w:fill="FFFFFF"/>
        </w:rPr>
        <w:t>International journal of general medicine</w:t>
      </w:r>
      <w:r w:rsidRPr="00EB11D3">
        <w:rPr>
          <w:szCs w:val="24"/>
          <w:shd w:val="clear" w:color="auto" w:fill="FFFFFF"/>
        </w:rPr>
        <w:t>, 395-403.</w:t>
      </w:r>
    </w:p>
    <w:p w14:paraId="429D69FF" w14:textId="77777777" w:rsidR="003A6047" w:rsidRPr="00EB11D3" w:rsidRDefault="003A6047" w:rsidP="00813B05">
      <w:pPr>
        <w:spacing w:after="0" w:line="360" w:lineRule="auto"/>
        <w:ind w:left="720" w:hanging="720"/>
        <w:rPr>
          <w:szCs w:val="24"/>
          <w:shd w:val="clear" w:color="auto" w:fill="FFFFFF"/>
        </w:rPr>
      </w:pPr>
      <w:r w:rsidRPr="00EB11D3">
        <w:rPr>
          <w:color w:val="222222"/>
          <w:szCs w:val="24"/>
          <w:shd w:val="clear" w:color="auto" w:fill="FFFFFF"/>
        </w:rPr>
        <w:t>Omaghomi, T. T., Akomolafe, O., Ogugua, J. O., Daraojimba, A. I., &amp; Elufioye, O. A. (2024). Healthcare Management in A Post-Pandemic World: Lessons Learned and Future Preparedness-A Review. </w:t>
      </w:r>
      <w:r w:rsidRPr="00EB11D3">
        <w:rPr>
          <w:i/>
          <w:iCs/>
          <w:color w:val="222222"/>
          <w:szCs w:val="24"/>
          <w:shd w:val="clear" w:color="auto" w:fill="FFFFFF"/>
        </w:rPr>
        <w:t>International Medical Science Research Journal</w:t>
      </w:r>
      <w:r w:rsidRPr="00EB11D3">
        <w:rPr>
          <w:color w:val="222222"/>
          <w:szCs w:val="24"/>
          <w:shd w:val="clear" w:color="auto" w:fill="FFFFFF"/>
        </w:rPr>
        <w:t>, </w:t>
      </w:r>
      <w:r w:rsidRPr="00EB11D3">
        <w:rPr>
          <w:i/>
          <w:iCs/>
          <w:color w:val="222222"/>
          <w:szCs w:val="24"/>
          <w:shd w:val="clear" w:color="auto" w:fill="FFFFFF"/>
        </w:rPr>
        <w:t>4</w:t>
      </w:r>
      <w:r w:rsidRPr="00EB11D3">
        <w:rPr>
          <w:color w:val="222222"/>
          <w:szCs w:val="24"/>
          <w:shd w:val="clear" w:color="auto" w:fill="FFFFFF"/>
        </w:rPr>
        <w:t>(2), 210-223.</w:t>
      </w:r>
    </w:p>
    <w:p w14:paraId="2BF83F71"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rPr>
        <w:t>Oortwijn, W., &amp; van der Wilt, G. J. (2016). Challenges in contemporary health technology assessment: a view from the outside. </w:t>
      </w:r>
      <w:r w:rsidRPr="00EB11D3">
        <w:rPr>
          <w:i/>
          <w:iCs/>
          <w:szCs w:val="24"/>
          <w:shd w:val="clear" w:color="auto" w:fill="FFFFFF"/>
        </w:rPr>
        <w:t>International Journal of Technology Assessment in Health Care</w:t>
      </w:r>
      <w:r w:rsidRPr="00EB11D3">
        <w:rPr>
          <w:szCs w:val="24"/>
          <w:shd w:val="clear" w:color="auto" w:fill="FFFFFF"/>
        </w:rPr>
        <w:t>, </w:t>
      </w:r>
      <w:r w:rsidRPr="00EB11D3">
        <w:rPr>
          <w:i/>
          <w:iCs/>
          <w:szCs w:val="24"/>
          <w:shd w:val="clear" w:color="auto" w:fill="FFFFFF"/>
        </w:rPr>
        <w:t>32</w:t>
      </w:r>
      <w:r w:rsidRPr="00EB11D3">
        <w:rPr>
          <w:szCs w:val="24"/>
          <w:shd w:val="clear" w:color="auto" w:fill="FFFFFF"/>
        </w:rPr>
        <w:t>(1-2), 1-2.</w:t>
      </w:r>
    </w:p>
    <w:p w14:paraId="6DA6A9CA"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rPr>
        <w:t>Ordu, L. (2021). </w:t>
      </w:r>
      <w:r w:rsidRPr="00EB11D3">
        <w:rPr>
          <w:i/>
          <w:iCs/>
          <w:szCs w:val="24"/>
          <w:shd w:val="clear" w:color="auto" w:fill="FFFFFF"/>
        </w:rPr>
        <w:t>The enforcement of corporate governance practices on Nigerian banks</w:t>
      </w:r>
      <w:r w:rsidRPr="00EB11D3">
        <w:rPr>
          <w:szCs w:val="24"/>
          <w:shd w:val="clear" w:color="auto" w:fill="FFFFFF"/>
        </w:rPr>
        <w:t> (Doctoral dissertation, Anglia Ruskin University).</w:t>
      </w:r>
    </w:p>
    <w:p w14:paraId="2DCC9F1F"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Othman, B., Md. Shaarani, S., &amp; Bahron, A. (2019). The influence of knowledge, attitude and sensitivity to government policies in halal certification process on organizational performance. </w:t>
      </w:r>
      <w:r w:rsidRPr="00EB11D3">
        <w:rPr>
          <w:rFonts w:eastAsia="Times New Roman"/>
          <w:bCs/>
          <w:i/>
          <w:iCs/>
          <w:szCs w:val="24"/>
        </w:rPr>
        <w:t>Journal of Islamic Marketing</w:t>
      </w:r>
      <w:r w:rsidRPr="00EB11D3">
        <w:rPr>
          <w:rFonts w:eastAsia="Times New Roman"/>
          <w:bCs/>
          <w:szCs w:val="24"/>
        </w:rPr>
        <w:t>, </w:t>
      </w:r>
      <w:r w:rsidRPr="00EB11D3">
        <w:rPr>
          <w:rFonts w:eastAsia="Times New Roman"/>
          <w:bCs/>
          <w:i/>
          <w:iCs/>
          <w:szCs w:val="24"/>
        </w:rPr>
        <w:t>8</w:t>
      </w:r>
      <w:r w:rsidRPr="00EB11D3">
        <w:rPr>
          <w:rFonts w:eastAsia="Times New Roman"/>
          <w:bCs/>
          <w:szCs w:val="24"/>
        </w:rPr>
        <w:t>(3), 393-408.</w:t>
      </w:r>
    </w:p>
    <w:p w14:paraId="1E0141F4"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Owiredu, A., &amp; Kwakye, M. (2020). The effect of corporate governance on financial performance of commercial banks in Ghana. </w:t>
      </w:r>
      <w:r w:rsidRPr="00EB11D3">
        <w:rPr>
          <w:i/>
          <w:iCs/>
          <w:szCs w:val="24"/>
          <w:shd w:val="clear" w:color="auto" w:fill="FFFFFF"/>
        </w:rPr>
        <w:t>International Journal of Business and Social Science</w:t>
      </w:r>
      <w:r w:rsidRPr="00EB11D3">
        <w:rPr>
          <w:szCs w:val="24"/>
          <w:shd w:val="clear" w:color="auto" w:fill="FFFFFF"/>
        </w:rPr>
        <w:t>, </w:t>
      </w:r>
      <w:r w:rsidRPr="00EB11D3">
        <w:rPr>
          <w:i/>
          <w:iCs/>
          <w:szCs w:val="24"/>
          <w:shd w:val="clear" w:color="auto" w:fill="FFFFFF"/>
        </w:rPr>
        <w:t>11</w:t>
      </w:r>
      <w:r w:rsidRPr="00EB11D3">
        <w:rPr>
          <w:szCs w:val="24"/>
          <w:shd w:val="clear" w:color="auto" w:fill="FFFFFF"/>
        </w:rPr>
        <w:t>(5), 18-27.</w:t>
      </w:r>
    </w:p>
    <w:p w14:paraId="314BF161"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Paarlberg, L. E., &amp; Perry, J. L. (2020). Does governance cause performance? Evidence from local governments. </w:t>
      </w:r>
      <w:r w:rsidRPr="00FA7816">
        <w:rPr>
          <w:rFonts w:eastAsia="Times New Roman"/>
          <w:bCs/>
          <w:i/>
          <w:iCs/>
          <w:szCs w:val="24"/>
        </w:rPr>
        <w:t>Journal of Policy Analysis and Management</w:t>
      </w:r>
      <w:r w:rsidRPr="00EB11D3">
        <w:rPr>
          <w:rFonts w:eastAsia="Times New Roman"/>
          <w:bCs/>
          <w:szCs w:val="24"/>
        </w:rPr>
        <w:t xml:space="preserve">, 26(3), 527-547. </w:t>
      </w:r>
    </w:p>
    <w:p w14:paraId="4977D182"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Pacifico, S.H., Lehoux, P., Miller, F. A., &amp; Denis, J. L. (2018). Introducing responsible innovation in health: a policy-oriented framework. </w:t>
      </w:r>
      <w:r w:rsidRPr="00EB11D3">
        <w:rPr>
          <w:i/>
          <w:iCs/>
          <w:color w:val="222222"/>
          <w:szCs w:val="24"/>
          <w:shd w:val="clear" w:color="auto" w:fill="FFFFFF"/>
        </w:rPr>
        <w:t>Health research policy and systems</w:t>
      </w:r>
      <w:r w:rsidRPr="00EB11D3">
        <w:rPr>
          <w:color w:val="222222"/>
          <w:szCs w:val="24"/>
          <w:shd w:val="clear" w:color="auto" w:fill="FFFFFF"/>
        </w:rPr>
        <w:t>, </w:t>
      </w:r>
      <w:r w:rsidRPr="00EB11D3">
        <w:rPr>
          <w:i/>
          <w:iCs/>
          <w:color w:val="222222"/>
          <w:szCs w:val="24"/>
          <w:shd w:val="clear" w:color="auto" w:fill="FFFFFF"/>
        </w:rPr>
        <w:t>16</w:t>
      </w:r>
      <w:r w:rsidRPr="00EB11D3">
        <w:rPr>
          <w:color w:val="222222"/>
          <w:szCs w:val="24"/>
          <w:shd w:val="clear" w:color="auto" w:fill="FFFFFF"/>
        </w:rPr>
        <w:t>, 1-13.</w:t>
      </w:r>
    </w:p>
    <w:p w14:paraId="14AD35B5" w14:textId="77777777" w:rsidR="003A6047" w:rsidRPr="00EB11D3" w:rsidRDefault="003A6047" w:rsidP="00813B05">
      <w:pPr>
        <w:shd w:val="clear" w:color="auto" w:fill="FFFFFF"/>
        <w:spacing w:after="0" w:line="360" w:lineRule="auto"/>
        <w:ind w:left="720" w:hanging="720"/>
        <w:rPr>
          <w:rFonts w:eastAsia="Times New Roman"/>
          <w:bCs/>
          <w:szCs w:val="24"/>
        </w:rPr>
      </w:pPr>
      <w:bookmarkStart w:id="1172" w:name="_Hlk162351131"/>
      <w:r w:rsidRPr="00EB11D3">
        <w:rPr>
          <w:rFonts w:eastAsia="Times New Roman"/>
          <w:bCs/>
          <w:szCs w:val="24"/>
        </w:rPr>
        <w:t>Pai</w:t>
      </w:r>
      <w:bookmarkEnd w:id="1172"/>
      <w:r w:rsidRPr="00EB11D3">
        <w:rPr>
          <w:rFonts w:eastAsia="Times New Roman"/>
          <w:bCs/>
          <w:szCs w:val="24"/>
        </w:rPr>
        <w:t>, M. M., Ganiga, R., Pai, R. M., &amp; Sinha, R. K. (2021). Standard electronic health record (EHR) framework for Indian healthcare system. </w:t>
      </w:r>
      <w:r w:rsidRPr="00EB11D3">
        <w:rPr>
          <w:rFonts w:eastAsia="Times New Roman"/>
          <w:bCs/>
          <w:i/>
          <w:iCs/>
          <w:szCs w:val="24"/>
        </w:rPr>
        <w:t>Health Services and Outcomes Research Methodology</w:t>
      </w:r>
      <w:r w:rsidRPr="00EB11D3">
        <w:rPr>
          <w:rFonts w:eastAsia="Times New Roman"/>
          <w:bCs/>
          <w:szCs w:val="24"/>
        </w:rPr>
        <w:t>, </w:t>
      </w:r>
      <w:r w:rsidRPr="00EB11D3">
        <w:rPr>
          <w:rFonts w:eastAsia="Times New Roman"/>
          <w:bCs/>
          <w:i/>
          <w:iCs/>
          <w:szCs w:val="24"/>
        </w:rPr>
        <w:t>21</w:t>
      </w:r>
      <w:r w:rsidRPr="00EB11D3">
        <w:rPr>
          <w:rFonts w:eastAsia="Times New Roman"/>
          <w:bCs/>
          <w:szCs w:val="24"/>
        </w:rPr>
        <w:t>(3), 339-362.</w:t>
      </w:r>
    </w:p>
    <w:p w14:paraId="53F20D2F"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rPr>
        <w:t>Palaniappan, G. (2017). Determinants of corporate financial performance relating to board characteristics of corporate governance in Indian manufacturing industry: An empirical study. </w:t>
      </w:r>
      <w:r w:rsidRPr="00EB11D3">
        <w:rPr>
          <w:i/>
          <w:iCs/>
          <w:szCs w:val="24"/>
          <w:shd w:val="clear" w:color="auto" w:fill="FFFFFF"/>
        </w:rPr>
        <w:t>European Journal of Management and Business Economics</w:t>
      </w:r>
      <w:r w:rsidRPr="00EB11D3">
        <w:rPr>
          <w:szCs w:val="24"/>
          <w:shd w:val="clear" w:color="auto" w:fill="FFFFFF"/>
        </w:rPr>
        <w:t xml:space="preserve">, </w:t>
      </w:r>
      <w:r w:rsidRPr="00EB11D3">
        <w:rPr>
          <w:i/>
          <w:iCs/>
          <w:szCs w:val="24"/>
          <w:shd w:val="clear" w:color="auto" w:fill="FFFFFF"/>
        </w:rPr>
        <w:t>26</w:t>
      </w:r>
      <w:r w:rsidRPr="00EB11D3">
        <w:rPr>
          <w:szCs w:val="24"/>
          <w:shd w:val="clear" w:color="auto" w:fill="FFFFFF"/>
        </w:rPr>
        <w:t xml:space="preserve"> (1), 67-85</w:t>
      </w:r>
    </w:p>
    <w:p w14:paraId="07F0B944"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Park, Y. S., Konge, L., &amp; Artino, A. R. (2020). The positivism paradigm of research. </w:t>
      </w:r>
      <w:r w:rsidRPr="00EB11D3">
        <w:rPr>
          <w:i/>
          <w:iCs/>
          <w:szCs w:val="24"/>
          <w:shd w:val="clear" w:color="auto" w:fill="FFFFFF"/>
        </w:rPr>
        <w:t>Academic Medicine</w:t>
      </w:r>
      <w:r w:rsidRPr="00EB11D3">
        <w:rPr>
          <w:szCs w:val="24"/>
          <w:shd w:val="clear" w:color="auto" w:fill="FFFFFF"/>
        </w:rPr>
        <w:t>, </w:t>
      </w:r>
      <w:r w:rsidRPr="00EB11D3">
        <w:rPr>
          <w:i/>
          <w:iCs/>
          <w:szCs w:val="24"/>
          <w:shd w:val="clear" w:color="auto" w:fill="FFFFFF"/>
        </w:rPr>
        <w:t>95</w:t>
      </w:r>
      <w:r w:rsidRPr="00EB11D3">
        <w:rPr>
          <w:szCs w:val="24"/>
          <w:shd w:val="clear" w:color="auto" w:fill="FFFFFF"/>
        </w:rPr>
        <w:t>(5), 690-694.</w:t>
      </w:r>
    </w:p>
    <w:p w14:paraId="39001C7A"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Pateli, A., &amp; Lioukas, S. (2019). How functional involvement affects the transformation of external knowledge into innovation outcomes. </w:t>
      </w:r>
      <w:r w:rsidRPr="00EB11D3">
        <w:rPr>
          <w:i/>
          <w:iCs/>
          <w:szCs w:val="24"/>
          <w:shd w:val="clear" w:color="auto" w:fill="FFFFFF"/>
        </w:rPr>
        <w:t>R&amp;D Management</w:t>
      </w:r>
      <w:r w:rsidRPr="00EB11D3">
        <w:rPr>
          <w:szCs w:val="24"/>
          <w:shd w:val="clear" w:color="auto" w:fill="FFFFFF"/>
        </w:rPr>
        <w:t>, </w:t>
      </w:r>
      <w:r w:rsidRPr="00EB11D3">
        <w:rPr>
          <w:i/>
          <w:iCs/>
          <w:szCs w:val="24"/>
          <w:shd w:val="clear" w:color="auto" w:fill="FFFFFF"/>
        </w:rPr>
        <w:t>49</w:t>
      </w:r>
      <w:r w:rsidRPr="00EB11D3">
        <w:rPr>
          <w:szCs w:val="24"/>
          <w:shd w:val="clear" w:color="auto" w:fill="FFFFFF"/>
        </w:rPr>
        <w:t>(2), 224-238.</w:t>
      </w:r>
    </w:p>
    <w:p w14:paraId="545145B1"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Pawar, N. (2020). Type of research and type research design. </w:t>
      </w:r>
      <w:r w:rsidRPr="00EB11D3">
        <w:rPr>
          <w:i/>
          <w:iCs/>
          <w:szCs w:val="24"/>
          <w:shd w:val="clear" w:color="auto" w:fill="FFFFFF"/>
        </w:rPr>
        <w:t>Social Research Methodology</w:t>
      </w:r>
      <w:r w:rsidRPr="00EB11D3">
        <w:rPr>
          <w:szCs w:val="24"/>
          <w:shd w:val="clear" w:color="auto" w:fill="FFFFFF"/>
        </w:rPr>
        <w:t>, </w:t>
      </w:r>
      <w:r w:rsidRPr="00EB11D3">
        <w:rPr>
          <w:i/>
          <w:iCs/>
          <w:szCs w:val="24"/>
          <w:shd w:val="clear" w:color="auto" w:fill="FFFFFF"/>
        </w:rPr>
        <w:t>8</w:t>
      </w:r>
      <w:r w:rsidRPr="00EB11D3">
        <w:rPr>
          <w:szCs w:val="24"/>
          <w:shd w:val="clear" w:color="auto" w:fill="FFFFFF"/>
        </w:rPr>
        <w:t>(1), 46-57.</w:t>
      </w:r>
    </w:p>
    <w:p w14:paraId="4CEB7B2E" w14:textId="77777777" w:rsidR="003A6047" w:rsidRPr="00EB11D3" w:rsidRDefault="003A6047" w:rsidP="00813B05">
      <w:pPr>
        <w:shd w:val="clear" w:color="auto" w:fill="FFFFFF"/>
        <w:spacing w:after="0" w:line="360" w:lineRule="auto"/>
        <w:ind w:left="720" w:hanging="720"/>
        <w:rPr>
          <w:rFonts w:eastAsia="Times New Roman"/>
          <w:bCs/>
          <w:szCs w:val="24"/>
        </w:rPr>
      </w:pPr>
      <w:bookmarkStart w:id="1173" w:name="_Hlk160641049"/>
      <w:r w:rsidRPr="00EB11D3">
        <w:rPr>
          <w:rFonts w:eastAsia="Times New Roman"/>
          <w:bCs/>
          <w:szCs w:val="24"/>
        </w:rPr>
        <w:t xml:space="preserve">Petruzzelli, A. M., Ardito, L., &amp; Savino, T. (2018). </w:t>
      </w:r>
      <w:bookmarkEnd w:id="1173"/>
      <w:r w:rsidRPr="00EB11D3">
        <w:rPr>
          <w:rFonts w:eastAsia="Times New Roman"/>
          <w:bCs/>
          <w:szCs w:val="24"/>
        </w:rPr>
        <w:t>Maturity of knowledge inputs and innovation value: The moderating effect of firm age and size. </w:t>
      </w:r>
      <w:r w:rsidRPr="00EB11D3">
        <w:rPr>
          <w:rFonts w:eastAsia="Times New Roman"/>
          <w:bCs/>
          <w:i/>
          <w:iCs/>
          <w:szCs w:val="24"/>
        </w:rPr>
        <w:t>Journal of Business Research</w:t>
      </w:r>
      <w:r w:rsidRPr="00EB11D3">
        <w:rPr>
          <w:rFonts w:eastAsia="Times New Roman"/>
          <w:bCs/>
          <w:szCs w:val="24"/>
        </w:rPr>
        <w:t>, </w:t>
      </w:r>
      <w:r w:rsidRPr="00EB11D3">
        <w:rPr>
          <w:rFonts w:eastAsia="Times New Roman"/>
          <w:bCs/>
          <w:i/>
          <w:iCs/>
          <w:szCs w:val="24"/>
        </w:rPr>
        <w:t>86</w:t>
      </w:r>
      <w:r w:rsidRPr="00EB11D3">
        <w:rPr>
          <w:rFonts w:eastAsia="Times New Roman"/>
          <w:bCs/>
          <w:szCs w:val="24"/>
        </w:rPr>
        <w:t>, 190-201.</w:t>
      </w:r>
    </w:p>
    <w:p w14:paraId="00E1726D"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Pfeffer, J., &amp; Salancik, G.R. (1978). </w:t>
      </w:r>
      <w:r w:rsidRPr="00EB11D3">
        <w:rPr>
          <w:rStyle w:val="Emphasis"/>
          <w:szCs w:val="24"/>
        </w:rPr>
        <w:t>The external control of organizations: A resource dependence perspective</w:t>
      </w:r>
      <w:r w:rsidRPr="00EB11D3">
        <w:rPr>
          <w:szCs w:val="24"/>
        </w:rPr>
        <w:t>. New York: Harper &amp; Row.</w:t>
      </w:r>
    </w:p>
    <w:p w14:paraId="63EF637D"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Pronovost, P. J., Armstrong, C. M., Demski, R., Peterson, R. R., &amp; Rothman, P. B. (2018). Next level of board accountability in health care quality. </w:t>
      </w:r>
      <w:r w:rsidRPr="00EB11D3">
        <w:rPr>
          <w:i/>
          <w:iCs/>
          <w:color w:val="222222"/>
          <w:szCs w:val="24"/>
          <w:shd w:val="clear" w:color="auto" w:fill="FFFFFF"/>
        </w:rPr>
        <w:t>Journal of health organization and management</w:t>
      </w:r>
      <w:r w:rsidRPr="00EB11D3">
        <w:rPr>
          <w:color w:val="222222"/>
          <w:szCs w:val="24"/>
          <w:shd w:val="clear" w:color="auto" w:fill="FFFFFF"/>
        </w:rPr>
        <w:t>, </w:t>
      </w:r>
      <w:r w:rsidRPr="00EB11D3">
        <w:rPr>
          <w:i/>
          <w:iCs/>
          <w:color w:val="222222"/>
          <w:szCs w:val="24"/>
          <w:shd w:val="clear" w:color="auto" w:fill="FFFFFF"/>
        </w:rPr>
        <w:t>32</w:t>
      </w:r>
      <w:r w:rsidRPr="00EB11D3">
        <w:rPr>
          <w:color w:val="222222"/>
          <w:szCs w:val="24"/>
          <w:shd w:val="clear" w:color="auto" w:fill="FFFFFF"/>
        </w:rPr>
        <w:t>(1), 2-8.</w:t>
      </w:r>
    </w:p>
    <w:p w14:paraId="71C88C79" w14:textId="77777777" w:rsidR="003A6047" w:rsidRPr="00EB11D3" w:rsidRDefault="003A6047" w:rsidP="00813B05">
      <w:pPr>
        <w:shd w:val="clear" w:color="auto" w:fill="FFFFFF"/>
        <w:spacing w:after="0" w:line="360" w:lineRule="auto"/>
        <w:ind w:left="720" w:hanging="720"/>
        <w:rPr>
          <w:rFonts w:eastAsia="Times New Roman"/>
          <w:bCs/>
          <w:szCs w:val="24"/>
        </w:rPr>
      </w:pPr>
      <w:bookmarkStart w:id="1174" w:name="_Hlk161933340"/>
      <w:r w:rsidRPr="00EB11D3">
        <w:rPr>
          <w:rFonts w:eastAsia="Times New Roman"/>
          <w:bCs/>
          <w:szCs w:val="24"/>
        </w:rPr>
        <w:t xml:space="preserve">Pugliese, A., Minichilli, A., &amp; Zattoni, A. (2018). </w:t>
      </w:r>
      <w:bookmarkEnd w:id="1174"/>
      <w:r w:rsidRPr="00EB11D3">
        <w:rPr>
          <w:rFonts w:eastAsia="Times New Roman"/>
          <w:bCs/>
          <w:szCs w:val="24"/>
        </w:rPr>
        <w:t xml:space="preserve">Integrating agency and resource dependence theory: Firm profitability, industry regulation, and board task performance. </w:t>
      </w:r>
      <w:r w:rsidRPr="00EB11D3">
        <w:rPr>
          <w:rFonts w:eastAsia="Times New Roman"/>
          <w:bCs/>
          <w:i/>
          <w:iCs/>
          <w:szCs w:val="24"/>
        </w:rPr>
        <w:t>Corporate Governance: An International Review</w:t>
      </w:r>
      <w:r w:rsidRPr="00EB11D3">
        <w:rPr>
          <w:rFonts w:eastAsia="Times New Roman"/>
          <w:bCs/>
          <w:szCs w:val="24"/>
        </w:rPr>
        <w:t>, 22(2), 130-147.</w:t>
      </w:r>
    </w:p>
    <w:p w14:paraId="35C1F000" w14:textId="77777777" w:rsidR="003A6047" w:rsidRPr="00F45702" w:rsidRDefault="003A6047" w:rsidP="00813B05">
      <w:pPr>
        <w:spacing w:after="0" w:line="360" w:lineRule="auto"/>
        <w:ind w:left="720" w:hanging="720"/>
        <w:rPr>
          <w:rFonts w:eastAsia="DengXian Light"/>
          <w:bCs/>
          <w:szCs w:val="24"/>
        </w:rPr>
      </w:pPr>
      <w:r w:rsidRPr="00F45702">
        <w:rPr>
          <w:rFonts w:eastAsia="DengXian Light"/>
          <w:bCs/>
          <w:szCs w:val="24"/>
        </w:rPr>
        <w:t>Puni, A., &amp; Anlesinya, A. (2020). Corporate governance mechanisms and firm performance in a developing country. </w:t>
      </w:r>
      <w:r w:rsidRPr="00F45702">
        <w:rPr>
          <w:rFonts w:eastAsia="DengXian Light"/>
          <w:bCs/>
          <w:i/>
          <w:iCs/>
          <w:szCs w:val="24"/>
        </w:rPr>
        <w:t>International Journal of Law and Management</w:t>
      </w:r>
      <w:r w:rsidRPr="00F45702">
        <w:rPr>
          <w:rFonts w:eastAsia="DengXian Light"/>
          <w:bCs/>
          <w:szCs w:val="24"/>
        </w:rPr>
        <w:t>, </w:t>
      </w:r>
      <w:r w:rsidRPr="00F45702">
        <w:rPr>
          <w:rFonts w:eastAsia="DengXian Light"/>
          <w:bCs/>
          <w:i/>
          <w:iCs/>
          <w:szCs w:val="24"/>
        </w:rPr>
        <w:t>62</w:t>
      </w:r>
      <w:r w:rsidRPr="00F45702">
        <w:rPr>
          <w:rFonts w:eastAsia="DengXian Light"/>
          <w:bCs/>
          <w:szCs w:val="24"/>
        </w:rPr>
        <w:t>(2), 147-169.</w:t>
      </w:r>
    </w:p>
    <w:p w14:paraId="6C20F502"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Puni, A., &amp; Anlesinya, A. (2020). Corporate governance mechanisms and firm performance in a developing country. </w:t>
      </w:r>
      <w:r w:rsidRPr="00EB11D3">
        <w:rPr>
          <w:i/>
          <w:iCs/>
          <w:color w:val="222222"/>
          <w:szCs w:val="24"/>
          <w:shd w:val="clear" w:color="auto" w:fill="FFFFFF"/>
        </w:rPr>
        <w:t>International Journal of Law and Management</w:t>
      </w:r>
      <w:r w:rsidRPr="00EB11D3">
        <w:rPr>
          <w:color w:val="222222"/>
          <w:szCs w:val="24"/>
          <w:shd w:val="clear" w:color="auto" w:fill="FFFFFF"/>
        </w:rPr>
        <w:t>, </w:t>
      </w:r>
      <w:r w:rsidRPr="00EB11D3">
        <w:rPr>
          <w:i/>
          <w:iCs/>
          <w:color w:val="222222"/>
          <w:szCs w:val="24"/>
          <w:shd w:val="clear" w:color="auto" w:fill="FFFFFF"/>
        </w:rPr>
        <w:t>62</w:t>
      </w:r>
      <w:r w:rsidRPr="00EB11D3">
        <w:rPr>
          <w:color w:val="222222"/>
          <w:szCs w:val="24"/>
          <w:shd w:val="clear" w:color="auto" w:fill="FFFFFF"/>
        </w:rPr>
        <w:t>(2), 147-169.</w:t>
      </w:r>
    </w:p>
    <w:p w14:paraId="476432BB"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Pusparani, R., Moko, W., &amp; Prabandari, S. P. (2023). The role of service innovation in mediating entrepreneurial orientation, organizational learning capability, and organizational performance relationship: a study on Directorate General of State Assets Management, Indonesia. </w:t>
      </w:r>
      <w:r w:rsidRPr="00EB11D3">
        <w:rPr>
          <w:i/>
          <w:iCs/>
          <w:color w:val="222222"/>
          <w:szCs w:val="24"/>
          <w:shd w:val="clear" w:color="auto" w:fill="FFFFFF"/>
        </w:rPr>
        <w:t>International Journal of Research in Business and Social Science (2147-4478)</w:t>
      </w:r>
      <w:r w:rsidRPr="00EB11D3">
        <w:rPr>
          <w:color w:val="222222"/>
          <w:szCs w:val="24"/>
          <w:shd w:val="clear" w:color="auto" w:fill="FFFFFF"/>
        </w:rPr>
        <w:t>, </w:t>
      </w:r>
      <w:r w:rsidRPr="00EB11D3">
        <w:rPr>
          <w:i/>
          <w:iCs/>
          <w:color w:val="222222"/>
          <w:szCs w:val="24"/>
          <w:shd w:val="clear" w:color="auto" w:fill="FFFFFF"/>
        </w:rPr>
        <w:t>12</w:t>
      </w:r>
      <w:r w:rsidRPr="00EB11D3">
        <w:rPr>
          <w:color w:val="222222"/>
          <w:szCs w:val="24"/>
          <w:shd w:val="clear" w:color="auto" w:fill="FFFFFF"/>
        </w:rPr>
        <w:t>(7), 24-37.</w:t>
      </w:r>
    </w:p>
    <w:p w14:paraId="69FB0413"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Ramírez, Y., &amp; Tejada, Á. (2018). Corporate governance of universities: improving transparency and accountability. </w:t>
      </w:r>
      <w:r w:rsidRPr="00EB11D3">
        <w:rPr>
          <w:rFonts w:eastAsia="Times New Roman"/>
          <w:bCs/>
          <w:i/>
          <w:iCs/>
          <w:szCs w:val="24"/>
        </w:rPr>
        <w:t>International Journal of Disclosure and Governance</w:t>
      </w:r>
      <w:r w:rsidRPr="00EB11D3">
        <w:rPr>
          <w:rFonts w:eastAsia="Times New Roman"/>
          <w:bCs/>
          <w:szCs w:val="24"/>
        </w:rPr>
        <w:t>, </w:t>
      </w:r>
      <w:r w:rsidRPr="00EB11D3">
        <w:rPr>
          <w:rFonts w:eastAsia="Times New Roman"/>
          <w:bCs/>
          <w:i/>
          <w:iCs/>
          <w:szCs w:val="24"/>
        </w:rPr>
        <w:t>15</w:t>
      </w:r>
      <w:r w:rsidRPr="00EB11D3">
        <w:rPr>
          <w:rFonts w:eastAsia="Times New Roman"/>
          <w:bCs/>
          <w:szCs w:val="24"/>
        </w:rPr>
        <w:t>, 29-39.</w:t>
      </w:r>
    </w:p>
    <w:p w14:paraId="5DD84C6E" w14:textId="77777777" w:rsidR="003A6047" w:rsidRPr="00EB11D3" w:rsidRDefault="003A6047" w:rsidP="00813B05">
      <w:pPr>
        <w:shd w:val="clear" w:color="auto" w:fill="FFFFFF"/>
        <w:spacing w:after="0" w:line="360" w:lineRule="auto"/>
        <w:ind w:left="720" w:hanging="720"/>
        <w:rPr>
          <w:rFonts w:eastAsia="Times New Roman"/>
          <w:bCs/>
          <w:sz w:val="32"/>
          <w:szCs w:val="32"/>
        </w:rPr>
      </w:pPr>
      <w:r w:rsidRPr="00EB11D3">
        <w:rPr>
          <w:color w:val="222222"/>
          <w:szCs w:val="24"/>
          <w:shd w:val="clear" w:color="auto" w:fill="FFFFFF"/>
        </w:rPr>
        <w:t>Rasheed, A., Manzoor, A., &amp; Mustafa, G. (2019). Corporate Governance and Its Impact on Profitability of the Oil and Gas Sector of Pakistan. </w:t>
      </w:r>
      <w:r w:rsidRPr="00EB11D3">
        <w:rPr>
          <w:i/>
          <w:iCs/>
          <w:color w:val="222222"/>
          <w:szCs w:val="24"/>
          <w:shd w:val="clear" w:color="auto" w:fill="FFFFFF"/>
        </w:rPr>
        <w:t>European Online Journal of Natural and Social Sciences: Proceedings</w:t>
      </w:r>
      <w:r w:rsidRPr="00EB11D3">
        <w:rPr>
          <w:color w:val="222222"/>
          <w:szCs w:val="24"/>
          <w:shd w:val="clear" w:color="auto" w:fill="FFFFFF"/>
        </w:rPr>
        <w:t>, </w:t>
      </w:r>
      <w:r w:rsidRPr="00EB11D3">
        <w:rPr>
          <w:i/>
          <w:iCs/>
          <w:color w:val="222222"/>
          <w:szCs w:val="24"/>
          <w:shd w:val="clear" w:color="auto" w:fill="FFFFFF"/>
        </w:rPr>
        <w:t>8</w:t>
      </w:r>
      <w:r w:rsidRPr="00EB11D3">
        <w:rPr>
          <w:color w:val="222222"/>
          <w:szCs w:val="24"/>
          <w:shd w:val="clear" w:color="auto" w:fill="FFFFFF"/>
        </w:rPr>
        <w:t>(4 (s)), pp-76.</w:t>
      </w:r>
    </w:p>
    <w:p w14:paraId="4DF8F7A5"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Republic of Kenya. Kenya Health Act. No. 21. 2017. </w:t>
      </w:r>
      <w:hyperlink r:id="rId37" w:history="1">
        <w:r w:rsidRPr="00EB11D3">
          <w:rPr>
            <w:rStyle w:val="Hyperlink"/>
            <w:color w:val="auto"/>
            <w:szCs w:val="24"/>
            <w:shd w:val="clear" w:color="auto" w:fill="FFFFFF"/>
          </w:rPr>
          <w:t>http://kenyalaw.org:8181/exist/kenyalex/actview.xql?actid=No.%2021%20of%202017</w:t>
        </w:r>
      </w:hyperlink>
      <w:r w:rsidRPr="00EB11D3">
        <w:rPr>
          <w:szCs w:val="24"/>
          <w:shd w:val="clear" w:color="auto" w:fill="FFFFFF"/>
        </w:rPr>
        <w:t>. Accessed 25 May 2023.</w:t>
      </w:r>
    </w:p>
    <w:p w14:paraId="63414D0E"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Revelle W., &amp; Condon D. M. (2019). Reliability from α to ω: A tutorial. </w:t>
      </w:r>
      <w:r w:rsidRPr="00EB11D3">
        <w:rPr>
          <w:rStyle w:val="Emphasis"/>
          <w:szCs w:val="24"/>
          <w:shd w:val="clear" w:color="auto" w:fill="FFFFFF"/>
        </w:rPr>
        <w:t>Psychological Assessment</w:t>
      </w:r>
      <w:r w:rsidRPr="00EB11D3">
        <w:rPr>
          <w:szCs w:val="24"/>
          <w:shd w:val="clear" w:color="auto" w:fill="FFFFFF"/>
        </w:rPr>
        <w:t xml:space="preserve">, </w:t>
      </w:r>
      <w:r w:rsidRPr="00EB11D3">
        <w:rPr>
          <w:i/>
          <w:iCs/>
          <w:szCs w:val="24"/>
          <w:shd w:val="clear" w:color="auto" w:fill="FFFFFF"/>
        </w:rPr>
        <w:t>31</w:t>
      </w:r>
      <w:r w:rsidRPr="00EB11D3">
        <w:rPr>
          <w:szCs w:val="24"/>
          <w:shd w:val="clear" w:color="auto" w:fill="FFFFFF"/>
        </w:rPr>
        <w:t>(12), 1395–1411.</w:t>
      </w:r>
    </w:p>
    <w:p w14:paraId="5B36034D"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Rezeki, S. F., Pasinringi, S. A., &amp; Saleh, L. M. (2020). Factors Affecting Hospital Service Innovation: Literature Review. </w:t>
      </w:r>
      <w:r w:rsidRPr="00EB11D3">
        <w:rPr>
          <w:i/>
          <w:iCs/>
          <w:szCs w:val="24"/>
          <w:shd w:val="clear" w:color="auto" w:fill="FFFFFF"/>
        </w:rPr>
        <w:t>Journal of Asian Multicultural Research for Medical and Health Science Study</w:t>
      </w:r>
      <w:r w:rsidRPr="00EB11D3">
        <w:rPr>
          <w:szCs w:val="24"/>
          <w:shd w:val="clear" w:color="auto" w:fill="FFFFFF"/>
        </w:rPr>
        <w:t>, </w:t>
      </w:r>
      <w:r w:rsidRPr="00EB11D3">
        <w:rPr>
          <w:i/>
          <w:iCs/>
          <w:szCs w:val="24"/>
          <w:shd w:val="clear" w:color="auto" w:fill="FFFFFF"/>
        </w:rPr>
        <w:t>1</w:t>
      </w:r>
      <w:r w:rsidRPr="00EB11D3">
        <w:rPr>
          <w:szCs w:val="24"/>
          <w:shd w:val="clear" w:color="auto" w:fill="FFFFFF"/>
        </w:rPr>
        <w:t>(2), 57-73.</w:t>
      </w:r>
    </w:p>
    <w:p w14:paraId="42298C6C" w14:textId="77777777" w:rsidR="003A6047" w:rsidRPr="00EB11D3" w:rsidRDefault="003A6047" w:rsidP="00813B05">
      <w:pPr>
        <w:shd w:val="clear" w:color="auto" w:fill="FFFFFF"/>
        <w:spacing w:after="0" w:line="360" w:lineRule="auto"/>
        <w:ind w:left="720" w:hanging="720"/>
        <w:rPr>
          <w:rFonts w:eastAsia="Times New Roman"/>
          <w:bCs/>
          <w:szCs w:val="24"/>
        </w:rPr>
      </w:pPr>
      <w:bookmarkStart w:id="1175" w:name="_Hlk160642649"/>
      <w:r w:rsidRPr="00EB11D3">
        <w:rPr>
          <w:rFonts w:eastAsia="Times New Roman"/>
          <w:bCs/>
          <w:szCs w:val="24"/>
        </w:rPr>
        <w:t>Ribeiro, N., &amp; Yücel, İ. (2020).</w:t>
      </w:r>
      <w:bookmarkEnd w:id="1175"/>
      <w:r w:rsidRPr="00EB11D3">
        <w:rPr>
          <w:rFonts w:eastAsia="Times New Roman"/>
          <w:bCs/>
          <w:szCs w:val="24"/>
        </w:rPr>
        <w:t xml:space="preserve"> The role of education in fostering innovation capacity. </w:t>
      </w:r>
      <w:r w:rsidRPr="00EB11D3">
        <w:rPr>
          <w:rFonts w:eastAsia="Times New Roman"/>
          <w:bCs/>
          <w:i/>
          <w:iCs/>
          <w:szCs w:val="24"/>
        </w:rPr>
        <w:t>International Journal of Innovation Science</w:t>
      </w:r>
      <w:r w:rsidRPr="00EB11D3">
        <w:rPr>
          <w:rFonts w:eastAsia="Times New Roman"/>
          <w:bCs/>
          <w:szCs w:val="24"/>
        </w:rPr>
        <w:t>, 12(2), 205-220.</w:t>
      </w:r>
    </w:p>
    <w:p w14:paraId="4EFCD0D8" w14:textId="77777777" w:rsidR="003A6047" w:rsidRPr="00EB11D3" w:rsidRDefault="003A6047" w:rsidP="00813B05">
      <w:pPr>
        <w:spacing w:after="0" w:line="360" w:lineRule="auto"/>
        <w:ind w:left="720" w:hanging="720"/>
        <w:rPr>
          <w:szCs w:val="24"/>
          <w:shd w:val="clear" w:color="auto" w:fill="FFFFFF"/>
        </w:rPr>
      </w:pPr>
      <w:r w:rsidRPr="00EB11D3">
        <w:rPr>
          <w:szCs w:val="24"/>
        </w:rPr>
        <w:t xml:space="preserve">Ritella, G., Rajala, A., &amp; Renshaw, P. (2020). Using chronotope to research the space-time relations of learning and education: Dimensions of the unit of analysis. </w:t>
      </w:r>
      <w:r w:rsidRPr="00EB11D3">
        <w:rPr>
          <w:i/>
          <w:iCs/>
          <w:szCs w:val="24"/>
        </w:rPr>
        <w:t>Learning, Culture and Social Interaction</w:t>
      </w:r>
      <w:r w:rsidRPr="00EB11D3">
        <w:rPr>
          <w:szCs w:val="24"/>
        </w:rPr>
        <w:t>. https://doi.org/10.1016/j.lcsi.2020.100381</w:t>
      </w:r>
    </w:p>
    <w:p w14:paraId="53E4BE7E"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Rusydi, A. R., Palutturi, S., Noor, N. B., &amp; Pasinringi, S. A. (2020). The implementation of good corporate governance (GCG) at public hospital in Indonesia: A literature review. </w:t>
      </w:r>
      <w:r w:rsidRPr="00EB11D3">
        <w:rPr>
          <w:i/>
          <w:iCs/>
          <w:color w:val="222222"/>
          <w:szCs w:val="24"/>
          <w:shd w:val="clear" w:color="auto" w:fill="FFFFFF"/>
        </w:rPr>
        <w:t>Enfermeria clinica</w:t>
      </w:r>
      <w:r w:rsidRPr="00EB11D3">
        <w:rPr>
          <w:color w:val="222222"/>
          <w:szCs w:val="24"/>
          <w:shd w:val="clear" w:color="auto" w:fill="FFFFFF"/>
        </w:rPr>
        <w:t>, </w:t>
      </w:r>
      <w:r w:rsidRPr="00EB11D3">
        <w:rPr>
          <w:i/>
          <w:iCs/>
          <w:color w:val="222222"/>
          <w:szCs w:val="24"/>
          <w:shd w:val="clear" w:color="auto" w:fill="FFFFFF"/>
        </w:rPr>
        <w:t>30</w:t>
      </w:r>
      <w:r w:rsidRPr="00EB11D3">
        <w:rPr>
          <w:color w:val="222222"/>
          <w:szCs w:val="24"/>
          <w:shd w:val="clear" w:color="auto" w:fill="FFFFFF"/>
        </w:rPr>
        <w:t>, 145-148.</w:t>
      </w:r>
    </w:p>
    <w:p w14:paraId="096CC151" w14:textId="77777777" w:rsidR="003A6047" w:rsidRDefault="003A6047" w:rsidP="00813B05">
      <w:pPr>
        <w:spacing w:after="0" w:line="360" w:lineRule="auto"/>
        <w:ind w:left="720" w:hanging="720"/>
        <w:rPr>
          <w:szCs w:val="24"/>
        </w:rPr>
      </w:pPr>
      <w:r w:rsidRPr="00EB11D3">
        <w:rPr>
          <w:szCs w:val="24"/>
        </w:rPr>
        <w:t>Ryan, G. (2018). Introduction to positivism, interpretivism and critical theory. Nurse researcher, 25(4), 41-49.</w:t>
      </w:r>
    </w:p>
    <w:p w14:paraId="2C40F63A"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Ryan, G. (2019). Postpositivist critical realism: philosophy, methodology and method for nursing research, </w:t>
      </w:r>
      <w:r w:rsidRPr="00EB11D3">
        <w:rPr>
          <w:i/>
          <w:iCs/>
          <w:szCs w:val="24"/>
          <w:shd w:val="clear" w:color="auto" w:fill="FFFFFF"/>
        </w:rPr>
        <w:t>Nurse Researcher</w:t>
      </w:r>
      <w:r w:rsidRPr="00EB11D3">
        <w:rPr>
          <w:szCs w:val="24"/>
          <w:shd w:val="clear" w:color="auto" w:fill="FFFFFF"/>
        </w:rPr>
        <w:t xml:space="preserve">, </w:t>
      </w:r>
      <w:r w:rsidRPr="00EB11D3">
        <w:rPr>
          <w:i/>
          <w:iCs/>
          <w:szCs w:val="24"/>
          <w:shd w:val="clear" w:color="auto" w:fill="FFFFFF"/>
        </w:rPr>
        <w:t>27</w:t>
      </w:r>
      <w:r w:rsidRPr="00EB11D3">
        <w:rPr>
          <w:szCs w:val="24"/>
          <w:shd w:val="clear" w:color="auto" w:fill="FFFFFF"/>
        </w:rPr>
        <w:t>(3), 20-26.</w:t>
      </w:r>
    </w:p>
    <w:p w14:paraId="5332D294" w14:textId="77777777" w:rsidR="003A6047" w:rsidRPr="00EB11D3" w:rsidRDefault="003A6047" w:rsidP="00813B05">
      <w:pPr>
        <w:shd w:val="clear" w:color="auto" w:fill="FFFFFF"/>
        <w:spacing w:after="0" w:line="360" w:lineRule="auto"/>
        <w:ind w:left="720" w:hanging="720"/>
        <w:rPr>
          <w:color w:val="222222"/>
          <w:szCs w:val="24"/>
          <w:shd w:val="clear" w:color="auto" w:fill="FFFFFF"/>
        </w:rPr>
      </w:pPr>
      <w:r w:rsidRPr="00EB11D3">
        <w:rPr>
          <w:color w:val="222222"/>
          <w:szCs w:val="24"/>
          <w:shd w:val="clear" w:color="auto" w:fill="FFFFFF"/>
        </w:rPr>
        <w:t>Sakarneh, B. K., Elhawi, R., &amp; Al-Najjar, R. M. R. (2021). The Impact of Corporate Governance on Corporate Social Responsibility: A Field Study at Private Hospitals in Southern Amman Governorate. </w:t>
      </w:r>
      <w:r w:rsidRPr="00EB11D3">
        <w:rPr>
          <w:i/>
          <w:iCs/>
          <w:color w:val="222222"/>
          <w:szCs w:val="24"/>
          <w:shd w:val="clear" w:color="auto" w:fill="FFFFFF"/>
        </w:rPr>
        <w:t>Nveo-Natural Volatiles &amp; Essential Oils Journal| NVEO</w:t>
      </w:r>
      <w:r w:rsidRPr="00EB11D3">
        <w:rPr>
          <w:color w:val="222222"/>
          <w:szCs w:val="24"/>
          <w:shd w:val="clear" w:color="auto" w:fill="FFFFFF"/>
        </w:rPr>
        <w:t>, 4370-4384.</w:t>
      </w:r>
    </w:p>
    <w:p w14:paraId="5FC56ADB"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Saleem, I., Khan, M. N. A., Hasan, R., &amp; Ashfaq, M. (2021). Corporate board for innovative managerial control: Implications of corporate governance deviance perspective. Corporate Governance: The </w:t>
      </w:r>
      <w:r w:rsidRPr="00EB11D3">
        <w:rPr>
          <w:i/>
          <w:iCs/>
          <w:szCs w:val="24"/>
          <w:shd w:val="clear" w:color="auto" w:fill="FFFFFF"/>
        </w:rPr>
        <w:t>International Journal of Business in Society</w:t>
      </w:r>
      <w:r w:rsidRPr="00EB11D3">
        <w:rPr>
          <w:szCs w:val="24"/>
          <w:shd w:val="clear" w:color="auto" w:fill="FFFFFF"/>
        </w:rPr>
        <w:t>, </w:t>
      </w:r>
      <w:hyperlink r:id="rId38" w:tgtFrame="_blank" w:history="1">
        <w:r w:rsidRPr="00EB11D3">
          <w:rPr>
            <w:szCs w:val="24"/>
            <w:shd w:val="clear" w:color="auto" w:fill="FFFFFF"/>
          </w:rPr>
          <w:t>21</w:t>
        </w:r>
      </w:hyperlink>
      <w:r w:rsidRPr="00EB11D3">
        <w:rPr>
          <w:szCs w:val="24"/>
          <w:shd w:val="clear" w:color="auto" w:fill="FFFFFF"/>
        </w:rPr>
        <w:t>(3), 450–462.</w:t>
      </w:r>
    </w:p>
    <w:p w14:paraId="33A12D66"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Salehi, M., &amp; Moghadam, S. M. (2019). The relationship between management characteristics and firm performance. </w:t>
      </w:r>
      <w:r w:rsidRPr="00EB11D3">
        <w:rPr>
          <w:i/>
          <w:iCs/>
          <w:szCs w:val="24"/>
          <w:shd w:val="clear" w:color="auto" w:fill="FFFFFF"/>
        </w:rPr>
        <w:t>Competitiveness Review: An International Business Journal</w:t>
      </w:r>
      <w:r w:rsidRPr="00EB11D3">
        <w:rPr>
          <w:szCs w:val="24"/>
          <w:shd w:val="clear" w:color="auto" w:fill="FFFFFF"/>
        </w:rPr>
        <w:t xml:space="preserve">, </w:t>
      </w:r>
      <w:r w:rsidRPr="00EB11D3">
        <w:rPr>
          <w:i/>
          <w:iCs/>
          <w:szCs w:val="24"/>
          <w:shd w:val="clear" w:color="auto" w:fill="FFFFFF"/>
        </w:rPr>
        <w:t>29</w:t>
      </w:r>
      <w:r w:rsidRPr="00EB11D3">
        <w:rPr>
          <w:szCs w:val="24"/>
          <w:shd w:val="clear" w:color="auto" w:fill="FFFFFF"/>
        </w:rPr>
        <w:t xml:space="preserve"> (4), 440-461</w:t>
      </w:r>
      <w:r w:rsidRPr="00EB11D3">
        <w:rPr>
          <w:szCs w:val="24"/>
        </w:rPr>
        <w:t>.</w:t>
      </w:r>
    </w:p>
    <w:p w14:paraId="495773BA"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Salehi, M., Moradi, M., &amp; Faysal, S. (2023). The relationship between corporate governance and cost of equity: Evidence from the ISIS era in Iraq. </w:t>
      </w:r>
      <w:r w:rsidRPr="00EB11D3">
        <w:rPr>
          <w:i/>
          <w:iCs/>
          <w:color w:val="222222"/>
          <w:szCs w:val="24"/>
          <w:shd w:val="clear" w:color="auto" w:fill="FFFFFF"/>
        </w:rPr>
        <w:t>International Journal of Emerging Markets</w:t>
      </w:r>
      <w:r w:rsidRPr="00EB11D3">
        <w:rPr>
          <w:color w:val="222222"/>
          <w:szCs w:val="24"/>
          <w:shd w:val="clear" w:color="auto" w:fill="FFFFFF"/>
        </w:rPr>
        <w:t>, (ahead-of-print). https://doi.org/10.1108/IJOEM-07-2020-0739</w:t>
      </w:r>
    </w:p>
    <w:p w14:paraId="3AFF7FF6"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Salmerón, R., García, C. B., &amp; García, J. (2018). Variance inflation factor and condition number in multiple linear regression. </w:t>
      </w:r>
      <w:r w:rsidRPr="00EB11D3">
        <w:rPr>
          <w:i/>
          <w:iCs/>
          <w:szCs w:val="24"/>
          <w:shd w:val="clear" w:color="auto" w:fill="FFFFFF"/>
        </w:rPr>
        <w:t>Journal of statistical computation and simulation</w:t>
      </w:r>
      <w:r w:rsidRPr="00EB11D3">
        <w:rPr>
          <w:szCs w:val="24"/>
          <w:shd w:val="clear" w:color="auto" w:fill="FFFFFF"/>
        </w:rPr>
        <w:t>, </w:t>
      </w:r>
      <w:r w:rsidRPr="00EB11D3">
        <w:rPr>
          <w:i/>
          <w:iCs/>
          <w:szCs w:val="24"/>
          <w:shd w:val="clear" w:color="auto" w:fill="FFFFFF"/>
        </w:rPr>
        <w:t>88</w:t>
      </w:r>
      <w:r w:rsidRPr="00EB11D3">
        <w:rPr>
          <w:szCs w:val="24"/>
          <w:shd w:val="clear" w:color="auto" w:fill="FFFFFF"/>
        </w:rPr>
        <w:t>(12), 2365-2384.</w:t>
      </w:r>
    </w:p>
    <w:p w14:paraId="76DCCE97"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Salmerón-Gómez, R., García-García, C., &amp; García-Pérez, J. (2021). A guide to using the r package “multicoll” for detecting multicollinearity. </w:t>
      </w:r>
      <w:r w:rsidRPr="00EB11D3">
        <w:rPr>
          <w:i/>
          <w:iCs/>
          <w:szCs w:val="24"/>
          <w:shd w:val="clear" w:color="auto" w:fill="FFFFFF"/>
        </w:rPr>
        <w:t>Computational Economics</w:t>
      </w:r>
      <w:r w:rsidRPr="00EB11D3">
        <w:rPr>
          <w:szCs w:val="24"/>
          <w:shd w:val="clear" w:color="auto" w:fill="FFFFFF"/>
        </w:rPr>
        <w:t>, </w:t>
      </w:r>
      <w:r w:rsidRPr="00EB11D3">
        <w:rPr>
          <w:i/>
          <w:iCs/>
          <w:szCs w:val="24"/>
          <w:shd w:val="clear" w:color="auto" w:fill="FFFFFF"/>
        </w:rPr>
        <w:t>57</w:t>
      </w:r>
      <w:r w:rsidRPr="00EB11D3">
        <w:rPr>
          <w:szCs w:val="24"/>
          <w:shd w:val="clear" w:color="auto" w:fill="FFFFFF"/>
        </w:rPr>
        <w:t>, 529-536.</w:t>
      </w:r>
    </w:p>
    <w:p w14:paraId="0FEE68F9"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 xml:space="preserve">Salunke, S., Weerawardena, J., &amp; McColl-Kennedy, J. R. (2019). The central role of knowledge integration capability in service innovation-based competitive strategy. </w:t>
      </w:r>
      <w:r w:rsidRPr="00EB11D3">
        <w:rPr>
          <w:i/>
          <w:iCs/>
          <w:color w:val="222222"/>
          <w:szCs w:val="24"/>
          <w:shd w:val="clear" w:color="auto" w:fill="FFFFFF"/>
        </w:rPr>
        <w:t>Industrial Marketing Management</w:t>
      </w:r>
      <w:r w:rsidRPr="00EB11D3">
        <w:rPr>
          <w:color w:val="222222"/>
          <w:szCs w:val="24"/>
          <w:shd w:val="clear" w:color="auto" w:fill="FFFFFF"/>
        </w:rPr>
        <w:t>, 76, 144-156.</w:t>
      </w:r>
    </w:p>
    <w:p w14:paraId="483DE482"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Samlal, Z. (2020). Corporate governance and business innovation among listed Moroccan companies. Journal of Economics, </w:t>
      </w:r>
      <w:r w:rsidRPr="00EB11D3">
        <w:rPr>
          <w:i/>
          <w:iCs/>
          <w:szCs w:val="24"/>
          <w:shd w:val="clear" w:color="auto" w:fill="FFFFFF"/>
        </w:rPr>
        <w:t>Finance and Administrative Science</w:t>
      </w:r>
      <w:r w:rsidRPr="00EB11D3">
        <w:rPr>
          <w:szCs w:val="24"/>
          <w:shd w:val="clear" w:color="auto" w:fill="FFFFFF"/>
        </w:rPr>
        <w:t>, 25(49), 61–72.</w:t>
      </w:r>
    </w:p>
    <w:p w14:paraId="09743715" w14:textId="77777777" w:rsidR="003A6047" w:rsidRPr="00EB11D3" w:rsidRDefault="003A6047" w:rsidP="00813B05">
      <w:pPr>
        <w:spacing w:after="0" w:line="360" w:lineRule="auto"/>
        <w:ind w:left="720" w:hanging="720"/>
        <w:rPr>
          <w:szCs w:val="24"/>
          <w:shd w:val="clear" w:color="auto" w:fill="FFFFFF"/>
        </w:rPr>
      </w:pPr>
      <w:bookmarkStart w:id="1176" w:name="_Hlk171087818"/>
      <w:r w:rsidRPr="00EB11D3">
        <w:rPr>
          <w:szCs w:val="24"/>
          <w:shd w:val="clear" w:color="auto" w:fill="FFFFFF"/>
        </w:rPr>
        <w:t>Samuelsson, P. (2021). </w:t>
      </w:r>
      <w:r w:rsidRPr="00EB11D3">
        <w:rPr>
          <w:i/>
          <w:iCs/>
          <w:szCs w:val="24"/>
          <w:shd w:val="clear" w:color="auto" w:fill="FFFFFF"/>
        </w:rPr>
        <w:t>Framing service innovation in healthcare</w:t>
      </w:r>
      <w:r w:rsidRPr="00EB11D3">
        <w:rPr>
          <w:szCs w:val="24"/>
          <w:shd w:val="clear" w:color="auto" w:fill="FFFFFF"/>
        </w:rPr>
        <w:t> (Doctoral dissertation, Karlstads universitet).</w:t>
      </w:r>
    </w:p>
    <w:bookmarkEnd w:id="1176"/>
    <w:p w14:paraId="4A71CAAA"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Samuelsson, P., Witell, L., Gottfridsson, P., &amp; Elg, M. (2019). Incremental and radical service innovation in Healthcare. </w:t>
      </w:r>
      <w:r w:rsidRPr="00EB11D3">
        <w:rPr>
          <w:i/>
          <w:iCs/>
          <w:szCs w:val="24"/>
          <w:shd w:val="clear" w:color="auto" w:fill="FFFFFF"/>
        </w:rPr>
        <w:t>Handbook of Service Science, 2,</w:t>
      </w:r>
      <w:r w:rsidRPr="00EB11D3">
        <w:rPr>
          <w:szCs w:val="24"/>
          <w:shd w:val="clear" w:color="auto" w:fill="FFFFFF"/>
        </w:rPr>
        <w:t xml:space="preserve"> 619-638.</w:t>
      </w:r>
    </w:p>
    <w:p w14:paraId="0A78B1C7"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 xml:space="preserve">Santos-Vijande, M. L., López-Sánchez, J. Á., &amp; Pascual-Fernandez, P. (2018). Co-creation with customers of hotel services: the moderating role of top management support. </w:t>
      </w:r>
      <w:r w:rsidRPr="00FA7816">
        <w:rPr>
          <w:i/>
          <w:iCs/>
          <w:color w:val="222222"/>
          <w:szCs w:val="24"/>
          <w:shd w:val="clear" w:color="auto" w:fill="FFFFFF"/>
        </w:rPr>
        <w:t>Current Issues in Tourism</w:t>
      </w:r>
      <w:r w:rsidRPr="00EB11D3">
        <w:rPr>
          <w:color w:val="222222"/>
          <w:szCs w:val="24"/>
          <w:shd w:val="clear" w:color="auto" w:fill="FFFFFF"/>
        </w:rPr>
        <w:t>, 21(3), 301-327.</w:t>
      </w:r>
    </w:p>
    <w:p w14:paraId="5348E6D9"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color w:val="222222"/>
          <w:szCs w:val="24"/>
          <w:shd w:val="clear" w:color="auto" w:fill="FFFFFF"/>
        </w:rPr>
        <w:t>Sarhan, A. A., Ntim, C. G., &amp; Al‐Najjar, B. (2019). Board diversity, corporate governance, corporate performance, and executive pay. </w:t>
      </w:r>
      <w:r w:rsidRPr="00EB11D3">
        <w:rPr>
          <w:i/>
          <w:iCs/>
          <w:color w:val="222222"/>
          <w:szCs w:val="24"/>
          <w:shd w:val="clear" w:color="auto" w:fill="FFFFFF"/>
        </w:rPr>
        <w:t>International Journal of Finance &amp; Economics</w:t>
      </w:r>
      <w:r w:rsidRPr="00EB11D3">
        <w:rPr>
          <w:color w:val="222222"/>
          <w:szCs w:val="24"/>
          <w:shd w:val="clear" w:color="auto" w:fill="FFFFFF"/>
        </w:rPr>
        <w:t>, </w:t>
      </w:r>
      <w:r w:rsidRPr="00EB11D3">
        <w:rPr>
          <w:i/>
          <w:iCs/>
          <w:color w:val="222222"/>
          <w:szCs w:val="24"/>
          <w:shd w:val="clear" w:color="auto" w:fill="FFFFFF"/>
        </w:rPr>
        <w:t>24</w:t>
      </w:r>
      <w:r w:rsidRPr="00EB11D3">
        <w:rPr>
          <w:color w:val="222222"/>
          <w:szCs w:val="24"/>
          <w:shd w:val="clear" w:color="auto" w:fill="FFFFFF"/>
        </w:rPr>
        <w:t>(2), 761-786.</w:t>
      </w:r>
    </w:p>
    <w:p w14:paraId="2ECCFE95" w14:textId="77777777" w:rsidR="003A6047" w:rsidRPr="00EB11D3" w:rsidRDefault="003A6047" w:rsidP="00813B05">
      <w:pPr>
        <w:spacing w:after="0" w:line="360" w:lineRule="auto"/>
        <w:ind w:left="720" w:hanging="720"/>
        <w:rPr>
          <w:szCs w:val="24"/>
          <w:lang w:eastAsia="zh-CN"/>
        </w:rPr>
      </w:pPr>
      <w:r w:rsidRPr="00EB11D3">
        <w:rPr>
          <w:szCs w:val="24"/>
          <w:shd w:val="clear" w:color="auto" w:fill="FFFFFF"/>
        </w:rPr>
        <w:t>Sari, W. I. (2017). The role of regulations on administrative and practices in improving quality of services in public organizations. </w:t>
      </w:r>
      <w:r w:rsidRPr="00EB11D3">
        <w:rPr>
          <w:i/>
          <w:iCs/>
          <w:szCs w:val="24"/>
          <w:shd w:val="clear" w:color="auto" w:fill="FFFFFF"/>
        </w:rPr>
        <w:t>Cogent Business &amp; Management</w:t>
      </w:r>
      <w:r w:rsidRPr="00EB11D3">
        <w:rPr>
          <w:szCs w:val="24"/>
          <w:shd w:val="clear" w:color="auto" w:fill="FFFFFF"/>
        </w:rPr>
        <w:t>, </w:t>
      </w:r>
      <w:r w:rsidRPr="00EB11D3">
        <w:rPr>
          <w:i/>
          <w:iCs/>
          <w:szCs w:val="24"/>
          <w:shd w:val="clear" w:color="auto" w:fill="FFFFFF"/>
        </w:rPr>
        <w:t>4</w:t>
      </w:r>
      <w:r w:rsidRPr="00EB11D3">
        <w:rPr>
          <w:szCs w:val="24"/>
          <w:shd w:val="clear" w:color="auto" w:fill="FFFFFF"/>
        </w:rPr>
        <w:t>(1), 1396952.</w:t>
      </w:r>
    </w:p>
    <w:p w14:paraId="094F5540"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Sarkar, S., &amp; Spieler, A. C. (2020). Corporate fraud: the cases of Barings bank, Volkswagen, and HIH insurance. In </w:t>
      </w:r>
      <w:r w:rsidRPr="00EB11D3">
        <w:rPr>
          <w:i/>
          <w:iCs/>
          <w:szCs w:val="24"/>
          <w:shd w:val="clear" w:color="auto" w:fill="FFFFFF"/>
        </w:rPr>
        <w:t>Corporate Fraud Exposed</w:t>
      </w:r>
      <w:r w:rsidRPr="00EB11D3">
        <w:rPr>
          <w:szCs w:val="24"/>
          <w:shd w:val="clear" w:color="auto" w:fill="FFFFFF"/>
        </w:rPr>
        <w:t>. Emerald Publishing Limited.</w:t>
      </w:r>
    </w:p>
    <w:p w14:paraId="438637CA"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Sarwar, A., Al-Faryan, M. A. S., &amp; Saeed, S. (2022). The impact of corporate governance and financial leverage on the performance of local Thai banks using corporate social responsibility as a mediator. </w:t>
      </w:r>
      <w:r w:rsidRPr="00FA7816">
        <w:rPr>
          <w:i/>
          <w:iCs/>
          <w:szCs w:val="24"/>
          <w:shd w:val="clear" w:color="auto" w:fill="FFFFFF"/>
        </w:rPr>
        <w:t>Theoretical Economics Letters</w:t>
      </w:r>
      <w:r w:rsidRPr="00EB11D3">
        <w:rPr>
          <w:szCs w:val="24"/>
          <w:shd w:val="clear" w:color="auto" w:fill="FFFFFF"/>
        </w:rPr>
        <w:t>, 12(1), 19–51.</w:t>
      </w:r>
    </w:p>
    <w:p w14:paraId="0F171B6D"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Saygili, A. T., Saygili, E., &amp; Taran, A. (2021). The effects of corporate governance practices on firm-level financial performance: evidence from Borsa Istanbul Xkury companies. </w:t>
      </w:r>
      <w:r w:rsidRPr="00EB11D3">
        <w:rPr>
          <w:i/>
          <w:iCs/>
          <w:szCs w:val="24"/>
          <w:shd w:val="clear" w:color="auto" w:fill="FFFFFF"/>
        </w:rPr>
        <w:t>Journal of Business Economics and Management</w:t>
      </w:r>
      <w:r w:rsidRPr="00EB11D3">
        <w:rPr>
          <w:szCs w:val="24"/>
          <w:shd w:val="clear" w:color="auto" w:fill="FFFFFF"/>
        </w:rPr>
        <w:t>, </w:t>
      </w:r>
      <w:r w:rsidRPr="00EB11D3">
        <w:rPr>
          <w:i/>
          <w:iCs/>
          <w:szCs w:val="24"/>
          <w:shd w:val="clear" w:color="auto" w:fill="FFFFFF"/>
        </w:rPr>
        <w:t>22</w:t>
      </w:r>
      <w:r w:rsidRPr="00EB11D3">
        <w:rPr>
          <w:szCs w:val="24"/>
          <w:shd w:val="clear" w:color="auto" w:fill="FFFFFF"/>
        </w:rPr>
        <w:t>(4), 884-904.</w:t>
      </w:r>
    </w:p>
    <w:p w14:paraId="0483CC50"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Scherer, A. G., &amp; Voegtlin, C. (2020). Corporate governance for responsible innovation: Approaches to corporate governance and their implications for sustainable development. </w:t>
      </w:r>
      <w:r w:rsidRPr="00EB11D3">
        <w:rPr>
          <w:i/>
          <w:iCs/>
          <w:szCs w:val="24"/>
          <w:shd w:val="clear" w:color="auto" w:fill="FFFFFF"/>
        </w:rPr>
        <w:t>Academy of Management Perspectives</w:t>
      </w:r>
      <w:r w:rsidRPr="00EB11D3">
        <w:rPr>
          <w:szCs w:val="24"/>
          <w:shd w:val="clear" w:color="auto" w:fill="FFFFFF"/>
        </w:rPr>
        <w:t>, </w:t>
      </w:r>
      <w:r w:rsidRPr="00EB11D3">
        <w:rPr>
          <w:i/>
          <w:iCs/>
          <w:szCs w:val="24"/>
          <w:shd w:val="clear" w:color="auto" w:fill="FFFFFF"/>
        </w:rPr>
        <w:t>34</w:t>
      </w:r>
      <w:r w:rsidRPr="00EB11D3">
        <w:rPr>
          <w:szCs w:val="24"/>
          <w:shd w:val="clear" w:color="auto" w:fill="FFFFFF"/>
        </w:rPr>
        <w:t>(2), 182-208.</w:t>
      </w:r>
    </w:p>
    <w:p w14:paraId="4F41D6E1"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Scherer, A. G., Palazzo, G., &amp; Seidl, D. (2023). Managing legitimacy in complex and heterogeneous environments: Sustainable development in a globalized world. </w:t>
      </w:r>
      <w:r w:rsidRPr="00EB11D3">
        <w:rPr>
          <w:rFonts w:eastAsia="Times New Roman"/>
          <w:bCs/>
          <w:i/>
          <w:iCs/>
          <w:szCs w:val="24"/>
        </w:rPr>
        <w:t>Journal of Management Studies</w:t>
      </w:r>
      <w:r w:rsidRPr="00EB11D3">
        <w:rPr>
          <w:rFonts w:eastAsia="Times New Roman"/>
          <w:bCs/>
          <w:szCs w:val="24"/>
        </w:rPr>
        <w:t xml:space="preserve">, 50(2), 259-284. </w:t>
      </w:r>
    </w:p>
    <w:p w14:paraId="2BDD49F6"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Schilke, O., &amp; Benner, M. J. (2020). Governance mode and innovation: A contingency perspective. </w:t>
      </w:r>
      <w:r w:rsidRPr="00FA7816">
        <w:rPr>
          <w:rFonts w:eastAsia="Times New Roman"/>
          <w:bCs/>
          <w:i/>
          <w:iCs/>
          <w:szCs w:val="24"/>
        </w:rPr>
        <w:t>Strategic Management Journal</w:t>
      </w:r>
      <w:r w:rsidRPr="00EB11D3">
        <w:rPr>
          <w:rFonts w:eastAsia="Times New Roman"/>
          <w:bCs/>
          <w:szCs w:val="24"/>
        </w:rPr>
        <w:t>, 41(10), 1889-1913. [DOI: 10.1002/smj.3150]</w:t>
      </w:r>
    </w:p>
    <w:p w14:paraId="636B1C23"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Schillemans, T., &amp; Bjurstrøm, K. H. (2020). Trust and verification: Balancing agency and stewardship theory in the governance of agencies. </w:t>
      </w:r>
      <w:r w:rsidRPr="00EB11D3">
        <w:rPr>
          <w:i/>
          <w:iCs/>
          <w:szCs w:val="24"/>
          <w:shd w:val="clear" w:color="auto" w:fill="FFFFFF"/>
        </w:rPr>
        <w:t>International Public Management Journal</w:t>
      </w:r>
      <w:r w:rsidRPr="00EB11D3">
        <w:rPr>
          <w:szCs w:val="24"/>
          <w:shd w:val="clear" w:color="auto" w:fill="FFFFFF"/>
        </w:rPr>
        <w:t>, </w:t>
      </w:r>
      <w:r w:rsidRPr="00EB11D3">
        <w:rPr>
          <w:i/>
          <w:iCs/>
          <w:szCs w:val="24"/>
          <w:shd w:val="clear" w:color="auto" w:fill="FFFFFF"/>
        </w:rPr>
        <w:t>23</w:t>
      </w:r>
      <w:r w:rsidRPr="00EB11D3">
        <w:rPr>
          <w:szCs w:val="24"/>
          <w:shd w:val="clear" w:color="auto" w:fill="FFFFFF"/>
        </w:rPr>
        <w:t>(5), 650-676.</w:t>
      </w:r>
    </w:p>
    <w:p w14:paraId="1F234648"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Scholten, G., Muijsers‐Creemers, L., Moen, J., &amp; Bal, R. (2019). Structuring ambiguity in hospital governance. </w:t>
      </w:r>
      <w:r w:rsidRPr="00EB11D3">
        <w:rPr>
          <w:i/>
          <w:iCs/>
          <w:color w:val="222222"/>
          <w:szCs w:val="24"/>
          <w:shd w:val="clear" w:color="auto" w:fill="FFFFFF"/>
        </w:rPr>
        <w:t>The International Journal of Health Planning and Management</w:t>
      </w:r>
      <w:r w:rsidRPr="00EB11D3">
        <w:rPr>
          <w:color w:val="222222"/>
          <w:szCs w:val="24"/>
          <w:shd w:val="clear" w:color="auto" w:fill="FFFFFF"/>
        </w:rPr>
        <w:t>, </w:t>
      </w:r>
      <w:r w:rsidRPr="00EB11D3">
        <w:rPr>
          <w:i/>
          <w:iCs/>
          <w:color w:val="222222"/>
          <w:szCs w:val="24"/>
          <w:shd w:val="clear" w:color="auto" w:fill="FFFFFF"/>
        </w:rPr>
        <w:t>34</w:t>
      </w:r>
      <w:r w:rsidRPr="00EB11D3">
        <w:rPr>
          <w:color w:val="222222"/>
          <w:szCs w:val="24"/>
          <w:shd w:val="clear" w:color="auto" w:fill="FFFFFF"/>
        </w:rPr>
        <w:t>(1), 443-457.</w:t>
      </w:r>
    </w:p>
    <w:p w14:paraId="274BEA49"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Sehgal, S., &amp; Gupta, G. (2020). Converging resources and co-producing for innovation: evidence from healthcare services. </w:t>
      </w:r>
      <w:r w:rsidRPr="00EB11D3">
        <w:rPr>
          <w:i/>
          <w:iCs/>
          <w:szCs w:val="24"/>
          <w:shd w:val="clear" w:color="auto" w:fill="FFFFFF"/>
        </w:rPr>
        <w:t>European Journal of Innovation Management</w:t>
      </w:r>
      <w:r w:rsidRPr="00EB11D3">
        <w:rPr>
          <w:szCs w:val="24"/>
          <w:shd w:val="clear" w:color="auto" w:fill="FFFFFF"/>
        </w:rPr>
        <w:t>, </w:t>
      </w:r>
      <w:r w:rsidRPr="00EB11D3">
        <w:rPr>
          <w:i/>
          <w:iCs/>
          <w:szCs w:val="24"/>
          <w:shd w:val="clear" w:color="auto" w:fill="FFFFFF"/>
        </w:rPr>
        <w:t>23</w:t>
      </w:r>
      <w:r w:rsidRPr="00EB11D3">
        <w:rPr>
          <w:szCs w:val="24"/>
          <w:shd w:val="clear" w:color="auto" w:fill="FFFFFF"/>
        </w:rPr>
        <w:t>(3), 429-453.</w:t>
      </w:r>
    </w:p>
    <w:p w14:paraId="2667B9DA"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Seta, T. (2019). The effect of service innovation on customer satisfaction (Doctoral dissertation, Istanbul Bilgi Üniversitesi).</w:t>
      </w:r>
    </w:p>
    <w:p w14:paraId="7451B709"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Seto, R., Inoue, T., &amp; Tsumura, H. (2014). Clinical documentation improvement for outpatients by implementing electronic medical records. </w:t>
      </w:r>
      <w:r w:rsidRPr="00EB11D3">
        <w:rPr>
          <w:i/>
          <w:iCs/>
          <w:color w:val="222222"/>
          <w:szCs w:val="24"/>
          <w:shd w:val="clear" w:color="auto" w:fill="FFFFFF"/>
        </w:rPr>
        <w:t>Studies in Health Technology and Informatics, 201</w:t>
      </w:r>
      <w:r w:rsidRPr="00EB11D3">
        <w:rPr>
          <w:color w:val="222222"/>
          <w:szCs w:val="24"/>
          <w:shd w:val="clear" w:color="auto" w:fill="FFFFFF"/>
        </w:rPr>
        <w:t>, 102–107.</w:t>
      </w:r>
    </w:p>
    <w:p w14:paraId="7DE7C21C" w14:textId="77777777" w:rsidR="003A6047" w:rsidRPr="00EB11D3" w:rsidRDefault="003A6047" w:rsidP="00813B05">
      <w:pPr>
        <w:shd w:val="clear" w:color="auto" w:fill="FFFFFF"/>
        <w:spacing w:after="0" w:line="360" w:lineRule="auto"/>
        <w:ind w:left="720" w:hanging="720"/>
        <w:rPr>
          <w:rFonts w:eastAsia="Times New Roman"/>
          <w:bCs/>
          <w:szCs w:val="24"/>
        </w:rPr>
      </w:pPr>
      <w:bookmarkStart w:id="1177" w:name="_Hlk160644075"/>
      <w:r w:rsidRPr="00EB11D3">
        <w:rPr>
          <w:rFonts w:eastAsia="Times New Roman"/>
          <w:bCs/>
          <w:szCs w:val="24"/>
        </w:rPr>
        <w:t xml:space="preserve">Shahab, Y., &amp; Ye, C. (2018). </w:t>
      </w:r>
      <w:bookmarkEnd w:id="1177"/>
      <w:r w:rsidRPr="00EB11D3">
        <w:rPr>
          <w:rFonts w:eastAsia="Times New Roman"/>
          <w:bCs/>
          <w:szCs w:val="24"/>
        </w:rPr>
        <w:t>Corporate social responsibility disclosure and corporate governance: empirical insights on neo-institutional framework from China. </w:t>
      </w:r>
      <w:r w:rsidRPr="00EB11D3">
        <w:rPr>
          <w:rFonts w:eastAsia="Times New Roman"/>
          <w:bCs/>
          <w:i/>
          <w:iCs/>
          <w:szCs w:val="24"/>
        </w:rPr>
        <w:t>International Journal of Disclosure and Governance</w:t>
      </w:r>
      <w:r w:rsidRPr="00EB11D3">
        <w:rPr>
          <w:rFonts w:eastAsia="Times New Roman"/>
          <w:bCs/>
          <w:szCs w:val="24"/>
        </w:rPr>
        <w:t>, </w:t>
      </w:r>
      <w:r w:rsidRPr="00EB11D3">
        <w:rPr>
          <w:rFonts w:eastAsia="Times New Roman"/>
          <w:bCs/>
          <w:i/>
          <w:iCs/>
          <w:szCs w:val="24"/>
        </w:rPr>
        <w:t>15</w:t>
      </w:r>
      <w:r w:rsidRPr="00EB11D3">
        <w:rPr>
          <w:rFonts w:eastAsia="Times New Roman"/>
          <w:bCs/>
          <w:szCs w:val="24"/>
        </w:rPr>
        <w:t>(2), 87-103.</w:t>
      </w:r>
    </w:p>
    <w:p w14:paraId="3F0EB750"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Shanmugam, R. (2020). </w:t>
      </w:r>
      <w:r w:rsidRPr="00FA7816">
        <w:rPr>
          <w:i/>
          <w:iCs/>
          <w:szCs w:val="24"/>
          <w:shd w:val="clear" w:color="auto" w:fill="FFFFFF"/>
        </w:rPr>
        <w:t>Understanding research methods: an overview of the essentials</w:t>
      </w:r>
      <w:r w:rsidRPr="00EB11D3">
        <w:rPr>
          <w:szCs w:val="24"/>
          <w:shd w:val="clear" w:color="auto" w:fill="FFFFFF"/>
        </w:rPr>
        <w:t>: by Mildred L. Patten and Michelle Newhart, New York, NY, Routledge Press, 2018, 338+ xiv pp., $17.99 (paperback), ISBN: 978-0-41579052-9.</w:t>
      </w:r>
    </w:p>
    <w:p w14:paraId="329B5DBE"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Shatto, B., Reed, L., &amp; Theeke, L. (2019). Governance and patient outcomes: An exploration of organizational factors. </w:t>
      </w:r>
      <w:r w:rsidRPr="00EB11D3">
        <w:rPr>
          <w:rFonts w:eastAsia="Times New Roman"/>
          <w:bCs/>
          <w:i/>
          <w:iCs/>
          <w:szCs w:val="24"/>
        </w:rPr>
        <w:t>The Journal of Nursing Administration</w:t>
      </w:r>
      <w:r w:rsidRPr="00EB11D3">
        <w:rPr>
          <w:rFonts w:eastAsia="Times New Roman"/>
          <w:bCs/>
          <w:szCs w:val="24"/>
        </w:rPr>
        <w:t>, 49(5), 265–270.</w:t>
      </w:r>
    </w:p>
    <w:p w14:paraId="0D680829"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Shaw, J., Agarwal, P., Desveaux, L., Palma, D. C., Stamenova, V., Jamieson, T., ... &amp; Bhattacharyya, O. (2018). Beyond “implementation”: digital health innovation and service design. </w:t>
      </w:r>
      <w:r w:rsidRPr="00EB11D3">
        <w:rPr>
          <w:i/>
          <w:iCs/>
          <w:color w:val="222222"/>
          <w:szCs w:val="24"/>
          <w:shd w:val="clear" w:color="auto" w:fill="FFFFFF"/>
        </w:rPr>
        <w:t>NPJ digital medicine</w:t>
      </w:r>
      <w:r w:rsidRPr="00EB11D3">
        <w:rPr>
          <w:color w:val="222222"/>
          <w:szCs w:val="24"/>
          <w:shd w:val="clear" w:color="auto" w:fill="FFFFFF"/>
        </w:rPr>
        <w:t>, </w:t>
      </w:r>
      <w:r w:rsidRPr="00EB11D3">
        <w:rPr>
          <w:i/>
          <w:iCs/>
          <w:color w:val="222222"/>
          <w:szCs w:val="24"/>
          <w:shd w:val="clear" w:color="auto" w:fill="FFFFFF"/>
        </w:rPr>
        <w:t>1</w:t>
      </w:r>
      <w:r w:rsidRPr="00EB11D3">
        <w:rPr>
          <w:color w:val="222222"/>
          <w:szCs w:val="24"/>
          <w:shd w:val="clear" w:color="auto" w:fill="FFFFFF"/>
        </w:rPr>
        <w:t>(1), 48.</w:t>
      </w:r>
    </w:p>
    <w:p w14:paraId="6B0DC0F8"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Sheikh, A., Anderson, M., Albala, S., Casadei, B., Franklin, B. D., Richards, M., ... &amp; Mossialos, E. (2021). Health information technology and digital innovation for national learning health and care systems. </w:t>
      </w:r>
      <w:r w:rsidRPr="00EB11D3">
        <w:rPr>
          <w:i/>
          <w:iCs/>
          <w:color w:val="222222"/>
          <w:szCs w:val="24"/>
          <w:shd w:val="clear" w:color="auto" w:fill="FFFFFF"/>
        </w:rPr>
        <w:t>The Lancet Digital Health</w:t>
      </w:r>
      <w:r w:rsidRPr="00EB11D3">
        <w:rPr>
          <w:color w:val="222222"/>
          <w:szCs w:val="24"/>
          <w:shd w:val="clear" w:color="auto" w:fill="FFFFFF"/>
        </w:rPr>
        <w:t>, </w:t>
      </w:r>
      <w:r w:rsidRPr="00EB11D3">
        <w:rPr>
          <w:i/>
          <w:iCs/>
          <w:color w:val="222222"/>
          <w:szCs w:val="24"/>
          <w:shd w:val="clear" w:color="auto" w:fill="FFFFFF"/>
        </w:rPr>
        <w:t>3</w:t>
      </w:r>
      <w:r w:rsidRPr="00EB11D3">
        <w:rPr>
          <w:color w:val="222222"/>
          <w:szCs w:val="24"/>
          <w:shd w:val="clear" w:color="auto" w:fill="FFFFFF"/>
        </w:rPr>
        <w:t>(6), e383-e396.</w:t>
      </w:r>
    </w:p>
    <w:p w14:paraId="09B0CD27"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color w:val="222222"/>
          <w:szCs w:val="24"/>
          <w:shd w:val="clear" w:color="auto" w:fill="FFFFFF"/>
        </w:rPr>
        <w:t>Shin, J., Kim, Y. J., Jung, S., &amp; Kim, C. (2022). Product and service innovation: Comparison between performance and efficiency. </w:t>
      </w:r>
      <w:r w:rsidRPr="00EB11D3">
        <w:rPr>
          <w:i/>
          <w:iCs/>
          <w:color w:val="222222"/>
          <w:szCs w:val="24"/>
          <w:shd w:val="clear" w:color="auto" w:fill="FFFFFF"/>
        </w:rPr>
        <w:t>Journal of Innovation &amp; Knowledge</w:t>
      </w:r>
      <w:r w:rsidRPr="00EB11D3">
        <w:rPr>
          <w:color w:val="222222"/>
          <w:szCs w:val="24"/>
          <w:shd w:val="clear" w:color="auto" w:fill="FFFFFF"/>
        </w:rPr>
        <w:t>, </w:t>
      </w:r>
      <w:r w:rsidRPr="00EB11D3">
        <w:rPr>
          <w:i/>
          <w:iCs/>
          <w:color w:val="222222"/>
          <w:szCs w:val="24"/>
          <w:shd w:val="clear" w:color="auto" w:fill="FFFFFF"/>
        </w:rPr>
        <w:t>7</w:t>
      </w:r>
      <w:r w:rsidRPr="00EB11D3">
        <w:rPr>
          <w:color w:val="222222"/>
          <w:szCs w:val="24"/>
          <w:shd w:val="clear" w:color="auto" w:fill="FFFFFF"/>
        </w:rPr>
        <w:t>(3), 100191.</w:t>
      </w:r>
    </w:p>
    <w:p w14:paraId="5EBB0996" w14:textId="77777777" w:rsidR="003A6047" w:rsidRPr="00EB11D3" w:rsidRDefault="003A6047" w:rsidP="00813B05">
      <w:pPr>
        <w:spacing w:after="0" w:line="360" w:lineRule="auto"/>
        <w:ind w:left="720" w:hanging="720"/>
        <w:rPr>
          <w:szCs w:val="24"/>
          <w:shd w:val="clear" w:color="auto" w:fill="FFFFFF"/>
        </w:rPr>
      </w:pPr>
      <w:bookmarkStart w:id="1178" w:name="_Hlk171083388"/>
      <w:r w:rsidRPr="00EB11D3">
        <w:rPr>
          <w:szCs w:val="24"/>
          <w:shd w:val="clear" w:color="auto" w:fill="FFFFFF"/>
        </w:rPr>
        <w:t>Si, S., &amp; Chen, H. (2020). A literature review of disruptive innovation: What it is, how it works and where it goes. </w:t>
      </w:r>
      <w:r w:rsidRPr="00EB11D3">
        <w:rPr>
          <w:i/>
          <w:iCs/>
          <w:szCs w:val="24"/>
          <w:shd w:val="clear" w:color="auto" w:fill="FFFFFF"/>
        </w:rPr>
        <w:t>Journal of Engineering and Technology Management</w:t>
      </w:r>
      <w:r w:rsidRPr="00EB11D3">
        <w:rPr>
          <w:szCs w:val="24"/>
          <w:shd w:val="clear" w:color="auto" w:fill="FFFFFF"/>
        </w:rPr>
        <w:t>, </w:t>
      </w:r>
      <w:r w:rsidRPr="00EB11D3">
        <w:rPr>
          <w:i/>
          <w:iCs/>
          <w:szCs w:val="24"/>
          <w:shd w:val="clear" w:color="auto" w:fill="FFFFFF"/>
        </w:rPr>
        <w:t>56</w:t>
      </w:r>
      <w:r w:rsidRPr="00EB11D3">
        <w:rPr>
          <w:szCs w:val="24"/>
          <w:shd w:val="clear" w:color="auto" w:fill="FFFFFF"/>
        </w:rPr>
        <w:t>, 101568.</w:t>
      </w:r>
    </w:p>
    <w:bookmarkEnd w:id="1178"/>
    <w:p w14:paraId="486BB714"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 xml:space="preserve">Siahtiri, V. (2018). Innovation at the service encounter in knowledge intensive business services: antecedents and boundary conditions. </w:t>
      </w:r>
      <w:r w:rsidRPr="00EB11D3">
        <w:rPr>
          <w:i/>
          <w:iCs/>
          <w:color w:val="222222"/>
          <w:szCs w:val="24"/>
          <w:shd w:val="clear" w:color="auto" w:fill="FFFFFF"/>
        </w:rPr>
        <w:t>Journal of Product Innovation Management</w:t>
      </w:r>
      <w:r w:rsidRPr="00EB11D3">
        <w:rPr>
          <w:color w:val="222222"/>
          <w:szCs w:val="24"/>
          <w:shd w:val="clear" w:color="auto" w:fill="FFFFFF"/>
        </w:rPr>
        <w:t>, 35(5), 742-762</w:t>
      </w:r>
    </w:p>
    <w:p w14:paraId="675B5035"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Sierra-Morán, J., Cabeza-García, L., González-Álvarez, N., &amp; Botella, J. (2021). The board of directors and firm innovation: A meta-analytical review. </w:t>
      </w:r>
      <w:r w:rsidRPr="00EB11D3">
        <w:rPr>
          <w:i/>
          <w:iCs/>
          <w:szCs w:val="24"/>
          <w:shd w:val="clear" w:color="auto" w:fill="FFFFFF"/>
        </w:rPr>
        <w:t>BRQ Business Research Quarterly</w:t>
      </w:r>
      <w:r w:rsidRPr="00EB11D3">
        <w:rPr>
          <w:szCs w:val="24"/>
          <w:shd w:val="clear" w:color="auto" w:fill="FFFFFF"/>
        </w:rPr>
        <w:t>, 23, 1–26.</w:t>
      </w:r>
    </w:p>
    <w:p w14:paraId="3520E835"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Sifiso, G., &amp; Pfano, M. (2022). Corporate governance and organisational performance in Africa: A systematic literature review. </w:t>
      </w:r>
      <w:r w:rsidRPr="00EB11D3">
        <w:rPr>
          <w:i/>
          <w:iCs/>
          <w:szCs w:val="24"/>
          <w:shd w:val="clear" w:color="auto" w:fill="FFFFFF"/>
        </w:rPr>
        <w:t>African Journal of Business Management</w:t>
      </w:r>
      <w:r w:rsidRPr="00EB11D3">
        <w:rPr>
          <w:szCs w:val="24"/>
          <w:shd w:val="clear" w:color="auto" w:fill="FFFFFF"/>
        </w:rPr>
        <w:t>, </w:t>
      </w:r>
      <w:r w:rsidRPr="00EB11D3">
        <w:rPr>
          <w:i/>
          <w:iCs/>
          <w:szCs w:val="24"/>
          <w:shd w:val="clear" w:color="auto" w:fill="FFFFFF"/>
        </w:rPr>
        <w:t>16</w:t>
      </w:r>
      <w:r w:rsidRPr="00EB11D3">
        <w:rPr>
          <w:szCs w:val="24"/>
          <w:shd w:val="clear" w:color="auto" w:fill="FFFFFF"/>
        </w:rPr>
        <w:t>(10), 210-223.</w:t>
      </w:r>
    </w:p>
    <w:p w14:paraId="4A7902C2"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rPr>
        <w:t>Sileyew, K. J. (2019). </w:t>
      </w:r>
      <w:r w:rsidRPr="00EB11D3">
        <w:rPr>
          <w:i/>
          <w:iCs/>
          <w:szCs w:val="24"/>
          <w:shd w:val="clear" w:color="auto" w:fill="FFFFFF"/>
        </w:rPr>
        <w:t>Research design and methodology</w:t>
      </w:r>
      <w:r w:rsidRPr="00EB11D3">
        <w:rPr>
          <w:szCs w:val="24"/>
          <w:shd w:val="clear" w:color="auto" w:fill="FFFFFF"/>
        </w:rPr>
        <w:t>. Rijeka: IntechOpen.</w:t>
      </w:r>
    </w:p>
    <w:p w14:paraId="1F6BAD96"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Singh, S., Akbani, I., &amp; Dhir, S. (2020). Service innovation implementation: a systematic review and research agenda. </w:t>
      </w:r>
      <w:r w:rsidRPr="00EB11D3">
        <w:rPr>
          <w:i/>
          <w:iCs/>
          <w:color w:val="222222"/>
          <w:szCs w:val="24"/>
          <w:shd w:val="clear" w:color="auto" w:fill="FFFFFF"/>
        </w:rPr>
        <w:t>The Service Industries Journal</w:t>
      </w:r>
      <w:r w:rsidRPr="00EB11D3">
        <w:rPr>
          <w:color w:val="222222"/>
          <w:szCs w:val="24"/>
          <w:shd w:val="clear" w:color="auto" w:fill="FFFFFF"/>
        </w:rPr>
        <w:t>, </w:t>
      </w:r>
      <w:r w:rsidRPr="00EB11D3">
        <w:rPr>
          <w:i/>
          <w:iCs/>
          <w:color w:val="222222"/>
          <w:szCs w:val="24"/>
          <w:shd w:val="clear" w:color="auto" w:fill="FFFFFF"/>
        </w:rPr>
        <w:t>40</w:t>
      </w:r>
      <w:r w:rsidRPr="00EB11D3">
        <w:rPr>
          <w:color w:val="222222"/>
          <w:szCs w:val="24"/>
          <w:shd w:val="clear" w:color="auto" w:fill="FFFFFF"/>
        </w:rPr>
        <w:t>(7-8), 491-517.</w:t>
      </w:r>
    </w:p>
    <w:p w14:paraId="00EF168F"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Singh, S., Tabassum, N., Darwish, T. K., &amp; Batsakis, G. (2018). Corporate governance and Tobin's Q as a measure of organizational performance. </w:t>
      </w:r>
      <w:r w:rsidRPr="00EB11D3">
        <w:rPr>
          <w:i/>
          <w:iCs/>
          <w:szCs w:val="24"/>
          <w:shd w:val="clear" w:color="auto" w:fill="FFFFFF"/>
        </w:rPr>
        <w:t>British Journal of Management</w:t>
      </w:r>
      <w:r w:rsidRPr="00EB11D3">
        <w:rPr>
          <w:szCs w:val="24"/>
          <w:shd w:val="clear" w:color="auto" w:fill="FFFFFF"/>
        </w:rPr>
        <w:t>, </w:t>
      </w:r>
      <w:r w:rsidRPr="00EB11D3">
        <w:rPr>
          <w:i/>
          <w:iCs/>
          <w:szCs w:val="24"/>
          <w:shd w:val="clear" w:color="auto" w:fill="FFFFFF"/>
        </w:rPr>
        <w:t>29</w:t>
      </w:r>
      <w:r w:rsidRPr="00EB11D3">
        <w:rPr>
          <w:szCs w:val="24"/>
          <w:shd w:val="clear" w:color="auto" w:fill="FFFFFF"/>
        </w:rPr>
        <w:t>(1), 171-190.</w:t>
      </w:r>
    </w:p>
    <w:p w14:paraId="6F410EDD"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 xml:space="preserve">Sjödin, D., Parida, V., Kohtamäki, M., &amp; Wincent, J. (2020). An agile co-creation process for digital servitization: A micro-service innovation approach. </w:t>
      </w:r>
      <w:r w:rsidRPr="00EB11D3">
        <w:rPr>
          <w:i/>
          <w:iCs/>
          <w:color w:val="222222"/>
          <w:szCs w:val="24"/>
          <w:shd w:val="clear" w:color="auto" w:fill="FFFFFF"/>
        </w:rPr>
        <w:t>Journal of Business Research</w:t>
      </w:r>
      <w:r w:rsidRPr="00EB11D3">
        <w:rPr>
          <w:color w:val="222222"/>
          <w:szCs w:val="24"/>
          <w:shd w:val="clear" w:color="auto" w:fill="FFFFFF"/>
        </w:rPr>
        <w:t>, 112, 478-491.</w:t>
      </w:r>
    </w:p>
    <w:p w14:paraId="2DE426DA"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Sjödin, D., Parida, V., Kohtamäki, M., &amp; Wincent, J. (2020). An agile co-creation process for digital servitization: A micro-service innovation approach. </w:t>
      </w:r>
      <w:r w:rsidRPr="00EB11D3">
        <w:rPr>
          <w:rFonts w:eastAsia="Times New Roman"/>
          <w:bCs/>
          <w:i/>
          <w:iCs/>
          <w:szCs w:val="24"/>
        </w:rPr>
        <w:t>Journal of Business Research</w:t>
      </w:r>
      <w:r w:rsidRPr="00EB11D3">
        <w:rPr>
          <w:rFonts w:eastAsia="Times New Roman"/>
          <w:bCs/>
          <w:szCs w:val="24"/>
        </w:rPr>
        <w:t>, </w:t>
      </w:r>
      <w:r w:rsidRPr="00EB11D3">
        <w:rPr>
          <w:rFonts w:eastAsia="Times New Roman"/>
          <w:bCs/>
          <w:i/>
          <w:iCs/>
          <w:szCs w:val="24"/>
        </w:rPr>
        <w:t>112</w:t>
      </w:r>
      <w:r w:rsidRPr="00EB11D3">
        <w:rPr>
          <w:rFonts w:eastAsia="Times New Roman"/>
          <w:bCs/>
          <w:szCs w:val="24"/>
        </w:rPr>
        <w:t>, 478-491.</w:t>
      </w:r>
    </w:p>
    <w:p w14:paraId="24B35416" w14:textId="77777777" w:rsidR="003A6047" w:rsidRPr="00EB11D3" w:rsidRDefault="003A6047" w:rsidP="00813B05">
      <w:pPr>
        <w:spacing w:after="0" w:line="360" w:lineRule="auto"/>
        <w:ind w:left="720" w:hanging="720"/>
        <w:rPr>
          <w:szCs w:val="24"/>
          <w:shd w:val="clear" w:color="auto" w:fill="FFFFFF"/>
          <w:lang w:eastAsia="zh-CN"/>
        </w:rPr>
      </w:pPr>
      <w:bookmarkStart w:id="1179" w:name="_Hlk130399989"/>
      <w:r w:rsidRPr="00EB11D3">
        <w:rPr>
          <w:szCs w:val="24"/>
          <w:shd w:val="clear" w:color="auto" w:fill="FFFFFF"/>
        </w:rPr>
        <w:t>Skog, D. A., Wimelius, H., &amp; Sandberg, J. (2018</w:t>
      </w:r>
      <w:bookmarkEnd w:id="1179"/>
      <w:r w:rsidRPr="00EB11D3">
        <w:rPr>
          <w:szCs w:val="24"/>
          <w:shd w:val="clear" w:color="auto" w:fill="FFFFFF"/>
        </w:rPr>
        <w:t>). Digital disruption. </w:t>
      </w:r>
      <w:r w:rsidRPr="00EB11D3">
        <w:rPr>
          <w:i/>
          <w:iCs/>
          <w:szCs w:val="24"/>
          <w:shd w:val="clear" w:color="auto" w:fill="FFFFFF"/>
        </w:rPr>
        <w:t>Business &amp; Information Systems Engineering</w:t>
      </w:r>
      <w:r w:rsidRPr="00EB11D3">
        <w:rPr>
          <w:szCs w:val="24"/>
          <w:shd w:val="clear" w:color="auto" w:fill="FFFFFF"/>
        </w:rPr>
        <w:t>, </w:t>
      </w:r>
      <w:r w:rsidRPr="00EB11D3">
        <w:rPr>
          <w:i/>
          <w:iCs/>
          <w:szCs w:val="24"/>
          <w:shd w:val="clear" w:color="auto" w:fill="FFFFFF"/>
        </w:rPr>
        <w:t>60</w:t>
      </w:r>
      <w:r w:rsidRPr="00EB11D3">
        <w:rPr>
          <w:szCs w:val="24"/>
          <w:shd w:val="clear" w:color="auto" w:fill="FFFFFF"/>
        </w:rPr>
        <w:t>, 431-437.</w:t>
      </w:r>
    </w:p>
    <w:p w14:paraId="0EAD9022"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Sousa, MJ, &amp; Rocha, Á. (2019). Strategic knowledge management in the digital age: JBR special issue editorial. </w:t>
      </w:r>
      <w:r w:rsidRPr="00EB11D3">
        <w:rPr>
          <w:i/>
          <w:iCs/>
          <w:szCs w:val="24"/>
          <w:shd w:val="clear" w:color="auto" w:fill="FFFFFF"/>
        </w:rPr>
        <w:t>Journal of Business Research</w:t>
      </w:r>
      <w:r w:rsidRPr="00EB11D3">
        <w:rPr>
          <w:szCs w:val="24"/>
          <w:shd w:val="clear" w:color="auto" w:fill="FFFFFF"/>
        </w:rPr>
        <w:t>, </w:t>
      </w:r>
      <w:r w:rsidRPr="00EB11D3">
        <w:rPr>
          <w:i/>
          <w:iCs/>
          <w:szCs w:val="24"/>
          <w:shd w:val="clear" w:color="auto" w:fill="FFFFFF"/>
        </w:rPr>
        <w:t>94</w:t>
      </w:r>
      <w:r w:rsidRPr="00EB11D3">
        <w:rPr>
          <w:szCs w:val="24"/>
          <w:shd w:val="clear" w:color="auto" w:fill="FFFFFF"/>
        </w:rPr>
        <w:t>, 223-226.</w:t>
      </w:r>
    </w:p>
    <w:p w14:paraId="337F2E69"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Spaulding, A., Zhao, M., Haley, D. R., Liu, X., Xu, J., &amp; Homier, N. (2018). Resource dependency and hospital performance in hospital value-based purchasing. </w:t>
      </w:r>
      <w:r w:rsidRPr="00EB11D3">
        <w:rPr>
          <w:i/>
          <w:iCs/>
          <w:szCs w:val="24"/>
          <w:shd w:val="clear" w:color="auto" w:fill="FFFFFF"/>
        </w:rPr>
        <w:t>The Health Care Manager</w:t>
      </w:r>
      <w:r w:rsidRPr="00EB11D3">
        <w:rPr>
          <w:szCs w:val="24"/>
          <w:shd w:val="clear" w:color="auto" w:fill="FFFFFF"/>
        </w:rPr>
        <w:t>, </w:t>
      </w:r>
      <w:r w:rsidRPr="00EB11D3">
        <w:rPr>
          <w:i/>
          <w:iCs/>
          <w:szCs w:val="24"/>
          <w:shd w:val="clear" w:color="auto" w:fill="FFFFFF"/>
        </w:rPr>
        <w:t>37</w:t>
      </w:r>
      <w:r w:rsidRPr="00EB11D3">
        <w:rPr>
          <w:szCs w:val="24"/>
          <w:shd w:val="clear" w:color="auto" w:fill="FFFFFF"/>
        </w:rPr>
        <w:t>(4), 299-310.</w:t>
      </w:r>
    </w:p>
    <w:p w14:paraId="3124459E" w14:textId="77777777" w:rsidR="003A6047" w:rsidRPr="00EB11D3" w:rsidRDefault="003A6047" w:rsidP="00813B05">
      <w:pPr>
        <w:spacing w:after="0" w:line="360" w:lineRule="auto"/>
        <w:ind w:left="720" w:hanging="720"/>
        <w:rPr>
          <w:szCs w:val="24"/>
          <w:shd w:val="clear" w:color="auto" w:fill="FFFFFF"/>
        </w:rPr>
      </w:pPr>
      <w:r w:rsidRPr="00EB11D3">
        <w:rPr>
          <w:color w:val="222222"/>
          <w:szCs w:val="24"/>
          <w:shd w:val="clear" w:color="auto" w:fill="FFFFFF"/>
        </w:rPr>
        <w:t>Srivastava, S., &amp; Prakash, G. (2019). Internal service quality: insights from healthcare sector. </w:t>
      </w:r>
      <w:r w:rsidRPr="00EB11D3">
        <w:rPr>
          <w:i/>
          <w:iCs/>
          <w:color w:val="222222"/>
          <w:szCs w:val="24"/>
          <w:shd w:val="clear" w:color="auto" w:fill="FFFFFF"/>
        </w:rPr>
        <w:t>Journal of Health Management</w:t>
      </w:r>
      <w:r w:rsidRPr="00EB11D3">
        <w:rPr>
          <w:color w:val="222222"/>
          <w:szCs w:val="24"/>
          <w:shd w:val="clear" w:color="auto" w:fill="FFFFFF"/>
        </w:rPr>
        <w:t>, </w:t>
      </w:r>
      <w:r w:rsidRPr="00EB11D3">
        <w:rPr>
          <w:i/>
          <w:iCs/>
          <w:color w:val="222222"/>
          <w:szCs w:val="24"/>
          <w:shd w:val="clear" w:color="auto" w:fill="FFFFFF"/>
        </w:rPr>
        <w:t>21</w:t>
      </w:r>
      <w:r w:rsidRPr="00EB11D3">
        <w:rPr>
          <w:color w:val="222222"/>
          <w:szCs w:val="24"/>
          <w:shd w:val="clear" w:color="auto" w:fill="FFFFFF"/>
        </w:rPr>
        <w:t>(2), 294-312.</w:t>
      </w:r>
    </w:p>
    <w:p w14:paraId="578F7F36"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Stahl, R. Y., &amp; Emanuel, E. J. (2020). Physicians, Not Conscripts - Conscientious Objection in Health Care. </w:t>
      </w:r>
      <w:r w:rsidRPr="00EB11D3">
        <w:rPr>
          <w:rFonts w:eastAsia="Times New Roman"/>
          <w:bCs/>
          <w:i/>
          <w:iCs/>
          <w:szCs w:val="24"/>
        </w:rPr>
        <w:t>New England Journal of Medicine</w:t>
      </w:r>
      <w:r w:rsidRPr="00EB11D3">
        <w:rPr>
          <w:rFonts w:eastAsia="Times New Roman"/>
          <w:bCs/>
          <w:szCs w:val="24"/>
        </w:rPr>
        <w:t>, 376, 1380-1385.</w:t>
      </w:r>
    </w:p>
    <w:p w14:paraId="37101907"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Sulistiyo, A. B., Wardayati, S. M., Hidayatullah, A., &amp; Riesky, S. S. N. (2020). Effect of Islamic corporate governance on customer trust: empirical study on Islamic bank. </w:t>
      </w:r>
      <w:r w:rsidRPr="00EB11D3">
        <w:rPr>
          <w:i/>
          <w:iCs/>
          <w:color w:val="222222"/>
          <w:szCs w:val="24"/>
          <w:shd w:val="clear" w:color="auto" w:fill="FFFFFF"/>
        </w:rPr>
        <w:t>Asian Journal of Islamic Management (AJIM)</w:t>
      </w:r>
      <w:r w:rsidRPr="00EB11D3">
        <w:rPr>
          <w:color w:val="222222"/>
          <w:szCs w:val="24"/>
          <w:shd w:val="clear" w:color="auto" w:fill="FFFFFF"/>
        </w:rPr>
        <w:t>, 12-24.</w:t>
      </w:r>
    </w:p>
    <w:p w14:paraId="7F9CF649"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Sürücü, L., &amp; Maslakçi, A. (2020). Validity and reliability in quantitative research. </w:t>
      </w:r>
      <w:r w:rsidRPr="00EB11D3">
        <w:rPr>
          <w:i/>
          <w:iCs/>
          <w:szCs w:val="24"/>
          <w:shd w:val="clear" w:color="auto" w:fill="FFFFFF"/>
        </w:rPr>
        <w:t>Business &amp; Management Studies: An International Journal</w:t>
      </w:r>
      <w:r w:rsidRPr="00EB11D3">
        <w:rPr>
          <w:szCs w:val="24"/>
          <w:shd w:val="clear" w:color="auto" w:fill="FFFFFF"/>
        </w:rPr>
        <w:t>, </w:t>
      </w:r>
      <w:r w:rsidRPr="00EB11D3">
        <w:rPr>
          <w:i/>
          <w:iCs/>
          <w:szCs w:val="24"/>
          <w:shd w:val="clear" w:color="auto" w:fill="FFFFFF"/>
        </w:rPr>
        <w:t>8</w:t>
      </w:r>
      <w:r w:rsidRPr="00EB11D3">
        <w:rPr>
          <w:szCs w:val="24"/>
          <w:shd w:val="clear" w:color="auto" w:fill="FFFFFF"/>
        </w:rPr>
        <w:t>(3), 2694-2726.</w:t>
      </w:r>
    </w:p>
    <w:p w14:paraId="43A13911" w14:textId="77777777" w:rsidR="003A6047" w:rsidRPr="00EB11D3" w:rsidRDefault="003A6047" w:rsidP="00813B05">
      <w:pPr>
        <w:shd w:val="clear" w:color="auto" w:fill="FFFFFF"/>
        <w:spacing w:after="0" w:line="360" w:lineRule="auto"/>
        <w:ind w:left="720" w:hanging="720"/>
        <w:rPr>
          <w:color w:val="222222"/>
          <w:szCs w:val="24"/>
          <w:shd w:val="clear" w:color="auto" w:fill="FFFFFF"/>
        </w:rPr>
      </w:pPr>
      <w:r w:rsidRPr="00EB11D3">
        <w:rPr>
          <w:color w:val="222222"/>
          <w:szCs w:val="24"/>
          <w:shd w:val="clear" w:color="auto" w:fill="FFFFFF"/>
        </w:rPr>
        <w:t>Szabo, A. (2021). The Importance of Corporate Governance in Health Administration. </w:t>
      </w:r>
      <w:r w:rsidRPr="00EB11D3">
        <w:rPr>
          <w:i/>
          <w:iCs/>
          <w:color w:val="222222"/>
          <w:szCs w:val="24"/>
          <w:shd w:val="clear" w:color="auto" w:fill="FFFFFF"/>
        </w:rPr>
        <w:t>Journal of Health Administration Education</w:t>
      </w:r>
      <w:r w:rsidRPr="00EB11D3">
        <w:rPr>
          <w:color w:val="222222"/>
          <w:szCs w:val="24"/>
          <w:shd w:val="clear" w:color="auto" w:fill="FFFFFF"/>
        </w:rPr>
        <w:t>, </w:t>
      </w:r>
      <w:r w:rsidRPr="00EB11D3">
        <w:rPr>
          <w:i/>
          <w:iCs/>
          <w:color w:val="222222"/>
          <w:szCs w:val="24"/>
          <w:shd w:val="clear" w:color="auto" w:fill="FFFFFF"/>
        </w:rPr>
        <w:t>38</w:t>
      </w:r>
      <w:r w:rsidRPr="00EB11D3">
        <w:rPr>
          <w:color w:val="222222"/>
          <w:szCs w:val="24"/>
          <w:shd w:val="clear" w:color="auto" w:fill="FFFFFF"/>
        </w:rPr>
        <w:t>(3), 845-854.</w:t>
      </w:r>
    </w:p>
    <w:p w14:paraId="1B172642" w14:textId="77777777" w:rsidR="003A6047" w:rsidRPr="00EB11D3" w:rsidRDefault="003A6047" w:rsidP="00813B05">
      <w:pPr>
        <w:spacing w:after="0" w:line="360" w:lineRule="auto"/>
        <w:ind w:left="720" w:hanging="720"/>
        <w:rPr>
          <w:szCs w:val="24"/>
          <w:shd w:val="clear" w:color="auto" w:fill="FFFFFF"/>
          <w:lang w:eastAsia="zh-CN"/>
        </w:rPr>
      </w:pPr>
      <w:bookmarkStart w:id="1180" w:name="_Hlk129884154"/>
      <w:r w:rsidRPr="00EB11D3">
        <w:rPr>
          <w:szCs w:val="24"/>
          <w:shd w:val="clear" w:color="auto" w:fill="FFFFFF"/>
        </w:rPr>
        <w:t>Tajeddini, K., Martin, E., &amp; Altinay, L. (2020</w:t>
      </w:r>
      <w:bookmarkEnd w:id="1180"/>
      <w:r w:rsidRPr="00EB11D3">
        <w:rPr>
          <w:szCs w:val="24"/>
          <w:shd w:val="clear" w:color="auto" w:fill="FFFFFF"/>
        </w:rPr>
        <w:t xml:space="preserve">). The importance of human-related factors on service innovation and performance. </w:t>
      </w:r>
      <w:r w:rsidRPr="00EB11D3">
        <w:rPr>
          <w:i/>
          <w:iCs/>
          <w:szCs w:val="24"/>
          <w:shd w:val="clear" w:color="auto" w:fill="FFFFFF"/>
        </w:rPr>
        <w:t>International Journal of Hospitality Management</w:t>
      </w:r>
      <w:r w:rsidRPr="00EB11D3">
        <w:rPr>
          <w:szCs w:val="24"/>
          <w:shd w:val="clear" w:color="auto" w:fill="FFFFFF"/>
        </w:rPr>
        <w:t>, 85, 102431</w:t>
      </w:r>
    </w:p>
    <w:p w14:paraId="622366B9"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Tajpour, M., Hosseini, E., &amp; Salamzadeh, A. (2020). The effect of innovation components on organisational performance: case of the governorate of Golestan Province. </w:t>
      </w:r>
      <w:r w:rsidRPr="00EB11D3">
        <w:rPr>
          <w:rFonts w:eastAsia="Times New Roman"/>
          <w:bCs/>
          <w:i/>
          <w:iCs/>
          <w:szCs w:val="24"/>
        </w:rPr>
        <w:t>International Journal of Public Sector Performance Management</w:t>
      </w:r>
      <w:r w:rsidRPr="00EB11D3">
        <w:rPr>
          <w:rFonts w:eastAsia="Times New Roman"/>
          <w:bCs/>
          <w:szCs w:val="24"/>
        </w:rPr>
        <w:t>, </w:t>
      </w:r>
      <w:r w:rsidRPr="00EB11D3">
        <w:rPr>
          <w:rFonts w:eastAsia="Times New Roman"/>
          <w:bCs/>
          <w:i/>
          <w:iCs/>
          <w:szCs w:val="24"/>
        </w:rPr>
        <w:t>6</w:t>
      </w:r>
      <w:r w:rsidRPr="00EB11D3">
        <w:rPr>
          <w:rFonts w:eastAsia="Times New Roman"/>
          <w:bCs/>
          <w:szCs w:val="24"/>
        </w:rPr>
        <w:t>(6), 817-830.</w:t>
      </w:r>
    </w:p>
    <w:p w14:paraId="0328C29E"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Tamminen, K. A., &amp; Poucher, Z. A. (2020). Research philosophies. In </w:t>
      </w:r>
      <w:r w:rsidRPr="00EB11D3">
        <w:rPr>
          <w:i/>
          <w:iCs/>
          <w:szCs w:val="24"/>
          <w:shd w:val="clear" w:color="auto" w:fill="FFFFFF"/>
        </w:rPr>
        <w:t>The Routledge international encyclopedia of sport and exercise psychology</w:t>
      </w:r>
      <w:r w:rsidRPr="00EB11D3">
        <w:rPr>
          <w:szCs w:val="24"/>
          <w:shd w:val="clear" w:color="auto" w:fill="FFFFFF"/>
        </w:rPr>
        <w:t> (pp. 535-549). Routledge.</w:t>
      </w:r>
    </w:p>
    <w:p w14:paraId="4DBEE118"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color w:val="222222"/>
          <w:szCs w:val="24"/>
          <w:shd w:val="clear" w:color="auto" w:fill="FFFFFF"/>
        </w:rPr>
        <w:t>Tavares, D., Lopes, A. I., Castro, C., Maia, G., Leite, L., &amp; Quintas, M. (2023). The intersection of artificial intelligence, telemedicine, and neurophysiology: opportunities and challenges. </w:t>
      </w:r>
      <w:r w:rsidRPr="00EB11D3">
        <w:rPr>
          <w:i/>
          <w:iCs/>
          <w:color w:val="222222"/>
          <w:szCs w:val="24"/>
          <w:shd w:val="clear" w:color="auto" w:fill="FFFFFF"/>
        </w:rPr>
        <w:t>Handbook of Research on Instructional Technologies in Health Education and Allied Disciplines</w:t>
      </w:r>
      <w:r w:rsidRPr="00EB11D3">
        <w:rPr>
          <w:color w:val="222222"/>
          <w:szCs w:val="24"/>
          <w:shd w:val="clear" w:color="auto" w:fill="FFFFFF"/>
        </w:rPr>
        <w:t>, 130-152.</w:t>
      </w:r>
    </w:p>
    <w:p w14:paraId="2ECE2A51"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Taylor J. M. (2021). Reliability. </w:t>
      </w:r>
      <w:r w:rsidRPr="00EB11D3">
        <w:rPr>
          <w:rStyle w:val="Emphasis"/>
          <w:szCs w:val="24"/>
          <w:shd w:val="clear" w:color="auto" w:fill="FFFFFF"/>
        </w:rPr>
        <w:t>Journal of Nursing Education</w:t>
      </w:r>
      <w:r w:rsidRPr="00EB11D3">
        <w:rPr>
          <w:szCs w:val="24"/>
          <w:shd w:val="clear" w:color="auto" w:fill="FFFFFF"/>
        </w:rPr>
        <w:t>, 60(2), 65–66. </w:t>
      </w:r>
    </w:p>
    <w:p w14:paraId="363A32AE"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rPr>
        <w:t>Tejan-Gbla, S. O. (2018). </w:t>
      </w:r>
      <w:r w:rsidRPr="00EB11D3">
        <w:rPr>
          <w:i/>
          <w:iCs/>
          <w:szCs w:val="24"/>
          <w:shd w:val="clear" w:color="auto" w:fill="FFFFFF"/>
        </w:rPr>
        <w:t>Organizational Size's Effect Strategic Service Innovation and Strategic Service Delivery Innovation</w:t>
      </w:r>
      <w:r w:rsidRPr="00EB11D3">
        <w:rPr>
          <w:szCs w:val="24"/>
          <w:shd w:val="clear" w:color="auto" w:fill="FFFFFF"/>
        </w:rPr>
        <w:t> (Doctoral dissertation, Walden University).</w:t>
      </w:r>
    </w:p>
    <w:p w14:paraId="71B6FB19"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Thiel, A., Winter, V., &amp; Büchner, V. A. (2018). Board characteristics, governance objectives, and hospital performance: An empirical analysis of German hospitals. </w:t>
      </w:r>
      <w:r w:rsidRPr="00EB11D3">
        <w:rPr>
          <w:i/>
          <w:iCs/>
          <w:color w:val="222222"/>
          <w:szCs w:val="24"/>
          <w:shd w:val="clear" w:color="auto" w:fill="FFFFFF"/>
        </w:rPr>
        <w:t>Health care management review</w:t>
      </w:r>
      <w:r w:rsidRPr="00EB11D3">
        <w:rPr>
          <w:color w:val="222222"/>
          <w:szCs w:val="24"/>
          <w:shd w:val="clear" w:color="auto" w:fill="FFFFFF"/>
        </w:rPr>
        <w:t>, </w:t>
      </w:r>
      <w:r w:rsidRPr="00EB11D3">
        <w:rPr>
          <w:i/>
          <w:iCs/>
          <w:color w:val="222222"/>
          <w:szCs w:val="24"/>
          <w:shd w:val="clear" w:color="auto" w:fill="FFFFFF"/>
        </w:rPr>
        <w:t>43</w:t>
      </w:r>
      <w:r w:rsidRPr="00EB11D3">
        <w:rPr>
          <w:color w:val="222222"/>
          <w:szCs w:val="24"/>
          <w:shd w:val="clear" w:color="auto" w:fill="FFFFFF"/>
        </w:rPr>
        <w:t>(4), 282-292.</w:t>
      </w:r>
    </w:p>
    <w:p w14:paraId="13CBEFA3"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Tosey, P., Visser, M., &amp; Saunders, M. N. (2018). Governance and stakeholder satisfaction: What works and what doesn't. </w:t>
      </w:r>
      <w:r w:rsidRPr="00EB11D3">
        <w:rPr>
          <w:rFonts w:eastAsia="Times New Roman"/>
          <w:bCs/>
          <w:i/>
          <w:iCs/>
          <w:szCs w:val="24"/>
        </w:rPr>
        <w:t>International Journal of Public Sector Management</w:t>
      </w:r>
      <w:r w:rsidRPr="00EB11D3">
        <w:rPr>
          <w:rFonts w:eastAsia="Times New Roman"/>
          <w:bCs/>
          <w:szCs w:val="24"/>
        </w:rPr>
        <w:t>, 31(7), 743–757.</w:t>
      </w:r>
    </w:p>
    <w:p w14:paraId="11B4F5F1"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United States Conference of Catholic Bishops. (2018). Ethical and Religious Directives for Catholic Health Care Services (6th ed.). USCCB.</w:t>
      </w:r>
    </w:p>
    <w:p w14:paraId="664BDB17"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van der Heijden, J. (2022). The politics of regulation: mapping half a century of debates (1970-2020). In </w:t>
      </w:r>
      <w:r w:rsidRPr="00EB11D3">
        <w:rPr>
          <w:i/>
          <w:iCs/>
          <w:szCs w:val="24"/>
          <w:shd w:val="clear" w:color="auto" w:fill="FFFFFF"/>
        </w:rPr>
        <w:t>Handbook on the Politics of Public Administration</w:t>
      </w:r>
      <w:r w:rsidRPr="00EB11D3">
        <w:rPr>
          <w:szCs w:val="24"/>
          <w:shd w:val="clear" w:color="auto" w:fill="FFFFFF"/>
        </w:rPr>
        <w:t> (pp. 162-173). Edward Elgar Publishing.</w:t>
      </w:r>
    </w:p>
    <w:p w14:paraId="0720F892"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van Rooij, T., &amp; Marsh, S. (2016). eHealth: Past and future perspectives. </w:t>
      </w:r>
      <w:r w:rsidRPr="00EB11D3">
        <w:rPr>
          <w:i/>
          <w:iCs/>
          <w:color w:val="222222"/>
          <w:szCs w:val="24"/>
          <w:shd w:val="clear" w:color="auto" w:fill="FFFFFF"/>
        </w:rPr>
        <w:t>Personalized Medicine, 13</w:t>
      </w:r>
      <w:r w:rsidRPr="00EB11D3">
        <w:rPr>
          <w:color w:val="222222"/>
          <w:szCs w:val="24"/>
          <w:shd w:val="clear" w:color="auto" w:fill="FFFFFF"/>
        </w:rPr>
        <w:t>, 57–70.</w:t>
      </w:r>
    </w:p>
    <w:p w14:paraId="16ECAC25"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Verbunt, P., &amp; Rogge, N. (2018). Geometric composite indicators with compromise Benefit-of-the-Doubt weights. </w:t>
      </w:r>
      <w:r w:rsidRPr="00EB11D3">
        <w:rPr>
          <w:i/>
          <w:iCs/>
          <w:szCs w:val="24"/>
          <w:shd w:val="clear" w:color="auto" w:fill="FFFFFF"/>
        </w:rPr>
        <w:t>European Journal of Operational Research</w:t>
      </w:r>
      <w:r w:rsidRPr="00EB11D3">
        <w:rPr>
          <w:szCs w:val="24"/>
          <w:shd w:val="clear" w:color="auto" w:fill="FFFFFF"/>
        </w:rPr>
        <w:t>, </w:t>
      </w:r>
      <w:r w:rsidRPr="00EB11D3">
        <w:rPr>
          <w:i/>
          <w:iCs/>
          <w:szCs w:val="24"/>
          <w:shd w:val="clear" w:color="auto" w:fill="FFFFFF"/>
        </w:rPr>
        <w:t>264</w:t>
      </w:r>
      <w:r w:rsidRPr="00EB11D3">
        <w:rPr>
          <w:szCs w:val="24"/>
          <w:shd w:val="clear" w:color="auto" w:fill="FFFFFF"/>
        </w:rPr>
        <w:t>(1), 388-401.</w:t>
      </w:r>
    </w:p>
    <w:p w14:paraId="1094B646"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Vicnente-Ramos, W., Reymundo, K., Pari, L., Rudas, N., &amp; Rodriguez, P. (2020). The effect of good corporate governance on banking profitability. </w:t>
      </w:r>
      <w:r w:rsidRPr="00EB11D3">
        <w:rPr>
          <w:i/>
          <w:iCs/>
          <w:szCs w:val="24"/>
          <w:shd w:val="clear" w:color="auto" w:fill="FFFFFF"/>
        </w:rPr>
        <w:t>Management Science Letters</w:t>
      </w:r>
      <w:r w:rsidRPr="00EB11D3">
        <w:rPr>
          <w:szCs w:val="24"/>
          <w:shd w:val="clear" w:color="auto" w:fill="FFFFFF"/>
        </w:rPr>
        <w:t>, 10(9), 2045–2052</w:t>
      </w:r>
    </w:p>
    <w:p w14:paraId="34216310"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Vitolla, F., Raimo, N., &amp; Rubino, M. (2020). Board characteristics and integrated reporting quality: An agency theory perspective. </w:t>
      </w:r>
      <w:r w:rsidRPr="00EB11D3">
        <w:rPr>
          <w:i/>
          <w:iCs/>
          <w:szCs w:val="24"/>
          <w:shd w:val="clear" w:color="auto" w:fill="FFFFFF"/>
        </w:rPr>
        <w:t>Corporate Social Responsibility and Environmental Management</w:t>
      </w:r>
      <w:r w:rsidRPr="00EB11D3">
        <w:rPr>
          <w:szCs w:val="24"/>
          <w:shd w:val="clear" w:color="auto" w:fill="FFFFFF"/>
        </w:rPr>
        <w:t>, </w:t>
      </w:r>
      <w:r w:rsidRPr="00EB11D3">
        <w:rPr>
          <w:i/>
          <w:iCs/>
          <w:szCs w:val="24"/>
          <w:shd w:val="clear" w:color="auto" w:fill="FFFFFF"/>
        </w:rPr>
        <w:t>27</w:t>
      </w:r>
      <w:r w:rsidRPr="00EB11D3">
        <w:rPr>
          <w:szCs w:val="24"/>
          <w:shd w:val="clear" w:color="auto" w:fill="FFFFFF"/>
        </w:rPr>
        <w:t>(2), 1152-1163.</w:t>
      </w:r>
    </w:p>
    <w:p w14:paraId="7FE22929"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Vollmer, A.-M., Prokosch, H.-U., &amp; Bürkle, T. (2014). Identifying barriers for implementation of computer-based nursing documentation. </w:t>
      </w:r>
      <w:r w:rsidRPr="00EB11D3">
        <w:rPr>
          <w:i/>
          <w:iCs/>
          <w:color w:val="222222"/>
          <w:szCs w:val="24"/>
          <w:shd w:val="clear" w:color="auto" w:fill="FFFFFF"/>
        </w:rPr>
        <w:t>Studies in Health Technology and Informatics, 201</w:t>
      </w:r>
      <w:r w:rsidRPr="00EB11D3">
        <w:rPr>
          <w:color w:val="222222"/>
          <w:szCs w:val="24"/>
          <w:shd w:val="clear" w:color="auto" w:fill="FFFFFF"/>
        </w:rPr>
        <w:t>, 94–101. </w:t>
      </w:r>
    </w:p>
    <w:p w14:paraId="22520D9F"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rPr>
        <w:t>Vuorio, A., Torkkeli, L., &amp; Sainio, L. M. (2020). Service innovation and internationalization in SMEs: antecedents and profitability outcomes. </w:t>
      </w:r>
      <w:r w:rsidRPr="00EB11D3">
        <w:rPr>
          <w:i/>
          <w:iCs/>
          <w:szCs w:val="24"/>
          <w:shd w:val="clear" w:color="auto" w:fill="FFFFFF"/>
        </w:rPr>
        <w:t>Journal of International Entrepreneurship</w:t>
      </w:r>
      <w:r w:rsidRPr="00EB11D3">
        <w:rPr>
          <w:szCs w:val="24"/>
          <w:shd w:val="clear" w:color="auto" w:fill="FFFFFF"/>
        </w:rPr>
        <w:t>, </w:t>
      </w:r>
      <w:r w:rsidRPr="00EB11D3">
        <w:rPr>
          <w:i/>
          <w:iCs/>
          <w:szCs w:val="24"/>
          <w:shd w:val="clear" w:color="auto" w:fill="FFFFFF"/>
        </w:rPr>
        <w:t>18</w:t>
      </w:r>
      <w:r w:rsidRPr="00EB11D3">
        <w:rPr>
          <w:szCs w:val="24"/>
          <w:shd w:val="clear" w:color="auto" w:fill="FFFFFF"/>
        </w:rPr>
        <w:t>(1), 92-123.</w:t>
      </w:r>
    </w:p>
    <w:p w14:paraId="40E14CAD"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 xml:space="preserve">Vyas, S., &amp; Bhargava, D. (2021). </w:t>
      </w:r>
      <w:r w:rsidRPr="00EB11D3">
        <w:rPr>
          <w:i/>
          <w:iCs/>
          <w:color w:val="222222"/>
          <w:szCs w:val="24"/>
          <w:shd w:val="clear" w:color="auto" w:fill="FFFFFF"/>
        </w:rPr>
        <w:t>Smart health systems: emerging trends</w:t>
      </w:r>
      <w:r w:rsidRPr="00EB11D3">
        <w:rPr>
          <w:color w:val="222222"/>
          <w:szCs w:val="24"/>
          <w:shd w:val="clear" w:color="auto" w:fill="FFFFFF"/>
        </w:rPr>
        <w:t>. Springer. Singapore</w:t>
      </w:r>
    </w:p>
    <w:p w14:paraId="1E47605E"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Wallenburg, I., Quartz, J., &amp; Bal, R. (2019). Making hospitals governable: performativity and institutional work in ranking practices. </w:t>
      </w:r>
      <w:r w:rsidRPr="00EB11D3">
        <w:rPr>
          <w:i/>
          <w:iCs/>
          <w:color w:val="222222"/>
          <w:szCs w:val="24"/>
          <w:shd w:val="clear" w:color="auto" w:fill="FFFFFF"/>
        </w:rPr>
        <w:t>Administration &amp; Society</w:t>
      </w:r>
      <w:r w:rsidRPr="00EB11D3">
        <w:rPr>
          <w:color w:val="222222"/>
          <w:szCs w:val="24"/>
          <w:shd w:val="clear" w:color="auto" w:fill="FFFFFF"/>
        </w:rPr>
        <w:t>, </w:t>
      </w:r>
      <w:r w:rsidRPr="00EB11D3">
        <w:rPr>
          <w:i/>
          <w:iCs/>
          <w:color w:val="222222"/>
          <w:szCs w:val="24"/>
          <w:shd w:val="clear" w:color="auto" w:fill="FFFFFF"/>
        </w:rPr>
        <w:t>51</w:t>
      </w:r>
      <w:r w:rsidRPr="00EB11D3">
        <w:rPr>
          <w:color w:val="222222"/>
          <w:szCs w:val="24"/>
          <w:shd w:val="clear" w:color="auto" w:fill="FFFFFF"/>
        </w:rPr>
        <w:t>(4), 637-663.</w:t>
      </w:r>
    </w:p>
    <w:p w14:paraId="3348AF9F" w14:textId="77777777" w:rsidR="003A6047" w:rsidRPr="00EB11D3" w:rsidRDefault="003A6047" w:rsidP="00813B05">
      <w:pPr>
        <w:spacing w:after="0" w:line="360" w:lineRule="auto"/>
        <w:ind w:left="720" w:hanging="720"/>
        <w:rPr>
          <w:szCs w:val="24"/>
          <w:shd w:val="clear" w:color="auto" w:fill="FFFFFF"/>
        </w:rPr>
      </w:pPr>
      <w:bookmarkStart w:id="1181" w:name="_Hlk171087904"/>
      <w:r w:rsidRPr="00EB11D3">
        <w:rPr>
          <w:szCs w:val="24"/>
          <w:shd w:val="clear" w:color="auto" w:fill="FFFFFF"/>
        </w:rPr>
        <w:t>Wang, L. H., &amp; Cao, X. Y. (2022). Corporate governance, financial innovation and performance: Evidence from Taiwan’s Banking Industry. </w:t>
      </w:r>
      <w:r w:rsidRPr="00EB11D3">
        <w:rPr>
          <w:i/>
          <w:iCs/>
          <w:szCs w:val="24"/>
          <w:shd w:val="clear" w:color="auto" w:fill="FFFFFF"/>
        </w:rPr>
        <w:t>International Journal of Financial Studies</w:t>
      </w:r>
      <w:r w:rsidRPr="00EB11D3">
        <w:rPr>
          <w:szCs w:val="24"/>
          <w:shd w:val="clear" w:color="auto" w:fill="FFFFFF"/>
        </w:rPr>
        <w:t>, </w:t>
      </w:r>
      <w:r w:rsidRPr="00EB11D3">
        <w:rPr>
          <w:i/>
          <w:iCs/>
          <w:szCs w:val="24"/>
          <w:shd w:val="clear" w:color="auto" w:fill="FFFFFF"/>
        </w:rPr>
        <w:t>10</w:t>
      </w:r>
      <w:r w:rsidRPr="00EB11D3">
        <w:rPr>
          <w:szCs w:val="24"/>
          <w:shd w:val="clear" w:color="auto" w:fill="FFFFFF"/>
        </w:rPr>
        <w:t>(2), 32.</w:t>
      </w:r>
    </w:p>
    <w:p w14:paraId="06862674" w14:textId="77777777" w:rsidR="003A6047" w:rsidRPr="00EB11D3" w:rsidRDefault="003A6047" w:rsidP="00813B05">
      <w:pPr>
        <w:spacing w:after="0" w:line="360" w:lineRule="auto"/>
        <w:ind w:left="720" w:hanging="720"/>
        <w:rPr>
          <w:szCs w:val="24"/>
          <w:shd w:val="clear" w:color="auto" w:fill="FFFFFF"/>
        </w:rPr>
      </w:pPr>
      <w:bookmarkStart w:id="1182" w:name="_Hlk170832302"/>
      <w:bookmarkEnd w:id="1181"/>
      <w:r w:rsidRPr="00EB11D3">
        <w:rPr>
          <w:szCs w:val="24"/>
          <w:shd w:val="clear" w:color="auto" w:fill="FFFFFF"/>
        </w:rPr>
        <w:t>Wang, X., &amp; Cheng, Z. (2020). Cross-sectional studies: strengths, weaknesses, and recommendations. </w:t>
      </w:r>
      <w:r w:rsidRPr="00EB11D3">
        <w:rPr>
          <w:i/>
          <w:iCs/>
          <w:szCs w:val="24"/>
          <w:shd w:val="clear" w:color="auto" w:fill="FFFFFF"/>
        </w:rPr>
        <w:t>Chest</w:t>
      </w:r>
      <w:r w:rsidRPr="00EB11D3">
        <w:rPr>
          <w:szCs w:val="24"/>
          <w:shd w:val="clear" w:color="auto" w:fill="FFFFFF"/>
        </w:rPr>
        <w:t>, </w:t>
      </w:r>
      <w:r w:rsidRPr="00EB11D3">
        <w:rPr>
          <w:i/>
          <w:iCs/>
          <w:szCs w:val="24"/>
          <w:shd w:val="clear" w:color="auto" w:fill="FFFFFF"/>
        </w:rPr>
        <w:t>158</w:t>
      </w:r>
      <w:r w:rsidRPr="00EB11D3">
        <w:rPr>
          <w:szCs w:val="24"/>
          <w:shd w:val="clear" w:color="auto" w:fill="FFFFFF"/>
        </w:rPr>
        <w:t>(1), S65-S71.</w:t>
      </w:r>
    </w:p>
    <w:bookmarkEnd w:id="1182"/>
    <w:p w14:paraId="637DF2C0"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Wasdani, K. P., Vijaygopal, A., Manimala, M. J., &amp; Verghese, A. K. (2021). Impact of corporate governance on organisational performance of Indian firms. </w:t>
      </w:r>
      <w:r w:rsidRPr="00EB11D3">
        <w:rPr>
          <w:i/>
          <w:iCs/>
          <w:szCs w:val="24"/>
          <w:shd w:val="clear" w:color="auto" w:fill="FFFFFF"/>
        </w:rPr>
        <w:t>Indian Journal of Corporate Governance</w:t>
      </w:r>
      <w:r w:rsidRPr="00EB11D3">
        <w:rPr>
          <w:szCs w:val="24"/>
          <w:shd w:val="clear" w:color="auto" w:fill="FFFFFF"/>
        </w:rPr>
        <w:t>, </w:t>
      </w:r>
      <w:r w:rsidRPr="00EB11D3">
        <w:rPr>
          <w:i/>
          <w:iCs/>
          <w:szCs w:val="24"/>
          <w:shd w:val="clear" w:color="auto" w:fill="FFFFFF"/>
        </w:rPr>
        <w:t>14</w:t>
      </w:r>
      <w:r w:rsidRPr="00EB11D3">
        <w:rPr>
          <w:szCs w:val="24"/>
          <w:shd w:val="clear" w:color="auto" w:fill="FFFFFF"/>
        </w:rPr>
        <w:t>(2), 180-208.</w:t>
      </w:r>
    </w:p>
    <w:p w14:paraId="71D69BF2"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Watt, R. G., Daly, B., Allison, P., Macpherson, L. M., Venturelli, R., Listl, S., ... &amp; Benzian, H. (2019). Ending the neglect of global oral health: time for radical action. </w:t>
      </w:r>
      <w:r w:rsidRPr="00EB11D3">
        <w:rPr>
          <w:i/>
          <w:iCs/>
          <w:szCs w:val="24"/>
          <w:shd w:val="clear" w:color="auto" w:fill="FFFFFF"/>
        </w:rPr>
        <w:t>The Lancet</w:t>
      </w:r>
      <w:r w:rsidRPr="00EB11D3">
        <w:rPr>
          <w:szCs w:val="24"/>
          <w:shd w:val="clear" w:color="auto" w:fill="FFFFFF"/>
        </w:rPr>
        <w:t>, </w:t>
      </w:r>
      <w:r w:rsidRPr="00EB11D3">
        <w:rPr>
          <w:i/>
          <w:iCs/>
          <w:szCs w:val="24"/>
          <w:shd w:val="clear" w:color="auto" w:fill="FFFFFF"/>
        </w:rPr>
        <w:t>394</w:t>
      </w:r>
      <w:r w:rsidRPr="00EB11D3">
        <w:rPr>
          <w:szCs w:val="24"/>
          <w:shd w:val="clear" w:color="auto" w:fill="FFFFFF"/>
        </w:rPr>
        <w:t>(10194), 261-272.</w:t>
      </w:r>
    </w:p>
    <w:p w14:paraId="512977D7"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Weian, L., Chen, H., Guangyao, C., Minna, Z., &amp; Qiankun, M. (2019). Forty years of corporate governance research: A review and agenda. </w:t>
      </w:r>
      <w:r w:rsidRPr="00EB11D3">
        <w:rPr>
          <w:i/>
          <w:iCs/>
          <w:color w:val="222222"/>
          <w:szCs w:val="24"/>
          <w:shd w:val="clear" w:color="auto" w:fill="FFFFFF"/>
        </w:rPr>
        <w:t>Foreign Economics &amp; Management</w:t>
      </w:r>
      <w:r w:rsidRPr="00EB11D3">
        <w:rPr>
          <w:color w:val="222222"/>
          <w:szCs w:val="24"/>
          <w:shd w:val="clear" w:color="auto" w:fill="FFFFFF"/>
        </w:rPr>
        <w:t>, </w:t>
      </w:r>
      <w:r w:rsidRPr="00EB11D3">
        <w:rPr>
          <w:i/>
          <w:iCs/>
          <w:color w:val="222222"/>
          <w:szCs w:val="24"/>
          <w:shd w:val="clear" w:color="auto" w:fill="FFFFFF"/>
        </w:rPr>
        <w:t>41</w:t>
      </w:r>
      <w:r w:rsidRPr="00EB11D3">
        <w:rPr>
          <w:color w:val="222222"/>
          <w:szCs w:val="24"/>
          <w:shd w:val="clear" w:color="auto" w:fill="FFFFFF"/>
        </w:rPr>
        <w:t>(12), 161-185.</w:t>
      </w:r>
    </w:p>
    <w:p w14:paraId="3EE766B8"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Westermann-Behaylo, M., &amp; Herbane, B. (2018). Corporate governance and sustainability: An analysis of board of directors. </w:t>
      </w:r>
      <w:r w:rsidRPr="00EB11D3">
        <w:rPr>
          <w:rFonts w:eastAsia="Times New Roman"/>
          <w:bCs/>
          <w:i/>
          <w:iCs/>
          <w:szCs w:val="24"/>
        </w:rPr>
        <w:t>Journal of Business Ethics</w:t>
      </w:r>
      <w:r w:rsidRPr="00EB11D3">
        <w:rPr>
          <w:rFonts w:eastAsia="Times New Roman"/>
          <w:bCs/>
          <w:szCs w:val="24"/>
        </w:rPr>
        <w:t>, 133(4), 517-537.</w:t>
      </w:r>
    </w:p>
    <w:p w14:paraId="4E5C8519" w14:textId="77777777" w:rsidR="003A6047" w:rsidRPr="00EB11D3" w:rsidRDefault="003A6047" w:rsidP="00813B05">
      <w:pPr>
        <w:shd w:val="clear" w:color="auto" w:fill="FFFFFF"/>
        <w:spacing w:after="0" w:line="360" w:lineRule="auto"/>
        <w:ind w:left="720" w:hanging="720"/>
        <w:rPr>
          <w:rFonts w:eastAsia="Times New Roman"/>
          <w:bCs/>
          <w:szCs w:val="24"/>
          <w:lang w:val="en-GB"/>
        </w:rPr>
      </w:pPr>
      <w:r w:rsidRPr="00EB11D3">
        <w:rPr>
          <w:rFonts w:eastAsia="Times New Roman"/>
          <w:bCs/>
          <w:szCs w:val="24"/>
        </w:rPr>
        <w:t>Westphal, J. D., &amp; Zajac, E. J. (2018). The symbolic management of stockholders: Corporate governance reforms and shareholder reactions. </w:t>
      </w:r>
      <w:r w:rsidRPr="00EB11D3">
        <w:rPr>
          <w:rFonts w:eastAsia="Times New Roman"/>
          <w:bCs/>
          <w:i/>
          <w:iCs/>
          <w:szCs w:val="24"/>
        </w:rPr>
        <w:t>Administrative science quarterly</w:t>
      </w:r>
      <w:r w:rsidRPr="00EB11D3">
        <w:rPr>
          <w:rFonts w:eastAsia="Times New Roman"/>
          <w:bCs/>
          <w:szCs w:val="24"/>
        </w:rPr>
        <w:t>, 127-153.</w:t>
      </w:r>
    </w:p>
    <w:p w14:paraId="4E6AEB45"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 xml:space="preserve">White, K., &amp; Potter, J. E. (2019). Cutting Family Planning in Texas. </w:t>
      </w:r>
      <w:r w:rsidRPr="00EB11D3">
        <w:rPr>
          <w:rFonts w:eastAsia="Times New Roman"/>
          <w:bCs/>
          <w:i/>
          <w:iCs/>
          <w:szCs w:val="24"/>
        </w:rPr>
        <w:t>New England Journal of Medicine</w:t>
      </w:r>
      <w:r w:rsidRPr="00EB11D3">
        <w:rPr>
          <w:rFonts w:eastAsia="Times New Roman"/>
          <w:bCs/>
          <w:szCs w:val="24"/>
        </w:rPr>
        <w:t>, 370, 1669-1671.</w:t>
      </w:r>
    </w:p>
    <w:p w14:paraId="76D09213" w14:textId="77777777" w:rsidR="003A6047" w:rsidRPr="00EB11D3" w:rsidRDefault="003A6047" w:rsidP="00813B05">
      <w:pPr>
        <w:spacing w:after="0" w:line="360" w:lineRule="auto"/>
        <w:ind w:left="720" w:hanging="720"/>
        <w:rPr>
          <w:color w:val="000000"/>
          <w:szCs w:val="24"/>
        </w:rPr>
      </w:pPr>
      <w:r w:rsidRPr="00EB11D3">
        <w:rPr>
          <w:color w:val="222222"/>
          <w:szCs w:val="24"/>
          <w:shd w:val="clear" w:color="auto" w:fill="FFFFFF"/>
        </w:rPr>
        <w:t>Widjaja, G. (2020). Good hospital governance in Indonesia and the role of pharmacists. </w:t>
      </w:r>
      <w:r w:rsidRPr="00EB11D3">
        <w:rPr>
          <w:i/>
          <w:iCs/>
          <w:color w:val="222222"/>
          <w:szCs w:val="24"/>
          <w:shd w:val="clear" w:color="auto" w:fill="FFFFFF"/>
        </w:rPr>
        <w:t>European Journal of Molecular &amp; Clinical Medicine</w:t>
      </w:r>
      <w:r w:rsidRPr="00EB11D3">
        <w:rPr>
          <w:color w:val="222222"/>
          <w:szCs w:val="24"/>
          <w:shd w:val="clear" w:color="auto" w:fill="FFFFFF"/>
        </w:rPr>
        <w:t>, </w:t>
      </w:r>
      <w:r w:rsidRPr="00EB11D3">
        <w:rPr>
          <w:i/>
          <w:iCs/>
          <w:color w:val="222222"/>
          <w:szCs w:val="24"/>
          <w:shd w:val="clear" w:color="auto" w:fill="FFFFFF"/>
        </w:rPr>
        <w:t>7</w:t>
      </w:r>
      <w:r w:rsidRPr="00EB11D3">
        <w:rPr>
          <w:color w:val="222222"/>
          <w:szCs w:val="24"/>
          <w:shd w:val="clear" w:color="auto" w:fill="FFFFFF"/>
        </w:rPr>
        <w:t>(03), 1450-1455.</w:t>
      </w:r>
    </w:p>
    <w:p w14:paraId="3A80E534" w14:textId="77777777" w:rsidR="003A6047" w:rsidRPr="00EB11D3" w:rsidRDefault="003A6047" w:rsidP="00813B05">
      <w:pPr>
        <w:shd w:val="clear" w:color="auto" w:fill="FFFFFF"/>
        <w:spacing w:after="0" w:line="360" w:lineRule="auto"/>
        <w:ind w:left="720" w:hanging="720"/>
        <w:rPr>
          <w:rFonts w:eastAsia="Times New Roman"/>
          <w:bCs/>
          <w:szCs w:val="24"/>
        </w:rPr>
      </w:pPr>
      <w:bookmarkStart w:id="1183" w:name="_Hlk160639176"/>
      <w:r w:rsidRPr="00EB11D3">
        <w:rPr>
          <w:rFonts w:eastAsia="Times New Roman"/>
          <w:bCs/>
          <w:szCs w:val="24"/>
        </w:rPr>
        <w:t xml:space="preserve">Wikhamn, W., &amp; Wikhamn, B. R. (2020). </w:t>
      </w:r>
      <w:bookmarkEnd w:id="1183"/>
      <w:r w:rsidRPr="00EB11D3">
        <w:rPr>
          <w:rFonts w:eastAsia="Times New Roman"/>
          <w:bCs/>
          <w:szCs w:val="24"/>
        </w:rPr>
        <w:t>Gender diversity and innovation performance: evidence from R&amp;D workforce in Sweden. </w:t>
      </w:r>
      <w:r w:rsidRPr="00EB11D3">
        <w:rPr>
          <w:rFonts w:eastAsia="Times New Roman"/>
          <w:bCs/>
          <w:i/>
          <w:iCs/>
          <w:szCs w:val="24"/>
        </w:rPr>
        <w:t>International Journal of Innovation Management</w:t>
      </w:r>
      <w:r w:rsidRPr="00EB11D3">
        <w:rPr>
          <w:rFonts w:eastAsia="Times New Roman"/>
          <w:bCs/>
          <w:szCs w:val="24"/>
        </w:rPr>
        <w:t>, </w:t>
      </w:r>
      <w:r w:rsidRPr="00EB11D3">
        <w:rPr>
          <w:rFonts w:eastAsia="Times New Roman"/>
          <w:bCs/>
          <w:i/>
          <w:iCs/>
          <w:szCs w:val="24"/>
        </w:rPr>
        <w:t>24</w:t>
      </w:r>
      <w:r w:rsidRPr="00EB11D3">
        <w:rPr>
          <w:rFonts w:eastAsia="Times New Roman"/>
          <w:bCs/>
          <w:szCs w:val="24"/>
        </w:rPr>
        <w:t>(07), 2050061.</w:t>
      </w:r>
    </w:p>
    <w:p w14:paraId="7DE5D0EE"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Wilson, J. Q. (2021). The politics of regulation. In </w:t>
      </w:r>
      <w:r w:rsidRPr="00EB11D3">
        <w:rPr>
          <w:i/>
          <w:iCs/>
          <w:szCs w:val="24"/>
          <w:shd w:val="clear" w:color="auto" w:fill="FFFFFF"/>
        </w:rPr>
        <w:t>The political economy</w:t>
      </w:r>
      <w:r w:rsidRPr="00EB11D3">
        <w:rPr>
          <w:szCs w:val="24"/>
          <w:shd w:val="clear" w:color="auto" w:fill="FFFFFF"/>
        </w:rPr>
        <w:t> (pp. 82-103). Routledge.</w:t>
      </w:r>
    </w:p>
    <w:p w14:paraId="748D40E1" w14:textId="77777777" w:rsidR="003A6047" w:rsidRPr="00EB11D3" w:rsidRDefault="003A6047" w:rsidP="00813B05">
      <w:pPr>
        <w:spacing w:after="0" w:line="360" w:lineRule="auto"/>
        <w:ind w:left="720" w:hanging="720"/>
        <w:rPr>
          <w:szCs w:val="24"/>
          <w:shd w:val="clear" w:color="auto" w:fill="FFFFFF"/>
          <w:lang w:eastAsia="zh-CN"/>
        </w:rPr>
      </w:pPr>
      <w:r w:rsidRPr="00EB11D3">
        <w:rPr>
          <w:color w:val="222222"/>
          <w:szCs w:val="24"/>
          <w:shd w:val="clear" w:color="auto" w:fill="FFFFFF"/>
        </w:rPr>
        <w:t>Woo, H., Kim, S. J., &amp; Wang, H. (2021). Understanding the role of service innovation behavior on business customer performance and loyalty. </w:t>
      </w:r>
      <w:r w:rsidRPr="00EB11D3">
        <w:rPr>
          <w:i/>
          <w:iCs/>
          <w:color w:val="222222"/>
          <w:szCs w:val="24"/>
          <w:shd w:val="clear" w:color="auto" w:fill="FFFFFF"/>
        </w:rPr>
        <w:t>Industrial Marketing Management</w:t>
      </w:r>
      <w:r w:rsidRPr="00EB11D3">
        <w:rPr>
          <w:color w:val="222222"/>
          <w:szCs w:val="24"/>
          <w:shd w:val="clear" w:color="auto" w:fill="FFFFFF"/>
        </w:rPr>
        <w:t>, </w:t>
      </w:r>
      <w:r w:rsidRPr="00EB11D3">
        <w:rPr>
          <w:i/>
          <w:iCs/>
          <w:color w:val="222222"/>
          <w:szCs w:val="24"/>
          <w:shd w:val="clear" w:color="auto" w:fill="FFFFFF"/>
        </w:rPr>
        <w:t>93</w:t>
      </w:r>
      <w:r w:rsidRPr="00EB11D3">
        <w:rPr>
          <w:color w:val="222222"/>
          <w:szCs w:val="24"/>
          <w:shd w:val="clear" w:color="auto" w:fill="FFFFFF"/>
        </w:rPr>
        <w:t>, 41-51.</w:t>
      </w:r>
    </w:p>
    <w:p w14:paraId="69FEF2B2"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Wu, C., &amp; Yang, Y. (2023). Research on the Impact of Shareholding Structure on Financial Performance of Manufacturing Listed Companies Based on Social Responsibility. </w:t>
      </w:r>
      <w:r w:rsidRPr="00EB11D3">
        <w:rPr>
          <w:i/>
          <w:iCs/>
          <w:color w:val="222222"/>
          <w:szCs w:val="24"/>
          <w:shd w:val="clear" w:color="auto" w:fill="FFFFFF"/>
        </w:rPr>
        <w:t>Frontiers in Business, Economics and Management</w:t>
      </w:r>
      <w:r w:rsidRPr="00EB11D3">
        <w:rPr>
          <w:color w:val="222222"/>
          <w:szCs w:val="24"/>
          <w:shd w:val="clear" w:color="auto" w:fill="FFFFFF"/>
        </w:rPr>
        <w:t>, </w:t>
      </w:r>
      <w:r w:rsidRPr="00EB11D3">
        <w:rPr>
          <w:i/>
          <w:iCs/>
          <w:color w:val="222222"/>
          <w:szCs w:val="24"/>
          <w:shd w:val="clear" w:color="auto" w:fill="FFFFFF"/>
        </w:rPr>
        <w:t>8</w:t>
      </w:r>
      <w:r w:rsidRPr="00EB11D3">
        <w:rPr>
          <w:color w:val="222222"/>
          <w:szCs w:val="24"/>
          <w:shd w:val="clear" w:color="auto" w:fill="FFFFFF"/>
        </w:rPr>
        <w:t>(3), 73-75.</w:t>
      </w:r>
    </w:p>
    <w:p w14:paraId="74B17359"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Wu, M., Coleman, M., &amp; Bawuah, J. (2020). The predictive power of K-nearest neighbor (KNN): The effect of corporate governance mechanisms on earnings management. </w:t>
      </w:r>
      <w:r w:rsidRPr="00EB11D3">
        <w:rPr>
          <w:i/>
          <w:iCs/>
          <w:szCs w:val="24"/>
          <w:shd w:val="clear" w:color="auto" w:fill="FFFFFF"/>
        </w:rPr>
        <w:t>Sage Open</w:t>
      </w:r>
      <w:r w:rsidRPr="00EB11D3">
        <w:rPr>
          <w:szCs w:val="24"/>
          <w:shd w:val="clear" w:color="auto" w:fill="FFFFFF"/>
        </w:rPr>
        <w:t>, </w:t>
      </w:r>
      <w:r w:rsidRPr="00EB11D3">
        <w:rPr>
          <w:i/>
          <w:iCs/>
          <w:szCs w:val="24"/>
          <w:shd w:val="clear" w:color="auto" w:fill="FFFFFF"/>
        </w:rPr>
        <w:t>10</w:t>
      </w:r>
      <w:r w:rsidRPr="00EB11D3">
        <w:rPr>
          <w:szCs w:val="24"/>
          <w:shd w:val="clear" w:color="auto" w:fill="FFFFFF"/>
        </w:rPr>
        <w:t>(3), 2158244020949537.</w:t>
      </w:r>
    </w:p>
    <w:p w14:paraId="56A3119F" w14:textId="77777777" w:rsidR="003A6047" w:rsidRPr="00EB11D3" w:rsidRDefault="003A6047" w:rsidP="00813B05">
      <w:pPr>
        <w:spacing w:after="0" w:line="360" w:lineRule="auto"/>
        <w:ind w:left="720" w:hanging="720"/>
        <w:rPr>
          <w:szCs w:val="24"/>
          <w:shd w:val="clear" w:color="auto" w:fill="FFFFFF"/>
        </w:rPr>
      </w:pPr>
      <w:r w:rsidRPr="00EB11D3">
        <w:rPr>
          <w:color w:val="222222"/>
          <w:szCs w:val="24"/>
          <w:shd w:val="clear" w:color="auto" w:fill="FFFFFF"/>
        </w:rPr>
        <w:t>Xie, X., Wang, H., &amp; García, J. S. (2021). How does customer involvement in service innovation motivate service innovation performance? The roles of relationship learning and knowledge absorptive capacity. </w:t>
      </w:r>
      <w:r w:rsidRPr="00EB11D3">
        <w:rPr>
          <w:i/>
          <w:iCs/>
          <w:color w:val="222222"/>
          <w:szCs w:val="24"/>
          <w:shd w:val="clear" w:color="auto" w:fill="FFFFFF"/>
        </w:rPr>
        <w:t>Journal of Business Research</w:t>
      </w:r>
      <w:r w:rsidRPr="00EB11D3">
        <w:rPr>
          <w:color w:val="222222"/>
          <w:szCs w:val="24"/>
          <w:shd w:val="clear" w:color="auto" w:fill="FFFFFF"/>
        </w:rPr>
        <w:t>, </w:t>
      </w:r>
      <w:r w:rsidRPr="00EB11D3">
        <w:rPr>
          <w:i/>
          <w:iCs/>
          <w:color w:val="222222"/>
          <w:szCs w:val="24"/>
          <w:shd w:val="clear" w:color="auto" w:fill="FFFFFF"/>
        </w:rPr>
        <w:t>136</w:t>
      </w:r>
      <w:r w:rsidRPr="00EB11D3">
        <w:rPr>
          <w:color w:val="222222"/>
          <w:szCs w:val="24"/>
          <w:shd w:val="clear" w:color="auto" w:fill="FFFFFF"/>
        </w:rPr>
        <w:t>, 630-643.</w:t>
      </w:r>
    </w:p>
    <w:p w14:paraId="48E7D701"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Xing, Z., Ji, M., Dong, Z., Xu, X., &amp; Shan, Y. (2023). Factors Associated with Limited Digital Health Literacy Among Chinese Male Populations: Cross-sectional Study. </w:t>
      </w:r>
      <w:r w:rsidRPr="00EB11D3">
        <w:rPr>
          <w:i/>
          <w:iCs/>
          <w:szCs w:val="24"/>
          <w:shd w:val="clear" w:color="auto" w:fill="FFFFFF"/>
        </w:rPr>
        <w:t>JMIR Formative Research</w:t>
      </w:r>
      <w:r w:rsidRPr="00EB11D3">
        <w:rPr>
          <w:szCs w:val="24"/>
          <w:shd w:val="clear" w:color="auto" w:fill="FFFFFF"/>
        </w:rPr>
        <w:t>, </w:t>
      </w:r>
      <w:r w:rsidRPr="00EB11D3">
        <w:rPr>
          <w:i/>
          <w:iCs/>
          <w:szCs w:val="24"/>
          <w:shd w:val="clear" w:color="auto" w:fill="FFFFFF"/>
        </w:rPr>
        <w:t>7</w:t>
      </w:r>
      <w:r w:rsidRPr="00EB11D3">
        <w:rPr>
          <w:szCs w:val="24"/>
          <w:shd w:val="clear" w:color="auto" w:fill="FFFFFF"/>
        </w:rPr>
        <w:t>(1), e42868.</w:t>
      </w:r>
    </w:p>
    <w:p w14:paraId="01301DD4"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Yang, C. W., Yan, Y. H., Fang, S. C., Inamdar, S. N., &amp; Lin, H. C. (2018). The association of hospital governance with innovation in Taiwan. </w:t>
      </w:r>
      <w:r w:rsidRPr="00EB11D3">
        <w:rPr>
          <w:i/>
          <w:iCs/>
          <w:color w:val="222222"/>
          <w:szCs w:val="24"/>
          <w:shd w:val="clear" w:color="auto" w:fill="FFFFFF"/>
        </w:rPr>
        <w:t>The International journal of health planning and management</w:t>
      </w:r>
      <w:r w:rsidRPr="00EB11D3">
        <w:rPr>
          <w:color w:val="222222"/>
          <w:szCs w:val="24"/>
          <w:shd w:val="clear" w:color="auto" w:fill="FFFFFF"/>
        </w:rPr>
        <w:t>, </w:t>
      </w:r>
      <w:r w:rsidRPr="00EB11D3">
        <w:rPr>
          <w:i/>
          <w:iCs/>
          <w:color w:val="222222"/>
          <w:szCs w:val="24"/>
          <w:shd w:val="clear" w:color="auto" w:fill="FFFFFF"/>
        </w:rPr>
        <w:t>33</w:t>
      </w:r>
      <w:r w:rsidRPr="00EB11D3">
        <w:rPr>
          <w:color w:val="222222"/>
          <w:szCs w:val="24"/>
          <w:shd w:val="clear" w:color="auto" w:fill="FFFFFF"/>
        </w:rPr>
        <w:t>(1), 246-254.</w:t>
      </w:r>
    </w:p>
    <w:p w14:paraId="2DF5070A" w14:textId="77777777" w:rsidR="003A6047" w:rsidRPr="00EB11D3" w:rsidRDefault="003A6047" w:rsidP="00813B05">
      <w:pPr>
        <w:spacing w:after="0" w:line="360" w:lineRule="auto"/>
        <w:ind w:left="720" w:hanging="720"/>
        <w:rPr>
          <w:szCs w:val="24"/>
          <w:shd w:val="clear" w:color="auto" w:fill="FFFFFF"/>
          <w:lang w:eastAsia="zh-CN"/>
        </w:rPr>
      </w:pPr>
      <w:r w:rsidRPr="00EB11D3">
        <w:rPr>
          <w:szCs w:val="24"/>
          <w:shd w:val="clear" w:color="auto" w:fill="FFFFFF"/>
          <w:lang w:eastAsia="zh-CN"/>
        </w:rPr>
        <w:t xml:space="preserve">Yimam, D., &amp; Fernandez, E. B. (2016). A survey of compliance issues in cloud computing. </w:t>
      </w:r>
      <w:r w:rsidRPr="00EB11D3">
        <w:rPr>
          <w:i/>
          <w:iCs/>
          <w:szCs w:val="24"/>
          <w:shd w:val="clear" w:color="auto" w:fill="FFFFFF"/>
          <w:lang w:eastAsia="zh-CN"/>
        </w:rPr>
        <w:t>Journal of Internet Services and Applications</w:t>
      </w:r>
      <w:r w:rsidRPr="00EB11D3">
        <w:rPr>
          <w:szCs w:val="24"/>
          <w:shd w:val="clear" w:color="auto" w:fill="FFFFFF"/>
          <w:lang w:eastAsia="zh-CN"/>
        </w:rPr>
        <w:t xml:space="preserve">, </w:t>
      </w:r>
      <w:r w:rsidRPr="00EB11D3">
        <w:rPr>
          <w:i/>
          <w:iCs/>
          <w:szCs w:val="24"/>
          <w:shd w:val="clear" w:color="auto" w:fill="FFFFFF"/>
          <w:lang w:eastAsia="zh-CN"/>
        </w:rPr>
        <w:t>7</w:t>
      </w:r>
      <w:r w:rsidRPr="00EB11D3">
        <w:rPr>
          <w:szCs w:val="24"/>
          <w:shd w:val="clear" w:color="auto" w:fill="FFFFFF"/>
          <w:lang w:eastAsia="zh-CN"/>
        </w:rPr>
        <w:t>(1), 1-12.</w:t>
      </w:r>
    </w:p>
    <w:p w14:paraId="2C1BC6E1"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Yin, M., &amp; Sheng, L. (2019). Corporate governance, innovation input and corporate performance: Empirical research based on endogeneity and industry categories. </w:t>
      </w:r>
      <w:r w:rsidRPr="00EB11D3">
        <w:rPr>
          <w:i/>
          <w:iCs/>
          <w:color w:val="222222"/>
          <w:szCs w:val="24"/>
          <w:shd w:val="clear" w:color="auto" w:fill="FFFFFF"/>
        </w:rPr>
        <w:t>Nankai Business Review International</w:t>
      </w:r>
      <w:r w:rsidRPr="00EB11D3">
        <w:rPr>
          <w:color w:val="222222"/>
          <w:szCs w:val="24"/>
          <w:shd w:val="clear" w:color="auto" w:fill="FFFFFF"/>
        </w:rPr>
        <w:t>, </w:t>
      </w:r>
      <w:r w:rsidRPr="00EB11D3">
        <w:rPr>
          <w:i/>
          <w:iCs/>
          <w:color w:val="222222"/>
          <w:szCs w:val="24"/>
          <w:shd w:val="clear" w:color="auto" w:fill="FFFFFF"/>
        </w:rPr>
        <w:t>10</w:t>
      </w:r>
      <w:r w:rsidRPr="00EB11D3">
        <w:rPr>
          <w:color w:val="222222"/>
          <w:szCs w:val="24"/>
          <w:shd w:val="clear" w:color="auto" w:fill="FFFFFF"/>
        </w:rPr>
        <w:t>(1), 120-137.</w:t>
      </w:r>
    </w:p>
    <w:p w14:paraId="40A96637"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Yu, Y., Wang, C., Gu, X., &amp; Li, J. (2019). A novel deep learning-based method for damage identification of smart building structures. </w:t>
      </w:r>
      <w:r w:rsidRPr="00EB11D3">
        <w:rPr>
          <w:i/>
          <w:iCs/>
          <w:color w:val="222222"/>
          <w:szCs w:val="24"/>
          <w:shd w:val="clear" w:color="auto" w:fill="FFFFFF"/>
        </w:rPr>
        <w:t>Structural Health Monitoring</w:t>
      </w:r>
      <w:r w:rsidRPr="00EB11D3">
        <w:rPr>
          <w:color w:val="222222"/>
          <w:szCs w:val="24"/>
          <w:shd w:val="clear" w:color="auto" w:fill="FFFFFF"/>
        </w:rPr>
        <w:t>, </w:t>
      </w:r>
      <w:r w:rsidRPr="00EB11D3">
        <w:rPr>
          <w:i/>
          <w:iCs/>
          <w:color w:val="222222"/>
          <w:szCs w:val="24"/>
          <w:shd w:val="clear" w:color="auto" w:fill="FFFFFF"/>
        </w:rPr>
        <w:t>18</w:t>
      </w:r>
      <w:r w:rsidRPr="00EB11D3">
        <w:rPr>
          <w:color w:val="222222"/>
          <w:szCs w:val="24"/>
          <w:shd w:val="clear" w:color="auto" w:fill="FFFFFF"/>
        </w:rPr>
        <w:t>(1), 143-163.</w:t>
      </w:r>
    </w:p>
    <w:p w14:paraId="3DC31E37" w14:textId="77777777" w:rsidR="003A6047" w:rsidRPr="00EB11D3" w:rsidRDefault="003A6047" w:rsidP="00813B05">
      <w:pPr>
        <w:spacing w:after="0" w:line="360" w:lineRule="auto"/>
        <w:ind w:left="720" w:hanging="720"/>
        <w:rPr>
          <w:szCs w:val="24"/>
          <w:lang w:eastAsia="zh-CN"/>
        </w:rPr>
      </w:pPr>
      <w:r w:rsidRPr="00EB11D3">
        <w:rPr>
          <w:szCs w:val="24"/>
          <w:lang w:eastAsia="zh-CN"/>
        </w:rPr>
        <w:t xml:space="preserve">YuSheng, K., &amp; Ibrahim, M. (2019). Service innovation, service delivery and customer satisfaction and loyalty in the banking sector of Ghana. </w:t>
      </w:r>
      <w:r w:rsidRPr="00EB11D3">
        <w:rPr>
          <w:i/>
          <w:iCs/>
          <w:szCs w:val="24"/>
          <w:lang w:eastAsia="zh-CN"/>
        </w:rPr>
        <w:t>International Journal of Bank Marketing</w:t>
      </w:r>
      <w:r w:rsidRPr="00EB11D3">
        <w:rPr>
          <w:szCs w:val="24"/>
        </w:rPr>
        <w:t xml:space="preserve"> </w:t>
      </w:r>
      <w:r w:rsidRPr="00EB11D3">
        <w:rPr>
          <w:i/>
          <w:iCs/>
          <w:szCs w:val="24"/>
          <w:lang w:eastAsia="zh-CN"/>
        </w:rPr>
        <w:t>37</w:t>
      </w:r>
      <w:r w:rsidRPr="00EB11D3">
        <w:rPr>
          <w:szCs w:val="24"/>
          <w:lang w:eastAsia="zh-CN"/>
        </w:rPr>
        <w:t xml:space="preserve"> (5), 1215-1233.</w:t>
      </w:r>
    </w:p>
    <w:p w14:paraId="016AF821"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Zahara, G. (2018). The influence of Competence Local Government Agencies and The Implementation Government of Internal Control System toward the Quality of Local Government Financial Statement. </w:t>
      </w:r>
      <w:r w:rsidRPr="00EB11D3">
        <w:rPr>
          <w:i/>
          <w:iCs/>
          <w:szCs w:val="24"/>
          <w:shd w:val="clear" w:color="auto" w:fill="FFFFFF"/>
        </w:rPr>
        <w:t>Research Journal of Finance and Accounting</w:t>
      </w:r>
      <w:r w:rsidRPr="00EB11D3">
        <w:rPr>
          <w:szCs w:val="24"/>
          <w:shd w:val="clear" w:color="auto" w:fill="FFFFFF"/>
        </w:rPr>
        <w:t>, </w:t>
      </w:r>
      <w:r w:rsidRPr="00EB11D3">
        <w:rPr>
          <w:i/>
          <w:iCs/>
          <w:szCs w:val="24"/>
          <w:shd w:val="clear" w:color="auto" w:fill="FFFFFF"/>
        </w:rPr>
        <w:t>6</w:t>
      </w:r>
      <w:r w:rsidRPr="00EB11D3">
        <w:rPr>
          <w:szCs w:val="24"/>
          <w:shd w:val="clear" w:color="auto" w:fill="FFFFFF"/>
        </w:rPr>
        <w:t>(11), 138-148.</w:t>
      </w:r>
    </w:p>
    <w:p w14:paraId="7FBDBCC9"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Zahoor, S., Akbar, A., Svobodova, L., &amp; Hedvicakova, M. (2024). Impact of Risk Management, Board Effectiveness and Innovation on Firm Performance-a Mediated and Moderated Model of Corporate Governance and Government Policy. </w:t>
      </w:r>
      <w:r w:rsidRPr="00EB11D3">
        <w:rPr>
          <w:rFonts w:eastAsia="Times New Roman"/>
          <w:bCs/>
          <w:i/>
          <w:iCs/>
          <w:szCs w:val="24"/>
        </w:rPr>
        <w:t>Kurdish Studies</w:t>
      </w:r>
      <w:r w:rsidRPr="00EB11D3">
        <w:rPr>
          <w:rFonts w:eastAsia="Times New Roman"/>
          <w:bCs/>
          <w:szCs w:val="24"/>
        </w:rPr>
        <w:t>, </w:t>
      </w:r>
      <w:r w:rsidRPr="00EB11D3">
        <w:rPr>
          <w:rFonts w:eastAsia="Times New Roman"/>
          <w:bCs/>
          <w:i/>
          <w:iCs/>
          <w:szCs w:val="24"/>
        </w:rPr>
        <w:t>12</w:t>
      </w:r>
      <w:r w:rsidRPr="00EB11D3">
        <w:rPr>
          <w:rFonts w:eastAsia="Times New Roman"/>
          <w:bCs/>
          <w:szCs w:val="24"/>
        </w:rPr>
        <w:t>(2), 2030-2059.</w:t>
      </w:r>
    </w:p>
    <w:p w14:paraId="2D007112" w14:textId="77777777" w:rsidR="003A6047" w:rsidRPr="00EB11D3" w:rsidDel="00911821" w:rsidRDefault="003A6047" w:rsidP="00813B05">
      <w:pPr>
        <w:spacing w:after="0" w:line="360" w:lineRule="auto"/>
        <w:ind w:left="720" w:hanging="720"/>
        <w:rPr>
          <w:szCs w:val="24"/>
          <w:shd w:val="clear" w:color="auto" w:fill="FFFFFF"/>
        </w:rPr>
      </w:pPr>
      <w:r w:rsidRPr="00EB11D3">
        <w:rPr>
          <w:szCs w:val="24"/>
          <w:shd w:val="clear" w:color="auto" w:fill="FFFFFF"/>
        </w:rPr>
        <w:t>Zaid, M. A., Wang, M., &amp; Abuhijleh, S. T. (2019). The effect of corporate governance practices on corporate social responsibility disclosure: Evidence from Palestine. </w:t>
      </w:r>
      <w:r w:rsidRPr="00EB11D3">
        <w:rPr>
          <w:i/>
          <w:iCs/>
          <w:szCs w:val="24"/>
          <w:shd w:val="clear" w:color="auto" w:fill="FFFFFF"/>
        </w:rPr>
        <w:t>Journal of Global Responsibility</w:t>
      </w:r>
      <w:r w:rsidRPr="00EB11D3">
        <w:rPr>
          <w:szCs w:val="24"/>
          <w:shd w:val="clear" w:color="auto" w:fill="FFFFFF"/>
        </w:rPr>
        <w:t xml:space="preserve">, </w:t>
      </w:r>
      <w:r w:rsidRPr="00EB11D3">
        <w:rPr>
          <w:i/>
          <w:iCs/>
          <w:szCs w:val="24"/>
          <w:shd w:val="clear" w:color="auto" w:fill="FFFFFF"/>
        </w:rPr>
        <w:t>10</w:t>
      </w:r>
      <w:r w:rsidRPr="00EB11D3">
        <w:rPr>
          <w:szCs w:val="24"/>
          <w:shd w:val="clear" w:color="auto" w:fill="FFFFFF"/>
        </w:rPr>
        <w:t xml:space="preserve"> (2), 134-160.</w:t>
      </w:r>
    </w:p>
    <w:p w14:paraId="04FE7CC2"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Zelalem, A.B., Ali, A.A., &amp; Wodajo B.S. (2022). Corporate governance and financial performance in the emerging economy: The case of Ethiopian insurance companies. </w:t>
      </w:r>
      <w:r w:rsidRPr="00EB11D3">
        <w:rPr>
          <w:i/>
          <w:iCs/>
          <w:szCs w:val="24"/>
          <w:shd w:val="clear" w:color="auto" w:fill="FFFFFF"/>
        </w:rPr>
        <w:t>Cogent Economics &amp; Finance</w:t>
      </w:r>
      <w:r w:rsidRPr="00EB11D3">
        <w:rPr>
          <w:szCs w:val="24"/>
          <w:shd w:val="clear" w:color="auto" w:fill="FFFFFF"/>
        </w:rPr>
        <w:t>, </w:t>
      </w:r>
      <w:r w:rsidRPr="00EB11D3">
        <w:rPr>
          <w:i/>
          <w:iCs/>
          <w:szCs w:val="24"/>
          <w:shd w:val="clear" w:color="auto" w:fill="FFFFFF"/>
        </w:rPr>
        <w:t>10</w:t>
      </w:r>
      <w:r w:rsidRPr="00EB11D3">
        <w:rPr>
          <w:szCs w:val="24"/>
          <w:shd w:val="clear" w:color="auto" w:fill="FFFFFF"/>
        </w:rPr>
        <w:t>(1), 2117117.</w:t>
      </w:r>
    </w:p>
    <w:p w14:paraId="3204E150" w14:textId="77777777" w:rsidR="003A6047" w:rsidRPr="00EB11D3" w:rsidRDefault="003A6047" w:rsidP="00813B05">
      <w:pPr>
        <w:shd w:val="clear" w:color="auto" w:fill="FFFFFF"/>
        <w:spacing w:after="0" w:line="360" w:lineRule="auto"/>
        <w:ind w:left="720" w:hanging="720"/>
        <w:rPr>
          <w:rFonts w:eastAsia="Times New Roman"/>
          <w:bCs/>
          <w:szCs w:val="24"/>
        </w:rPr>
      </w:pPr>
      <w:r w:rsidRPr="00EB11D3">
        <w:rPr>
          <w:rFonts w:eastAsia="Times New Roman"/>
          <w:bCs/>
          <w:szCs w:val="24"/>
        </w:rPr>
        <w:t>Zhai, H., Yang, M., &amp; Chan, K. C. (2022). Does digital transformation enhance a firm's performance? Evidence from China. </w:t>
      </w:r>
      <w:r w:rsidRPr="00EB11D3">
        <w:rPr>
          <w:rFonts w:eastAsia="Times New Roman"/>
          <w:bCs/>
          <w:i/>
          <w:iCs/>
          <w:szCs w:val="24"/>
        </w:rPr>
        <w:t>Technology in Society</w:t>
      </w:r>
      <w:r w:rsidRPr="00EB11D3">
        <w:rPr>
          <w:rFonts w:eastAsia="Times New Roman"/>
          <w:bCs/>
          <w:szCs w:val="24"/>
        </w:rPr>
        <w:t>, </w:t>
      </w:r>
      <w:r w:rsidRPr="00EB11D3">
        <w:rPr>
          <w:rFonts w:eastAsia="Times New Roman"/>
          <w:bCs/>
          <w:i/>
          <w:iCs/>
          <w:szCs w:val="24"/>
        </w:rPr>
        <w:t>68</w:t>
      </w:r>
      <w:r w:rsidRPr="00EB11D3">
        <w:rPr>
          <w:rFonts w:eastAsia="Times New Roman"/>
          <w:bCs/>
          <w:szCs w:val="24"/>
        </w:rPr>
        <w:t>, 101841.</w:t>
      </w:r>
    </w:p>
    <w:p w14:paraId="004494CE" w14:textId="77777777" w:rsidR="003A6047" w:rsidRPr="00EB11D3" w:rsidRDefault="003A6047" w:rsidP="00813B05">
      <w:pPr>
        <w:shd w:val="clear" w:color="auto" w:fill="FFFFFF"/>
        <w:spacing w:after="0" w:line="360" w:lineRule="auto"/>
        <w:ind w:left="720" w:hanging="720"/>
        <w:rPr>
          <w:rFonts w:eastAsia="Times New Roman"/>
          <w:bCs/>
          <w:szCs w:val="24"/>
        </w:rPr>
      </w:pPr>
      <w:bookmarkStart w:id="1184" w:name="_Hlk160639724"/>
      <w:r w:rsidRPr="00EB11D3">
        <w:rPr>
          <w:rFonts w:eastAsia="Times New Roman"/>
          <w:bCs/>
          <w:szCs w:val="24"/>
        </w:rPr>
        <w:t xml:space="preserve">Zhang, L. (2020). </w:t>
      </w:r>
      <w:bookmarkEnd w:id="1184"/>
      <w:r w:rsidRPr="00EB11D3">
        <w:rPr>
          <w:rFonts w:eastAsia="Times New Roman"/>
          <w:bCs/>
          <w:szCs w:val="24"/>
        </w:rPr>
        <w:t>An institutional approach to gender diversity and firm performance. </w:t>
      </w:r>
      <w:r w:rsidRPr="00EB11D3">
        <w:rPr>
          <w:rFonts w:eastAsia="Times New Roman"/>
          <w:bCs/>
          <w:i/>
          <w:iCs/>
          <w:szCs w:val="24"/>
        </w:rPr>
        <w:t>Organization Science</w:t>
      </w:r>
      <w:r w:rsidRPr="00EB11D3">
        <w:rPr>
          <w:rFonts w:eastAsia="Times New Roman"/>
          <w:bCs/>
          <w:szCs w:val="24"/>
        </w:rPr>
        <w:t>, </w:t>
      </w:r>
      <w:r w:rsidRPr="00EB11D3">
        <w:rPr>
          <w:rFonts w:eastAsia="Times New Roman"/>
          <w:bCs/>
          <w:i/>
          <w:iCs/>
          <w:szCs w:val="24"/>
        </w:rPr>
        <w:t>31</w:t>
      </w:r>
      <w:r w:rsidRPr="00EB11D3">
        <w:rPr>
          <w:rFonts w:eastAsia="Times New Roman"/>
          <w:bCs/>
          <w:szCs w:val="24"/>
        </w:rPr>
        <w:t>(2), 439-457.</w:t>
      </w:r>
    </w:p>
    <w:p w14:paraId="620D5509" w14:textId="77777777" w:rsidR="003A6047" w:rsidRPr="00EB11D3" w:rsidRDefault="003A6047" w:rsidP="00813B05">
      <w:pPr>
        <w:spacing w:after="0" w:line="360" w:lineRule="auto"/>
        <w:ind w:left="720" w:hanging="720"/>
        <w:rPr>
          <w:color w:val="222222"/>
          <w:szCs w:val="24"/>
          <w:shd w:val="clear" w:color="auto" w:fill="FFFFFF"/>
        </w:rPr>
      </w:pPr>
      <w:r w:rsidRPr="00EB11D3">
        <w:rPr>
          <w:color w:val="222222"/>
          <w:szCs w:val="24"/>
          <w:shd w:val="clear" w:color="auto" w:fill="FFFFFF"/>
        </w:rPr>
        <w:t>Zhang, M., Zhao, X., Voss, C., &amp; Zhu, G. (2016). Innovating through services, co-creation and supplier integration: Cases from China. </w:t>
      </w:r>
      <w:r w:rsidRPr="00EB11D3">
        <w:rPr>
          <w:i/>
          <w:iCs/>
          <w:color w:val="222222"/>
          <w:szCs w:val="24"/>
          <w:shd w:val="clear" w:color="auto" w:fill="FFFFFF"/>
        </w:rPr>
        <w:t>International Journal of Production Economics</w:t>
      </w:r>
      <w:r w:rsidRPr="00EB11D3">
        <w:rPr>
          <w:color w:val="222222"/>
          <w:szCs w:val="24"/>
          <w:shd w:val="clear" w:color="auto" w:fill="FFFFFF"/>
        </w:rPr>
        <w:t>, </w:t>
      </w:r>
      <w:r w:rsidRPr="00EB11D3">
        <w:rPr>
          <w:i/>
          <w:iCs/>
          <w:color w:val="222222"/>
          <w:szCs w:val="24"/>
          <w:shd w:val="clear" w:color="auto" w:fill="FFFFFF"/>
        </w:rPr>
        <w:t>171</w:t>
      </w:r>
      <w:r w:rsidRPr="00EB11D3">
        <w:rPr>
          <w:color w:val="222222"/>
          <w:szCs w:val="24"/>
          <w:shd w:val="clear" w:color="auto" w:fill="FFFFFF"/>
        </w:rPr>
        <w:t>, 289-300.</w:t>
      </w:r>
    </w:p>
    <w:p w14:paraId="34842EEF"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Zhao, Q., Tsai, P. H., &amp; Wang, J. L. (2019). Improving financial service innovation strategies for enhancing China’s banking industry competitive advantage during the fintech revolution: A Hybrid MCDM model. </w:t>
      </w:r>
      <w:r w:rsidRPr="00EB11D3">
        <w:rPr>
          <w:i/>
          <w:iCs/>
          <w:szCs w:val="24"/>
          <w:shd w:val="clear" w:color="auto" w:fill="FFFFFF"/>
        </w:rPr>
        <w:t>Sustainability</w:t>
      </w:r>
      <w:r w:rsidRPr="00EB11D3">
        <w:rPr>
          <w:szCs w:val="24"/>
          <w:shd w:val="clear" w:color="auto" w:fill="FFFFFF"/>
        </w:rPr>
        <w:t>, </w:t>
      </w:r>
      <w:r w:rsidRPr="00EB11D3">
        <w:rPr>
          <w:i/>
          <w:iCs/>
          <w:szCs w:val="24"/>
          <w:shd w:val="clear" w:color="auto" w:fill="FFFFFF"/>
        </w:rPr>
        <w:t>11</w:t>
      </w:r>
      <w:r w:rsidRPr="00EB11D3">
        <w:rPr>
          <w:szCs w:val="24"/>
          <w:shd w:val="clear" w:color="auto" w:fill="FFFFFF"/>
        </w:rPr>
        <w:t>(5), 1419.</w:t>
      </w:r>
    </w:p>
    <w:p w14:paraId="4E0967EE" w14:textId="77777777" w:rsidR="003A6047" w:rsidRPr="00EB11D3" w:rsidRDefault="003A6047" w:rsidP="00813B05">
      <w:pPr>
        <w:shd w:val="clear" w:color="auto" w:fill="FFFFFF"/>
        <w:spacing w:after="0" w:line="360" w:lineRule="auto"/>
        <w:ind w:left="720" w:hanging="720"/>
        <w:rPr>
          <w:rFonts w:eastAsia="Cambria"/>
          <w:szCs w:val="24"/>
        </w:rPr>
      </w:pPr>
      <w:r w:rsidRPr="00EB11D3">
        <w:rPr>
          <w:rFonts w:eastAsia="Times New Roman"/>
          <w:bCs/>
          <w:szCs w:val="24"/>
        </w:rPr>
        <w:t>Zhou, J. Y., Amanatullah, D. F., &amp; Frick, S. L. (2019). EMTALA (Emergency Medical Treatment and Active Labor Act) obligations: A case report and review of the literature. </w:t>
      </w:r>
      <w:r w:rsidRPr="00EB11D3">
        <w:rPr>
          <w:rFonts w:eastAsia="Times New Roman"/>
          <w:bCs/>
          <w:i/>
          <w:iCs/>
          <w:szCs w:val="24"/>
        </w:rPr>
        <w:t>JBJS</w:t>
      </w:r>
      <w:r w:rsidRPr="00EB11D3">
        <w:rPr>
          <w:rFonts w:eastAsia="Times New Roman"/>
          <w:bCs/>
          <w:szCs w:val="24"/>
        </w:rPr>
        <w:t>, </w:t>
      </w:r>
      <w:r w:rsidRPr="00EB11D3">
        <w:rPr>
          <w:rFonts w:eastAsia="Times New Roman"/>
          <w:bCs/>
          <w:i/>
          <w:iCs/>
          <w:szCs w:val="24"/>
        </w:rPr>
        <w:t>101</w:t>
      </w:r>
      <w:r w:rsidRPr="00EB11D3">
        <w:rPr>
          <w:rFonts w:eastAsia="Times New Roman"/>
          <w:bCs/>
          <w:szCs w:val="24"/>
        </w:rPr>
        <w:t>(12), e55.</w:t>
      </w:r>
    </w:p>
    <w:p w14:paraId="59E4FEE2"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Zhuang, Y., Chang, X., &amp; Lee, Y. (2018). Board composition and corporate social responsibility performance: Evidence from Chinese public firms. </w:t>
      </w:r>
      <w:r w:rsidRPr="00EB11D3">
        <w:rPr>
          <w:i/>
          <w:iCs/>
          <w:szCs w:val="24"/>
          <w:shd w:val="clear" w:color="auto" w:fill="FFFFFF"/>
        </w:rPr>
        <w:t>Sustainability</w:t>
      </w:r>
      <w:r w:rsidRPr="00EB11D3">
        <w:rPr>
          <w:szCs w:val="24"/>
          <w:shd w:val="clear" w:color="auto" w:fill="FFFFFF"/>
        </w:rPr>
        <w:t>, </w:t>
      </w:r>
      <w:r w:rsidRPr="00EB11D3">
        <w:rPr>
          <w:i/>
          <w:iCs/>
          <w:szCs w:val="24"/>
          <w:shd w:val="clear" w:color="auto" w:fill="FFFFFF"/>
        </w:rPr>
        <w:t>10</w:t>
      </w:r>
      <w:r w:rsidRPr="00EB11D3">
        <w:rPr>
          <w:szCs w:val="24"/>
          <w:shd w:val="clear" w:color="auto" w:fill="FFFFFF"/>
        </w:rPr>
        <w:t>(8), 2752.</w:t>
      </w:r>
    </w:p>
    <w:p w14:paraId="411313BF"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 xml:space="preserve">Zona, F., Gomez-Mejia, L. R., &amp; Withers, M. C. (2018). Board interlocks and firm performance: Toward a combined agency–resource dependence perspective. </w:t>
      </w:r>
      <w:r w:rsidRPr="00EB11D3">
        <w:rPr>
          <w:i/>
          <w:iCs/>
          <w:szCs w:val="24"/>
          <w:shd w:val="clear" w:color="auto" w:fill="FFFFFF"/>
        </w:rPr>
        <w:t>Journal of Management</w:t>
      </w:r>
      <w:r w:rsidRPr="00EB11D3">
        <w:rPr>
          <w:szCs w:val="24"/>
          <w:shd w:val="clear" w:color="auto" w:fill="FFFFFF"/>
        </w:rPr>
        <w:t>, 44(2), 589-618.</w:t>
      </w:r>
    </w:p>
    <w:p w14:paraId="13E95298" w14:textId="77777777" w:rsidR="003A6047" w:rsidRPr="00EB11D3" w:rsidRDefault="003A6047" w:rsidP="00813B05">
      <w:pPr>
        <w:spacing w:after="0" w:line="360" w:lineRule="auto"/>
        <w:ind w:left="720" w:hanging="720"/>
        <w:rPr>
          <w:szCs w:val="24"/>
          <w:shd w:val="clear" w:color="auto" w:fill="FFFFFF"/>
        </w:rPr>
      </w:pPr>
      <w:r w:rsidRPr="00EB11D3">
        <w:rPr>
          <w:szCs w:val="24"/>
          <w:shd w:val="clear" w:color="auto" w:fill="FFFFFF"/>
        </w:rPr>
        <w:t>Žukauskas, P., Vveinhardt, J., &amp; Andriukaitienė, R. (2018). Philosophy and paradigm of scientific research. </w:t>
      </w:r>
      <w:r w:rsidRPr="00EB11D3">
        <w:rPr>
          <w:i/>
          <w:iCs/>
          <w:szCs w:val="24"/>
          <w:shd w:val="clear" w:color="auto" w:fill="FFFFFF"/>
        </w:rPr>
        <w:t>Management culture and corporate social responsibility</w:t>
      </w:r>
      <w:r w:rsidRPr="00EB11D3">
        <w:rPr>
          <w:szCs w:val="24"/>
          <w:shd w:val="clear" w:color="auto" w:fill="FFFFFF"/>
        </w:rPr>
        <w:t>, </w:t>
      </w:r>
      <w:r w:rsidRPr="00EB11D3">
        <w:rPr>
          <w:i/>
          <w:iCs/>
          <w:szCs w:val="24"/>
          <w:shd w:val="clear" w:color="auto" w:fill="FFFFFF"/>
        </w:rPr>
        <w:t>121</w:t>
      </w:r>
      <w:r w:rsidRPr="00EB11D3">
        <w:rPr>
          <w:szCs w:val="24"/>
          <w:shd w:val="clear" w:color="auto" w:fill="FFFFFF"/>
        </w:rPr>
        <w:t>, 139.</w:t>
      </w:r>
    </w:p>
    <w:p w14:paraId="79123A47" w14:textId="77777777" w:rsidR="003A6047" w:rsidRPr="00EB11D3" w:rsidRDefault="003A6047" w:rsidP="00813B05">
      <w:pPr>
        <w:shd w:val="clear" w:color="auto" w:fill="FFFFFF"/>
        <w:spacing w:after="0" w:line="360" w:lineRule="auto"/>
        <w:ind w:left="720" w:hanging="720"/>
        <w:rPr>
          <w:rFonts w:eastAsia="Times New Roman"/>
          <w:bCs/>
          <w:szCs w:val="24"/>
        </w:rPr>
      </w:pPr>
    </w:p>
    <w:p w14:paraId="4B52A450" w14:textId="77777777" w:rsidR="00DC0D7C" w:rsidRPr="00EB11D3" w:rsidRDefault="00813B05" w:rsidP="00052363">
      <w:pPr>
        <w:pStyle w:val="Heading1"/>
        <w:spacing w:line="360" w:lineRule="auto"/>
        <w:rPr>
          <w:szCs w:val="24"/>
        </w:rPr>
      </w:pPr>
      <w:bookmarkStart w:id="1185" w:name="_Toc11164670"/>
      <w:r>
        <w:rPr>
          <w:szCs w:val="24"/>
        </w:rPr>
        <w:br w:type="page"/>
      </w:r>
      <w:bookmarkStart w:id="1186" w:name="_Toc177387912"/>
      <w:r w:rsidR="00212BDF" w:rsidRPr="00EB11D3">
        <w:rPr>
          <w:szCs w:val="24"/>
        </w:rPr>
        <w:t>APPENDICES</w:t>
      </w:r>
      <w:bookmarkEnd w:id="1185"/>
      <w:bookmarkEnd w:id="1186"/>
    </w:p>
    <w:p w14:paraId="3C7667E8" w14:textId="77777777" w:rsidR="00DC0D7C" w:rsidRPr="00EB11D3" w:rsidRDefault="00212BDF" w:rsidP="00052363">
      <w:pPr>
        <w:pStyle w:val="Heading1"/>
        <w:spacing w:line="360" w:lineRule="auto"/>
        <w:rPr>
          <w:szCs w:val="24"/>
        </w:rPr>
      </w:pPr>
      <w:bookmarkStart w:id="1187" w:name="_Toc525549613"/>
      <w:bookmarkStart w:id="1188" w:name="_Toc11164671"/>
      <w:bookmarkStart w:id="1189" w:name="_Toc9256073"/>
      <w:bookmarkStart w:id="1190" w:name="_Toc525231321"/>
      <w:bookmarkStart w:id="1191" w:name="_Toc525231208"/>
      <w:bookmarkStart w:id="1192" w:name="_Toc526935056"/>
      <w:bookmarkStart w:id="1193" w:name="_Toc135938319"/>
      <w:bookmarkStart w:id="1194" w:name="_Toc177387913"/>
      <w:r w:rsidRPr="00EB11D3">
        <w:rPr>
          <w:szCs w:val="24"/>
        </w:rPr>
        <w:t>Appendix I: Letter of Introduction</w:t>
      </w:r>
      <w:bookmarkEnd w:id="1187"/>
      <w:bookmarkEnd w:id="1188"/>
      <w:bookmarkEnd w:id="1189"/>
      <w:bookmarkEnd w:id="1190"/>
      <w:bookmarkEnd w:id="1191"/>
      <w:bookmarkEnd w:id="1192"/>
      <w:bookmarkEnd w:id="1193"/>
      <w:bookmarkEnd w:id="1194"/>
    </w:p>
    <w:p w14:paraId="257CF6C4" w14:textId="77777777" w:rsidR="00DC0D7C" w:rsidRPr="00EB11D3" w:rsidRDefault="00212BDF">
      <w:pPr>
        <w:spacing w:line="360" w:lineRule="auto"/>
        <w:rPr>
          <w:rFonts w:eastAsia="Calibri"/>
          <w:szCs w:val="24"/>
          <w:lang w:val="zh-CN"/>
        </w:rPr>
      </w:pPr>
      <w:bookmarkStart w:id="1195" w:name="_Toc11164672"/>
      <w:bookmarkStart w:id="1196" w:name="_Toc9256074"/>
      <w:r w:rsidRPr="00EB11D3">
        <w:rPr>
          <w:rFonts w:eastAsia="Calibri"/>
          <w:szCs w:val="24"/>
          <w:lang w:val="zh-CN"/>
        </w:rPr>
        <w:t>Dear Sir/Madam,</w:t>
      </w:r>
    </w:p>
    <w:p w14:paraId="46137B9E" w14:textId="77777777" w:rsidR="00DC0D7C" w:rsidRPr="00EB11D3" w:rsidRDefault="00212BDF">
      <w:pPr>
        <w:spacing w:line="360" w:lineRule="auto"/>
        <w:rPr>
          <w:rFonts w:eastAsia="Calibri"/>
          <w:szCs w:val="24"/>
          <w:lang w:val="zh-CN"/>
        </w:rPr>
      </w:pPr>
      <w:r w:rsidRPr="00EB11D3">
        <w:rPr>
          <w:rFonts w:eastAsia="Calibri"/>
          <w:szCs w:val="24"/>
          <w:lang w:val="zh-CN"/>
        </w:rPr>
        <w:t>I am a postgraduate student at Management University of Africa pursuing a Doctor of Philosophy in Management and Leadership. I am conducting research on “</w:t>
      </w:r>
      <w:r w:rsidRPr="00EB11D3">
        <w:rPr>
          <w:b/>
          <w:bCs/>
          <w:szCs w:val="24"/>
          <w:lang w:val="en"/>
        </w:rPr>
        <w:t xml:space="preserve">Corporate Governance Practices, Service Innovation, Government Regulations and </w:t>
      </w:r>
      <w:r w:rsidR="006D5C62" w:rsidRPr="00EB11D3">
        <w:rPr>
          <w:rFonts w:eastAsia="Times New Roman"/>
          <w:b/>
          <w:bCs/>
          <w:szCs w:val="24"/>
        </w:rPr>
        <w:t>Organisational Performance of Faith-Based Hospitals</w:t>
      </w:r>
      <w:r w:rsidRPr="00EB11D3">
        <w:rPr>
          <w:b/>
          <w:bCs/>
          <w:szCs w:val="24"/>
          <w:lang w:val="en"/>
        </w:rPr>
        <w:t xml:space="preserve"> in Kenya</w:t>
      </w:r>
      <w:r w:rsidRPr="00EB11D3">
        <w:rPr>
          <w:rFonts w:eastAsia="Calibri"/>
          <w:b/>
          <w:szCs w:val="24"/>
          <w:lang w:val="zh-CN"/>
        </w:rPr>
        <w:t>.”</w:t>
      </w:r>
    </w:p>
    <w:p w14:paraId="747A4200" w14:textId="77777777" w:rsidR="00DC0D7C" w:rsidRPr="00EB11D3" w:rsidRDefault="00DC0D7C">
      <w:pPr>
        <w:spacing w:line="360" w:lineRule="auto"/>
        <w:rPr>
          <w:rFonts w:eastAsia="Calibri"/>
          <w:szCs w:val="24"/>
          <w:lang w:val="zh-CN"/>
        </w:rPr>
      </w:pPr>
    </w:p>
    <w:p w14:paraId="1142DF88" w14:textId="77777777" w:rsidR="00DC0D7C" w:rsidRPr="00EB11D3" w:rsidRDefault="00802348">
      <w:pPr>
        <w:spacing w:line="360" w:lineRule="auto"/>
        <w:rPr>
          <w:rFonts w:eastAsia="Calibri"/>
          <w:szCs w:val="24"/>
          <w:lang w:val="zh-CN"/>
        </w:rPr>
      </w:pPr>
      <w:r w:rsidRPr="00EB11D3">
        <w:rPr>
          <w:rFonts w:eastAsia="Calibri"/>
          <w:szCs w:val="24"/>
          <w:lang w:val="zh-CN"/>
        </w:rPr>
        <w:t>In light of the foregoing, I am requesting that you respond to the questions included in the questionnaires attached hereto. I further request that you furnish me with any essential documents and information on the corporate governance and performance of Faith-Based Hospitals in Kenya. This will assist me in gathering the essential data to help me fulfil the study's objectives.</w:t>
      </w:r>
    </w:p>
    <w:p w14:paraId="4D861CAD" w14:textId="77777777" w:rsidR="00DC0D7C" w:rsidRPr="00EB11D3" w:rsidRDefault="00DC0D7C">
      <w:pPr>
        <w:spacing w:line="360" w:lineRule="auto"/>
        <w:rPr>
          <w:rFonts w:eastAsia="Calibri"/>
          <w:szCs w:val="24"/>
          <w:lang w:val="zh-CN"/>
        </w:rPr>
      </w:pPr>
    </w:p>
    <w:p w14:paraId="2D07027F" w14:textId="77777777" w:rsidR="00DC0D7C" w:rsidRPr="00EB11D3" w:rsidRDefault="00802348">
      <w:pPr>
        <w:spacing w:line="360" w:lineRule="auto"/>
        <w:rPr>
          <w:rFonts w:eastAsia="Calibri"/>
          <w:szCs w:val="24"/>
          <w:lang w:val="zh-CN"/>
        </w:rPr>
      </w:pPr>
      <w:r w:rsidRPr="00EB11D3">
        <w:rPr>
          <w:rFonts w:eastAsia="Calibri"/>
          <w:szCs w:val="24"/>
          <w:lang w:val="zh-CN"/>
        </w:rPr>
        <w:t>The information gathered through this questionnaire will be kept strictly confidential and used just for this research purpose. Your valuable response and assistance will be greatly appreciated in this regard. Thank you in advance.</w:t>
      </w:r>
    </w:p>
    <w:p w14:paraId="00F7A053" w14:textId="77777777" w:rsidR="00DC0D7C" w:rsidRPr="00EB11D3" w:rsidRDefault="00DC0D7C">
      <w:pPr>
        <w:spacing w:line="360" w:lineRule="auto"/>
        <w:rPr>
          <w:rFonts w:eastAsia="Calibri"/>
          <w:szCs w:val="24"/>
          <w:lang w:val="zh-CN"/>
        </w:rPr>
      </w:pPr>
    </w:p>
    <w:p w14:paraId="36CE4FFE" w14:textId="77777777" w:rsidR="00DC0D7C" w:rsidRPr="00EB11D3" w:rsidRDefault="00212BDF">
      <w:pPr>
        <w:spacing w:line="360" w:lineRule="auto"/>
        <w:rPr>
          <w:rFonts w:eastAsia="Calibri"/>
          <w:szCs w:val="24"/>
          <w:lang w:val="zh-CN"/>
        </w:rPr>
      </w:pPr>
      <w:r w:rsidRPr="00EB11D3">
        <w:rPr>
          <w:rFonts w:eastAsia="Calibri"/>
          <w:szCs w:val="24"/>
          <w:lang w:val="zh-CN"/>
        </w:rPr>
        <w:t>Yours Faithfully,</w:t>
      </w:r>
    </w:p>
    <w:p w14:paraId="23DF93D3" w14:textId="77777777" w:rsidR="00DC0D7C" w:rsidRPr="00EB11D3" w:rsidRDefault="00212BDF">
      <w:pPr>
        <w:spacing w:line="360" w:lineRule="auto"/>
        <w:rPr>
          <w:rFonts w:eastAsia="Calibri"/>
          <w:b/>
          <w:szCs w:val="24"/>
        </w:rPr>
      </w:pPr>
      <w:r w:rsidRPr="00EB11D3">
        <w:rPr>
          <w:rFonts w:eastAsia="Calibri"/>
          <w:b/>
          <w:szCs w:val="24"/>
        </w:rPr>
        <w:t>JACOB KIMOTE</w:t>
      </w:r>
    </w:p>
    <w:p w14:paraId="5336CEB5" w14:textId="77777777" w:rsidR="00DC0D7C" w:rsidRPr="00EB11D3" w:rsidRDefault="00FD30BB">
      <w:pPr>
        <w:spacing w:line="360" w:lineRule="auto"/>
        <w:rPr>
          <w:rFonts w:eastAsia="Calibri"/>
          <w:b/>
          <w:szCs w:val="24"/>
        </w:rPr>
      </w:pPr>
      <w:r w:rsidRPr="00C962F7">
        <w:rPr>
          <w:noProof/>
          <w:szCs w:val="24"/>
        </w:rPr>
        <w:drawing>
          <wp:inline distT="0" distB="0" distL="0" distR="0" wp14:anchorId="1224CEDA" wp14:editId="29202B15">
            <wp:extent cx="1066800" cy="526415"/>
            <wp:effectExtent l="0" t="0" r="0" b="0"/>
            <wp:docPr id="29" name="Picture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9"/>
                    <pic:cNvPicPr>
                      <a:picLocks/>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066800" cy="526415"/>
                    </a:xfrm>
                    <a:prstGeom prst="rect">
                      <a:avLst/>
                    </a:prstGeom>
                    <a:noFill/>
                    <a:ln>
                      <a:noFill/>
                    </a:ln>
                  </pic:spPr>
                </pic:pic>
              </a:graphicData>
            </a:graphic>
          </wp:inline>
        </w:drawing>
      </w:r>
    </w:p>
    <w:p w14:paraId="78A4D369" w14:textId="77777777" w:rsidR="00DC0D7C" w:rsidRPr="00EB11D3" w:rsidRDefault="00212BDF">
      <w:pPr>
        <w:spacing w:line="360" w:lineRule="auto"/>
        <w:rPr>
          <w:rFonts w:eastAsia="Calibri"/>
          <w:b/>
          <w:szCs w:val="24"/>
        </w:rPr>
      </w:pPr>
      <w:r w:rsidRPr="00EB11D3">
        <w:rPr>
          <w:rFonts w:eastAsia="Calibri"/>
          <w:b/>
          <w:szCs w:val="24"/>
        </w:rPr>
        <w:t>DML/11/00107/3/18</w:t>
      </w:r>
    </w:p>
    <w:p w14:paraId="664F654B" w14:textId="77777777" w:rsidR="00DC0D7C" w:rsidRDefault="00212BDF" w:rsidP="000F78DD">
      <w:pPr>
        <w:pStyle w:val="Heading1"/>
        <w:spacing w:line="360" w:lineRule="auto"/>
        <w:rPr>
          <w:szCs w:val="24"/>
        </w:rPr>
      </w:pPr>
      <w:r w:rsidRPr="00EB11D3">
        <w:rPr>
          <w:szCs w:val="24"/>
        </w:rPr>
        <w:br w:type="page"/>
      </w:r>
      <w:bookmarkStart w:id="1197" w:name="_Toc135938320"/>
      <w:bookmarkStart w:id="1198" w:name="_Toc177387914"/>
      <w:r w:rsidRPr="00EB11D3">
        <w:rPr>
          <w:szCs w:val="24"/>
        </w:rPr>
        <w:t xml:space="preserve">Appendix II: </w:t>
      </w:r>
      <w:bookmarkEnd w:id="1195"/>
      <w:bookmarkEnd w:id="1196"/>
      <w:bookmarkEnd w:id="1197"/>
      <w:r w:rsidR="006B3EDC">
        <w:rPr>
          <w:szCs w:val="24"/>
        </w:rPr>
        <w:t xml:space="preserve">Letter </w:t>
      </w:r>
      <w:r w:rsidR="00D74B92">
        <w:rPr>
          <w:szCs w:val="24"/>
        </w:rPr>
        <w:t xml:space="preserve">From the </w:t>
      </w:r>
      <w:r w:rsidR="006B3EDC">
        <w:rPr>
          <w:szCs w:val="24"/>
        </w:rPr>
        <w:t>University</w:t>
      </w:r>
      <w:bookmarkEnd w:id="1198"/>
    </w:p>
    <w:p w14:paraId="0EEDDBB8" w14:textId="77777777" w:rsidR="006B3EDC" w:rsidRPr="006B3EDC" w:rsidRDefault="00FD30BB" w:rsidP="006B3EDC">
      <w:r w:rsidRPr="00C12A5D">
        <w:rPr>
          <w:noProof/>
        </w:rPr>
        <w:drawing>
          <wp:inline distT="0" distB="0" distL="0" distR="0" wp14:anchorId="52218CB6" wp14:editId="6C1FF1EA">
            <wp:extent cx="6888480" cy="7364095"/>
            <wp:effectExtent l="0" t="0" r="0" b="0"/>
            <wp:docPr id="30"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888480" cy="7364095"/>
                    </a:xfrm>
                    <a:prstGeom prst="rect">
                      <a:avLst/>
                    </a:prstGeom>
                    <a:noFill/>
                    <a:ln>
                      <a:noFill/>
                    </a:ln>
                  </pic:spPr>
                </pic:pic>
              </a:graphicData>
            </a:graphic>
          </wp:inline>
        </w:drawing>
      </w:r>
    </w:p>
    <w:p w14:paraId="5612E3C8" w14:textId="77777777" w:rsidR="00D74B92" w:rsidRPr="00D74B92" w:rsidRDefault="006B3EDC" w:rsidP="00D74B92">
      <w:pPr>
        <w:pStyle w:val="Heading1"/>
      </w:pPr>
      <w:r>
        <w:br w:type="page"/>
      </w:r>
      <w:bookmarkStart w:id="1199" w:name="_Toc177387915"/>
      <w:r w:rsidR="00D74B92" w:rsidRPr="00D74B92">
        <w:t>Appendix III:</w:t>
      </w:r>
      <w:bookmarkStart w:id="1200" w:name="_Toc366335069"/>
      <w:r w:rsidR="00D74B92" w:rsidRPr="00D74B92">
        <w:t xml:space="preserve"> </w:t>
      </w:r>
      <w:bookmarkEnd w:id="1200"/>
      <w:r w:rsidR="00D74B92" w:rsidRPr="00D74B92">
        <w:t>Research Permit</w:t>
      </w:r>
      <w:bookmarkEnd w:id="1199"/>
    </w:p>
    <w:p w14:paraId="2DB94381" w14:textId="77777777" w:rsidR="00D74B92" w:rsidRDefault="00FD30BB" w:rsidP="00D74B92">
      <w:pPr>
        <w:jc w:val="center"/>
        <w:rPr>
          <w:rFonts w:eastAsia="Times New Roman"/>
          <w:b/>
          <w:szCs w:val="24"/>
        </w:rPr>
      </w:pPr>
      <w:r w:rsidRPr="00C962F7">
        <w:rPr>
          <w:rFonts w:eastAsia="Times New Roman"/>
          <w:b/>
          <w:noProof/>
          <w:szCs w:val="24"/>
        </w:rPr>
        <w:drawing>
          <wp:inline distT="0" distB="0" distL="0" distR="0" wp14:anchorId="20908902" wp14:editId="63E4D3E3">
            <wp:extent cx="6590030" cy="7018655"/>
            <wp:effectExtent l="0" t="0" r="0" b="0"/>
            <wp:docPr id="3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590030" cy="7018655"/>
                    </a:xfrm>
                    <a:prstGeom prst="rect">
                      <a:avLst/>
                    </a:prstGeom>
                    <a:noFill/>
                    <a:ln>
                      <a:noFill/>
                    </a:ln>
                  </pic:spPr>
                </pic:pic>
              </a:graphicData>
            </a:graphic>
          </wp:inline>
        </w:drawing>
      </w:r>
    </w:p>
    <w:p w14:paraId="375F6928" w14:textId="77777777" w:rsidR="00D74B92" w:rsidRPr="00D74B92" w:rsidRDefault="00D74B92" w:rsidP="00D74B92">
      <w:pPr>
        <w:pStyle w:val="Heading1"/>
        <w:spacing w:line="360" w:lineRule="auto"/>
      </w:pPr>
      <w:r>
        <w:rPr>
          <w:rFonts w:eastAsia="Times New Roman"/>
          <w:szCs w:val="24"/>
        </w:rPr>
        <w:br w:type="page"/>
      </w:r>
      <w:bookmarkStart w:id="1201" w:name="_Toc177387916"/>
      <w:r w:rsidRPr="00D74B92">
        <w:t>Appendix I</w:t>
      </w:r>
      <w:r w:rsidRPr="00D74B92">
        <w:rPr>
          <w:rStyle w:val="Heading1Char"/>
          <w:b/>
        </w:rPr>
        <w:t>V</w:t>
      </w:r>
      <w:r w:rsidRPr="00D74B92">
        <w:t xml:space="preserve">: </w:t>
      </w:r>
      <w:r w:rsidRPr="00D74B92">
        <w:rPr>
          <w:rStyle w:val="Heading1Char"/>
          <w:b/>
        </w:rPr>
        <w:t>Questionnaire</w:t>
      </w:r>
      <w:bookmarkEnd w:id="1201"/>
    </w:p>
    <w:p w14:paraId="6251ED55" w14:textId="77777777" w:rsidR="00C21257" w:rsidRPr="00EB11D3" w:rsidRDefault="00C21257" w:rsidP="00D74B92">
      <w:pPr>
        <w:spacing w:line="360" w:lineRule="auto"/>
        <w:rPr>
          <w:rFonts w:eastAsia="Times New Roman"/>
          <w:szCs w:val="24"/>
        </w:rPr>
      </w:pPr>
      <w:r w:rsidRPr="00EB11D3">
        <w:rPr>
          <w:rFonts w:eastAsia="Times New Roman"/>
          <w:szCs w:val="24"/>
        </w:rPr>
        <w:t xml:space="preserve">This research questionnaire has been drafted for the purpose of helping the researcher to study the interactions between Corporate Governance Practices, Service Innovation, Government Regulations and Performance of Faith-Based Hospitals in Kenya. The information sought for herein will be to enrich on the existing knowledge on </w:t>
      </w:r>
      <w:r w:rsidR="006D5C62" w:rsidRPr="00EB11D3">
        <w:rPr>
          <w:rFonts w:eastAsia="Times New Roman"/>
          <w:szCs w:val="24"/>
        </w:rPr>
        <w:t>organisational performance of Faith-Based Hospitals</w:t>
      </w:r>
      <w:r w:rsidRPr="00EB11D3">
        <w:rPr>
          <w:rFonts w:eastAsia="Times New Roman"/>
          <w:szCs w:val="24"/>
        </w:rPr>
        <w:t xml:space="preserve"> in Kenya.</w:t>
      </w:r>
    </w:p>
    <w:p w14:paraId="7C0AD2DB" w14:textId="77777777" w:rsidR="00C21257" w:rsidRPr="00EB11D3" w:rsidRDefault="00C21257" w:rsidP="00C21257">
      <w:pPr>
        <w:spacing w:after="0" w:line="360" w:lineRule="auto"/>
        <w:rPr>
          <w:rFonts w:eastAsia="Times New Roman"/>
          <w:b/>
          <w:szCs w:val="24"/>
        </w:rPr>
      </w:pPr>
      <w:r w:rsidRPr="00EB11D3">
        <w:rPr>
          <w:rFonts w:eastAsia="Times New Roman"/>
          <w:b/>
          <w:szCs w:val="24"/>
        </w:rPr>
        <w:t>Instructions</w:t>
      </w:r>
    </w:p>
    <w:p w14:paraId="46481ADD" w14:textId="77777777" w:rsidR="00C21257" w:rsidRPr="00EB11D3" w:rsidRDefault="00C21257" w:rsidP="00C21257">
      <w:pPr>
        <w:spacing w:after="0" w:line="360" w:lineRule="auto"/>
        <w:rPr>
          <w:rFonts w:eastAsia="Times New Roman"/>
          <w:szCs w:val="24"/>
        </w:rPr>
      </w:pPr>
      <w:r w:rsidRPr="00EB11D3">
        <w:rPr>
          <w:rFonts w:eastAsia="Times New Roman"/>
          <w:b/>
          <w:szCs w:val="24"/>
        </w:rPr>
        <w:t xml:space="preserve">DO NOT </w:t>
      </w:r>
      <w:r w:rsidRPr="00EB11D3">
        <w:rPr>
          <w:rFonts w:eastAsia="Times New Roman"/>
          <w:bCs/>
          <w:szCs w:val="24"/>
        </w:rPr>
        <w:t>write your names</w:t>
      </w:r>
      <w:r w:rsidRPr="00EB11D3">
        <w:rPr>
          <w:rFonts w:eastAsia="Times New Roman"/>
          <w:b/>
          <w:szCs w:val="24"/>
        </w:rPr>
        <w:t xml:space="preserve"> </w:t>
      </w:r>
      <w:r w:rsidRPr="00EB11D3">
        <w:rPr>
          <w:rFonts w:eastAsia="Times New Roman"/>
          <w:szCs w:val="24"/>
        </w:rPr>
        <w:t xml:space="preserve">on any page of this questionnaire. </w:t>
      </w:r>
    </w:p>
    <w:p w14:paraId="573B5B23" w14:textId="77777777" w:rsidR="00C21257" w:rsidRPr="00EB11D3" w:rsidRDefault="00C21257" w:rsidP="00C21257">
      <w:pPr>
        <w:spacing w:after="0" w:line="360" w:lineRule="auto"/>
        <w:rPr>
          <w:rFonts w:eastAsia="Times New Roman"/>
          <w:szCs w:val="24"/>
        </w:rPr>
      </w:pPr>
      <w:r w:rsidRPr="00EB11D3">
        <w:rPr>
          <w:rFonts w:eastAsia="Times New Roman"/>
          <w:szCs w:val="24"/>
          <w:lang w:val="en-GB"/>
        </w:rPr>
        <w:t>Fill only one set of the questionnaire</w:t>
      </w:r>
    </w:p>
    <w:p w14:paraId="1B24392A" w14:textId="77777777" w:rsidR="00C21257" w:rsidRPr="00EB11D3" w:rsidRDefault="00C21257" w:rsidP="00C21257">
      <w:pPr>
        <w:spacing w:after="0" w:line="360" w:lineRule="auto"/>
        <w:rPr>
          <w:rFonts w:eastAsia="Times New Roman"/>
          <w:szCs w:val="24"/>
        </w:rPr>
      </w:pPr>
    </w:p>
    <w:p w14:paraId="57B1C5DD" w14:textId="77777777" w:rsidR="00C21257" w:rsidRPr="00EB11D3" w:rsidRDefault="00C21257" w:rsidP="00C21257">
      <w:pPr>
        <w:spacing w:after="0" w:line="360" w:lineRule="auto"/>
        <w:rPr>
          <w:rFonts w:eastAsia="Times New Roman"/>
          <w:b/>
          <w:szCs w:val="24"/>
        </w:rPr>
      </w:pPr>
      <w:r w:rsidRPr="00EB11D3">
        <w:rPr>
          <w:rFonts w:eastAsia="Times New Roman"/>
          <w:b/>
          <w:szCs w:val="24"/>
        </w:rPr>
        <w:t>SECTION A: DEMOGRAPHIC INFORMATION</w:t>
      </w:r>
    </w:p>
    <w:p w14:paraId="5A00A5AC" w14:textId="77777777" w:rsidR="00C21257" w:rsidRPr="00EB11D3" w:rsidRDefault="00C21257" w:rsidP="00C21257">
      <w:pPr>
        <w:spacing w:after="0" w:line="360" w:lineRule="auto"/>
        <w:rPr>
          <w:rFonts w:eastAsia="Times New Roman"/>
          <w:szCs w:val="24"/>
        </w:rPr>
      </w:pPr>
    </w:p>
    <w:p w14:paraId="65E09106" w14:textId="77777777" w:rsidR="00C21257" w:rsidRPr="00EB11D3" w:rsidRDefault="00C21257" w:rsidP="00C21257">
      <w:pPr>
        <w:spacing w:after="0" w:line="360" w:lineRule="auto"/>
        <w:rPr>
          <w:rFonts w:eastAsia="Times New Roman"/>
          <w:szCs w:val="24"/>
        </w:rPr>
      </w:pPr>
      <w:r w:rsidRPr="00EB11D3">
        <w:rPr>
          <w:rFonts w:eastAsia="Times New Roman"/>
          <w:szCs w:val="24"/>
        </w:rPr>
        <w:t xml:space="preserve">Tick </w:t>
      </w:r>
      <w:r w:rsidRPr="00EB11D3">
        <w:rPr>
          <w:rFonts w:eastAsia="Times New Roman"/>
          <w:b/>
          <w:szCs w:val="24"/>
        </w:rPr>
        <w:t xml:space="preserve">(√) </w:t>
      </w:r>
      <w:r w:rsidRPr="00EB11D3">
        <w:rPr>
          <w:rFonts w:eastAsia="Times New Roman"/>
          <w:szCs w:val="24"/>
        </w:rPr>
        <w:t xml:space="preserve">on appropriate option </w:t>
      </w:r>
      <w:r w:rsidRPr="00EB11D3">
        <w:rPr>
          <w:rFonts w:eastAsia="Times New Roman"/>
          <w:bCs/>
          <w:szCs w:val="24"/>
        </w:rPr>
        <w:t>where choices are provided</w:t>
      </w:r>
      <w:r w:rsidRPr="00EB11D3">
        <w:rPr>
          <w:rFonts w:eastAsia="Times New Roman"/>
          <w:b/>
          <w:szCs w:val="24"/>
        </w:rPr>
        <w:t xml:space="preserve"> </w:t>
      </w:r>
    </w:p>
    <w:p w14:paraId="73286F57" w14:textId="77777777" w:rsidR="00C21257" w:rsidRPr="00EB11D3" w:rsidRDefault="00C21257" w:rsidP="005741E2">
      <w:pPr>
        <w:numPr>
          <w:ilvl w:val="0"/>
          <w:numId w:val="2"/>
        </w:numPr>
        <w:spacing w:after="0" w:line="360" w:lineRule="auto"/>
        <w:rPr>
          <w:rFonts w:eastAsia="Times New Roman"/>
          <w:szCs w:val="24"/>
        </w:rPr>
      </w:pPr>
      <w:r w:rsidRPr="00EB11D3">
        <w:rPr>
          <w:rFonts w:eastAsia="Times New Roman"/>
          <w:szCs w:val="24"/>
        </w:rPr>
        <w:t xml:space="preserve">What is your gender?  </w:t>
      </w:r>
    </w:p>
    <w:p w14:paraId="7144467A" w14:textId="77777777" w:rsidR="00C21257" w:rsidRPr="00EB11D3" w:rsidRDefault="00C21257" w:rsidP="00C21257">
      <w:pPr>
        <w:spacing w:after="0" w:line="360" w:lineRule="auto"/>
        <w:rPr>
          <w:rFonts w:eastAsia="Times New Roman"/>
          <w:szCs w:val="24"/>
        </w:rPr>
      </w:pPr>
      <w:r w:rsidRPr="00EB11D3">
        <w:rPr>
          <w:rFonts w:eastAsia="Times New Roman"/>
          <w:szCs w:val="24"/>
        </w:rPr>
        <w:tab/>
        <w:t xml:space="preserve">Male </w:t>
      </w:r>
      <w:r w:rsidRPr="00EB11D3">
        <w:rPr>
          <w:rFonts w:eastAsia="Times New Roman"/>
          <w:szCs w:val="24"/>
        </w:rPr>
        <w:sym w:font="Times New Roman" w:char="F0A3"/>
      </w:r>
      <w:r w:rsidRPr="00EB11D3">
        <w:rPr>
          <w:rFonts w:eastAsia="Times New Roman"/>
          <w:szCs w:val="24"/>
        </w:rPr>
        <w:tab/>
      </w:r>
      <w:r w:rsidRPr="00EB11D3">
        <w:rPr>
          <w:rFonts w:eastAsia="Times New Roman"/>
          <w:szCs w:val="24"/>
        </w:rPr>
        <w:tab/>
        <w:t>Female</w:t>
      </w:r>
      <w:r w:rsidRPr="00EB11D3">
        <w:rPr>
          <w:rFonts w:eastAsia="Times New Roman"/>
          <w:szCs w:val="24"/>
        </w:rPr>
        <w:tab/>
        <w:t xml:space="preserve"> </w:t>
      </w:r>
      <w:r w:rsidRPr="00EB11D3">
        <w:rPr>
          <w:rFonts w:eastAsia="Times New Roman"/>
          <w:szCs w:val="24"/>
        </w:rPr>
        <w:sym w:font="Times New Roman" w:char="F0A3"/>
      </w:r>
      <w:r w:rsidRPr="00EB11D3">
        <w:rPr>
          <w:rFonts w:eastAsia="Times New Roman"/>
          <w:szCs w:val="24"/>
        </w:rPr>
        <w:t xml:space="preserve"> </w:t>
      </w:r>
    </w:p>
    <w:p w14:paraId="6350A97C" w14:textId="77777777" w:rsidR="00C21257" w:rsidRPr="00EB11D3" w:rsidRDefault="00C21257" w:rsidP="005741E2">
      <w:pPr>
        <w:numPr>
          <w:ilvl w:val="0"/>
          <w:numId w:val="2"/>
        </w:numPr>
        <w:spacing w:after="0" w:line="360" w:lineRule="auto"/>
        <w:rPr>
          <w:rFonts w:eastAsia="Times New Roman"/>
          <w:szCs w:val="24"/>
          <w:lang w:val="en-GB"/>
        </w:rPr>
      </w:pPr>
      <w:r w:rsidRPr="00EB11D3">
        <w:rPr>
          <w:rFonts w:eastAsia="Times New Roman"/>
          <w:szCs w:val="24"/>
        </w:rPr>
        <w:t>Kindly</w:t>
      </w:r>
      <w:r w:rsidRPr="00EB11D3">
        <w:rPr>
          <w:rFonts w:eastAsia="Times New Roman"/>
          <w:szCs w:val="24"/>
          <w:lang w:val="en-GB"/>
        </w:rPr>
        <w:t xml:space="preserve"> indicate your age bracket </w:t>
      </w:r>
      <w:r w:rsidRPr="00EB11D3">
        <w:rPr>
          <w:rFonts w:eastAsia="Times New Roman"/>
          <w:szCs w:val="24"/>
        </w:rPr>
        <w:t>by ticking appropriate option</w:t>
      </w:r>
    </w:p>
    <w:p w14:paraId="2882DAEE" w14:textId="77777777" w:rsidR="00C21257" w:rsidRPr="00EB11D3" w:rsidRDefault="00C21257" w:rsidP="00C21257">
      <w:pPr>
        <w:spacing w:after="0" w:line="360" w:lineRule="auto"/>
        <w:ind w:firstLine="720"/>
        <w:rPr>
          <w:rFonts w:eastAsia="Times New Roman"/>
          <w:szCs w:val="24"/>
          <w:lang w:val="en-GB"/>
        </w:rPr>
      </w:pPr>
      <w:r w:rsidRPr="00EB11D3">
        <w:rPr>
          <w:rFonts w:eastAsia="Times New Roman"/>
          <w:szCs w:val="24"/>
          <w:lang w:val="en-GB"/>
        </w:rPr>
        <w:t xml:space="preserve">Less than 30 </w:t>
      </w:r>
      <w:r w:rsidRPr="00EB11D3">
        <w:rPr>
          <w:rFonts w:eastAsia="Times New Roman"/>
          <w:szCs w:val="24"/>
          <w:lang w:val="en-GB"/>
        </w:rPr>
        <w:tab/>
      </w:r>
      <w:r w:rsidRPr="00EB11D3">
        <w:rPr>
          <w:rFonts w:eastAsia="Times New Roman"/>
          <w:szCs w:val="24"/>
          <w:lang w:val="en-GB"/>
        </w:rPr>
        <w:tab/>
        <w:t xml:space="preserve">  </w:t>
      </w:r>
      <w:r w:rsidRPr="00EB11D3">
        <w:rPr>
          <w:rFonts w:eastAsia="Times New Roman"/>
          <w:szCs w:val="24"/>
          <w:lang w:val="en-GB"/>
        </w:rPr>
        <w:tab/>
      </w:r>
      <w:r w:rsidRPr="00EB11D3">
        <w:rPr>
          <w:rFonts w:eastAsia="Times New Roman"/>
          <w:szCs w:val="24"/>
          <w:lang w:val="en-GB"/>
        </w:rPr>
        <w:sym w:font="Times New Roman" w:char="F0A3"/>
      </w:r>
    </w:p>
    <w:p w14:paraId="3F15B0FB" w14:textId="77777777" w:rsidR="00C21257" w:rsidRPr="00EB11D3" w:rsidRDefault="00C21257" w:rsidP="00C21257">
      <w:pPr>
        <w:spacing w:after="0" w:line="360" w:lineRule="auto"/>
        <w:ind w:firstLine="720"/>
        <w:rPr>
          <w:rFonts w:eastAsia="Times New Roman"/>
          <w:szCs w:val="24"/>
        </w:rPr>
      </w:pPr>
      <w:r w:rsidRPr="00EB11D3">
        <w:rPr>
          <w:rFonts w:eastAsia="Times New Roman"/>
          <w:szCs w:val="24"/>
          <w:lang w:val="en-GB"/>
        </w:rPr>
        <w:t xml:space="preserve">Between 31 to 54 years    </w:t>
      </w:r>
      <w:r w:rsidRPr="00EB11D3">
        <w:rPr>
          <w:rFonts w:eastAsia="Times New Roman"/>
          <w:szCs w:val="24"/>
        </w:rPr>
        <w:tab/>
      </w:r>
      <w:r w:rsidRPr="00EB11D3">
        <w:rPr>
          <w:rFonts w:eastAsia="Times New Roman"/>
          <w:szCs w:val="24"/>
        </w:rPr>
        <w:sym w:font="Times New Roman" w:char="F0A3"/>
      </w:r>
      <w:r w:rsidRPr="00EB11D3">
        <w:rPr>
          <w:rFonts w:eastAsia="Times New Roman"/>
          <w:szCs w:val="24"/>
        </w:rPr>
        <w:t xml:space="preserve"> </w:t>
      </w:r>
    </w:p>
    <w:p w14:paraId="3E3362D4" w14:textId="77777777" w:rsidR="00C21257" w:rsidRPr="00EB11D3" w:rsidRDefault="00C21257" w:rsidP="00C21257">
      <w:pPr>
        <w:spacing w:after="0" w:line="360" w:lineRule="auto"/>
        <w:ind w:firstLine="720"/>
        <w:rPr>
          <w:rFonts w:eastAsia="Times New Roman"/>
          <w:szCs w:val="24"/>
          <w:lang w:val="en-GB"/>
        </w:rPr>
      </w:pPr>
      <w:r w:rsidRPr="00EB11D3">
        <w:rPr>
          <w:rFonts w:eastAsia="Times New Roman"/>
          <w:szCs w:val="24"/>
          <w:lang w:val="en-GB"/>
        </w:rPr>
        <w:t xml:space="preserve">More than 55 years       </w:t>
      </w:r>
      <w:r w:rsidRPr="00EB11D3">
        <w:rPr>
          <w:rFonts w:eastAsia="Times New Roman"/>
          <w:szCs w:val="24"/>
          <w:lang w:val="en-GB"/>
        </w:rPr>
        <w:tab/>
      </w:r>
      <w:r w:rsidRPr="00EB11D3">
        <w:rPr>
          <w:rFonts w:eastAsia="Times New Roman"/>
          <w:szCs w:val="24"/>
          <w:lang w:val="en-GB"/>
        </w:rPr>
        <w:sym w:font="Times New Roman" w:char="F0A3"/>
      </w:r>
    </w:p>
    <w:p w14:paraId="54632A18" w14:textId="77777777" w:rsidR="00C21257" w:rsidRPr="00EB11D3" w:rsidRDefault="00C21257" w:rsidP="005741E2">
      <w:pPr>
        <w:numPr>
          <w:ilvl w:val="0"/>
          <w:numId w:val="2"/>
        </w:numPr>
        <w:spacing w:after="0" w:line="360" w:lineRule="auto"/>
        <w:rPr>
          <w:rFonts w:eastAsia="Times New Roman"/>
          <w:szCs w:val="24"/>
        </w:rPr>
      </w:pPr>
      <w:r w:rsidRPr="00EB11D3">
        <w:rPr>
          <w:rFonts w:eastAsia="Times New Roman"/>
          <w:szCs w:val="24"/>
        </w:rPr>
        <w:t xml:space="preserve">What is your highest education level? (Please tick the appropriate option)                 </w:t>
      </w:r>
    </w:p>
    <w:p w14:paraId="7B52B4B4" w14:textId="77777777" w:rsidR="00C21257" w:rsidRPr="00EB11D3" w:rsidRDefault="00C21257" w:rsidP="00C21257">
      <w:pPr>
        <w:spacing w:after="0" w:line="360" w:lineRule="auto"/>
        <w:rPr>
          <w:rFonts w:eastAsia="Times New Roman"/>
          <w:szCs w:val="24"/>
        </w:rPr>
      </w:pPr>
      <w:r w:rsidRPr="00EB11D3">
        <w:rPr>
          <w:rFonts w:eastAsia="Times New Roman"/>
          <w:szCs w:val="24"/>
        </w:rPr>
        <w:tab/>
        <w:t>Bachelor’s Degree</w:t>
      </w:r>
      <w:r w:rsidRPr="00EB11D3">
        <w:rPr>
          <w:rFonts w:eastAsia="Times New Roman"/>
          <w:szCs w:val="24"/>
        </w:rPr>
        <w:tab/>
      </w:r>
      <w:r w:rsidRPr="00EB11D3">
        <w:rPr>
          <w:rFonts w:eastAsia="Times New Roman"/>
          <w:szCs w:val="24"/>
        </w:rPr>
        <w:tab/>
      </w:r>
      <w:r w:rsidRPr="00EB11D3">
        <w:rPr>
          <w:rFonts w:eastAsia="Times New Roman"/>
          <w:szCs w:val="24"/>
        </w:rPr>
        <w:sym w:font="Times New Roman" w:char="F0A3"/>
      </w:r>
    </w:p>
    <w:p w14:paraId="2EEB635D" w14:textId="77777777" w:rsidR="00C21257" w:rsidRPr="00EB11D3" w:rsidRDefault="00C21257" w:rsidP="00C21257">
      <w:pPr>
        <w:spacing w:after="0" w:line="360" w:lineRule="auto"/>
        <w:ind w:firstLine="720"/>
        <w:rPr>
          <w:rFonts w:eastAsia="Times New Roman"/>
          <w:szCs w:val="24"/>
        </w:rPr>
      </w:pPr>
      <w:r w:rsidRPr="00EB11D3">
        <w:rPr>
          <w:rFonts w:eastAsia="Times New Roman"/>
          <w:szCs w:val="24"/>
        </w:rPr>
        <w:t>Master’s Degree</w:t>
      </w:r>
      <w:r w:rsidRPr="00EB11D3">
        <w:rPr>
          <w:rFonts w:eastAsia="Times New Roman"/>
          <w:szCs w:val="24"/>
        </w:rPr>
        <w:tab/>
      </w:r>
      <w:r w:rsidRPr="00EB11D3">
        <w:rPr>
          <w:rFonts w:eastAsia="Times New Roman"/>
          <w:szCs w:val="24"/>
        </w:rPr>
        <w:tab/>
      </w:r>
      <w:r w:rsidRPr="00EB11D3">
        <w:rPr>
          <w:rFonts w:eastAsia="Times New Roman"/>
          <w:szCs w:val="24"/>
        </w:rPr>
        <w:sym w:font="Times New Roman" w:char="F0A3"/>
      </w:r>
    </w:p>
    <w:p w14:paraId="174FB7EF" w14:textId="77777777" w:rsidR="00C21257" w:rsidRPr="00EB11D3" w:rsidRDefault="00C21257" w:rsidP="00C21257">
      <w:pPr>
        <w:spacing w:after="0" w:line="360" w:lineRule="auto"/>
        <w:ind w:firstLine="720"/>
        <w:rPr>
          <w:rFonts w:eastAsia="Times New Roman"/>
          <w:szCs w:val="24"/>
        </w:rPr>
      </w:pPr>
      <w:r w:rsidRPr="00EB11D3">
        <w:rPr>
          <w:rFonts w:eastAsia="Times New Roman"/>
          <w:szCs w:val="24"/>
        </w:rPr>
        <w:t>Doctorate or PhD</w:t>
      </w:r>
      <w:r w:rsidRPr="00EB11D3">
        <w:rPr>
          <w:rFonts w:eastAsia="Times New Roman"/>
          <w:szCs w:val="24"/>
        </w:rPr>
        <w:tab/>
      </w:r>
      <w:r w:rsidRPr="00EB11D3">
        <w:rPr>
          <w:rFonts w:eastAsia="Times New Roman"/>
          <w:szCs w:val="24"/>
        </w:rPr>
        <w:tab/>
      </w:r>
      <w:r w:rsidRPr="00EB11D3">
        <w:rPr>
          <w:rFonts w:eastAsia="Times New Roman"/>
          <w:szCs w:val="24"/>
        </w:rPr>
        <w:sym w:font="Times New Roman" w:char="F0A3"/>
      </w:r>
    </w:p>
    <w:p w14:paraId="68501ACC" w14:textId="77777777" w:rsidR="00C21257" w:rsidRPr="00EB11D3" w:rsidRDefault="00C21257" w:rsidP="00C21257">
      <w:pPr>
        <w:spacing w:after="0" w:line="360" w:lineRule="auto"/>
        <w:ind w:firstLine="720"/>
        <w:rPr>
          <w:rFonts w:eastAsia="Times New Roman"/>
          <w:szCs w:val="24"/>
        </w:rPr>
      </w:pPr>
      <w:r w:rsidRPr="00EB11D3">
        <w:rPr>
          <w:rFonts w:eastAsia="Times New Roman"/>
          <w:szCs w:val="24"/>
        </w:rPr>
        <w:t>Others…………………….…...</w:t>
      </w:r>
    </w:p>
    <w:p w14:paraId="6420EF2E" w14:textId="77777777" w:rsidR="00C21257" w:rsidRPr="00EB11D3" w:rsidRDefault="00C21257" w:rsidP="005741E2">
      <w:pPr>
        <w:numPr>
          <w:ilvl w:val="0"/>
          <w:numId w:val="2"/>
        </w:numPr>
        <w:spacing w:after="0" w:line="360" w:lineRule="auto"/>
        <w:rPr>
          <w:rFonts w:eastAsia="Times New Roman"/>
          <w:szCs w:val="24"/>
        </w:rPr>
      </w:pPr>
      <w:r w:rsidRPr="00EB11D3">
        <w:rPr>
          <w:rFonts w:eastAsia="Times New Roman"/>
          <w:szCs w:val="24"/>
        </w:rPr>
        <w:t>How many years have you work for this organisation?..........................................</w:t>
      </w:r>
    </w:p>
    <w:p w14:paraId="5E84A734" w14:textId="77777777" w:rsidR="00C21257" w:rsidRPr="00EB11D3" w:rsidRDefault="00C21257" w:rsidP="00C21257">
      <w:pPr>
        <w:spacing w:after="0" w:line="360" w:lineRule="auto"/>
        <w:ind w:firstLine="720"/>
        <w:rPr>
          <w:rFonts w:eastAsia="Times New Roman"/>
          <w:szCs w:val="24"/>
        </w:rPr>
      </w:pPr>
      <w:r w:rsidRPr="00EB11D3">
        <w:rPr>
          <w:rFonts w:eastAsia="Times New Roman"/>
          <w:szCs w:val="24"/>
        </w:rPr>
        <w:t>Less than 1 year</w:t>
      </w:r>
      <w:r w:rsidRPr="00EB11D3">
        <w:rPr>
          <w:rFonts w:eastAsia="Times New Roman"/>
          <w:szCs w:val="24"/>
        </w:rPr>
        <w:tab/>
      </w:r>
      <w:r w:rsidRPr="00EB11D3">
        <w:rPr>
          <w:rFonts w:eastAsia="Times New Roman"/>
          <w:szCs w:val="24"/>
        </w:rPr>
        <w:tab/>
      </w:r>
      <w:r w:rsidRPr="00EB11D3">
        <w:rPr>
          <w:rFonts w:eastAsia="Times New Roman"/>
          <w:szCs w:val="24"/>
        </w:rPr>
        <w:tab/>
      </w:r>
      <w:r w:rsidRPr="00EB11D3">
        <w:rPr>
          <w:rFonts w:eastAsia="Times New Roman"/>
          <w:szCs w:val="24"/>
        </w:rPr>
        <w:sym w:font="Times New Roman" w:char="F0A3"/>
      </w:r>
      <w:r w:rsidRPr="00EB11D3">
        <w:rPr>
          <w:rFonts w:eastAsia="Times New Roman"/>
          <w:szCs w:val="24"/>
        </w:rPr>
        <w:t xml:space="preserve">                       </w:t>
      </w:r>
    </w:p>
    <w:p w14:paraId="220F5A85" w14:textId="77777777" w:rsidR="00C21257" w:rsidRPr="00EB11D3" w:rsidRDefault="00C21257" w:rsidP="00C21257">
      <w:pPr>
        <w:spacing w:after="0" w:line="360" w:lineRule="auto"/>
        <w:ind w:firstLine="720"/>
        <w:rPr>
          <w:rFonts w:eastAsia="Times New Roman"/>
          <w:szCs w:val="24"/>
        </w:rPr>
      </w:pPr>
      <w:r w:rsidRPr="00EB11D3">
        <w:rPr>
          <w:rFonts w:eastAsia="Times New Roman"/>
          <w:szCs w:val="24"/>
        </w:rPr>
        <w:t>Between 1 and 5 years</w:t>
      </w:r>
      <w:r w:rsidRPr="00EB11D3">
        <w:rPr>
          <w:rFonts w:eastAsia="Times New Roman"/>
          <w:szCs w:val="24"/>
        </w:rPr>
        <w:tab/>
      </w:r>
      <w:r w:rsidRPr="00EB11D3">
        <w:rPr>
          <w:rFonts w:eastAsia="Times New Roman"/>
          <w:szCs w:val="24"/>
        </w:rPr>
        <w:tab/>
      </w:r>
      <w:r w:rsidRPr="00EB11D3">
        <w:rPr>
          <w:rFonts w:eastAsia="Times New Roman"/>
          <w:szCs w:val="24"/>
        </w:rPr>
        <w:sym w:font="Times New Roman" w:char="F0A3"/>
      </w:r>
      <w:r w:rsidRPr="00EB11D3">
        <w:rPr>
          <w:rFonts w:eastAsia="Times New Roman"/>
          <w:szCs w:val="24"/>
        </w:rPr>
        <w:t xml:space="preserve">             </w:t>
      </w:r>
    </w:p>
    <w:p w14:paraId="421077FC" w14:textId="77777777" w:rsidR="00C21257" w:rsidRPr="00EB11D3" w:rsidRDefault="00C21257" w:rsidP="00C21257">
      <w:pPr>
        <w:spacing w:after="0" w:line="360" w:lineRule="auto"/>
        <w:ind w:firstLine="720"/>
        <w:rPr>
          <w:rFonts w:eastAsia="Times New Roman"/>
          <w:szCs w:val="24"/>
        </w:rPr>
      </w:pPr>
      <w:r w:rsidRPr="00EB11D3">
        <w:rPr>
          <w:rFonts w:eastAsia="Times New Roman"/>
          <w:szCs w:val="24"/>
        </w:rPr>
        <w:t>More than 5 years to 10 years</w:t>
      </w:r>
      <w:r w:rsidRPr="00EB11D3">
        <w:rPr>
          <w:rFonts w:eastAsia="Times New Roman"/>
          <w:szCs w:val="24"/>
        </w:rPr>
        <w:tab/>
      </w:r>
      <w:r w:rsidRPr="00EB11D3">
        <w:rPr>
          <w:rFonts w:eastAsia="Times New Roman"/>
          <w:szCs w:val="24"/>
        </w:rPr>
        <w:tab/>
      </w:r>
      <w:r w:rsidRPr="00EB11D3">
        <w:rPr>
          <w:rFonts w:eastAsia="Times New Roman"/>
          <w:szCs w:val="24"/>
        </w:rPr>
        <w:sym w:font="Times New Roman" w:char="F0A3"/>
      </w:r>
      <w:r w:rsidRPr="00EB11D3">
        <w:rPr>
          <w:rFonts w:eastAsia="Times New Roman"/>
          <w:szCs w:val="24"/>
        </w:rPr>
        <w:t xml:space="preserve">  </w:t>
      </w:r>
    </w:p>
    <w:p w14:paraId="0CD7C5F5" w14:textId="77777777" w:rsidR="00C21257" w:rsidRPr="00EB11D3" w:rsidRDefault="00C21257" w:rsidP="00C21257">
      <w:pPr>
        <w:spacing w:after="0" w:line="360" w:lineRule="auto"/>
        <w:ind w:firstLine="720"/>
        <w:rPr>
          <w:rFonts w:eastAsia="Times New Roman"/>
          <w:szCs w:val="24"/>
        </w:rPr>
      </w:pPr>
      <w:r w:rsidRPr="00EB11D3">
        <w:rPr>
          <w:rFonts w:eastAsia="Times New Roman"/>
          <w:szCs w:val="24"/>
        </w:rPr>
        <w:t>More than 10 years</w:t>
      </w:r>
      <w:r w:rsidRPr="00EB11D3">
        <w:rPr>
          <w:rFonts w:eastAsia="Times New Roman"/>
          <w:szCs w:val="24"/>
        </w:rPr>
        <w:tab/>
      </w:r>
      <w:r w:rsidRPr="00EB11D3">
        <w:rPr>
          <w:rFonts w:eastAsia="Times New Roman"/>
          <w:szCs w:val="24"/>
        </w:rPr>
        <w:tab/>
      </w:r>
      <w:r w:rsidRPr="00EB11D3">
        <w:rPr>
          <w:rFonts w:eastAsia="Times New Roman"/>
          <w:szCs w:val="24"/>
        </w:rPr>
        <w:tab/>
      </w:r>
      <w:r w:rsidRPr="00EB11D3">
        <w:rPr>
          <w:rFonts w:eastAsia="Times New Roman"/>
          <w:szCs w:val="24"/>
        </w:rPr>
        <w:sym w:font="Times New Roman" w:char="F0A3"/>
      </w:r>
      <w:r w:rsidRPr="00EB11D3">
        <w:rPr>
          <w:rFonts w:eastAsia="Times New Roman"/>
          <w:szCs w:val="24"/>
        </w:rPr>
        <w:t xml:space="preserve">                  </w:t>
      </w:r>
    </w:p>
    <w:p w14:paraId="4CD1FF73" w14:textId="77777777" w:rsidR="00C21257" w:rsidRPr="00EB11D3" w:rsidRDefault="00C21257" w:rsidP="00C21257">
      <w:pPr>
        <w:spacing w:after="0" w:line="360" w:lineRule="auto"/>
        <w:rPr>
          <w:rFonts w:eastAsia="Times New Roman"/>
          <w:b/>
          <w:szCs w:val="24"/>
        </w:rPr>
      </w:pPr>
      <w:r w:rsidRPr="00EB11D3">
        <w:rPr>
          <w:rFonts w:eastAsia="Times New Roman"/>
          <w:b/>
          <w:szCs w:val="24"/>
        </w:rPr>
        <w:t>SECTION B: CORPORATE GOVERNANCE PRACTICES</w:t>
      </w:r>
    </w:p>
    <w:p w14:paraId="2F41C881" w14:textId="77777777" w:rsidR="00D73D79" w:rsidRPr="00EB11D3" w:rsidRDefault="00D73D79" w:rsidP="00C21257">
      <w:pPr>
        <w:spacing w:after="0" w:line="360" w:lineRule="auto"/>
        <w:rPr>
          <w:rFonts w:eastAsia="Times New Roman"/>
          <w:szCs w:val="24"/>
        </w:rPr>
      </w:pPr>
    </w:p>
    <w:p w14:paraId="09B5BBA8" w14:textId="77777777" w:rsidR="00C21257" w:rsidRPr="00EB11D3" w:rsidRDefault="00C21257" w:rsidP="005741E2">
      <w:pPr>
        <w:numPr>
          <w:ilvl w:val="0"/>
          <w:numId w:val="2"/>
        </w:numPr>
        <w:spacing w:after="0" w:line="360" w:lineRule="auto"/>
        <w:rPr>
          <w:rFonts w:eastAsia="Times New Roman"/>
          <w:szCs w:val="24"/>
        </w:rPr>
      </w:pPr>
      <w:r w:rsidRPr="00EB11D3">
        <w:rPr>
          <w:rFonts w:eastAsia="Times New Roman"/>
          <w:szCs w:val="24"/>
        </w:rPr>
        <w:t xml:space="preserve">Using a scale of 1 to 5 tick the appropriate answer from the alternatives provided for each of the questions </w:t>
      </w:r>
    </w:p>
    <w:p w14:paraId="1BECD7C0" w14:textId="77777777" w:rsidR="00C21257" w:rsidRPr="00EB11D3" w:rsidRDefault="00C21257" w:rsidP="00D42354">
      <w:pPr>
        <w:spacing w:after="0" w:line="360" w:lineRule="auto"/>
        <w:ind w:firstLine="720"/>
        <w:rPr>
          <w:rFonts w:eastAsia="Times New Roman"/>
          <w:szCs w:val="24"/>
        </w:rPr>
      </w:pPr>
      <w:r w:rsidRPr="00EB11D3">
        <w:rPr>
          <w:rFonts w:eastAsia="Times New Roman"/>
          <w:b/>
          <w:bCs/>
          <w:szCs w:val="24"/>
        </w:rPr>
        <w:t>(1=Strongly Disagree, 2=Agree, 3=Neutral, 4 =Disagree, 5=Strongly Agree)</w:t>
      </w:r>
    </w:p>
    <w:tbl>
      <w:tblPr>
        <w:tblW w:w="5000" w:type="pct"/>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shd w:val="clear" w:color="auto" w:fill="FFFFFF"/>
        <w:tblLook w:val="04A0" w:firstRow="1" w:lastRow="0" w:firstColumn="1" w:lastColumn="0" w:noHBand="0" w:noVBand="1"/>
      </w:tblPr>
      <w:tblGrid>
        <w:gridCol w:w="436"/>
        <w:gridCol w:w="6895"/>
        <w:gridCol w:w="385"/>
        <w:gridCol w:w="385"/>
        <w:gridCol w:w="385"/>
        <w:gridCol w:w="387"/>
        <w:gridCol w:w="477"/>
      </w:tblGrid>
      <w:tr w:rsidR="0039483D" w:rsidRPr="00EB11D3" w14:paraId="18BE6D0A" w14:textId="77777777" w:rsidTr="00D42354">
        <w:trPr>
          <w:trHeight w:val="263"/>
        </w:trPr>
        <w:tc>
          <w:tcPr>
            <w:tcW w:w="233" w:type="pct"/>
            <w:tcBorders>
              <w:top w:val="single" w:sz="4" w:space="0" w:color="000000"/>
              <w:left w:val="single" w:sz="4" w:space="0" w:color="000000"/>
              <w:bottom w:val="single" w:sz="4" w:space="0" w:color="000000"/>
              <w:right w:val="nil"/>
            </w:tcBorders>
            <w:shd w:val="clear" w:color="auto" w:fill="FFFFFF"/>
            <w:hideMark/>
          </w:tcPr>
          <w:p w14:paraId="681DB1AC"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 </w:t>
            </w:r>
          </w:p>
        </w:tc>
        <w:tc>
          <w:tcPr>
            <w:tcW w:w="3687" w:type="pct"/>
            <w:tcBorders>
              <w:top w:val="single" w:sz="4" w:space="0" w:color="000000"/>
              <w:left w:val="nil"/>
              <w:bottom w:val="single" w:sz="4" w:space="0" w:color="000000"/>
              <w:right w:val="nil"/>
            </w:tcBorders>
            <w:shd w:val="clear" w:color="auto" w:fill="FFFFFF"/>
            <w:hideMark/>
          </w:tcPr>
          <w:p w14:paraId="5635F3EB"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Statement</w:t>
            </w:r>
          </w:p>
        </w:tc>
        <w:tc>
          <w:tcPr>
            <w:tcW w:w="206" w:type="pct"/>
            <w:tcBorders>
              <w:top w:val="single" w:sz="4" w:space="0" w:color="000000"/>
              <w:left w:val="nil"/>
              <w:bottom w:val="single" w:sz="4" w:space="0" w:color="000000"/>
              <w:right w:val="nil"/>
            </w:tcBorders>
            <w:shd w:val="clear" w:color="auto" w:fill="FFFFFF"/>
            <w:hideMark/>
          </w:tcPr>
          <w:p w14:paraId="6EDB4F71"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1</w:t>
            </w:r>
          </w:p>
        </w:tc>
        <w:tc>
          <w:tcPr>
            <w:tcW w:w="206" w:type="pct"/>
            <w:tcBorders>
              <w:top w:val="single" w:sz="4" w:space="0" w:color="000000"/>
              <w:left w:val="nil"/>
              <w:bottom w:val="single" w:sz="4" w:space="0" w:color="000000"/>
              <w:right w:val="nil"/>
            </w:tcBorders>
            <w:shd w:val="clear" w:color="auto" w:fill="FFFFFF"/>
            <w:hideMark/>
          </w:tcPr>
          <w:p w14:paraId="6E83906B"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2</w:t>
            </w:r>
          </w:p>
        </w:tc>
        <w:tc>
          <w:tcPr>
            <w:tcW w:w="206" w:type="pct"/>
            <w:tcBorders>
              <w:top w:val="single" w:sz="4" w:space="0" w:color="000000"/>
              <w:left w:val="nil"/>
              <w:bottom w:val="single" w:sz="4" w:space="0" w:color="000000"/>
              <w:right w:val="nil"/>
            </w:tcBorders>
            <w:shd w:val="clear" w:color="auto" w:fill="FFFFFF"/>
            <w:hideMark/>
          </w:tcPr>
          <w:p w14:paraId="48484824"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3</w:t>
            </w:r>
          </w:p>
        </w:tc>
        <w:tc>
          <w:tcPr>
            <w:tcW w:w="207" w:type="pct"/>
            <w:tcBorders>
              <w:top w:val="single" w:sz="4" w:space="0" w:color="000000"/>
              <w:left w:val="nil"/>
              <w:bottom w:val="single" w:sz="4" w:space="0" w:color="000000"/>
              <w:right w:val="nil"/>
            </w:tcBorders>
            <w:shd w:val="clear" w:color="auto" w:fill="FFFFFF"/>
            <w:hideMark/>
          </w:tcPr>
          <w:p w14:paraId="18045CE1"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4</w:t>
            </w:r>
          </w:p>
        </w:tc>
        <w:tc>
          <w:tcPr>
            <w:tcW w:w="255" w:type="pct"/>
            <w:tcBorders>
              <w:top w:val="single" w:sz="4" w:space="0" w:color="000000"/>
              <w:left w:val="nil"/>
              <w:bottom w:val="single" w:sz="4" w:space="0" w:color="000000"/>
              <w:right w:val="single" w:sz="4" w:space="0" w:color="000000"/>
            </w:tcBorders>
            <w:shd w:val="clear" w:color="auto" w:fill="FFFFFF"/>
            <w:hideMark/>
          </w:tcPr>
          <w:p w14:paraId="7A6BE85F"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5</w:t>
            </w:r>
          </w:p>
        </w:tc>
      </w:tr>
      <w:tr w:rsidR="0039483D" w:rsidRPr="00EB11D3" w14:paraId="42D9BF52"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5C69DB18"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 </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640705FA" w14:textId="77777777" w:rsidR="00C21257" w:rsidRPr="00EB11D3" w:rsidRDefault="00C21257" w:rsidP="00052AD2">
            <w:pPr>
              <w:spacing w:after="0" w:line="240" w:lineRule="auto"/>
              <w:rPr>
                <w:rFonts w:eastAsia="Times New Roman"/>
                <w:b/>
                <w:szCs w:val="24"/>
              </w:rPr>
            </w:pPr>
            <w:r w:rsidRPr="00EB11D3">
              <w:rPr>
                <w:rFonts w:eastAsia="Times New Roman"/>
                <w:b/>
                <w:szCs w:val="24"/>
              </w:rPr>
              <w:t xml:space="preserve">Transparency </w:t>
            </w:r>
          </w:p>
        </w:tc>
        <w:tc>
          <w:tcPr>
            <w:tcW w:w="206" w:type="pct"/>
            <w:tcBorders>
              <w:top w:val="single" w:sz="4" w:space="0" w:color="666666"/>
              <w:left w:val="single" w:sz="4" w:space="0" w:color="666666"/>
              <w:bottom w:val="single" w:sz="4" w:space="0" w:color="666666"/>
              <w:right w:val="single" w:sz="4" w:space="0" w:color="666666"/>
            </w:tcBorders>
            <w:shd w:val="clear" w:color="auto" w:fill="FFFFFF"/>
            <w:hideMark/>
          </w:tcPr>
          <w:p w14:paraId="7C7D34FD"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206" w:type="pct"/>
            <w:tcBorders>
              <w:top w:val="single" w:sz="4" w:space="0" w:color="666666"/>
              <w:left w:val="single" w:sz="4" w:space="0" w:color="666666"/>
              <w:bottom w:val="single" w:sz="4" w:space="0" w:color="666666"/>
              <w:right w:val="single" w:sz="4" w:space="0" w:color="666666"/>
            </w:tcBorders>
            <w:shd w:val="clear" w:color="auto" w:fill="FFFFFF"/>
            <w:hideMark/>
          </w:tcPr>
          <w:p w14:paraId="6A66C0B3"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206" w:type="pct"/>
            <w:tcBorders>
              <w:top w:val="single" w:sz="4" w:space="0" w:color="666666"/>
              <w:left w:val="single" w:sz="4" w:space="0" w:color="666666"/>
              <w:bottom w:val="single" w:sz="4" w:space="0" w:color="666666"/>
              <w:right w:val="single" w:sz="4" w:space="0" w:color="666666"/>
            </w:tcBorders>
            <w:shd w:val="clear" w:color="auto" w:fill="FFFFFF"/>
            <w:hideMark/>
          </w:tcPr>
          <w:p w14:paraId="02FB775C"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207" w:type="pct"/>
            <w:tcBorders>
              <w:top w:val="single" w:sz="4" w:space="0" w:color="666666"/>
              <w:left w:val="single" w:sz="4" w:space="0" w:color="666666"/>
              <w:bottom w:val="single" w:sz="4" w:space="0" w:color="666666"/>
              <w:right w:val="single" w:sz="4" w:space="0" w:color="666666"/>
            </w:tcBorders>
            <w:shd w:val="clear" w:color="auto" w:fill="FFFFFF"/>
            <w:hideMark/>
          </w:tcPr>
          <w:p w14:paraId="041EC038"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255" w:type="pct"/>
            <w:tcBorders>
              <w:top w:val="single" w:sz="4" w:space="0" w:color="666666"/>
              <w:left w:val="single" w:sz="4" w:space="0" w:color="666666"/>
              <w:bottom w:val="single" w:sz="4" w:space="0" w:color="666666"/>
              <w:right w:val="single" w:sz="4" w:space="0" w:color="666666"/>
            </w:tcBorders>
            <w:shd w:val="clear" w:color="auto" w:fill="FFFFFF"/>
            <w:hideMark/>
          </w:tcPr>
          <w:p w14:paraId="2AC0D5E0"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r>
      <w:tr w:rsidR="0039483D" w:rsidRPr="00EB11D3" w14:paraId="02BAC736"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368D93E4" w14:textId="77777777" w:rsidR="00C21257" w:rsidRPr="00EB11D3" w:rsidRDefault="00C21257" w:rsidP="00052AD2">
            <w:pPr>
              <w:spacing w:after="0" w:line="240" w:lineRule="auto"/>
              <w:rPr>
                <w:rFonts w:eastAsia="Times New Roman"/>
                <w:szCs w:val="24"/>
              </w:rPr>
            </w:pPr>
            <w:r w:rsidRPr="00EB11D3">
              <w:rPr>
                <w:rFonts w:eastAsia="Times New Roman"/>
                <w:szCs w:val="24"/>
              </w:rPr>
              <w:t>1</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706F6944" w14:textId="77777777" w:rsidR="00C21257" w:rsidRPr="00EB11D3" w:rsidRDefault="00C21257" w:rsidP="00052AD2">
            <w:pPr>
              <w:spacing w:after="0" w:line="240" w:lineRule="auto"/>
              <w:rPr>
                <w:rFonts w:eastAsia="Times New Roman"/>
                <w:szCs w:val="24"/>
              </w:rPr>
            </w:pPr>
            <w:r w:rsidRPr="00EB11D3">
              <w:rPr>
                <w:rFonts w:eastAsia="Times New Roman"/>
                <w:szCs w:val="24"/>
              </w:rPr>
              <w:t>Board operations are conducted in a transparent manner</w:t>
            </w:r>
          </w:p>
        </w:tc>
        <w:tc>
          <w:tcPr>
            <w:tcW w:w="206" w:type="pct"/>
            <w:tcBorders>
              <w:top w:val="single" w:sz="4" w:space="0" w:color="666666"/>
              <w:left w:val="single" w:sz="4" w:space="0" w:color="666666"/>
              <w:bottom w:val="single" w:sz="4" w:space="0" w:color="666666"/>
              <w:right w:val="single" w:sz="4" w:space="0" w:color="666666"/>
            </w:tcBorders>
            <w:shd w:val="clear" w:color="auto" w:fill="FFFFFF"/>
            <w:hideMark/>
          </w:tcPr>
          <w:p w14:paraId="7D2654EE"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206" w:type="pct"/>
            <w:tcBorders>
              <w:top w:val="single" w:sz="4" w:space="0" w:color="666666"/>
              <w:left w:val="single" w:sz="4" w:space="0" w:color="666666"/>
              <w:bottom w:val="single" w:sz="4" w:space="0" w:color="666666"/>
              <w:right w:val="single" w:sz="4" w:space="0" w:color="666666"/>
            </w:tcBorders>
            <w:shd w:val="clear" w:color="auto" w:fill="FFFFFF"/>
            <w:hideMark/>
          </w:tcPr>
          <w:p w14:paraId="429518A2"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206" w:type="pct"/>
            <w:tcBorders>
              <w:top w:val="single" w:sz="4" w:space="0" w:color="666666"/>
              <w:left w:val="single" w:sz="4" w:space="0" w:color="666666"/>
              <w:bottom w:val="single" w:sz="4" w:space="0" w:color="666666"/>
              <w:right w:val="single" w:sz="4" w:space="0" w:color="666666"/>
            </w:tcBorders>
            <w:shd w:val="clear" w:color="auto" w:fill="FFFFFF"/>
            <w:hideMark/>
          </w:tcPr>
          <w:p w14:paraId="6CDEE786"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207" w:type="pct"/>
            <w:tcBorders>
              <w:top w:val="single" w:sz="4" w:space="0" w:color="666666"/>
              <w:left w:val="single" w:sz="4" w:space="0" w:color="666666"/>
              <w:bottom w:val="single" w:sz="4" w:space="0" w:color="666666"/>
              <w:right w:val="single" w:sz="4" w:space="0" w:color="666666"/>
            </w:tcBorders>
            <w:shd w:val="clear" w:color="auto" w:fill="FFFFFF"/>
            <w:hideMark/>
          </w:tcPr>
          <w:p w14:paraId="3E64F65E"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255" w:type="pct"/>
            <w:tcBorders>
              <w:top w:val="single" w:sz="4" w:space="0" w:color="666666"/>
              <w:left w:val="single" w:sz="4" w:space="0" w:color="666666"/>
              <w:bottom w:val="single" w:sz="4" w:space="0" w:color="666666"/>
              <w:right w:val="single" w:sz="4" w:space="0" w:color="666666"/>
            </w:tcBorders>
            <w:shd w:val="clear" w:color="auto" w:fill="FFFFFF"/>
            <w:hideMark/>
          </w:tcPr>
          <w:p w14:paraId="424C4333"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r>
      <w:tr w:rsidR="0039483D" w:rsidRPr="00EB11D3" w14:paraId="2F4CD908" w14:textId="77777777" w:rsidTr="00D42354">
        <w:trPr>
          <w:trHeight w:val="576"/>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52790143" w14:textId="77777777" w:rsidR="00C21257" w:rsidRPr="00EB11D3" w:rsidRDefault="00C21257" w:rsidP="00052AD2">
            <w:pPr>
              <w:spacing w:after="0" w:line="240" w:lineRule="auto"/>
              <w:rPr>
                <w:rFonts w:eastAsia="Times New Roman"/>
                <w:szCs w:val="24"/>
              </w:rPr>
            </w:pPr>
            <w:r w:rsidRPr="00EB11D3">
              <w:rPr>
                <w:rFonts w:eastAsia="Times New Roman"/>
                <w:szCs w:val="24"/>
              </w:rPr>
              <w:t>2</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07324C59" w14:textId="77777777" w:rsidR="00C21257" w:rsidRPr="00EB11D3" w:rsidRDefault="00C21257" w:rsidP="00052AD2">
            <w:pPr>
              <w:spacing w:after="0" w:line="240" w:lineRule="auto"/>
              <w:rPr>
                <w:rFonts w:eastAsia="Times New Roman"/>
                <w:szCs w:val="24"/>
              </w:rPr>
            </w:pPr>
            <w:r w:rsidRPr="00EB11D3">
              <w:rPr>
                <w:rFonts w:eastAsia="Times New Roman"/>
                <w:szCs w:val="24"/>
              </w:rPr>
              <w:t>Board guidelines on corporate governance are published in the hospital proxy statement</w:t>
            </w:r>
          </w:p>
        </w:tc>
        <w:tc>
          <w:tcPr>
            <w:tcW w:w="206" w:type="pct"/>
            <w:tcBorders>
              <w:top w:val="single" w:sz="4" w:space="0" w:color="666666"/>
              <w:left w:val="single" w:sz="4" w:space="0" w:color="666666"/>
              <w:bottom w:val="single" w:sz="4" w:space="0" w:color="666666"/>
              <w:right w:val="single" w:sz="4" w:space="0" w:color="666666"/>
            </w:tcBorders>
            <w:shd w:val="clear" w:color="auto" w:fill="FFFFFF"/>
            <w:hideMark/>
          </w:tcPr>
          <w:p w14:paraId="2FA7B71E"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206" w:type="pct"/>
            <w:tcBorders>
              <w:top w:val="single" w:sz="4" w:space="0" w:color="666666"/>
              <w:left w:val="single" w:sz="4" w:space="0" w:color="666666"/>
              <w:bottom w:val="single" w:sz="4" w:space="0" w:color="666666"/>
              <w:right w:val="single" w:sz="4" w:space="0" w:color="666666"/>
            </w:tcBorders>
            <w:shd w:val="clear" w:color="auto" w:fill="FFFFFF"/>
            <w:hideMark/>
          </w:tcPr>
          <w:p w14:paraId="5028C9FF"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206" w:type="pct"/>
            <w:tcBorders>
              <w:top w:val="single" w:sz="4" w:space="0" w:color="666666"/>
              <w:left w:val="single" w:sz="4" w:space="0" w:color="666666"/>
              <w:bottom w:val="single" w:sz="4" w:space="0" w:color="666666"/>
              <w:right w:val="single" w:sz="4" w:space="0" w:color="666666"/>
            </w:tcBorders>
            <w:shd w:val="clear" w:color="auto" w:fill="FFFFFF"/>
            <w:hideMark/>
          </w:tcPr>
          <w:p w14:paraId="47DA1C25"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207" w:type="pct"/>
            <w:tcBorders>
              <w:top w:val="single" w:sz="4" w:space="0" w:color="666666"/>
              <w:left w:val="single" w:sz="4" w:space="0" w:color="666666"/>
              <w:bottom w:val="single" w:sz="4" w:space="0" w:color="666666"/>
              <w:right w:val="single" w:sz="4" w:space="0" w:color="666666"/>
            </w:tcBorders>
            <w:shd w:val="clear" w:color="auto" w:fill="FFFFFF"/>
            <w:hideMark/>
          </w:tcPr>
          <w:p w14:paraId="15768F7C"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255" w:type="pct"/>
            <w:tcBorders>
              <w:top w:val="single" w:sz="4" w:space="0" w:color="666666"/>
              <w:left w:val="single" w:sz="4" w:space="0" w:color="666666"/>
              <w:bottom w:val="single" w:sz="4" w:space="0" w:color="666666"/>
              <w:right w:val="single" w:sz="4" w:space="0" w:color="666666"/>
            </w:tcBorders>
            <w:shd w:val="clear" w:color="auto" w:fill="FFFFFF"/>
            <w:hideMark/>
          </w:tcPr>
          <w:p w14:paraId="006B4BF0"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r>
      <w:tr w:rsidR="0039483D" w:rsidRPr="00EB11D3" w14:paraId="145D849E" w14:textId="77777777" w:rsidTr="00D42354">
        <w:trPr>
          <w:trHeight w:val="576"/>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322ECD24" w14:textId="77777777" w:rsidR="00C21257" w:rsidRPr="00EB11D3" w:rsidRDefault="00C21257" w:rsidP="00052AD2">
            <w:pPr>
              <w:spacing w:after="0" w:line="240" w:lineRule="auto"/>
              <w:rPr>
                <w:rFonts w:eastAsia="Times New Roman"/>
                <w:szCs w:val="24"/>
              </w:rPr>
            </w:pPr>
            <w:r w:rsidRPr="00EB11D3">
              <w:rPr>
                <w:rFonts w:eastAsia="Times New Roman"/>
                <w:szCs w:val="24"/>
              </w:rPr>
              <w:t>3</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4880BD20" w14:textId="77777777" w:rsidR="00C21257" w:rsidRPr="00EB11D3" w:rsidRDefault="00C21257" w:rsidP="00052AD2">
            <w:pPr>
              <w:spacing w:after="0" w:line="240" w:lineRule="auto"/>
              <w:rPr>
                <w:rFonts w:eastAsia="Times New Roman"/>
                <w:szCs w:val="24"/>
              </w:rPr>
            </w:pPr>
            <w:r w:rsidRPr="00EB11D3">
              <w:rPr>
                <w:rFonts w:eastAsia="Times New Roman"/>
                <w:szCs w:val="24"/>
              </w:rPr>
              <w:t>Board guidelines on the code of ethics published in the hospital’s proxy statement</w:t>
            </w:r>
          </w:p>
        </w:tc>
        <w:tc>
          <w:tcPr>
            <w:tcW w:w="206" w:type="pct"/>
            <w:tcBorders>
              <w:top w:val="single" w:sz="4" w:space="0" w:color="666666"/>
              <w:left w:val="single" w:sz="4" w:space="0" w:color="666666"/>
              <w:bottom w:val="single" w:sz="4" w:space="0" w:color="666666"/>
              <w:right w:val="single" w:sz="4" w:space="0" w:color="666666"/>
            </w:tcBorders>
            <w:shd w:val="clear" w:color="auto" w:fill="FFFFFF"/>
            <w:hideMark/>
          </w:tcPr>
          <w:p w14:paraId="0DE44B0F"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206" w:type="pct"/>
            <w:tcBorders>
              <w:top w:val="single" w:sz="4" w:space="0" w:color="666666"/>
              <w:left w:val="single" w:sz="4" w:space="0" w:color="666666"/>
              <w:bottom w:val="single" w:sz="4" w:space="0" w:color="666666"/>
              <w:right w:val="single" w:sz="4" w:space="0" w:color="666666"/>
            </w:tcBorders>
            <w:shd w:val="clear" w:color="auto" w:fill="FFFFFF"/>
            <w:hideMark/>
          </w:tcPr>
          <w:p w14:paraId="0A2032D4"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206" w:type="pct"/>
            <w:tcBorders>
              <w:top w:val="single" w:sz="4" w:space="0" w:color="666666"/>
              <w:left w:val="single" w:sz="4" w:space="0" w:color="666666"/>
              <w:bottom w:val="single" w:sz="4" w:space="0" w:color="666666"/>
              <w:right w:val="single" w:sz="4" w:space="0" w:color="666666"/>
            </w:tcBorders>
            <w:shd w:val="clear" w:color="auto" w:fill="FFFFFF"/>
            <w:hideMark/>
          </w:tcPr>
          <w:p w14:paraId="104AA139"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207" w:type="pct"/>
            <w:tcBorders>
              <w:top w:val="single" w:sz="4" w:space="0" w:color="666666"/>
              <w:left w:val="single" w:sz="4" w:space="0" w:color="666666"/>
              <w:bottom w:val="single" w:sz="4" w:space="0" w:color="666666"/>
              <w:right w:val="single" w:sz="4" w:space="0" w:color="666666"/>
            </w:tcBorders>
            <w:shd w:val="clear" w:color="auto" w:fill="FFFFFF"/>
            <w:hideMark/>
          </w:tcPr>
          <w:p w14:paraId="1A17AFA5"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255" w:type="pct"/>
            <w:tcBorders>
              <w:top w:val="single" w:sz="4" w:space="0" w:color="666666"/>
              <w:left w:val="single" w:sz="4" w:space="0" w:color="666666"/>
              <w:bottom w:val="single" w:sz="4" w:space="0" w:color="666666"/>
              <w:right w:val="single" w:sz="4" w:space="0" w:color="666666"/>
            </w:tcBorders>
            <w:shd w:val="clear" w:color="auto" w:fill="FFFFFF"/>
            <w:hideMark/>
          </w:tcPr>
          <w:p w14:paraId="19BA1FAA"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r>
      <w:tr w:rsidR="0039483D" w:rsidRPr="00EB11D3" w14:paraId="3F11232B" w14:textId="77777777" w:rsidTr="00D42354">
        <w:trPr>
          <w:trHeight w:val="332"/>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62B55C4A" w14:textId="77777777" w:rsidR="00C21257" w:rsidRPr="00EB11D3" w:rsidRDefault="00C21257" w:rsidP="00052AD2">
            <w:pPr>
              <w:spacing w:after="0" w:line="240" w:lineRule="auto"/>
              <w:rPr>
                <w:rFonts w:eastAsia="Times New Roman"/>
                <w:szCs w:val="24"/>
              </w:rPr>
            </w:pPr>
            <w:r w:rsidRPr="00EB11D3">
              <w:rPr>
                <w:rFonts w:eastAsia="Times New Roman"/>
                <w:szCs w:val="24"/>
              </w:rPr>
              <w:t>4</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62A27A3E" w14:textId="77777777" w:rsidR="00C21257" w:rsidRPr="00EB11D3" w:rsidRDefault="00C21257" w:rsidP="00052AD2">
            <w:pPr>
              <w:spacing w:after="0" w:line="240" w:lineRule="auto"/>
              <w:rPr>
                <w:rFonts w:eastAsia="Times New Roman"/>
                <w:szCs w:val="24"/>
              </w:rPr>
            </w:pPr>
            <w:r w:rsidRPr="00EB11D3">
              <w:rPr>
                <w:rFonts w:eastAsia="Times New Roman"/>
                <w:szCs w:val="24"/>
              </w:rPr>
              <w:t>The hospital has operational policies in place</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0E3883EE"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2929E80D"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47B8031A"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795BE81D"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55E4A169" w14:textId="77777777" w:rsidR="00C21257" w:rsidRPr="00EB11D3" w:rsidRDefault="00C21257" w:rsidP="00052AD2">
            <w:pPr>
              <w:spacing w:after="0" w:line="240" w:lineRule="auto"/>
              <w:rPr>
                <w:rFonts w:eastAsia="Times New Roman"/>
                <w:szCs w:val="24"/>
              </w:rPr>
            </w:pPr>
          </w:p>
        </w:tc>
      </w:tr>
      <w:tr w:rsidR="0039483D" w:rsidRPr="00EB11D3" w14:paraId="2BCA393E" w14:textId="77777777" w:rsidTr="00D42354">
        <w:trPr>
          <w:trHeight w:val="341"/>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0F7F034A" w14:textId="77777777" w:rsidR="00C21257" w:rsidRPr="00EB11D3" w:rsidRDefault="00C21257" w:rsidP="00052AD2">
            <w:pPr>
              <w:spacing w:after="0" w:line="240" w:lineRule="auto"/>
              <w:rPr>
                <w:rFonts w:eastAsia="Times New Roman"/>
                <w:szCs w:val="24"/>
              </w:rPr>
            </w:pPr>
            <w:r w:rsidRPr="00EB11D3">
              <w:rPr>
                <w:rFonts w:eastAsia="Times New Roman"/>
                <w:szCs w:val="24"/>
              </w:rPr>
              <w:t>5</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16ADD91F" w14:textId="77777777" w:rsidR="00C21257" w:rsidRPr="00EB11D3" w:rsidRDefault="00C21257" w:rsidP="00052AD2">
            <w:pPr>
              <w:spacing w:after="0" w:line="240" w:lineRule="auto"/>
              <w:rPr>
                <w:rFonts w:eastAsia="Times New Roman"/>
                <w:szCs w:val="24"/>
              </w:rPr>
            </w:pPr>
            <w:r w:rsidRPr="00EB11D3">
              <w:rPr>
                <w:rFonts w:eastAsia="Times New Roman"/>
                <w:szCs w:val="24"/>
              </w:rPr>
              <w:t>Hospital decisions are guided by the policies in place</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266F2652"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111DEA23"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43AC0C18"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3A58C438"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7A6C6777" w14:textId="77777777" w:rsidR="00C21257" w:rsidRPr="00EB11D3" w:rsidRDefault="00C21257" w:rsidP="00052AD2">
            <w:pPr>
              <w:spacing w:after="0" w:line="240" w:lineRule="auto"/>
              <w:rPr>
                <w:rFonts w:eastAsia="Times New Roman"/>
                <w:szCs w:val="24"/>
              </w:rPr>
            </w:pPr>
          </w:p>
        </w:tc>
      </w:tr>
      <w:tr w:rsidR="0039483D" w:rsidRPr="00EB11D3" w14:paraId="250C49EF" w14:textId="77777777" w:rsidTr="00D42354">
        <w:trPr>
          <w:trHeight w:val="260"/>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0802C07D" w14:textId="77777777" w:rsidR="00C21257" w:rsidRPr="00EB11D3" w:rsidRDefault="00C21257" w:rsidP="00052AD2">
            <w:pPr>
              <w:spacing w:after="0" w:line="240" w:lineRule="auto"/>
              <w:rPr>
                <w:rFonts w:eastAsia="Times New Roman"/>
                <w:szCs w:val="24"/>
              </w:rPr>
            </w:pPr>
            <w:r w:rsidRPr="00EB11D3">
              <w:rPr>
                <w:rFonts w:eastAsia="Times New Roman"/>
                <w:szCs w:val="24"/>
              </w:rPr>
              <w:t>6</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6C9F4164" w14:textId="77777777" w:rsidR="00C21257" w:rsidRPr="00EB11D3" w:rsidRDefault="00C21257" w:rsidP="00052AD2">
            <w:pPr>
              <w:spacing w:after="0" w:line="240" w:lineRule="auto"/>
              <w:rPr>
                <w:rFonts w:eastAsia="Times New Roman"/>
                <w:szCs w:val="24"/>
              </w:rPr>
            </w:pPr>
            <w:r w:rsidRPr="00EB11D3">
              <w:rPr>
                <w:rFonts w:eastAsia="Times New Roman"/>
                <w:szCs w:val="24"/>
              </w:rPr>
              <w:t>The hospital encourages stakeholders to share information voluntarily.</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349C8C32"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74BB1F2C"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49A7BFFD"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437D210E"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3269EF40" w14:textId="77777777" w:rsidR="00C21257" w:rsidRPr="00EB11D3" w:rsidRDefault="00C21257" w:rsidP="00052AD2">
            <w:pPr>
              <w:spacing w:after="0" w:line="240" w:lineRule="auto"/>
              <w:rPr>
                <w:rFonts w:eastAsia="Times New Roman"/>
                <w:szCs w:val="24"/>
              </w:rPr>
            </w:pPr>
          </w:p>
        </w:tc>
      </w:tr>
      <w:tr w:rsidR="0039483D" w:rsidRPr="00EB11D3" w14:paraId="7582031E" w14:textId="77777777" w:rsidTr="00D42354">
        <w:trPr>
          <w:trHeight w:val="265"/>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637D2DF0" w14:textId="77777777" w:rsidR="00C21257" w:rsidRPr="00EB11D3" w:rsidRDefault="00C21257" w:rsidP="00052AD2">
            <w:pPr>
              <w:spacing w:after="0" w:line="240" w:lineRule="auto"/>
              <w:rPr>
                <w:rFonts w:eastAsia="Times New Roman"/>
                <w:szCs w:val="24"/>
              </w:rPr>
            </w:pPr>
            <w:r w:rsidRPr="00EB11D3">
              <w:rPr>
                <w:rFonts w:eastAsia="Times New Roman"/>
                <w:szCs w:val="24"/>
              </w:rPr>
              <w:t>7</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54584167" w14:textId="77777777" w:rsidR="00C21257" w:rsidRPr="00EB11D3" w:rsidRDefault="00C21257" w:rsidP="00052AD2">
            <w:pPr>
              <w:spacing w:after="0" w:line="240" w:lineRule="auto"/>
              <w:rPr>
                <w:rFonts w:eastAsia="Times New Roman"/>
                <w:szCs w:val="24"/>
              </w:rPr>
            </w:pPr>
            <w:r w:rsidRPr="00EB11D3">
              <w:rPr>
                <w:rFonts w:eastAsia="Times New Roman"/>
                <w:szCs w:val="24"/>
              </w:rPr>
              <w:t>The hospital publishes the qualifications of the Board members in the hospital proxy statement</w:t>
            </w:r>
          </w:p>
        </w:tc>
        <w:tc>
          <w:tcPr>
            <w:tcW w:w="206" w:type="pct"/>
            <w:tcBorders>
              <w:top w:val="single" w:sz="4" w:space="0" w:color="666666"/>
              <w:left w:val="single" w:sz="4" w:space="0" w:color="666666"/>
              <w:bottom w:val="single" w:sz="4" w:space="0" w:color="666666"/>
              <w:right w:val="single" w:sz="4" w:space="0" w:color="666666"/>
            </w:tcBorders>
            <w:shd w:val="clear" w:color="auto" w:fill="FFFFFF"/>
            <w:hideMark/>
          </w:tcPr>
          <w:p w14:paraId="58D1F7DD"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206" w:type="pct"/>
            <w:tcBorders>
              <w:top w:val="single" w:sz="4" w:space="0" w:color="666666"/>
              <w:left w:val="single" w:sz="4" w:space="0" w:color="666666"/>
              <w:bottom w:val="single" w:sz="4" w:space="0" w:color="666666"/>
              <w:right w:val="single" w:sz="4" w:space="0" w:color="666666"/>
            </w:tcBorders>
            <w:shd w:val="clear" w:color="auto" w:fill="FFFFFF"/>
            <w:hideMark/>
          </w:tcPr>
          <w:p w14:paraId="0A1EC543"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206" w:type="pct"/>
            <w:tcBorders>
              <w:top w:val="single" w:sz="4" w:space="0" w:color="666666"/>
              <w:left w:val="single" w:sz="4" w:space="0" w:color="666666"/>
              <w:bottom w:val="single" w:sz="4" w:space="0" w:color="666666"/>
              <w:right w:val="single" w:sz="4" w:space="0" w:color="666666"/>
            </w:tcBorders>
            <w:shd w:val="clear" w:color="auto" w:fill="FFFFFF"/>
            <w:hideMark/>
          </w:tcPr>
          <w:p w14:paraId="59824500"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207" w:type="pct"/>
            <w:tcBorders>
              <w:top w:val="single" w:sz="4" w:space="0" w:color="666666"/>
              <w:left w:val="single" w:sz="4" w:space="0" w:color="666666"/>
              <w:bottom w:val="single" w:sz="4" w:space="0" w:color="666666"/>
              <w:right w:val="single" w:sz="4" w:space="0" w:color="666666"/>
            </w:tcBorders>
            <w:shd w:val="clear" w:color="auto" w:fill="FFFFFF"/>
            <w:hideMark/>
          </w:tcPr>
          <w:p w14:paraId="759DEA89"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255" w:type="pct"/>
            <w:tcBorders>
              <w:top w:val="single" w:sz="4" w:space="0" w:color="666666"/>
              <w:left w:val="single" w:sz="4" w:space="0" w:color="666666"/>
              <w:bottom w:val="single" w:sz="4" w:space="0" w:color="666666"/>
              <w:right w:val="single" w:sz="4" w:space="0" w:color="666666"/>
            </w:tcBorders>
            <w:shd w:val="clear" w:color="auto" w:fill="FFFFFF"/>
            <w:hideMark/>
          </w:tcPr>
          <w:p w14:paraId="463B8C4B"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r>
      <w:tr w:rsidR="0039483D" w:rsidRPr="00EB11D3" w14:paraId="042D4E00" w14:textId="77777777" w:rsidTr="00D42354">
        <w:trPr>
          <w:trHeight w:val="305"/>
        </w:trPr>
        <w:tc>
          <w:tcPr>
            <w:tcW w:w="233" w:type="pct"/>
            <w:tcBorders>
              <w:top w:val="single" w:sz="4" w:space="0" w:color="666666"/>
              <w:left w:val="single" w:sz="4" w:space="0" w:color="666666"/>
              <w:bottom w:val="single" w:sz="4" w:space="0" w:color="666666"/>
              <w:right w:val="single" w:sz="4" w:space="0" w:color="666666"/>
            </w:tcBorders>
            <w:shd w:val="clear" w:color="auto" w:fill="FFFFFF"/>
          </w:tcPr>
          <w:p w14:paraId="17BE88FE" w14:textId="77777777" w:rsidR="00C21257" w:rsidRPr="00EB11D3" w:rsidRDefault="00C21257" w:rsidP="00052AD2">
            <w:pPr>
              <w:spacing w:after="0" w:line="240" w:lineRule="auto"/>
              <w:rPr>
                <w:rFonts w:eastAsia="Times New Roman"/>
                <w:szCs w:val="24"/>
              </w:rPr>
            </w:pPr>
          </w:p>
        </w:tc>
        <w:tc>
          <w:tcPr>
            <w:tcW w:w="3687" w:type="pct"/>
            <w:tcBorders>
              <w:top w:val="single" w:sz="4" w:space="0" w:color="666666"/>
              <w:left w:val="single" w:sz="4" w:space="0" w:color="666666"/>
              <w:bottom w:val="single" w:sz="4" w:space="0" w:color="666666"/>
              <w:right w:val="single" w:sz="4" w:space="0" w:color="666666"/>
            </w:tcBorders>
            <w:shd w:val="clear" w:color="auto" w:fill="FFFFFF"/>
          </w:tcPr>
          <w:p w14:paraId="039A2BC1"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4C8D366C"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606DA69F"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699E1659"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70CC4672"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67B775C1" w14:textId="77777777" w:rsidR="00C21257" w:rsidRPr="00EB11D3" w:rsidRDefault="00C21257" w:rsidP="00052AD2">
            <w:pPr>
              <w:spacing w:after="0" w:line="240" w:lineRule="auto"/>
              <w:rPr>
                <w:rFonts w:eastAsia="Times New Roman"/>
                <w:szCs w:val="24"/>
              </w:rPr>
            </w:pPr>
          </w:p>
        </w:tc>
      </w:tr>
      <w:tr w:rsidR="0039483D" w:rsidRPr="00EB11D3" w14:paraId="6E9EF513"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tcPr>
          <w:p w14:paraId="59160428" w14:textId="77777777" w:rsidR="00C21257" w:rsidRPr="00EB11D3" w:rsidRDefault="00C21257" w:rsidP="00052AD2">
            <w:pPr>
              <w:spacing w:after="0" w:line="240" w:lineRule="auto"/>
              <w:rPr>
                <w:rFonts w:eastAsia="Times New Roman"/>
                <w:b/>
                <w:bCs/>
                <w:szCs w:val="24"/>
              </w:rPr>
            </w:pP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3CAA482D"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Accountability</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6B9FB16C"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68667C96"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3EC6662D"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5C4AA476"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36943416" w14:textId="77777777" w:rsidR="00C21257" w:rsidRPr="00EB11D3" w:rsidRDefault="00C21257" w:rsidP="00052AD2">
            <w:pPr>
              <w:spacing w:after="0" w:line="240" w:lineRule="auto"/>
              <w:rPr>
                <w:rFonts w:eastAsia="Times New Roman"/>
                <w:szCs w:val="24"/>
              </w:rPr>
            </w:pPr>
          </w:p>
        </w:tc>
      </w:tr>
      <w:tr w:rsidR="0039483D" w:rsidRPr="00EB11D3" w14:paraId="04F8DC8B"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632CC5DF" w14:textId="77777777" w:rsidR="00C21257" w:rsidRPr="00EB11D3" w:rsidRDefault="00C21257" w:rsidP="00052AD2">
            <w:pPr>
              <w:spacing w:after="0" w:line="240" w:lineRule="auto"/>
              <w:rPr>
                <w:rFonts w:eastAsia="Times New Roman"/>
                <w:szCs w:val="24"/>
              </w:rPr>
            </w:pPr>
            <w:r w:rsidRPr="00EB11D3">
              <w:rPr>
                <w:rFonts w:eastAsia="Times New Roman"/>
                <w:szCs w:val="24"/>
              </w:rPr>
              <w:t>1</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47AFF279" w14:textId="77777777" w:rsidR="00C21257" w:rsidRPr="00EB11D3" w:rsidRDefault="00C21257" w:rsidP="00052AD2">
            <w:pPr>
              <w:spacing w:after="0" w:line="240" w:lineRule="auto"/>
              <w:rPr>
                <w:rFonts w:eastAsia="Times New Roman"/>
                <w:szCs w:val="24"/>
              </w:rPr>
            </w:pPr>
            <w:r w:rsidRPr="00EB11D3">
              <w:rPr>
                <w:rFonts w:eastAsia="Times New Roman"/>
                <w:szCs w:val="24"/>
              </w:rPr>
              <w:t>The hospital always take responsibility for their actions</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43F5EC77"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4C7D6945"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023C6652"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622DFAA1"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18F4DE17" w14:textId="77777777" w:rsidR="00C21257" w:rsidRPr="00EB11D3" w:rsidRDefault="00C21257" w:rsidP="00052AD2">
            <w:pPr>
              <w:spacing w:after="0" w:line="240" w:lineRule="auto"/>
              <w:rPr>
                <w:rFonts w:eastAsia="Times New Roman"/>
                <w:szCs w:val="24"/>
              </w:rPr>
            </w:pPr>
          </w:p>
        </w:tc>
      </w:tr>
      <w:tr w:rsidR="0039483D" w:rsidRPr="00EB11D3" w14:paraId="49BE4430"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5A317F36" w14:textId="77777777" w:rsidR="00C21257" w:rsidRPr="00EB11D3" w:rsidRDefault="00C21257" w:rsidP="00052AD2">
            <w:pPr>
              <w:spacing w:after="0" w:line="240" w:lineRule="auto"/>
              <w:rPr>
                <w:rFonts w:eastAsia="Times New Roman"/>
                <w:szCs w:val="24"/>
              </w:rPr>
            </w:pPr>
            <w:r w:rsidRPr="00EB11D3">
              <w:rPr>
                <w:rFonts w:eastAsia="Times New Roman"/>
                <w:szCs w:val="24"/>
              </w:rPr>
              <w:t>2</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37EA15BB" w14:textId="77777777" w:rsidR="00C21257" w:rsidRPr="00EB11D3" w:rsidRDefault="00C21257" w:rsidP="00052AD2">
            <w:pPr>
              <w:spacing w:after="0" w:line="240" w:lineRule="auto"/>
              <w:rPr>
                <w:rFonts w:eastAsia="Times New Roman"/>
                <w:szCs w:val="24"/>
              </w:rPr>
            </w:pPr>
            <w:r w:rsidRPr="00EB11D3">
              <w:rPr>
                <w:rFonts w:eastAsia="Times New Roman"/>
                <w:szCs w:val="24"/>
              </w:rPr>
              <w:t>Decision making is done through streamlined optimal organisational structure</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2A507BFB"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6CB105E0"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5E3B5D55"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26786291"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736A2299" w14:textId="77777777" w:rsidR="00C21257" w:rsidRPr="00EB11D3" w:rsidRDefault="00C21257" w:rsidP="00052AD2">
            <w:pPr>
              <w:spacing w:after="0" w:line="240" w:lineRule="auto"/>
              <w:rPr>
                <w:rFonts w:eastAsia="Times New Roman"/>
                <w:szCs w:val="24"/>
              </w:rPr>
            </w:pPr>
          </w:p>
        </w:tc>
      </w:tr>
      <w:tr w:rsidR="0039483D" w:rsidRPr="00EB11D3" w14:paraId="60CD1876"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234AC1FA" w14:textId="77777777" w:rsidR="00C21257" w:rsidRPr="00EB11D3" w:rsidRDefault="00C21257" w:rsidP="00052AD2">
            <w:pPr>
              <w:spacing w:after="0" w:line="240" w:lineRule="auto"/>
              <w:rPr>
                <w:rFonts w:eastAsia="Times New Roman"/>
                <w:szCs w:val="24"/>
              </w:rPr>
            </w:pPr>
            <w:r w:rsidRPr="00EB11D3">
              <w:rPr>
                <w:rFonts w:eastAsia="Times New Roman"/>
                <w:szCs w:val="24"/>
              </w:rPr>
              <w:t>3</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060053D0" w14:textId="77777777" w:rsidR="00C21257" w:rsidRPr="00EB11D3" w:rsidRDefault="00C21257" w:rsidP="00052AD2">
            <w:pPr>
              <w:spacing w:after="0" w:line="240" w:lineRule="auto"/>
              <w:rPr>
                <w:rFonts w:eastAsia="Times New Roman"/>
                <w:szCs w:val="24"/>
              </w:rPr>
            </w:pPr>
            <w:r w:rsidRPr="00EB11D3">
              <w:rPr>
                <w:rFonts w:eastAsia="Times New Roman"/>
                <w:szCs w:val="24"/>
              </w:rPr>
              <w:t>Acceptable accounting principles are applied in preparation of financial statements</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559C0AAF"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5E52B749"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264E51F3"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25AA965E"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1C576BBE" w14:textId="77777777" w:rsidR="00C21257" w:rsidRPr="00EB11D3" w:rsidRDefault="00C21257" w:rsidP="00052AD2">
            <w:pPr>
              <w:spacing w:after="0" w:line="240" w:lineRule="auto"/>
              <w:rPr>
                <w:rFonts w:eastAsia="Times New Roman"/>
                <w:szCs w:val="24"/>
              </w:rPr>
            </w:pPr>
          </w:p>
        </w:tc>
      </w:tr>
      <w:tr w:rsidR="0039483D" w:rsidRPr="00EB11D3" w14:paraId="46FA4AF3"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373048CD" w14:textId="77777777" w:rsidR="00C21257" w:rsidRPr="00EB11D3" w:rsidRDefault="00C21257" w:rsidP="00052AD2">
            <w:pPr>
              <w:spacing w:after="0" w:line="240" w:lineRule="auto"/>
              <w:rPr>
                <w:rFonts w:eastAsia="Times New Roman"/>
                <w:szCs w:val="24"/>
              </w:rPr>
            </w:pPr>
            <w:r w:rsidRPr="00EB11D3">
              <w:rPr>
                <w:rFonts w:eastAsia="Times New Roman"/>
                <w:szCs w:val="24"/>
              </w:rPr>
              <w:t>4</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5265A375" w14:textId="77777777" w:rsidR="00C21257" w:rsidRPr="00EB11D3" w:rsidRDefault="00C21257" w:rsidP="00052AD2">
            <w:pPr>
              <w:spacing w:after="0" w:line="240" w:lineRule="auto"/>
              <w:rPr>
                <w:rFonts w:eastAsia="Times New Roman"/>
                <w:szCs w:val="24"/>
              </w:rPr>
            </w:pPr>
            <w:r w:rsidRPr="00EB11D3">
              <w:rPr>
                <w:rFonts w:eastAsia="Times New Roman"/>
                <w:szCs w:val="24"/>
              </w:rPr>
              <w:t xml:space="preserve">The hospital Board has operational committee to address specific issues. </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203CA82E"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520CBD09"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4DBCD152"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5FB70277"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0AE67A9B" w14:textId="77777777" w:rsidR="00C21257" w:rsidRPr="00EB11D3" w:rsidRDefault="00C21257" w:rsidP="00052AD2">
            <w:pPr>
              <w:spacing w:after="0" w:line="240" w:lineRule="auto"/>
              <w:rPr>
                <w:rFonts w:eastAsia="Times New Roman"/>
                <w:szCs w:val="24"/>
              </w:rPr>
            </w:pPr>
          </w:p>
        </w:tc>
      </w:tr>
      <w:tr w:rsidR="0039483D" w:rsidRPr="00EB11D3" w14:paraId="693139B5"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0B1A206D" w14:textId="77777777" w:rsidR="00C21257" w:rsidRPr="00EB11D3" w:rsidRDefault="00C21257" w:rsidP="00052AD2">
            <w:pPr>
              <w:spacing w:after="0" w:line="240" w:lineRule="auto"/>
              <w:rPr>
                <w:rFonts w:eastAsia="Times New Roman"/>
                <w:szCs w:val="24"/>
              </w:rPr>
            </w:pPr>
            <w:r w:rsidRPr="00EB11D3">
              <w:rPr>
                <w:rFonts w:eastAsia="Times New Roman"/>
                <w:szCs w:val="24"/>
              </w:rPr>
              <w:t>5</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045AA867" w14:textId="77777777" w:rsidR="00C21257" w:rsidRPr="00EB11D3" w:rsidRDefault="00C21257" w:rsidP="00052AD2">
            <w:pPr>
              <w:spacing w:after="0" w:line="240" w:lineRule="auto"/>
              <w:rPr>
                <w:rFonts w:eastAsia="Times New Roman"/>
                <w:szCs w:val="24"/>
              </w:rPr>
            </w:pPr>
            <w:r w:rsidRPr="00EB11D3">
              <w:rPr>
                <w:rFonts w:eastAsia="Times New Roman"/>
                <w:szCs w:val="24"/>
              </w:rPr>
              <w:t xml:space="preserve">The hospital has procedures to assesses the performance of board committees </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24FB30BD"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53899AC6"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61038F25"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609769E3"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2BC61570" w14:textId="77777777" w:rsidR="00C21257" w:rsidRPr="00EB11D3" w:rsidRDefault="00C21257" w:rsidP="00052AD2">
            <w:pPr>
              <w:spacing w:after="0" w:line="240" w:lineRule="auto"/>
              <w:rPr>
                <w:rFonts w:eastAsia="Times New Roman"/>
                <w:szCs w:val="24"/>
              </w:rPr>
            </w:pPr>
          </w:p>
        </w:tc>
      </w:tr>
      <w:tr w:rsidR="0039483D" w:rsidRPr="00EB11D3" w14:paraId="02658CD1"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207FD4A9" w14:textId="77777777" w:rsidR="00C21257" w:rsidRPr="00EB11D3" w:rsidRDefault="00C21257" w:rsidP="00052AD2">
            <w:pPr>
              <w:spacing w:after="0" w:line="240" w:lineRule="auto"/>
              <w:rPr>
                <w:rFonts w:eastAsia="Times New Roman"/>
                <w:szCs w:val="24"/>
              </w:rPr>
            </w:pPr>
            <w:r w:rsidRPr="00EB11D3">
              <w:rPr>
                <w:rFonts w:eastAsia="Times New Roman"/>
                <w:szCs w:val="24"/>
              </w:rPr>
              <w:t>6</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630E0D31" w14:textId="77777777" w:rsidR="00C21257" w:rsidRPr="00EB11D3" w:rsidRDefault="00C21257" w:rsidP="00052AD2">
            <w:pPr>
              <w:spacing w:after="0" w:line="240" w:lineRule="auto"/>
              <w:rPr>
                <w:rFonts w:eastAsia="Times New Roman"/>
                <w:szCs w:val="24"/>
              </w:rPr>
            </w:pPr>
            <w:r w:rsidRPr="00EB11D3">
              <w:rPr>
                <w:rFonts w:eastAsia="Times New Roman"/>
                <w:szCs w:val="24"/>
              </w:rPr>
              <w:t xml:space="preserve">The hospital prepares annual audited financial statement </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2D1CFAAD"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4BC98B93"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0DFC603F"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2604FC32"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284BE38E" w14:textId="77777777" w:rsidR="00C21257" w:rsidRPr="00EB11D3" w:rsidRDefault="00C21257" w:rsidP="00052AD2">
            <w:pPr>
              <w:spacing w:after="0" w:line="240" w:lineRule="auto"/>
              <w:rPr>
                <w:rFonts w:eastAsia="Times New Roman"/>
                <w:szCs w:val="24"/>
              </w:rPr>
            </w:pPr>
          </w:p>
        </w:tc>
      </w:tr>
      <w:tr w:rsidR="0039483D" w:rsidRPr="00EB11D3" w14:paraId="11DD538F"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0CD7D352" w14:textId="77777777" w:rsidR="00C21257" w:rsidRPr="00EB11D3" w:rsidRDefault="00C21257" w:rsidP="00052AD2">
            <w:pPr>
              <w:spacing w:after="0" w:line="240" w:lineRule="auto"/>
              <w:rPr>
                <w:rFonts w:eastAsia="Times New Roman"/>
                <w:szCs w:val="24"/>
              </w:rPr>
            </w:pPr>
            <w:r w:rsidRPr="00EB11D3">
              <w:rPr>
                <w:rFonts w:eastAsia="Times New Roman"/>
                <w:szCs w:val="24"/>
              </w:rPr>
              <w:t>7</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4ED29668" w14:textId="77777777" w:rsidR="00C21257" w:rsidRPr="00EB11D3" w:rsidRDefault="00C21257" w:rsidP="00052AD2">
            <w:pPr>
              <w:spacing w:after="0" w:line="240" w:lineRule="auto"/>
              <w:rPr>
                <w:rFonts w:eastAsia="Times New Roman"/>
                <w:szCs w:val="24"/>
              </w:rPr>
            </w:pPr>
            <w:r w:rsidRPr="00EB11D3">
              <w:rPr>
                <w:rFonts w:eastAsia="Times New Roman"/>
                <w:szCs w:val="24"/>
              </w:rPr>
              <w:t xml:space="preserve">The hospital operations are aligned to its Mission </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7FE0E54A"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71C950C6"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532CB6BC"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756B3F68"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2E6C7550" w14:textId="77777777" w:rsidR="00C21257" w:rsidRPr="00EB11D3" w:rsidRDefault="00C21257" w:rsidP="00052AD2">
            <w:pPr>
              <w:spacing w:after="0" w:line="240" w:lineRule="auto"/>
              <w:rPr>
                <w:rFonts w:eastAsia="Times New Roman"/>
                <w:szCs w:val="24"/>
              </w:rPr>
            </w:pPr>
          </w:p>
        </w:tc>
      </w:tr>
      <w:tr w:rsidR="0039483D" w:rsidRPr="00EB11D3" w14:paraId="38132756" w14:textId="77777777" w:rsidTr="00052AD2">
        <w:trPr>
          <w:trHeight w:val="197"/>
        </w:trPr>
        <w:tc>
          <w:tcPr>
            <w:tcW w:w="233" w:type="pct"/>
            <w:tcBorders>
              <w:top w:val="single" w:sz="4" w:space="0" w:color="666666"/>
              <w:left w:val="single" w:sz="4" w:space="0" w:color="666666"/>
              <w:bottom w:val="single" w:sz="4" w:space="0" w:color="666666"/>
              <w:right w:val="single" w:sz="4" w:space="0" w:color="666666"/>
            </w:tcBorders>
            <w:shd w:val="clear" w:color="auto" w:fill="FFFFFF"/>
          </w:tcPr>
          <w:p w14:paraId="72DB5217" w14:textId="77777777" w:rsidR="00C21257" w:rsidRPr="00EB11D3" w:rsidRDefault="00C21257" w:rsidP="00D42354">
            <w:pPr>
              <w:spacing w:after="0" w:line="240" w:lineRule="auto"/>
              <w:rPr>
                <w:rFonts w:eastAsia="Times New Roman"/>
                <w:szCs w:val="24"/>
              </w:rPr>
            </w:pPr>
          </w:p>
        </w:tc>
        <w:tc>
          <w:tcPr>
            <w:tcW w:w="3687" w:type="pct"/>
            <w:tcBorders>
              <w:top w:val="single" w:sz="4" w:space="0" w:color="666666"/>
              <w:left w:val="single" w:sz="4" w:space="0" w:color="666666"/>
              <w:bottom w:val="single" w:sz="4" w:space="0" w:color="666666"/>
              <w:right w:val="single" w:sz="4" w:space="0" w:color="666666"/>
            </w:tcBorders>
            <w:shd w:val="clear" w:color="auto" w:fill="FFFFFF"/>
          </w:tcPr>
          <w:p w14:paraId="62E91E96" w14:textId="77777777" w:rsidR="00C21257" w:rsidRPr="00EB11D3" w:rsidRDefault="00C21257" w:rsidP="00D42354">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24473F6E" w14:textId="77777777" w:rsidR="00C21257" w:rsidRPr="00EB11D3" w:rsidRDefault="00C21257" w:rsidP="00D42354">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5C5917C1" w14:textId="77777777" w:rsidR="00C21257" w:rsidRPr="00EB11D3" w:rsidRDefault="00C21257" w:rsidP="00D42354">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60F13B2D" w14:textId="77777777" w:rsidR="00C21257" w:rsidRPr="00EB11D3" w:rsidRDefault="00C21257" w:rsidP="00D42354">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2178150D" w14:textId="77777777" w:rsidR="00C21257" w:rsidRPr="00EB11D3" w:rsidRDefault="00C21257" w:rsidP="00D42354">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16CC5630" w14:textId="77777777" w:rsidR="00C21257" w:rsidRPr="00EB11D3" w:rsidRDefault="00C21257" w:rsidP="00D42354">
            <w:pPr>
              <w:spacing w:after="0" w:line="240" w:lineRule="auto"/>
              <w:rPr>
                <w:rFonts w:eastAsia="Times New Roman"/>
                <w:szCs w:val="24"/>
              </w:rPr>
            </w:pPr>
          </w:p>
        </w:tc>
      </w:tr>
      <w:tr w:rsidR="0039483D" w:rsidRPr="00EB11D3" w14:paraId="6E4C1FA8"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tcPr>
          <w:p w14:paraId="51D8D50C" w14:textId="77777777" w:rsidR="00C21257" w:rsidRPr="00EB11D3" w:rsidRDefault="00C21257" w:rsidP="00052AD2">
            <w:pPr>
              <w:spacing w:after="0" w:line="240" w:lineRule="auto"/>
              <w:rPr>
                <w:rFonts w:eastAsia="Times New Roman"/>
                <w:szCs w:val="24"/>
              </w:rPr>
            </w:pP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06722027"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Responsibility</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63483622"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64519881"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29548B1F"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2B69DA36"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16E51B11" w14:textId="77777777" w:rsidR="00C21257" w:rsidRPr="00EB11D3" w:rsidRDefault="00C21257" w:rsidP="00052AD2">
            <w:pPr>
              <w:spacing w:after="0" w:line="240" w:lineRule="auto"/>
              <w:rPr>
                <w:rFonts w:eastAsia="Times New Roman"/>
                <w:szCs w:val="24"/>
              </w:rPr>
            </w:pPr>
          </w:p>
        </w:tc>
      </w:tr>
      <w:tr w:rsidR="0039483D" w:rsidRPr="00EB11D3" w14:paraId="2726AA9F"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tcPr>
          <w:p w14:paraId="796770FB" w14:textId="77777777" w:rsidR="00D42354" w:rsidRPr="00EB11D3" w:rsidRDefault="00D42354" w:rsidP="00D42354">
            <w:pPr>
              <w:spacing w:after="0" w:line="240" w:lineRule="auto"/>
              <w:rPr>
                <w:rFonts w:eastAsia="Times New Roman"/>
                <w:szCs w:val="24"/>
              </w:rPr>
            </w:pPr>
          </w:p>
        </w:tc>
        <w:tc>
          <w:tcPr>
            <w:tcW w:w="3687" w:type="pct"/>
            <w:tcBorders>
              <w:top w:val="single" w:sz="4" w:space="0" w:color="666666"/>
              <w:left w:val="single" w:sz="4" w:space="0" w:color="666666"/>
              <w:bottom w:val="single" w:sz="4" w:space="0" w:color="666666"/>
              <w:right w:val="single" w:sz="4" w:space="0" w:color="666666"/>
            </w:tcBorders>
            <w:shd w:val="clear" w:color="auto" w:fill="FFFFFF"/>
          </w:tcPr>
          <w:p w14:paraId="10663E41" w14:textId="77777777" w:rsidR="00D42354" w:rsidRPr="00EB11D3" w:rsidRDefault="005E4196" w:rsidP="00D42354">
            <w:pPr>
              <w:spacing w:after="0" w:line="240" w:lineRule="auto"/>
              <w:rPr>
                <w:rFonts w:eastAsia="Times New Roman"/>
                <w:b/>
                <w:bCs/>
                <w:szCs w:val="24"/>
              </w:rPr>
            </w:pPr>
            <w:r w:rsidRPr="00EB11D3">
              <w:rPr>
                <w:rFonts w:eastAsia="Times New Roman"/>
                <w:b/>
                <w:bCs/>
                <w:szCs w:val="24"/>
              </w:rPr>
              <w:t>The</w:t>
            </w:r>
            <w:r w:rsidR="00D42354" w:rsidRPr="00EB11D3">
              <w:rPr>
                <w:rFonts w:eastAsia="Times New Roman"/>
                <w:b/>
                <w:bCs/>
                <w:szCs w:val="24"/>
              </w:rPr>
              <w:t xml:space="preserve"> hospital;</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3D6EFAD6" w14:textId="77777777" w:rsidR="00D42354" w:rsidRPr="00EB11D3" w:rsidRDefault="00D42354" w:rsidP="00D42354">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6599B88F" w14:textId="77777777" w:rsidR="00D42354" w:rsidRPr="00EB11D3" w:rsidRDefault="00D42354" w:rsidP="00D42354">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554A3777" w14:textId="77777777" w:rsidR="00D42354" w:rsidRPr="00EB11D3" w:rsidRDefault="00D42354" w:rsidP="00D42354">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1B3EB131" w14:textId="77777777" w:rsidR="00D42354" w:rsidRPr="00EB11D3" w:rsidRDefault="00D42354" w:rsidP="00D42354">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4F2059ED" w14:textId="77777777" w:rsidR="00D42354" w:rsidRPr="00EB11D3" w:rsidRDefault="00D42354" w:rsidP="00D42354">
            <w:pPr>
              <w:spacing w:after="0" w:line="240" w:lineRule="auto"/>
              <w:rPr>
                <w:rFonts w:eastAsia="Times New Roman"/>
                <w:szCs w:val="24"/>
              </w:rPr>
            </w:pPr>
          </w:p>
        </w:tc>
      </w:tr>
      <w:tr w:rsidR="0039483D" w:rsidRPr="00EB11D3" w14:paraId="698429CD"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116C6138" w14:textId="77777777" w:rsidR="00C21257" w:rsidRPr="00EB11D3" w:rsidRDefault="00C21257" w:rsidP="00052AD2">
            <w:pPr>
              <w:spacing w:after="0" w:line="240" w:lineRule="auto"/>
              <w:rPr>
                <w:rFonts w:eastAsia="Times New Roman"/>
                <w:szCs w:val="24"/>
              </w:rPr>
            </w:pPr>
            <w:r w:rsidRPr="00EB11D3">
              <w:rPr>
                <w:rFonts w:eastAsia="Times New Roman"/>
                <w:szCs w:val="24"/>
              </w:rPr>
              <w:t>1</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05DA5174" w14:textId="77777777" w:rsidR="00C21257" w:rsidRPr="00EB11D3" w:rsidRDefault="00D42354" w:rsidP="00052AD2">
            <w:pPr>
              <w:spacing w:after="0" w:line="240" w:lineRule="auto"/>
              <w:rPr>
                <w:rFonts w:eastAsia="Times New Roman"/>
                <w:b/>
                <w:bCs/>
                <w:szCs w:val="24"/>
              </w:rPr>
            </w:pPr>
            <w:r w:rsidRPr="00EB11D3">
              <w:rPr>
                <w:rFonts w:eastAsia="Times New Roman"/>
                <w:szCs w:val="24"/>
              </w:rPr>
              <w:t>E</w:t>
            </w:r>
            <w:r w:rsidR="00C21257" w:rsidRPr="00EB11D3">
              <w:rPr>
                <w:rFonts w:eastAsia="Times New Roman"/>
                <w:szCs w:val="24"/>
              </w:rPr>
              <w:t xml:space="preserve">valuates the effect of its activities on </w:t>
            </w:r>
            <w:r w:rsidRPr="00EB11D3">
              <w:rPr>
                <w:rFonts w:eastAsia="Times New Roman"/>
                <w:szCs w:val="24"/>
              </w:rPr>
              <w:t>stakeholders.</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237373C8"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1F2D92AE"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3260DA94"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48AE308A"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5D88F0A1" w14:textId="77777777" w:rsidR="00C21257" w:rsidRPr="00EB11D3" w:rsidRDefault="00C21257" w:rsidP="00052AD2">
            <w:pPr>
              <w:spacing w:after="0" w:line="240" w:lineRule="auto"/>
              <w:rPr>
                <w:rFonts w:eastAsia="Times New Roman"/>
                <w:szCs w:val="24"/>
              </w:rPr>
            </w:pPr>
          </w:p>
        </w:tc>
      </w:tr>
      <w:tr w:rsidR="0039483D" w:rsidRPr="00EB11D3" w14:paraId="0D2AD20A"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0E448B19" w14:textId="77777777" w:rsidR="00C21257" w:rsidRPr="00EB11D3" w:rsidRDefault="00C21257" w:rsidP="00D42354">
            <w:pPr>
              <w:spacing w:after="0" w:line="240" w:lineRule="auto"/>
              <w:rPr>
                <w:rFonts w:eastAsia="Times New Roman"/>
                <w:szCs w:val="24"/>
              </w:rPr>
            </w:pPr>
            <w:r w:rsidRPr="00EB11D3">
              <w:rPr>
                <w:rFonts w:eastAsia="Times New Roman"/>
                <w:szCs w:val="24"/>
              </w:rPr>
              <w:t>2</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7698E797" w14:textId="77777777" w:rsidR="00C21257" w:rsidRPr="00EB11D3" w:rsidRDefault="00D42354" w:rsidP="00D42354">
            <w:pPr>
              <w:spacing w:after="0" w:line="240" w:lineRule="auto"/>
              <w:rPr>
                <w:rFonts w:eastAsia="Times New Roman"/>
                <w:szCs w:val="24"/>
              </w:rPr>
            </w:pPr>
            <w:r w:rsidRPr="00EB11D3">
              <w:rPr>
                <w:rFonts w:eastAsia="Times New Roman"/>
                <w:szCs w:val="24"/>
              </w:rPr>
              <w:t>H</w:t>
            </w:r>
            <w:r w:rsidR="00C21257" w:rsidRPr="00EB11D3">
              <w:rPr>
                <w:rFonts w:eastAsia="Times New Roman"/>
                <w:szCs w:val="24"/>
              </w:rPr>
              <w:t>as initiated several projects for the benefit of neighboring community</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62F97DD2" w14:textId="77777777" w:rsidR="00C21257" w:rsidRPr="00EB11D3" w:rsidRDefault="00C21257" w:rsidP="00D42354">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185CC5C5" w14:textId="77777777" w:rsidR="00C21257" w:rsidRPr="00EB11D3" w:rsidRDefault="00C21257" w:rsidP="00D42354">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3A1BE04C" w14:textId="77777777" w:rsidR="00C21257" w:rsidRPr="00EB11D3" w:rsidRDefault="00C21257" w:rsidP="00D42354">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5A789342" w14:textId="77777777" w:rsidR="00C21257" w:rsidRPr="00EB11D3" w:rsidRDefault="00C21257" w:rsidP="00D42354">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5EB62809" w14:textId="77777777" w:rsidR="00C21257" w:rsidRPr="00EB11D3" w:rsidRDefault="00C21257" w:rsidP="00D42354">
            <w:pPr>
              <w:spacing w:after="0" w:line="240" w:lineRule="auto"/>
              <w:rPr>
                <w:rFonts w:eastAsia="Times New Roman"/>
                <w:szCs w:val="24"/>
              </w:rPr>
            </w:pPr>
          </w:p>
        </w:tc>
      </w:tr>
      <w:tr w:rsidR="0039483D" w:rsidRPr="00EB11D3" w14:paraId="56DD0F5F"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3EC88B45" w14:textId="77777777" w:rsidR="00C21257" w:rsidRPr="00EB11D3" w:rsidRDefault="00C21257" w:rsidP="00D42354">
            <w:pPr>
              <w:spacing w:after="0" w:line="240" w:lineRule="auto"/>
              <w:rPr>
                <w:rFonts w:eastAsia="Times New Roman"/>
                <w:szCs w:val="24"/>
              </w:rPr>
            </w:pPr>
            <w:r w:rsidRPr="00EB11D3">
              <w:rPr>
                <w:rFonts w:eastAsia="Times New Roman"/>
                <w:szCs w:val="24"/>
              </w:rPr>
              <w:t>3</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2E93B467" w14:textId="77777777" w:rsidR="00C21257" w:rsidRPr="00EB11D3" w:rsidRDefault="00D42354" w:rsidP="00D42354">
            <w:pPr>
              <w:spacing w:after="0" w:line="240" w:lineRule="auto"/>
              <w:rPr>
                <w:rFonts w:eastAsia="Times New Roman"/>
                <w:szCs w:val="24"/>
              </w:rPr>
            </w:pPr>
            <w:r w:rsidRPr="00EB11D3">
              <w:rPr>
                <w:rFonts w:eastAsia="Times New Roman"/>
                <w:szCs w:val="24"/>
              </w:rPr>
              <w:t>O</w:t>
            </w:r>
            <w:r w:rsidR="00C21257" w:rsidRPr="00EB11D3">
              <w:rPr>
                <w:rFonts w:eastAsia="Times New Roman"/>
                <w:szCs w:val="24"/>
              </w:rPr>
              <w:t xml:space="preserve">ffers high quality services access </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737CA131" w14:textId="77777777" w:rsidR="00C21257" w:rsidRPr="00EB11D3" w:rsidRDefault="00C21257" w:rsidP="00D42354">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0F40C379" w14:textId="77777777" w:rsidR="00C21257" w:rsidRPr="00EB11D3" w:rsidRDefault="00C21257" w:rsidP="00D42354">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4297B75F" w14:textId="77777777" w:rsidR="00C21257" w:rsidRPr="00EB11D3" w:rsidRDefault="00C21257" w:rsidP="00D42354">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51629D1D" w14:textId="77777777" w:rsidR="00C21257" w:rsidRPr="00EB11D3" w:rsidRDefault="00C21257" w:rsidP="00D42354">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4F324710" w14:textId="77777777" w:rsidR="00C21257" w:rsidRPr="00EB11D3" w:rsidRDefault="00C21257" w:rsidP="00D42354">
            <w:pPr>
              <w:spacing w:after="0" w:line="240" w:lineRule="auto"/>
              <w:rPr>
                <w:rFonts w:eastAsia="Times New Roman"/>
                <w:szCs w:val="24"/>
              </w:rPr>
            </w:pPr>
          </w:p>
        </w:tc>
      </w:tr>
      <w:tr w:rsidR="0039483D" w:rsidRPr="00EB11D3" w14:paraId="6A3D569A"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79A39230" w14:textId="77777777" w:rsidR="00C21257" w:rsidRPr="00EB11D3" w:rsidRDefault="00C21257" w:rsidP="00052AD2">
            <w:pPr>
              <w:spacing w:after="0" w:line="240" w:lineRule="auto"/>
              <w:rPr>
                <w:rFonts w:eastAsia="Times New Roman"/>
                <w:szCs w:val="24"/>
              </w:rPr>
            </w:pPr>
            <w:r w:rsidRPr="00EB11D3">
              <w:rPr>
                <w:rFonts w:eastAsia="Times New Roman"/>
                <w:szCs w:val="24"/>
              </w:rPr>
              <w:t>4</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132C441C" w14:textId="77777777" w:rsidR="00C21257" w:rsidRPr="00EB11D3" w:rsidRDefault="00D42354" w:rsidP="00052AD2">
            <w:pPr>
              <w:spacing w:after="0" w:line="240" w:lineRule="auto"/>
              <w:rPr>
                <w:rFonts w:eastAsia="Times New Roman"/>
                <w:szCs w:val="24"/>
              </w:rPr>
            </w:pPr>
            <w:r w:rsidRPr="00EB11D3">
              <w:rPr>
                <w:rFonts w:eastAsia="Times New Roman"/>
                <w:szCs w:val="24"/>
              </w:rPr>
              <w:t>P</w:t>
            </w:r>
            <w:r w:rsidR="00C21257" w:rsidRPr="00EB11D3">
              <w:rPr>
                <w:rFonts w:eastAsia="Times New Roman"/>
                <w:szCs w:val="24"/>
              </w:rPr>
              <w:t>ays its suppliers on a timely manner</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243DA5A3"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6C083248"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117DECB8"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26EF0C5D"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3BBA0422" w14:textId="77777777" w:rsidR="00C21257" w:rsidRPr="00EB11D3" w:rsidRDefault="00C21257" w:rsidP="00052AD2">
            <w:pPr>
              <w:spacing w:after="0" w:line="240" w:lineRule="auto"/>
              <w:rPr>
                <w:rFonts w:eastAsia="Times New Roman"/>
                <w:szCs w:val="24"/>
              </w:rPr>
            </w:pPr>
          </w:p>
        </w:tc>
      </w:tr>
      <w:tr w:rsidR="0039483D" w:rsidRPr="00EB11D3" w14:paraId="376FAB4B"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4E30525F" w14:textId="77777777" w:rsidR="00C21257" w:rsidRPr="00EB11D3" w:rsidRDefault="00C21257" w:rsidP="00D42354">
            <w:pPr>
              <w:spacing w:after="0" w:line="240" w:lineRule="auto"/>
              <w:rPr>
                <w:rFonts w:eastAsia="Times New Roman"/>
                <w:szCs w:val="24"/>
              </w:rPr>
            </w:pPr>
            <w:r w:rsidRPr="00EB11D3">
              <w:rPr>
                <w:rFonts w:eastAsia="Times New Roman"/>
                <w:szCs w:val="24"/>
              </w:rPr>
              <w:t>5</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2ED4ED17" w14:textId="77777777" w:rsidR="00C21257" w:rsidRPr="00EB11D3" w:rsidRDefault="00D42354" w:rsidP="00D42354">
            <w:pPr>
              <w:spacing w:after="0" w:line="240" w:lineRule="auto"/>
              <w:rPr>
                <w:rFonts w:eastAsia="Times New Roman"/>
                <w:szCs w:val="24"/>
              </w:rPr>
            </w:pPr>
            <w:r w:rsidRPr="00EB11D3">
              <w:rPr>
                <w:rFonts w:eastAsia="Times New Roman"/>
                <w:szCs w:val="24"/>
              </w:rPr>
              <w:t>A</w:t>
            </w:r>
            <w:r w:rsidR="00C21257" w:rsidRPr="00EB11D3">
              <w:rPr>
                <w:rFonts w:eastAsia="Times New Roman"/>
                <w:szCs w:val="24"/>
              </w:rPr>
              <w:t xml:space="preserve">lways ensures adherence to governing regulations </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39985862" w14:textId="77777777" w:rsidR="00C21257" w:rsidRPr="00EB11D3" w:rsidRDefault="00C21257" w:rsidP="00D42354">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248376F4" w14:textId="77777777" w:rsidR="00C21257" w:rsidRPr="00EB11D3" w:rsidRDefault="00C21257" w:rsidP="00D42354">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62772FD4" w14:textId="77777777" w:rsidR="00C21257" w:rsidRPr="00EB11D3" w:rsidRDefault="00C21257" w:rsidP="00D42354">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1172B2E8" w14:textId="77777777" w:rsidR="00C21257" w:rsidRPr="00EB11D3" w:rsidRDefault="00C21257" w:rsidP="00D42354">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78462E6B" w14:textId="77777777" w:rsidR="00C21257" w:rsidRPr="00EB11D3" w:rsidRDefault="00C21257" w:rsidP="00D42354">
            <w:pPr>
              <w:spacing w:after="0" w:line="240" w:lineRule="auto"/>
              <w:rPr>
                <w:rFonts w:eastAsia="Times New Roman"/>
                <w:szCs w:val="24"/>
              </w:rPr>
            </w:pPr>
          </w:p>
        </w:tc>
      </w:tr>
      <w:tr w:rsidR="0039483D" w:rsidRPr="00EB11D3" w14:paraId="7A67A9AB"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520B2FCA" w14:textId="77777777" w:rsidR="00C21257" w:rsidRPr="00EB11D3" w:rsidRDefault="00C21257" w:rsidP="00052AD2">
            <w:pPr>
              <w:spacing w:after="0" w:line="240" w:lineRule="auto"/>
              <w:rPr>
                <w:rFonts w:eastAsia="Times New Roman"/>
                <w:szCs w:val="24"/>
              </w:rPr>
            </w:pPr>
            <w:r w:rsidRPr="00EB11D3">
              <w:rPr>
                <w:rFonts w:eastAsia="Times New Roman"/>
                <w:szCs w:val="24"/>
              </w:rPr>
              <w:t>6</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12354688" w14:textId="77777777" w:rsidR="00C21257" w:rsidRPr="00EB11D3" w:rsidRDefault="00D42354" w:rsidP="00052AD2">
            <w:pPr>
              <w:spacing w:after="0" w:line="240" w:lineRule="auto"/>
              <w:rPr>
                <w:rFonts w:eastAsia="Times New Roman"/>
                <w:szCs w:val="24"/>
              </w:rPr>
            </w:pPr>
            <w:r w:rsidRPr="00EB11D3">
              <w:rPr>
                <w:rFonts w:eastAsia="Times New Roman"/>
                <w:szCs w:val="24"/>
              </w:rPr>
              <w:t>B</w:t>
            </w:r>
            <w:r w:rsidR="00C21257" w:rsidRPr="00EB11D3">
              <w:rPr>
                <w:rFonts w:eastAsia="Times New Roman"/>
                <w:szCs w:val="24"/>
              </w:rPr>
              <w:t>oard ensures adherence to ethical practices</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20DF8355"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39BE2900"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4F37A5AA"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24DB3B3C"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097C236C" w14:textId="77777777" w:rsidR="00C21257" w:rsidRPr="00EB11D3" w:rsidRDefault="00C21257" w:rsidP="00052AD2">
            <w:pPr>
              <w:spacing w:after="0" w:line="240" w:lineRule="auto"/>
              <w:rPr>
                <w:rFonts w:eastAsia="Times New Roman"/>
                <w:szCs w:val="24"/>
              </w:rPr>
            </w:pPr>
          </w:p>
        </w:tc>
      </w:tr>
      <w:tr w:rsidR="0039483D" w:rsidRPr="00EB11D3" w14:paraId="5C910D40"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75E4F13D" w14:textId="77777777" w:rsidR="00C21257" w:rsidRPr="00EB11D3" w:rsidRDefault="00C21257" w:rsidP="00052AD2">
            <w:pPr>
              <w:spacing w:after="0" w:line="240" w:lineRule="auto"/>
              <w:rPr>
                <w:rFonts w:eastAsia="Times New Roman"/>
                <w:szCs w:val="24"/>
              </w:rPr>
            </w:pPr>
            <w:r w:rsidRPr="00EB11D3">
              <w:rPr>
                <w:rFonts w:eastAsia="Times New Roman"/>
                <w:szCs w:val="24"/>
              </w:rPr>
              <w:t>7</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6B07B58E" w14:textId="77777777" w:rsidR="00C21257" w:rsidRPr="00EB11D3" w:rsidRDefault="00D42354" w:rsidP="00052AD2">
            <w:pPr>
              <w:spacing w:after="0" w:line="240" w:lineRule="auto"/>
              <w:rPr>
                <w:rFonts w:eastAsia="Times New Roman"/>
                <w:szCs w:val="24"/>
              </w:rPr>
            </w:pPr>
            <w:r w:rsidRPr="00EB11D3">
              <w:rPr>
                <w:rFonts w:eastAsia="Times New Roman"/>
                <w:szCs w:val="24"/>
              </w:rPr>
              <w:t>B</w:t>
            </w:r>
            <w:r w:rsidR="00C21257" w:rsidRPr="00EB11D3">
              <w:rPr>
                <w:rFonts w:eastAsia="Times New Roman"/>
                <w:szCs w:val="24"/>
              </w:rPr>
              <w:t xml:space="preserve">oard </w:t>
            </w:r>
            <w:r w:rsidR="002537CE" w:rsidRPr="00EB11D3">
              <w:rPr>
                <w:rFonts w:eastAsia="Times New Roman"/>
                <w:szCs w:val="24"/>
              </w:rPr>
              <w:t>conducts</w:t>
            </w:r>
            <w:r w:rsidR="00C21257" w:rsidRPr="00EB11D3">
              <w:rPr>
                <w:rFonts w:eastAsia="Times New Roman"/>
                <w:szCs w:val="24"/>
              </w:rPr>
              <w:t xml:space="preserve"> annual performance evaluation to its senior staff.</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21CD074B"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519D81B7"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22862F89"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10DA5D62"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243D3E70" w14:textId="77777777" w:rsidR="00C21257" w:rsidRPr="00EB11D3" w:rsidRDefault="00C21257" w:rsidP="00052AD2">
            <w:pPr>
              <w:spacing w:after="0" w:line="240" w:lineRule="auto"/>
              <w:rPr>
                <w:rFonts w:eastAsia="Times New Roman"/>
                <w:szCs w:val="24"/>
              </w:rPr>
            </w:pPr>
          </w:p>
        </w:tc>
      </w:tr>
      <w:tr w:rsidR="0039483D" w:rsidRPr="00EB11D3" w14:paraId="6B5F6AEA"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tcPr>
          <w:p w14:paraId="43B643CA" w14:textId="77777777" w:rsidR="00C21257" w:rsidRPr="00EB11D3" w:rsidRDefault="00C21257" w:rsidP="00052AD2">
            <w:pPr>
              <w:spacing w:after="0" w:line="240" w:lineRule="auto"/>
              <w:rPr>
                <w:rFonts w:eastAsia="Times New Roman"/>
                <w:szCs w:val="24"/>
              </w:rPr>
            </w:pP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425379AB"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Board Composition</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176F746F"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29D27B9A"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0ADC7C0B"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478F7535"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65904978" w14:textId="77777777" w:rsidR="00C21257" w:rsidRPr="00EB11D3" w:rsidRDefault="00C21257" w:rsidP="00052AD2">
            <w:pPr>
              <w:spacing w:after="0" w:line="240" w:lineRule="auto"/>
              <w:rPr>
                <w:rFonts w:eastAsia="Times New Roman"/>
                <w:szCs w:val="24"/>
              </w:rPr>
            </w:pPr>
          </w:p>
        </w:tc>
      </w:tr>
      <w:tr w:rsidR="0039483D" w:rsidRPr="00EB11D3" w14:paraId="22D21107"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tcPr>
          <w:p w14:paraId="4695898B" w14:textId="77777777" w:rsidR="00C21257" w:rsidRPr="00EB11D3" w:rsidRDefault="00D42354" w:rsidP="00052AD2">
            <w:pPr>
              <w:spacing w:after="0" w:line="240" w:lineRule="auto"/>
              <w:rPr>
                <w:rFonts w:eastAsia="Times New Roman"/>
                <w:szCs w:val="24"/>
              </w:rPr>
            </w:pPr>
            <w:r w:rsidRPr="00EB11D3">
              <w:rPr>
                <w:rFonts w:eastAsia="Times New Roman"/>
                <w:szCs w:val="24"/>
              </w:rPr>
              <w:t>1</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71CA80F8" w14:textId="77777777" w:rsidR="00C21257" w:rsidRPr="00EB11D3" w:rsidRDefault="00C21257" w:rsidP="00052AD2">
            <w:pPr>
              <w:spacing w:after="0" w:line="240" w:lineRule="auto"/>
              <w:rPr>
                <w:rFonts w:eastAsia="Times New Roman"/>
                <w:szCs w:val="24"/>
              </w:rPr>
            </w:pPr>
            <w:r w:rsidRPr="00EB11D3">
              <w:rPr>
                <w:rFonts w:eastAsia="Times New Roman"/>
                <w:szCs w:val="24"/>
              </w:rPr>
              <w:t xml:space="preserve">Board membership have diverse academic skill set </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00C2A462"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4628E17F"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295FB130"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571D3A87"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175B40CF" w14:textId="77777777" w:rsidR="00C21257" w:rsidRPr="00EB11D3" w:rsidRDefault="00C21257" w:rsidP="00052AD2">
            <w:pPr>
              <w:spacing w:after="0" w:line="240" w:lineRule="auto"/>
              <w:rPr>
                <w:rFonts w:eastAsia="Times New Roman"/>
                <w:szCs w:val="24"/>
              </w:rPr>
            </w:pPr>
          </w:p>
        </w:tc>
      </w:tr>
      <w:tr w:rsidR="0039483D" w:rsidRPr="00EB11D3" w14:paraId="52FEDD98"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6FE40C7C" w14:textId="77777777" w:rsidR="00C21257" w:rsidRPr="00EB11D3" w:rsidRDefault="00D42354" w:rsidP="00052AD2">
            <w:pPr>
              <w:spacing w:after="0" w:line="240" w:lineRule="auto"/>
              <w:rPr>
                <w:rFonts w:eastAsia="Times New Roman"/>
                <w:szCs w:val="24"/>
              </w:rPr>
            </w:pPr>
            <w:r w:rsidRPr="00EB11D3">
              <w:rPr>
                <w:rFonts w:eastAsia="Times New Roman"/>
                <w:szCs w:val="24"/>
              </w:rPr>
              <w:t>2</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1ABFF42D" w14:textId="77777777" w:rsidR="00C21257" w:rsidRPr="00EB11D3" w:rsidRDefault="00C21257" w:rsidP="00052AD2">
            <w:pPr>
              <w:spacing w:after="0" w:line="240" w:lineRule="auto"/>
              <w:rPr>
                <w:rFonts w:eastAsia="Times New Roman"/>
                <w:szCs w:val="24"/>
              </w:rPr>
            </w:pPr>
            <w:r w:rsidRPr="00EB11D3">
              <w:rPr>
                <w:rFonts w:eastAsia="Times New Roman"/>
                <w:szCs w:val="24"/>
              </w:rPr>
              <w:t>The hospital board has functional board sub-committees</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510710E1"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171F59DD"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28C729C3"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7B99D356"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574D7E9B" w14:textId="77777777" w:rsidR="00C21257" w:rsidRPr="00EB11D3" w:rsidRDefault="00C21257" w:rsidP="00052AD2">
            <w:pPr>
              <w:spacing w:after="0" w:line="240" w:lineRule="auto"/>
              <w:rPr>
                <w:rFonts w:eastAsia="Times New Roman"/>
                <w:szCs w:val="24"/>
              </w:rPr>
            </w:pPr>
          </w:p>
        </w:tc>
      </w:tr>
      <w:tr w:rsidR="0039483D" w:rsidRPr="00EB11D3" w14:paraId="7A495105"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1687EF88" w14:textId="77777777" w:rsidR="00C21257" w:rsidRPr="00EB11D3" w:rsidRDefault="00D42354" w:rsidP="00052AD2">
            <w:pPr>
              <w:spacing w:after="0" w:line="240" w:lineRule="auto"/>
              <w:rPr>
                <w:rFonts w:eastAsia="Times New Roman"/>
                <w:szCs w:val="24"/>
              </w:rPr>
            </w:pPr>
            <w:r w:rsidRPr="00EB11D3">
              <w:rPr>
                <w:rFonts w:eastAsia="Times New Roman"/>
                <w:szCs w:val="24"/>
              </w:rPr>
              <w:t>3</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77FCE9AD" w14:textId="77777777" w:rsidR="00C21257" w:rsidRPr="00EB11D3" w:rsidRDefault="00C21257" w:rsidP="00052AD2">
            <w:pPr>
              <w:spacing w:after="0" w:line="240" w:lineRule="auto"/>
              <w:rPr>
                <w:rFonts w:eastAsia="Times New Roman"/>
                <w:szCs w:val="24"/>
              </w:rPr>
            </w:pPr>
            <w:r w:rsidRPr="00EB11D3">
              <w:rPr>
                <w:rFonts w:eastAsia="Times New Roman"/>
                <w:szCs w:val="24"/>
              </w:rPr>
              <w:t>Board members maintain independence in decision making.</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3C9D97AC"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04D064B3"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49B3D7E1"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136DBD11"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73FADEFC" w14:textId="77777777" w:rsidR="00C21257" w:rsidRPr="00EB11D3" w:rsidRDefault="00C21257" w:rsidP="00052AD2">
            <w:pPr>
              <w:spacing w:after="0" w:line="240" w:lineRule="auto"/>
              <w:rPr>
                <w:rFonts w:eastAsia="Times New Roman"/>
                <w:szCs w:val="24"/>
              </w:rPr>
            </w:pPr>
          </w:p>
        </w:tc>
      </w:tr>
      <w:tr w:rsidR="0039483D" w:rsidRPr="00EB11D3" w14:paraId="1B273410"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69B6272C" w14:textId="77777777" w:rsidR="00C21257" w:rsidRPr="00EB11D3" w:rsidRDefault="00D42354" w:rsidP="00052AD2">
            <w:pPr>
              <w:spacing w:after="0" w:line="240" w:lineRule="auto"/>
              <w:rPr>
                <w:rFonts w:eastAsia="Times New Roman"/>
                <w:szCs w:val="24"/>
              </w:rPr>
            </w:pPr>
            <w:r w:rsidRPr="00EB11D3">
              <w:rPr>
                <w:rFonts w:eastAsia="Times New Roman"/>
                <w:szCs w:val="24"/>
              </w:rPr>
              <w:t>4</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0C09B4A7" w14:textId="77777777" w:rsidR="00C21257" w:rsidRPr="00EB11D3" w:rsidRDefault="00C21257" w:rsidP="00052AD2">
            <w:pPr>
              <w:spacing w:after="0" w:line="240" w:lineRule="auto"/>
              <w:rPr>
                <w:rFonts w:eastAsia="Times New Roman"/>
                <w:szCs w:val="24"/>
              </w:rPr>
            </w:pPr>
            <w:r w:rsidRPr="00EB11D3">
              <w:rPr>
                <w:rFonts w:eastAsia="Times New Roman"/>
                <w:szCs w:val="24"/>
              </w:rPr>
              <w:t xml:space="preserve">Board membership has diversity </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6B643332"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7E0CFEC5"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5396C446"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59F4A33F"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19277E5B" w14:textId="77777777" w:rsidR="00C21257" w:rsidRPr="00EB11D3" w:rsidRDefault="00C21257" w:rsidP="00052AD2">
            <w:pPr>
              <w:spacing w:after="0" w:line="240" w:lineRule="auto"/>
              <w:rPr>
                <w:rFonts w:eastAsia="Times New Roman"/>
                <w:szCs w:val="24"/>
              </w:rPr>
            </w:pPr>
          </w:p>
        </w:tc>
      </w:tr>
      <w:tr w:rsidR="0039483D" w:rsidRPr="00EB11D3" w14:paraId="664A2B1A"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4A051CD5" w14:textId="77777777" w:rsidR="00C21257" w:rsidRPr="00EB11D3" w:rsidRDefault="00D42354" w:rsidP="00052AD2">
            <w:pPr>
              <w:spacing w:after="0" w:line="240" w:lineRule="auto"/>
              <w:rPr>
                <w:rFonts w:eastAsia="Times New Roman"/>
                <w:szCs w:val="24"/>
              </w:rPr>
            </w:pPr>
            <w:r w:rsidRPr="00EB11D3">
              <w:rPr>
                <w:rFonts w:eastAsia="Times New Roman"/>
                <w:szCs w:val="24"/>
              </w:rPr>
              <w:t>5</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412FFB1C" w14:textId="77777777" w:rsidR="00C21257" w:rsidRPr="00EB11D3" w:rsidRDefault="00C21257" w:rsidP="00052AD2">
            <w:pPr>
              <w:spacing w:after="0" w:line="240" w:lineRule="auto"/>
              <w:rPr>
                <w:rFonts w:eastAsia="Times New Roman"/>
                <w:szCs w:val="24"/>
              </w:rPr>
            </w:pPr>
            <w:r w:rsidRPr="00EB11D3">
              <w:rPr>
                <w:rFonts w:eastAsia="Times New Roman"/>
                <w:szCs w:val="24"/>
              </w:rPr>
              <w:t>Board members have relevant expertise to add value to the hospital operations</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68C131F1"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56A5E369"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35120C76"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1074D221"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6CADE57F" w14:textId="77777777" w:rsidR="00C21257" w:rsidRPr="00EB11D3" w:rsidRDefault="00C21257" w:rsidP="00052AD2">
            <w:pPr>
              <w:spacing w:after="0" w:line="240" w:lineRule="auto"/>
              <w:rPr>
                <w:rFonts w:eastAsia="Times New Roman"/>
                <w:szCs w:val="24"/>
              </w:rPr>
            </w:pPr>
          </w:p>
        </w:tc>
      </w:tr>
      <w:tr w:rsidR="0039483D" w:rsidRPr="00EB11D3" w14:paraId="11765B7A"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466468ED" w14:textId="77777777" w:rsidR="00C21257" w:rsidRPr="00EB11D3" w:rsidRDefault="00D42354" w:rsidP="002537CE">
            <w:pPr>
              <w:spacing w:after="0" w:line="240" w:lineRule="auto"/>
              <w:rPr>
                <w:rFonts w:eastAsia="Times New Roman"/>
                <w:szCs w:val="24"/>
              </w:rPr>
            </w:pPr>
            <w:r w:rsidRPr="00EB11D3">
              <w:rPr>
                <w:rFonts w:eastAsia="Times New Roman"/>
                <w:szCs w:val="24"/>
              </w:rPr>
              <w:t>6</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151A15D4" w14:textId="77777777" w:rsidR="00C21257" w:rsidRPr="00EB11D3" w:rsidRDefault="00C21257" w:rsidP="002537CE">
            <w:pPr>
              <w:spacing w:after="0" w:line="240" w:lineRule="auto"/>
              <w:rPr>
                <w:rFonts w:eastAsia="Times New Roman"/>
                <w:szCs w:val="24"/>
              </w:rPr>
            </w:pPr>
            <w:r w:rsidRPr="00EB11D3">
              <w:rPr>
                <w:rFonts w:eastAsia="Times New Roman"/>
                <w:szCs w:val="24"/>
              </w:rPr>
              <w:t>The hospital conducts training for board members on their duties</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24C435AB" w14:textId="77777777" w:rsidR="00C21257" w:rsidRPr="00EB11D3" w:rsidRDefault="00C21257" w:rsidP="002537CE">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164B97D2" w14:textId="77777777" w:rsidR="00C21257" w:rsidRPr="00EB11D3" w:rsidRDefault="00C21257" w:rsidP="002537CE">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6D0C1DB1" w14:textId="77777777" w:rsidR="00C21257" w:rsidRPr="00EB11D3" w:rsidRDefault="00C21257" w:rsidP="002537CE">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04DBF74E" w14:textId="77777777" w:rsidR="00C21257" w:rsidRPr="00EB11D3" w:rsidRDefault="00C21257" w:rsidP="002537CE">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05AB2350" w14:textId="77777777" w:rsidR="00C21257" w:rsidRPr="00EB11D3" w:rsidRDefault="00C21257" w:rsidP="002537CE">
            <w:pPr>
              <w:spacing w:after="0" w:line="240" w:lineRule="auto"/>
              <w:rPr>
                <w:rFonts w:eastAsia="Times New Roman"/>
                <w:szCs w:val="24"/>
              </w:rPr>
            </w:pPr>
          </w:p>
        </w:tc>
      </w:tr>
      <w:tr w:rsidR="0039483D" w:rsidRPr="00EB11D3" w14:paraId="352398FA" w14:textId="77777777" w:rsidTr="00D42354">
        <w:trPr>
          <w:trHeight w:val="288"/>
        </w:trPr>
        <w:tc>
          <w:tcPr>
            <w:tcW w:w="233" w:type="pct"/>
            <w:tcBorders>
              <w:top w:val="single" w:sz="4" w:space="0" w:color="666666"/>
              <w:left w:val="single" w:sz="4" w:space="0" w:color="666666"/>
              <w:bottom w:val="single" w:sz="4" w:space="0" w:color="666666"/>
              <w:right w:val="single" w:sz="4" w:space="0" w:color="666666"/>
            </w:tcBorders>
            <w:shd w:val="clear" w:color="auto" w:fill="FFFFFF"/>
            <w:hideMark/>
          </w:tcPr>
          <w:p w14:paraId="04A01FA1" w14:textId="77777777" w:rsidR="00C21257" w:rsidRPr="00EB11D3" w:rsidRDefault="00D42354" w:rsidP="00052AD2">
            <w:pPr>
              <w:spacing w:after="0" w:line="240" w:lineRule="auto"/>
              <w:rPr>
                <w:rFonts w:eastAsia="Times New Roman"/>
                <w:szCs w:val="24"/>
              </w:rPr>
            </w:pPr>
            <w:r w:rsidRPr="00EB11D3">
              <w:rPr>
                <w:rFonts w:eastAsia="Times New Roman"/>
                <w:szCs w:val="24"/>
              </w:rPr>
              <w:t>7</w:t>
            </w:r>
          </w:p>
        </w:tc>
        <w:tc>
          <w:tcPr>
            <w:tcW w:w="3687" w:type="pct"/>
            <w:tcBorders>
              <w:top w:val="single" w:sz="4" w:space="0" w:color="666666"/>
              <w:left w:val="single" w:sz="4" w:space="0" w:color="666666"/>
              <w:bottom w:val="single" w:sz="4" w:space="0" w:color="666666"/>
              <w:right w:val="single" w:sz="4" w:space="0" w:color="666666"/>
            </w:tcBorders>
            <w:shd w:val="clear" w:color="auto" w:fill="FFFFFF"/>
            <w:hideMark/>
          </w:tcPr>
          <w:p w14:paraId="0DEA21D5" w14:textId="77777777" w:rsidR="00C21257" w:rsidRPr="00EB11D3" w:rsidRDefault="00C21257" w:rsidP="00052AD2">
            <w:pPr>
              <w:spacing w:after="0" w:line="240" w:lineRule="auto"/>
              <w:rPr>
                <w:rFonts w:eastAsia="Times New Roman"/>
                <w:szCs w:val="24"/>
              </w:rPr>
            </w:pPr>
            <w:r w:rsidRPr="00EB11D3">
              <w:rPr>
                <w:rFonts w:eastAsia="Times New Roman"/>
                <w:szCs w:val="24"/>
              </w:rPr>
              <w:t xml:space="preserve">The hospital has board self-assessment tools </w:t>
            </w: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6A20A0A6"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00BFE9F5" w14:textId="77777777" w:rsidR="00C21257" w:rsidRPr="00EB11D3" w:rsidRDefault="00C21257" w:rsidP="00052AD2">
            <w:pPr>
              <w:spacing w:after="0" w:line="240" w:lineRule="auto"/>
              <w:rPr>
                <w:rFonts w:eastAsia="Times New Roman"/>
                <w:szCs w:val="24"/>
              </w:rPr>
            </w:pPr>
          </w:p>
        </w:tc>
        <w:tc>
          <w:tcPr>
            <w:tcW w:w="206" w:type="pct"/>
            <w:tcBorders>
              <w:top w:val="single" w:sz="4" w:space="0" w:color="666666"/>
              <w:left w:val="single" w:sz="4" w:space="0" w:color="666666"/>
              <w:bottom w:val="single" w:sz="4" w:space="0" w:color="666666"/>
              <w:right w:val="single" w:sz="4" w:space="0" w:color="666666"/>
            </w:tcBorders>
            <w:shd w:val="clear" w:color="auto" w:fill="FFFFFF"/>
          </w:tcPr>
          <w:p w14:paraId="5D7F13D3" w14:textId="77777777" w:rsidR="00C21257" w:rsidRPr="00EB11D3" w:rsidRDefault="00C21257" w:rsidP="00052AD2">
            <w:pPr>
              <w:spacing w:after="0" w:line="240" w:lineRule="auto"/>
              <w:rPr>
                <w:rFonts w:eastAsia="Times New Roman"/>
                <w:szCs w:val="24"/>
              </w:rPr>
            </w:pPr>
          </w:p>
        </w:tc>
        <w:tc>
          <w:tcPr>
            <w:tcW w:w="207" w:type="pct"/>
            <w:tcBorders>
              <w:top w:val="single" w:sz="4" w:space="0" w:color="666666"/>
              <w:left w:val="single" w:sz="4" w:space="0" w:color="666666"/>
              <w:bottom w:val="single" w:sz="4" w:space="0" w:color="666666"/>
              <w:right w:val="single" w:sz="4" w:space="0" w:color="666666"/>
            </w:tcBorders>
            <w:shd w:val="clear" w:color="auto" w:fill="FFFFFF"/>
          </w:tcPr>
          <w:p w14:paraId="6F286BDA" w14:textId="77777777" w:rsidR="00C21257" w:rsidRPr="00EB11D3" w:rsidRDefault="00C21257" w:rsidP="00052AD2">
            <w:pPr>
              <w:spacing w:after="0" w:line="240" w:lineRule="auto"/>
              <w:rPr>
                <w:rFonts w:eastAsia="Times New Roman"/>
                <w:szCs w:val="24"/>
              </w:rPr>
            </w:pPr>
          </w:p>
        </w:tc>
        <w:tc>
          <w:tcPr>
            <w:tcW w:w="255" w:type="pct"/>
            <w:tcBorders>
              <w:top w:val="single" w:sz="4" w:space="0" w:color="666666"/>
              <w:left w:val="single" w:sz="4" w:space="0" w:color="666666"/>
              <w:bottom w:val="single" w:sz="4" w:space="0" w:color="666666"/>
              <w:right w:val="single" w:sz="4" w:space="0" w:color="666666"/>
            </w:tcBorders>
            <w:shd w:val="clear" w:color="auto" w:fill="FFFFFF"/>
          </w:tcPr>
          <w:p w14:paraId="7CBE8C91" w14:textId="77777777" w:rsidR="00C21257" w:rsidRPr="00EB11D3" w:rsidRDefault="00C21257" w:rsidP="00052AD2">
            <w:pPr>
              <w:spacing w:after="0" w:line="240" w:lineRule="auto"/>
              <w:rPr>
                <w:rFonts w:eastAsia="Times New Roman"/>
                <w:szCs w:val="24"/>
              </w:rPr>
            </w:pPr>
          </w:p>
        </w:tc>
      </w:tr>
    </w:tbl>
    <w:p w14:paraId="31B083DD" w14:textId="77777777" w:rsidR="00C21257" w:rsidRPr="00EB11D3" w:rsidRDefault="00C21257" w:rsidP="00C21257">
      <w:pPr>
        <w:spacing w:after="0" w:line="360" w:lineRule="auto"/>
        <w:rPr>
          <w:rFonts w:eastAsia="Times New Roman"/>
          <w:szCs w:val="24"/>
        </w:rPr>
      </w:pPr>
    </w:p>
    <w:p w14:paraId="5BBF9558" w14:textId="77777777" w:rsidR="00C21257" w:rsidRPr="00EB11D3" w:rsidRDefault="00C21257" w:rsidP="00C21257">
      <w:pPr>
        <w:spacing w:after="0" w:line="360" w:lineRule="auto"/>
        <w:rPr>
          <w:rFonts w:eastAsia="Times New Roman"/>
          <w:b/>
          <w:szCs w:val="24"/>
        </w:rPr>
      </w:pPr>
      <w:r w:rsidRPr="00EB11D3">
        <w:rPr>
          <w:rFonts w:eastAsia="Times New Roman"/>
          <w:b/>
          <w:szCs w:val="24"/>
        </w:rPr>
        <w:t xml:space="preserve">SECTION C: SERVICE INNOVATION     </w:t>
      </w:r>
    </w:p>
    <w:p w14:paraId="5FD12590" w14:textId="77777777" w:rsidR="00C21257" w:rsidRPr="00EB11D3" w:rsidRDefault="00C21257" w:rsidP="005741E2">
      <w:pPr>
        <w:numPr>
          <w:ilvl w:val="0"/>
          <w:numId w:val="2"/>
        </w:numPr>
        <w:spacing w:after="0" w:line="360" w:lineRule="auto"/>
        <w:rPr>
          <w:rFonts w:eastAsia="Times New Roman"/>
          <w:szCs w:val="24"/>
        </w:rPr>
      </w:pPr>
      <w:r w:rsidRPr="00EB11D3">
        <w:rPr>
          <w:rFonts w:eastAsia="Times New Roman"/>
          <w:szCs w:val="24"/>
        </w:rPr>
        <w:t xml:space="preserve">To what extent do you agree with the various components of Service Innovation in your facility. Please indicate the level of agreement using a scale of 1-5 where; </w:t>
      </w:r>
      <w:r w:rsidRPr="00EB11D3">
        <w:rPr>
          <w:rFonts w:eastAsia="Times New Roman"/>
          <w:b/>
          <w:szCs w:val="24"/>
        </w:rPr>
        <w:t xml:space="preserve">1=Strongly Disagree, </w:t>
      </w:r>
      <w:r w:rsidR="00D02CAC" w:rsidRPr="00EB11D3">
        <w:rPr>
          <w:rFonts w:eastAsia="Times New Roman"/>
          <w:b/>
          <w:szCs w:val="24"/>
        </w:rPr>
        <w:t>Disagree</w:t>
      </w:r>
      <w:r w:rsidRPr="00EB11D3">
        <w:rPr>
          <w:rFonts w:eastAsia="Times New Roman"/>
          <w:b/>
          <w:szCs w:val="24"/>
        </w:rPr>
        <w:t>=2, Neutral=3, Agree=4, Strongly Agree=5.</w:t>
      </w:r>
    </w:p>
    <w:tbl>
      <w:tblPr>
        <w:tblW w:w="5000" w:type="pct"/>
        <w:tblInd w:w="113"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shd w:val="clear" w:color="auto" w:fill="FFFFFF"/>
        <w:tblLook w:val="04A0" w:firstRow="1" w:lastRow="0" w:firstColumn="1" w:lastColumn="0" w:noHBand="0" w:noVBand="1"/>
      </w:tblPr>
      <w:tblGrid>
        <w:gridCol w:w="422"/>
        <w:gridCol w:w="7090"/>
        <w:gridCol w:w="350"/>
        <w:gridCol w:w="350"/>
        <w:gridCol w:w="352"/>
        <w:gridCol w:w="352"/>
        <w:gridCol w:w="434"/>
      </w:tblGrid>
      <w:tr w:rsidR="0039483D" w:rsidRPr="00EB11D3" w14:paraId="3EABC5AB" w14:textId="77777777" w:rsidTr="00D02CAC">
        <w:trPr>
          <w:trHeight w:val="263"/>
        </w:trPr>
        <w:tc>
          <w:tcPr>
            <w:tcW w:w="226" w:type="pct"/>
            <w:tcBorders>
              <w:top w:val="single" w:sz="4" w:space="0" w:color="000000"/>
              <w:left w:val="single" w:sz="4" w:space="0" w:color="000000"/>
              <w:bottom w:val="single" w:sz="4" w:space="0" w:color="000000"/>
              <w:right w:val="nil"/>
            </w:tcBorders>
            <w:shd w:val="clear" w:color="auto" w:fill="FFFFFF"/>
            <w:hideMark/>
          </w:tcPr>
          <w:p w14:paraId="759AE1EC"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 </w:t>
            </w:r>
          </w:p>
        </w:tc>
        <w:tc>
          <w:tcPr>
            <w:tcW w:w="3791" w:type="pct"/>
            <w:tcBorders>
              <w:top w:val="single" w:sz="4" w:space="0" w:color="000000"/>
              <w:left w:val="nil"/>
              <w:bottom w:val="single" w:sz="4" w:space="0" w:color="000000"/>
              <w:right w:val="nil"/>
            </w:tcBorders>
            <w:shd w:val="clear" w:color="auto" w:fill="FFFFFF"/>
            <w:hideMark/>
          </w:tcPr>
          <w:p w14:paraId="51DA080E"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Statement</w:t>
            </w:r>
          </w:p>
        </w:tc>
        <w:tc>
          <w:tcPr>
            <w:tcW w:w="187" w:type="pct"/>
            <w:tcBorders>
              <w:top w:val="single" w:sz="4" w:space="0" w:color="000000"/>
              <w:left w:val="nil"/>
              <w:bottom w:val="single" w:sz="4" w:space="0" w:color="000000"/>
              <w:right w:val="nil"/>
            </w:tcBorders>
            <w:shd w:val="clear" w:color="auto" w:fill="FFFFFF"/>
            <w:hideMark/>
          </w:tcPr>
          <w:p w14:paraId="3473DB87"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1</w:t>
            </w:r>
          </w:p>
        </w:tc>
        <w:tc>
          <w:tcPr>
            <w:tcW w:w="187" w:type="pct"/>
            <w:tcBorders>
              <w:top w:val="single" w:sz="4" w:space="0" w:color="000000"/>
              <w:left w:val="nil"/>
              <w:bottom w:val="single" w:sz="4" w:space="0" w:color="000000"/>
              <w:right w:val="nil"/>
            </w:tcBorders>
            <w:shd w:val="clear" w:color="auto" w:fill="FFFFFF"/>
            <w:hideMark/>
          </w:tcPr>
          <w:p w14:paraId="5BB986BC"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2</w:t>
            </w:r>
          </w:p>
        </w:tc>
        <w:tc>
          <w:tcPr>
            <w:tcW w:w="188" w:type="pct"/>
            <w:tcBorders>
              <w:top w:val="single" w:sz="4" w:space="0" w:color="000000"/>
              <w:left w:val="nil"/>
              <w:bottom w:val="single" w:sz="4" w:space="0" w:color="000000"/>
              <w:right w:val="nil"/>
            </w:tcBorders>
            <w:shd w:val="clear" w:color="auto" w:fill="FFFFFF"/>
            <w:hideMark/>
          </w:tcPr>
          <w:p w14:paraId="7772B914"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3</w:t>
            </w:r>
          </w:p>
        </w:tc>
        <w:tc>
          <w:tcPr>
            <w:tcW w:w="188" w:type="pct"/>
            <w:tcBorders>
              <w:top w:val="single" w:sz="4" w:space="0" w:color="000000"/>
              <w:left w:val="nil"/>
              <w:bottom w:val="single" w:sz="4" w:space="0" w:color="000000"/>
              <w:right w:val="nil"/>
            </w:tcBorders>
            <w:shd w:val="clear" w:color="auto" w:fill="FFFFFF"/>
            <w:hideMark/>
          </w:tcPr>
          <w:p w14:paraId="07332BDB"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4</w:t>
            </w:r>
          </w:p>
        </w:tc>
        <w:tc>
          <w:tcPr>
            <w:tcW w:w="232" w:type="pct"/>
            <w:tcBorders>
              <w:top w:val="single" w:sz="4" w:space="0" w:color="000000"/>
              <w:left w:val="nil"/>
              <w:bottom w:val="single" w:sz="4" w:space="0" w:color="000000"/>
              <w:right w:val="single" w:sz="4" w:space="0" w:color="000000"/>
            </w:tcBorders>
            <w:shd w:val="clear" w:color="auto" w:fill="FFFFFF"/>
            <w:hideMark/>
          </w:tcPr>
          <w:p w14:paraId="51262023"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5</w:t>
            </w:r>
          </w:p>
        </w:tc>
      </w:tr>
      <w:tr w:rsidR="0039483D" w:rsidRPr="00EB11D3" w14:paraId="3EA0BC6D" w14:textId="77777777" w:rsidTr="00D02CAC">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hideMark/>
          </w:tcPr>
          <w:p w14:paraId="5ECAFAA0"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3791" w:type="pct"/>
            <w:tcBorders>
              <w:top w:val="single" w:sz="4" w:space="0" w:color="666666"/>
              <w:left w:val="single" w:sz="4" w:space="0" w:color="666666"/>
              <w:bottom w:val="single" w:sz="4" w:space="0" w:color="666666"/>
              <w:right w:val="single" w:sz="4" w:space="0" w:color="666666"/>
            </w:tcBorders>
            <w:shd w:val="clear" w:color="auto" w:fill="FFFFFF"/>
            <w:hideMark/>
          </w:tcPr>
          <w:p w14:paraId="2BFDAD3C" w14:textId="77777777" w:rsidR="00C21257" w:rsidRPr="00EB11D3" w:rsidRDefault="00994ABC" w:rsidP="00052AD2">
            <w:pPr>
              <w:spacing w:after="0" w:line="240" w:lineRule="auto"/>
              <w:rPr>
                <w:rFonts w:eastAsia="Times New Roman"/>
                <w:b/>
                <w:bCs/>
                <w:szCs w:val="24"/>
              </w:rPr>
            </w:pPr>
            <w:r w:rsidRPr="00EB11D3">
              <w:rPr>
                <w:b/>
                <w:bCs/>
                <w:szCs w:val="24"/>
              </w:rPr>
              <w:t>Diversification of Services</w:t>
            </w:r>
          </w:p>
        </w:tc>
        <w:tc>
          <w:tcPr>
            <w:tcW w:w="187" w:type="pct"/>
            <w:tcBorders>
              <w:top w:val="single" w:sz="4" w:space="0" w:color="666666"/>
              <w:left w:val="single" w:sz="4" w:space="0" w:color="666666"/>
              <w:bottom w:val="single" w:sz="4" w:space="0" w:color="666666"/>
              <w:right w:val="single" w:sz="4" w:space="0" w:color="666666"/>
            </w:tcBorders>
            <w:shd w:val="clear" w:color="auto" w:fill="FFFFFF"/>
            <w:hideMark/>
          </w:tcPr>
          <w:p w14:paraId="3DEB99DC"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187" w:type="pct"/>
            <w:tcBorders>
              <w:top w:val="single" w:sz="4" w:space="0" w:color="666666"/>
              <w:left w:val="single" w:sz="4" w:space="0" w:color="666666"/>
              <w:bottom w:val="single" w:sz="4" w:space="0" w:color="666666"/>
              <w:right w:val="single" w:sz="4" w:space="0" w:color="666666"/>
            </w:tcBorders>
            <w:shd w:val="clear" w:color="auto" w:fill="FFFFFF"/>
            <w:hideMark/>
          </w:tcPr>
          <w:p w14:paraId="127A5634"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188" w:type="pct"/>
            <w:tcBorders>
              <w:top w:val="single" w:sz="4" w:space="0" w:color="666666"/>
              <w:left w:val="single" w:sz="4" w:space="0" w:color="666666"/>
              <w:bottom w:val="single" w:sz="4" w:space="0" w:color="666666"/>
              <w:right w:val="single" w:sz="4" w:space="0" w:color="666666"/>
            </w:tcBorders>
            <w:shd w:val="clear" w:color="auto" w:fill="FFFFFF"/>
            <w:hideMark/>
          </w:tcPr>
          <w:p w14:paraId="7A49D517"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188" w:type="pct"/>
            <w:tcBorders>
              <w:top w:val="single" w:sz="4" w:space="0" w:color="666666"/>
              <w:left w:val="single" w:sz="4" w:space="0" w:color="666666"/>
              <w:bottom w:val="single" w:sz="4" w:space="0" w:color="666666"/>
              <w:right w:val="single" w:sz="4" w:space="0" w:color="666666"/>
            </w:tcBorders>
            <w:shd w:val="clear" w:color="auto" w:fill="FFFFFF"/>
            <w:hideMark/>
          </w:tcPr>
          <w:p w14:paraId="7D80C924"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c>
          <w:tcPr>
            <w:tcW w:w="232" w:type="pct"/>
            <w:tcBorders>
              <w:top w:val="single" w:sz="4" w:space="0" w:color="666666"/>
              <w:left w:val="single" w:sz="4" w:space="0" w:color="666666"/>
              <w:bottom w:val="single" w:sz="4" w:space="0" w:color="666666"/>
              <w:right w:val="single" w:sz="4" w:space="0" w:color="666666"/>
            </w:tcBorders>
            <w:shd w:val="clear" w:color="auto" w:fill="FFFFFF"/>
            <w:hideMark/>
          </w:tcPr>
          <w:p w14:paraId="50B15899" w14:textId="77777777" w:rsidR="00C21257" w:rsidRPr="00EB11D3" w:rsidRDefault="00C21257" w:rsidP="00052AD2">
            <w:pPr>
              <w:spacing w:after="0" w:line="240" w:lineRule="auto"/>
              <w:rPr>
                <w:rFonts w:eastAsia="Times New Roman"/>
                <w:szCs w:val="24"/>
              </w:rPr>
            </w:pPr>
            <w:r w:rsidRPr="00EB11D3">
              <w:rPr>
                <w:rFonts w:eastAsia="Times New Roman"/>
                <w:szCs w:val="24"/>
              </w:rPr>
              <w:t> </w:t>
            </w:r>
          </w:p>
        </w:tc>
      </w:tr>
      <w:tr w:rsidR="0039483D" w:rsidRPr="00EB11D3" w14:paraId="47FAAFA3" w14:textId="77777777" w:rsidTr="00052AD2">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37696915" w14:textId="77777777" w:rsidR="00D42354" w:rsidRPr="00EB11D3" w:rsidRDefault="006D451D" w:rsidP="00D42354">
            <w:pPr>
              <w:spacing w:after="0" w:line="240" w:lineRule="auto"/>
              <w:rPr>
                <w:rFonts w:eastAsia="Times New Roman"/>
                <w:szCs w:val="24"/>
              </w:rPr>
            </w:pPr>
            <w:r w:rsidRPr="00EB11D3">
              <w:rPr>
                <w:rFonts w:eastAsia="Times New Roman"/>
                <w:szCs w:val="24"/>
              </w:rPr>
              <w:t>1</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61F1090B" w14:textId="77777777" w:rsidR="00D42354" w:rsidRPr="00EB11D3" w:rsidRDefault="008B4719" w:rsidP="00D42354">
            <w:pPr>
              <w:spacing w:after="0" w:line="240" w:lineRule="auto"/>
              <w:rPr>
                <w:rFonts w:eastAsia="Times New Roman"/>
                <w:szCs w:val="24"/>
              </w:rPr>
            </w:pPr>
            <w:r w:rsidRPr="00EB11D3">
              <w:rPr>
                <w:rFonts w:eastAsia="Times New Roman"/>
                <w:szCs w:val="24"/>
              </w:rPr>
              <w:t>The hospital continuously improve</w:t>
            </w:r>
            <w:r w:rsidR="006D451D" w:rsidRPr="00EB11D3">
              <w:rPr>
                <w:rFonts w:eastAsia="Times New Roman"/>
                <w:szCs w:val="24"/>
              </w:rPr>
              <w:t>s</w:t>
            </w:r>
            <w:r w:rsidRPr="00EB11D3">
              <w:rPr>
                <w:rFonts w:eastAsia="Times New Roman"/>
                <w:szCs w:val="24"/>
              </w:rPr>
              <w:t xml:space="preserve"> the access to a variety of primary care services</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76F4D099" w14:textId="77777777" w:rsidR="00D42354" w:rsidRPr="00EB11D3" w:rsidRDefault="00D42354" w:rsidP="00D42354">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28F3631D" w14:textId="77777777" w:rsidR="00D42354" w:rsidRPr="00EB11D3" w:rsidRDefault="00D42354" w:rsidP="00D42354">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1C2E07CF" w14:textId="77777777" w:rsidR="00D42354" w:rsidRPr="00EB11D3" w:rsidRDefault="00D42354" w:rsidP="00D42354">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2CEE537C" w14:textId="77777777" w:rsidR="00D42354" w:rsidRPr="00EB11D3" w:rsidRDefault="00D42354" w:rsidP="00D42354">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4E059A3B" w14:textId="77777777" w:rsidR="00D42354" w:rsidRPr="00EB11D3" w:rsidRDefault="00D42354" w:rsidP="00D42354">
            <w:pPr>
              <w:spacing w:after="0" w:line="240" w:lineRule="auto"/>
              <w:rPr>
                <w:rFonts w:eastAsia="Times New Roman"/>
                <w:szCs w:val="24"/>
              </w:rPr>
            </w:pPr>
          </w:p>
        </w:tc>
      </w:tr>
      <w:tr w:rsidR="0039483D" w:rsidRPr="00EB11D3" w14:paraId="1DA4A018" w14:textId="77777777" w:rsidTr="00052AD2">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7730D0C2" w14:textId="77777777" w:rsidR="006D451D" w:rsidRPr="00EB11D3" w:rsidRDefault="006D451D" w:rsidP="00D42354">
            <w:pPr>
              <w:spacing w:after="0" w:line="240" w:lineRule="auto"/>
              <w:rPr>
                <w:rFonts w:eastAsia="Times New Roman"/>
                <w:szCs w:val="24"/>
              </w:rPr>
            </w:pPr>
            <w:r w:rsidRPr="00EB11D3">
              <w:rPr>
                <w:rFonts w:eastAsia="Times New Roman"/>
                <w:szCs w:val="24"/>
              </w:rPr>
              <w:t>2</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26C5ACCC" w14:textId="77777777" w:rsidR="006D451D" w:rsidRPr="00EB11D3" w:rsidRDefault="006D451D" w:rsidP="00D42354">
            <w:pPr>
              <w:spacing w:after="0" w:line="240" w:lineRule="auto"/>
              <w:rPr>
                <w:rFonts w:eastAsia="Times New Roman"/>
                <w:szCs w:val="24"/>
              </w:rPr>
            </w:pPr>
            <w:r w:rsidRPr="00EB11D3">
              <w:rPr>
                <w:rFonts w:eastAsia="Times New Roman"/>
                <w:szCs w:val="24"/>
              </w:rPr>
              <w:t>The hospital has specialized healthcare clinics for addressing specific health need of our clients.</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0882CD6D" w14:textId="77777777" w:rsidR="006D451D" w:rsidRPr="00EB11D3" w:rsidRDefault="006D451D" w:rsidP="00D42354">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1D0F94BC" w14:textId="77777777" w:rsidR="006D451D" w:rsidRPr="00EB11D3" w:rsidRDefault="006D451D" w:rsidP="00D42354">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79C9A45E" w14:textId="77777777" w:rsidR="006D451D" w:rsidRPr="00EB11D3" w:rsidRDefault="006D451D" w:rsidP="00D42354">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47B3B391" w14:textId="77777777" w:rsidR="006D451D" w:rsidRPr="00EB11D3" w:rsidRDefault="006D451D" w:rsidP="00D42354">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53FCA076" w14:textId="77777777" w:rsidR="006D451D" w:rsidRPr="00EB11D3" w:rsidRDefault="006D451D" w:rsidP="00D42354">
            <w:pPr>
              <w:spacing w:after="0" w:line="240" w:lineRule="auto"/>
              <w:rPr>
                <w:rFonts w:eastAsia="Times New Roman"/>
                <w:szCs w:val="24"/>
              </w:rPr>
            </w:pPr>
          </w:p>
        </w:tc>
      </w:tr>
      <w:tr w:rsidR="0039483D" w:rsidRPr="00EB11D3" w14:paraId="2495D3CE" w14:textId="77777777" w:rsidTr="00052AD2">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4F9E684C" w14:textId="77777777" w:rsidR="006D451D" w:rsidRPr="00EB11D3" w:rsidRDefault="006D451D" w:rsidP="00D42354">
            <w:pPr>
              <w:spacing w:after="0" w:line="240" w:lineRule="auto"/>
              <w:rPr>
                <w:rFonts w:eastAsia="Times New Roman"/>
                <w:szCs w:val="24"/>
              </w:rPr>
            </w:pPr>
            <w:r w:rsidRPr="00EB11D3">
              <w:rPr>
                <w:rFonts w:eastAsia="Times New Roman"/>
                <w:szCs w:val="24"/>
              </w:rPr>
              <w:t>3</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0B141290" w14:textId="77777777" w:rsidR="006D451D" w:rsidRPr="00EB11D3" w:rsidRDefault="006D451D" w:rsidP="00D42354">
            <w:pPr>
              <w:spacing w:after="0" w:line="240" w:lineRule="auto"/>
              <w:rPr>
                <w:rFonts w:eastAsia="Times New Roman"/>
                <w:szCs w:val="24"/>
              </w:rPr>
            </w:pPr>
            <w:r w:rsidRPr="00EB11D3">
              <w:rPr>
                <w:rFonts w:eastAsia="Times New Roman"/>
                <w:szCs w:val="24"/>
              </w:rPr>
              <w:t>The hospital promotes participation in wellness programs offered by healthcare providers</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1C18E7D2" w14:textId="77777777" w:rsidR="006D451D" w:rsidRPr="00EB11D3" w:rsidRDefault="006D451D" w:rsidP="00D42354">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02821E09" w14:textId="77777777" w:rsidR="006D451D" w:rsidRPr="00EB11D3" w:rsidRDefault="006D451D" w:rsidP="00D42354">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54C70254" w14:textId="77777777" w:rsidR="006D451D" w:rsidRPr="00EB11D3" w:rsidRDefault="006D451D" w:rsidP="00D42354">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71B14029" w14:textId="77777777" w:rsidR="006D451D" w:rsidRPr="00EB11D3" w:rsidRDefault="006D451D" w:rsidP="00D42354">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37F7481A" w14:textId="77777777" w:rsidR="006D451D" w:rsidRPr="00EB11D3" w:rsidRDefault="006D451D" w:rsidP="00D42354">
            <w:pPr>
              <w:spacing w:after="0" w:line="240" w:lineRule="auto"/>
              <w:rPr>
                <w:rFonts w:eastAsia="Times New Roman"/>
                <w:szCs w:val="24"/>
              </w:rPr>
            </w:pPr>
          </w:p>
        </w:tc>
      </w:tr>
      <w:tr w:rsidR="0039483D" w:rsidRPr="00EB11D3" w14:paraId="6C7E6DE6" w14:textId="77777777" w:rsidTr="00052AD2">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22EB4ED1" w14:textId="77777777" w:rsidR="006D451D" w:rsidRPr="00EB11D3" w:rsidRDefault="006D451D" w:rsidP="00D42354">
            <w:pPr>
              <w:spacing w:after="0" w:line="240" w:lineRule="auto"/>
              <w:rPr>
                <w:rFonts w:eastAsia="Times New Roman"/>
                <w:szCs w:val="24"/>
              </w:rPr>
            </w:pPr>
            <w:r w:rsidRPr="00EB11D3">
              <w:rPr>
                <w:rFonts w:eastAsia="Times New Roman"/>
                <w:szCs w:val="24"/>
              </w:rPr>
              <w:t>4</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383B7E9E" w14:textId="77777777" w:rsidR="006D451D" w:rsidRPr="00EB11D3" w:rsidRDefault="006D451D" w:rsidP="00D42354">
            <w:pPr>
              <w:spacing w:after="0" w:line="240" w:lineRule="auto"/>
              <w:rPr>
                <w:rFonts w:eastAsia="Times New Roman"/>
                <w:szCs w:val="24"/>
              </w:rPr>
            </w:pPr>
            <w:r w:rsidRPr="00EB11D3">
              <w:rPr>
                <w:rFonts w:eastAsia="Times New Roman"/>
                <w:szCs w:val="24"/>
              </w:rPr>
              <w:t>The hospital practices home healthcare services for patient well-being.</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5D75534E" w14:textId="77777777" w:rsidR="006D451D" w:rsidRPr="00EB11D3" w:rsidRDefault="006D451D" w:rsidP="00D42354">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7909C45A" w14:textId="77777777" w:rsidR="006D451D" w:rsidRPr="00EB11D3" w:rsidRDefault="006D451D" w:rsidP="00D42354">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06BEBBEA" w14:textId="77777777" w:rsidR="006D451D" w:rsidRPr="00EB11D3" w:rsidRDefault="006D451D" w:rsidP="00D42354">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5E3BC637" w14:textId="77777777" w:rsidR="006D451D" w:rsidRPr="00EB11D3" w:rsidRDefault="006D451D" w:rsidP="00D42354">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36300D63" w14:textId="77777777" w:rsidR="006D451D" w:rsidRPr="00EB11D3" w:rsidRDefault="006D451D" w:rsidP="00D42354">
            <w:pPr>
              <w:spacing w:after="0" w:line="240" w:lineRule="auto"/>
              <w:rPr>
                <w:rFonts w:eastAsia="Times New Roman"/>
                <w:szCs w:val="24"/>
              </w:rPr>
            </w:pPr>
          </w:p>
        </w:tc>
      </w:tr>
      <w:tr w:rsidR="0039483D" w:rsidRPr="00EB11D3" w14:paraId="2C43883C" w14:textId="77777777" w:rsidTr="00052AD2">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494AEFB7" w14:textId="77777777" w:rsidR="0027043B" w:rsidRPr="00EB11D3" w:rsidRDefault="0027043B" w:rsidP="00D42354">
            <w:pPr>
              <w:spacing w:after="0" w:line="240" w:lineRule="auto"/>
              <w:rPr>
                <w:rFonts w:eastAsia="Times New Roman"/>
                <w:szCs w:val="24"/>
              </w:rPr>
            </w:pPr>
            <w:r w:rsidRPr="00EB11D3">
              <w:rPr>
                <w:rFonts w:eastAsia="Times New Roman"/>
                <w:szCs w:val="24"/>
              </w:rPr>
              <w:t>5</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5ADB0D2E" w14:textId="77777777" w:rsidR="0027043B" w:rsidRPr="00EB11D3" w:rsidRDefault="0027043B" w:rsidP="00D42354">
            <w:pPr>
              <w:spacing w:after="0" w:line="240" w:lineRule="auto"/>
              <w:rPr>
                <w:rFonts w:eastAsia="Times New Roman"/>
                <w:szCs w:val="24"/>
              </w:rPr>
            </w:pPr>
            <w:r w:rsidRPr="00EB11D3">
              <w:rPr>
                <w:rFonts w:eastAsia="Times New Roman"/>
                <w:szCs w:val="24"/>
              </w:rPr>
              <w:t>The hospital management promotes use telemedicine services.</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2095856A" w14:textId="77777777" w:rsidR="0027043B" w:rsidRPr="00EB11D3" w:rsidRDefault="0027043B" w:rsidP="00D42354">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232BF5F9" w14:textId="77777777" w:rsidR="0027043B" w:rsidRPr="00EB11D3" w:rsidRDefault="0027043B" w:rsidP="00D42354">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6888095A" w14:textId="77777777" w:rsidR="0027043B" w:rsidRPr="00EB11D3" w:rsidRDefault="0027043B" w:rsidP="00D42354">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45DBAEDE" w14:textId="77777777" w:rsidR="0027043B" w:rsidRPr="00EB11D3" w:rsidRDefault="0027043B" w:rsidP="00D42354">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17D04714" w14:textId="77777777" w:rsidR="0027043B" w:rsidRPr="00EB11D3" w:rsidRDefault="0027043B" w:rsidP="00D42354">
            <w:pPr>
              <w:spacing w:after="0" w:line="240" w:lineRule="auto"/>
              <w:rPr>
                <w:rFonts w:eastAsia="Times New Roman"/>
                <w:szCs w:val="24"/>
              </w:rPr>
            </w:pPr>
          </w:p>
        </w:tc>
      </w:tr>
      <w:tr w:rsidR="0039483D" w:rsidRPr="00EB11D3" w14:paraId="4270D49D" w14:textId="77777777" w:rsidTr="00052AD2">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35CE2197" w14:textId="77777777" w:rsidR="0027043B" w:rsidRPr="00EB11D3" w:rsidRDefault="007E60EA" w:rsidP="00D42354">
            <w:pPr>
              <w:spacing w:after="0" w:line="240" w:lineRule="auto"/>
              <w:rPr>
                <w:rFonts w:eastAsia="Times New Roman"/>
                <w:szCs w:val="24"/>
              </w:rPr>
            </w:pPr>
            <w:r w:rsidRPr="00EB11D3">
              <w:rPr>
                <w:rFonts w:eastAsia="Times New Roman"/>
                <w:szCs w:val="24"/>
              </w:rPr>
              <w:t>6</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3FEB75BF" w14:textId="77777777" w:rsidR="0027043B" w:rsidRPr="00EB11D3" w:rsidRDefault="007E60EA" w:rsidP="00D42354">
            <w:pPr>
              <w:spacing w:after="0" w:line="240" w:lineRule="auto"/>
              <w:rPr>
                <w:rFonts w:eastAsia="Times New Roman"/>
                <w:szCs w:val="24"/>
              </w:rPr>
            </w:pPr>
            <w:r w:rsidRPr="00EB11D3">
              <w:rPr>
                <w:rFonts w:eastAsia="Times New Roman"/>
                <w:szCs w:val="24"/>
              </w:rPr>
              <w:t>The hospital management introduces new specialty services can cater to specific healthcare needs within the community.</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4710FCB3" w14:textId="77777777" w:rsidR="0027043B" w:rsidRPr="00EB11D3" w:rsidRDefault="0027043B" w:rsidP="00D42354">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71BB3079" w14:textId="77777777" w:rsidR="0027043B" w:rsidRPr="00EB11D3" w:rsidRDefault="0027043B" w:rsidP="00D42354">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353F7CCE" w14:textId="77777777" w:rsidR="0027043B" w:rsidRPr="00EB11D3" w:rsidRDefault="0027043B" w:rsidP="00D42354">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5FA3C56C" w14:textId="77777777" w:rsidR="0027043B" w:rsidRPr="00EB11D3" w:rsidRDefault="0027043B" w:rsidP="00D42354">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28D9B13A" w14:textId="77777777" w:rsidR="0027043B" w:rsidRPr="00EB11D3" w:rsidRDefault="0027043B" w:rsidP="00D42354">
            <w:pPr>
              <w:spacing w:after="0" w:line="240" w:lineRule="auto"/>
              <w:rPr>
                <w:rFonts w:eastAsia="Times New Roman"/>
                <w:szCs w:val="24"/>
              </w:rPr>
            </w:pPr>
          </w:p>
        </w:tc>
      </w:tr>
      <w:tr w:rsidR="0039483D" w:rsidRPr="00EB11D3" w14:paraId="533FC121" w14:textId="77777777" w:rsidTr="00052AD2">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7D995D01" w14:textId="77777777" w:rsidR="007E60EA" w:rsidRPr="00EB11D3" w:rsidRDefault="007E60EA" w:rsidP="00D42354">
            <w:pPr>
              <w:spacing w:after="0" w:line="240" w:lineRule="auto"/>
              <w:rPr>
                <w:rFonts w:eastAsia="Times New Roman"/>
                <w:szCs w:val="24"/>
              </w:rPr>
            </w:pPr>
            <w:r w:rsidRPr="00EB11D3">
              <w:rPr>
                <w:rFonts w:eastAsia="Times New Roman"/>
                <w:szCs w:val="24"/>
              </w:rPr>
              <w:t>7</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7F91E49F" w14:textId="77777777" w:rsidR="007E60EA" w:rsidRPr="00EB11D3" w:rsidRDefault="007E60EA" w:rsidP="00D42354">
            <w:pPr>
              <w:spacing w:after="0" w:line="240" w:lineRule="auto"/>
              <w:rPr>
                <w:rFonts w:eastAsia="Times New Roman"/>
                <w:szCs w:val="24"/>
              </w:rPr>
            </w:pPr>
            <w:r w:rsidRPr="00EB11D3">
              <w:rPr>
                <w:rFonts w:eastAsia="Times New Roman"/>
                <w:szCs w:val="24"/>
              </w:rPr>
              <w:t>The hospital actively engages with the community through health education outreaches raising awareness about various health issues</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1AFCB24F" w14:textId="77777777" w:rsidR="007E60EA" w:rsidRPr="00EB11D3" w:rsidRDefault="007E60EA" w:rsidP="00D42354">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6B512EA1" w14:textId="77777777" w:rsidR="007E60EA" w:rsidRPr="00EB11D3" w:rsidRDefault="007E60EA" w:rsidP="00D42354">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2476BD97" w14:textId="77777777" w:rsidR="007E60EA" w:rsidRPr="00EB11D3" w:rsidRDefault="007E60EA" w:rsidP="00D42354">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7A54214B" w14:textId="77777777" w:rsidR="007E60EA" w:rsidRPr="00EB11D3" w:rsidRDefault="007E60EA" w:rsidP="00D42354">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088E397A" w14:textId="77777777" w:rsidR="007E60EA" w:rsidRPr="00EB11D3" w:rsidRDefault="007E60EA" w:rsidP="00D42354">
            <w:pPr>
              <w:spacing w:after="0" w:line="240" w:lineRule="auto"/>
              <w:rPr>
                <w:rFonts w:eastAsia="Times New Roman"/>
                <w:szCs w:val="24"/>
              </w:rPr>
            </w:pPr>
          </w:p>
        </w:tc>
      </w:tr>
      <w:tr w:rsidR="0039483D" w:rsidRPr="00EB11D3" w14:paraId="704CC4A5" w14:textId="77777777" w:rsidTr="00D02CAC">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4FE0F796" w14:textId="77777777" w:rsidR="00D20DE8" w:rsidRPr="00EB11D3" w:rsidRDefault="00D20DE8" w:rsidP="00052AD2">
            <w:pPr>
              <w:spacing w:after="0" w:line="240" w:lineRule="auto"/>
              <w:rPr>
                <w:rFonts w:eastAsia="Times New Roman"/>
                <w:szCs w:val="24"/>
              </w:rPr>
            </w:pP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04872537" w14:textId="77777777" w:rsidR="00D20DE8" w:rsidRPr="00EB11D3" w:rsidRDefault="00D20DE8" w:rsidP="00052AD2">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4FAB5BC9" w14:textId="77777777" w:rsidR="00D20DE8" w:rsidRPr="00EB11D3" w:rsidRDefault="00D20DE8" w:rsidP="00052AD2">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7BED1FAF" w14:textId="77777777" w:rsidR="00D20DE8" w:rsidRPr="00EB11D3" w:rsidRDefault="00D20DE8" w:rsidP="00052AD2">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52E56B78" w14:textId="77777777" w:rsidR="00D20DE8" w:rsidRPr="00EB11D3" w:rsidRDefault="00D20DE8" w:rsidP="00052AD2">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4658ADD7" w14:textId="77777777" w:rsidR="00D20DE8" w:rsidRPr="00EB11D3" w:rsidRDefault="00D20DE8" w:rsidP="00052AD2">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5311E360" w14:textId="77777777" w:rsidR="00D20DE8" w:rsidRPr="00EB11D3" w:rsidRDefault="00D20DE8" w:rsidP="00052AD2">
            <w:pPr>
              <w:spacing w:after="0" w:line="240" w:lineRule="auto"/>
              <w:rPr>
                <w:rFonts w:eastAsia="Times New Roman"/>
                <w:szCs w:val="24"/>
              </w:rPr>
            </w:pPr>
          </w:p>
        </w:tc>
      </w:tr>
      <w:tr w:rsidR="0039483D" w:rsidRPr="00EB11D3" w14:paraId="6B8C10D2" w14:textId="77777777" w:rsidTr="00D02CAC">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4C20E7ED" w14:textId="77777777" w:rsidR="00066328" w:rsidRPr="00EB11D3" w:rsidRDefault="00066328" w:rsidP="00052AD2">
            <w:pPr>
              <w:spacing w:after="0" w:line="240" w:lineRule="auto"/>
              <w:rPr>
                <w:rFonts w:eastAsia="Times New Roman"/>
                <w:szCs w:val="24"/>
              </w:rPr>
            </w:pP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256E3DD9" w14:textId="77777777" w:rsidR="00066328" w:rsidRPr="00EB11D3" w:rsidRDefault="00066328" w:rsidP="00052AD2">
            <w:pPr>
              <w:spacing w:after="0" w:line="240" w:lineRule="auto"/>
              <w:rPr>
                <w:rFonts w:eastAsia="Times New Roman"/>
                <w:b/>
                <w:bCs/>
                <w:szCs w:val="24"/>
              </w:rPr>
            </w:pPr>
            <w:r w:rsidRPr="00EB11D3">
              <w:rPr>
                <w:rFonts w:eastAsia="Times New Roman"/>
                <w:b/>
                <w:bCs/>
                <w:szCs w:val="24"/>
              </w:rPr>
              <w:t>Technological Integration</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11478401" w14:textId="77777777" w:rsidR="00066328" w:rsidRPr="00EB11D3" w:rsidRDefault="00066328" w:rsidP="00052AD2">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7F9FC97D" w14:textId="77777777" w:rsidR="00066328" w:rsidRPr="00EB11D3" w:rsidRDefault="00066328" w:rsidP="00052AD2">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3001CA48" w14:textId="77777777" w:rsidR="00066328" w:rsidRPr="00EB11D3" w:rsidRDefault="00066328" w:rsidP="00052AD2">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4FB9E806" w14:textId="77777777" w:rsidR="00066328" w:rsidRPr="00EB11D3" w:rsidRDefault="00066328" w:rsidP="00052AD2">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2A070D0A" w14:textId="77777777" w:rsidR="00066328" w:rsidRPr="00EB11D3" w:rsidRDefault="00066328" w:rsidP="00052AD2">
            <w:pPr>
              <w:spacing w:after="0" w:line="240" w:lineRule="auto"/>
              <w:rPr>
                <w:rFonts w:eastAsia="Times New Roman"/>
                <w:szCs w:val="24"/>
              </w:rPr>
            </w:pPr>
          </w:p>
        </w:tc>
      </w:tr>
      <w:tr w:rsidR="0039483D" w:rsidRPr="00EB11D3" w14:paraId="0433FDF4" w14:textId="77777777" w:rsidTr="00D02CAC">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776E4079" w14:textId="77777777" w:rsidR="009B00B4" w:rsidRPr="00EB11D3" w:rsidRDefault="009B00B4" w:rsidP="00052AD2">
            <w:pPr>
              <w:spacing w:after="0" w:line="240" w:lineRule="auto"/>
              <w:rPr>
                <w:rFonts w:eastAsia="Times New Roman"/>
                <w:szCs w:val="24"/>
              </w:rPr>
            </w:pPr>
            <w:r w:rsidRPr="00EB11D3">
              <w:rPr>
                <w:rFonts w:eastAsia="Times New Roman"/>
                <w:szCs w:val="24"/>
              </w:rPr>
              <w:t>1</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5BAC4948" w14:textId="77777777" w:rsidR="009B00B4" w:rsidRPr="00EB11D3" w:rsidRDefault="009B00B4" w:rsidP="00052AD2">
            <w:pPr>
              <w:spacing w:after="0" w:line="240" w:lineRule="auto"/>
              <w:rPr>
                <w:rFonts w:eastAsia="Times New Roman"/>
                <w:b/>
                <w:bCs/>
                <w:szCs w:val="24"/>
              </w:rPr>
            </w:pPr>
            <w:r w:rsidRPr="00EB11D3">
              <w:rPr>
                <w:rFonts w:eastAsia="Times New Roman"/>
                <w:szCs w:val="24"/>
              </w:rPr>
              <w:t>The Hospital functional has Health Management Information System (HMIS) in place</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7B843B93" w14:textId="77777777" w:rsidR="009B00B4" w:rsidRPr="00EB11D3" w:rsidRDefault="009B00B4" w:rsidP="00052AD2">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1AEE703D" w14:textId="77777777" w:rsidR="009B00B4" w:rsidRPr="00EB11D3" w:rsidRDefault="009B00B4" w:rsidP="00052AD2">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485494F9" w14:textId="77777777" w:rsidR="009B00B4" w:rsidRPr="00EB11D3" w:rsidRDefault="009B00B4" w:rsidP="00052AD2">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6FE3F2DD" w14:textId="77777777" w:rsidR="009B00B4" w:rsidRPr="00EB11D3" w:rsidRDefault="009B00B4" w:rsidP="00052AD2">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16E90365" w14:textId="77777777" w:rsidR="009B00B4" w:rsidRPr="00EB11D3" w:rsidRDefault="009B00B4" w:rsidP="00052AD2">
            <w:pPr>
              <w:spacing w:after="0" w:line="240" w:lineRule="auto"/>
              <w:rPr>
                <w:rFonts w:eastAsia="Times New Roman"/>
                <w:szCs w:val="24"/>
              </w:rPr>
            </w:pPr>
          </w:p>
        </w:tc>
      </w:tr>
      <w:tr w:rsidR="0039483D" w:rsidRPr="00EB11D3" w14:paraId="607DBF8D" w14:textId="77777777" w:rsidTr="00D02CAC">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59A23F53" w14:textId="77777777" w:rsidR="0027043B" w:rsidRPr="00EB11D3" w:rsidRDefault="0027043B" w:rsidP="0027043B">
            <w:pPr>
              <w:spacing w:after="0" w:line="240" w:lineRule="auto"/>
              <w:rPr>
                <w:rFonts w:eastAsia="Times New Roman"/>
                <w:szCs w:val="24"/>
              </w:rPr>
            </w:pPr>
            <w:r w:rsidRPr="00EB11D3">
              <w:rPr>
                <w:rFonts w:eastAsia="Times New Roman"/>
                <w:szCs w:val="24"/>
              </w:rPr>
              <w:t>2</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40642A25" w14:textId="77777777" w:rsidR="0027043B" w:rsidRPr="00EB11D3" w:rsidRDefault="0027043B" w:rsidP="0027043B">
            <w:pPr>
              <w:spacing w:after="0" w:line="240" w:lineRule="auto"/>
              <w:rPr>
                <w:rFonts w:eastAsia="Times New Roman"/>
                <w:szCs w:val="24"/>
              </w:rPr>
            </w:pPr>
            <w:r w:rsidRPr="00EB11D3">
              <w:rPr>
                <w:rFonts w:eastAsia="Times New Roman"/>
                <w:szCs w:val="24"/>
              </w:rPr>
              <w:t xml:space="preserve">HMIS effectively facilitates quick access of patient data. </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5DB1A2DC" w14:textId="77777777" w:rsidR="0027043B" w:rsidRPr="00EB11D3" w:rsidRDefault="0027043B" w:rsidP="0027043B">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02C1AE76" w14:textId="77777777" w:rsidR="0027043B" w:rsidRPr="00EB11D3" w:rsidRDefault="0027043B" w:rsidP="0027043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5B4EA4DB" w14:textId="77777777" w:rsidR="0027043B" w:rsidRPr="00EB11D3" w:rsidRDefault="0027043B" w:rsidP="0027043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7317440B" w14:textId="77777777" w:rsidR="0027043B" w:rsidRPr="00EB11D3" w:rsidRDefault="0027043B" w:rsidP="0027043B">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5E9A4CB6" w14:textId="77777777" w:rsidR="0027043B" w:rsidRPr="00EB11D3" w:rsidRDefault="0027043B" w:rsidP="0027043B">
            <w:pPr>
              <w:spacing w:after="0" w:line="240" w:lineRule="auto"/>
              <w:rPr>
                <w:rFonts w:eastAsia="Times New Roman"/>
                <w:szCs w:val="24"/>
              </w:rPr>
            </w:pPr>
          </w:p>
        </w:tc>
      </w:tr>
      <w:tr w:rsidR="0039483D" w:rsidRPr="00EB11D3" w14:paraId="4B991801" w14:textId="77777777" w:rsidTr="00D02CAC">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532A7178" w14:textId="77777777" w:rsidR="0027043B" w:rsidRPr="00EB11D3" w:rsidRDefault="0027043B" w:rsidP="0027043B">
            <w:pPr>
              <w:spacing w:after="0" w:line="240" w:lineRule="auto"/>
              <w:rPr>
                <w:rFonts w:eastAsia="Times New Roman"/>
                <w:szCs w:val="24"/>
              </w:rPr>
            </w:pPr>
            <w:r w:rsidRPr="00EB11D3">
              <w:rPr>
                <w:rFonts w:eastAsia="Times New Roman"/>
                <w:szCs w:val="24"/>
              </w:rPr>
              <w:t>3</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1E4FDBFE" w14:textId="77777777" w:rsidR="0027043B" w:rsidRPr="00EB11D3" w:rsidRDefault="0027043B" w:rsidP="0027043B">
            <w:pPr>
              <w:spacing w:after="0" w:line="240" w:lineRule="auto"/>
              <w:rPr>
                <w:rFonts w:eastAsia="Times New Roman"/>
                <w:b/>
                <w:bCs/>
                <w:szCs w:val="24"/>
              </w:rPr>
            </w:pPr>
            <w:r w:rsidRPr="00EB11D3">
              <w:rPr>
                <w:rFonts w:eastAsia="Times New Roman"/>
                <w:szCs w:val="24"/>
              </w:rPr>
              <w:t>Electronic Health Information Exchange effectively facilitates the transfer of patient data to th</w:t>
            </w:r>
            <w:r w:rsidR="00C670E3" w:rsidRPr="00EB11D3">
              <w:rPr>
                <w:rFonts w:eastAsia="Times New Roman"/>
                <w:szCs w:val="24"/>
              </w:rPr>
              <w:t>e</w:t>
            </w:r>
            <w:r w:rsidRPr="00EB11D3">
              <w:rPr>
                <w:rFonts w:eastAsia="Times New Roman"/>
                <w:szCs w:val="24"/>
              </w:rPr>
              <w:t xml:space="preserve"> referral institutions</w:t>
            </w:r>
            <w:r w:rsidR="00C670E3" w:rsidRPr="00EB11D3">
              <w:rPr>
                <w:rFonts w:eastAsia="Times New Roman"/>
                <w:szCs w:val="24"/>
              </w:rPr>
              <w:t>.</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78B7591D" w14:textId="77777777" w:rsidR="0027043B" w:rsidRPr="00EB11D3" w:rsidRDefault="0027043B" w:rsidP="0027043B">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2CE2B66E" w14:textId="77777777" w:rsidR="0027043B" w:rsidRPr="00EB11D3" w:rsidRDefault="0027043B" w:rsidP="0027043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107D6E69" w14:textId="77777777" w:rsidR="0027043B" w:rsidRPr="00EB11D3" w:rsidRDefault="0027043B" w:rsidP="0027043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37015A75" w14:textId="77777777" w:rsidR="0027043B" w:rsidRPr="00EB11D3" w:rsidRDefault="0027043B" w:rsidP="0027043B">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49F809B4" w14:textId="77777777" w:rsidR="0027043B" w:rsidRPr="00EB11D3" w:rsidRDefault="0027043B" w:rsidP="0027043B">
            <w:pPr>
              <w:spacing w:after="0" w:line="240" w:lineRule="auto"/>
              <w:rPr>
                <w:rFonts w:eastAsia="Times New Roman"/>
                <w:szCs w:val="24"/>
              </w:rPr>
            </w:pPr>
          </w:p>
        </w:tc>
      </w:tr>
      <w:tr w:rsidR="0039483D" w:rsidRPr="00EB11D3" w14:paraId="6E311822" w14:textId="77777777" w:rsidTr="00D02CAC">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4B3AC17E" w14:textId="77777777" w:rsidR="00C670E3" w:rsidRPr="00EB11D3" w:rsidRDefault="00C670E3" w:rsidP="00C670E3">
            <w:pPr>
              <w:spacing w:after="0" w:line="240" w:lineRule="auto"/>
              <w:rPr>
                <w:rFonts w:eastAsia="Times New Roman"/>
                <w:szCs w:val="24"/>
              </w:rPr>
            </w:pPr>
            <w:r w:rsidRPr="00EB11D3">
              <w:rPr>
                <w:rFonts w:eastAsia="Times New Roman"/>
                <w:szCs w:val="24"/>
              </w:rPr>
              <w:t>4</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281DE487" w14:textId="77777777" w:rsidR="00C670E3" w:rsidRPr="00EB11D3" w:rsidRDefault="00C670E3" w:rsidP="00C670E3">
            <w:pPr>
              <w:spacing w:after="0" w:line="240" w:lineRule="auto"/>
              <w:rPr>
                <w:rFonts w:eastAsia="Times New Roman"/>
                <w:b/>
                <w:bCs/>
                <w:szCs w:val="24"/>
              </w:rPr>
            </w:pPr>
            <w:r w:rsidRPr="00EB11D3">
              <w:rPr>
                <w:rFonts w:eastAsia="Times New Roman"/>
                <w:szCs w:val="24"/>
              </w:rPr>
              <w:t>There is a single database containing data from multiple data sources from different department in the hospital.</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1DD4DC26" w14:textId="77777777" w:rsidR="00C670E3" w:rsidRPr="00EB11D3" w:rsidRDefault="00C670E3" w:rsidP="00C670E3">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0A0E4DC3" w14:textId="77777777" w:rsidR="00C670E3" w:rsidRPr="00EB11D3" w:rsidRDefault="00C670E3" w:rsidP="00C670E3">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61C9EEE8" w14:textId="77777777" w:rsidR="00C670E3" w:rsidRPr="00EB11D3" w:rsidRDefault="00C670E3" w:rsidP="00C670E3">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1ADF158C" w14:textId="77777777" w:rsidR="00C670E3" w:rsidRPr="00EB11D3" w:rsidRDefault="00C670E3" w:rsidP="00C670E3">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7B4A5879" w14:textId="77777777" w:rsidR="00C670E3" w:rsidRPr="00EB11D3" w:rsidRDefault="00C670E3" w:rsidP="00C670E3">
            <w:pPr>
              <w:spacing w:after="0" w:line="240" w:lineRule="auto"/>
              <w:rPr>
                <w:rFonts w:eastAsia="Times New Roman"/>
                <w:szCs w:val="24"/>
              </w:rPr>
            </w:pPr>
          </w:p>
        </w:tc>
      </w:tr>
      <w:tr w:rsidR="0039483D" w:rsidRPr="00EB11D3" w14:paraId="69EE96BA" w14:textId="77777777" w:rsidTr="00D02CAC">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6C77CC0E" w14:textId="77777777" w:rsidR="00C670E3" w:rsidRPr="00EB11D3" w:rsidRDefault="00C670E3" w:rsidP="00C670E3">
            <w:pPr>
              <w:spacing w:after="0" w:line="240" w:lineRule="auto"/>
              <w:rPr>
                <w:rFonts w:eastAsia="Times New Roman"/>
                <w:szCs w:val="24"/>
              </w:rPr>
            </w:pPr>
            <w:r w:rsidRPr="00EB11D3">
              <w:rPr>
                <w:rFonts w:eastAsia="Times New Roman"/>
                <w:szCs w:val="24"/>
              </w:rPr>
              <w:t>5</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4ADC3118" w14:textId="77777777" w:rsidR="00C670E3" w:rsidRPr="00EB11D3" w:rsidRDefault="00C670E3" w:rsidP="00C670E3">
            <w:pPr>
              <w:spacing w:after="0" w:line="240" w:lineRule="auto"/>
              <w:rPr>
                <w:rFonts w:eastAsia="Times New Roman"/>
                <w:szCs w:val="24"/>
              </w:rPr>
            </w:pPr>
            <w:r w:rsidRPr="00EB11D3">
              <w:rPr>
                <w:rFonts w:eastAsia="Times New Roman"/>
                <w:szCs w:val="24"/>
              </w:rPr>
              <w:t xml:space="preserve">The hospital has systems in place to practices telemedicine consultation </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7C5430DE" w14:textId="77777777" w:rsidR="00C670E3" w:rsidRPr="00EB11D3" w:rsidRDefault="00C670E3" w:rsidP="00C670E3">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44E3BBF8" w14:textId="77777777" w:rsidR="00C670E3" w:rsidRPr="00EB11D3" w:rsidRDefault="00C670E3" w:rsidP="00C670E3">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6FAEF494" w14:textId="77777777" w:rsidR="00C670E3" w:rsidRPr="00EB11D3" w:rsidRDefault="00C670E3" w:rsidP="00C670E3">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25E9C9A7" w14:textId="77777777" w:rsidR="00C670E3" w:rsidRPr="00EB11D3" w:rsidRDefault="00C670E3" w:rsidP="00C670E3">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14E9D720" w14:textId="77777777" w:rsidR="00C670E3" w:rsidRPr="00EB11D3" w:rsidRDefault="00C670E3" w:rsidP="00C670E3">
            <w:pPr>
              <w:spacing w:after="0" w:line="240" w:lineRule="auto"/>
              <w:rPr>
                <w:rFonts w:eastAsia="Times New Roman"/>
                <w:szCs w:val="24"/>
              </w:rPr>
            </w:pPr>
          </w:p>
        </w:tc>
      </w:tr>
      <w:tr w:rsidR="0039483D" w:rsidRPr="00EB11D3" w14:paraId="4942419B" w14:textId="77777777" w:rsidTr="00D02CAC">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01194EF1" w14:textId="77777777" w:rsidR="00C670E3" w:rsidRPr="00EB11D3" w:rsidRDefault="00C670E3" w:rsidP="00C670E3">
            <w:pPr>
              <w:spacing w:after="0" w:line="240" w:lineRule="auto"/>
              <w:rPr>
                <w:rFonts w:eastAsia="Times New Roman"/>
                <w:szCs w:val="24"/>
              </w:rPr>
            </w:pPr>
            <w:r w:rsidRPr="00EB11D3">
              <w:rPr>
                <w:rFonts w:eastAsia="Times New Roman"/>
                <w:szCs w:val="24"/>
              </w:rPr>
              <w:t>6</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42F62035" w14:textId="77777777" w:rsidR="00C670E3" w:rsidRPr="00EB11D3" w:rsidRDefault="00C670E3" w:rsidP="00C670E3">
            <w:pPr>
              <w:spacing w:after="0" w:line="240" w:lineRule="auto"/>
              <w:rPr>
                <w:rFonts w:eastAsia="Times New Roman"/>
                <w:b/>
                <w:bCs/>
                <w:szCs w:val="24"/>
              </w:rPr>
            </w:pPr>
            <w:r w:rsidRPr="00EB11D3">
              <w:rPr>
                <w:rFonts w:eastAsia="Times New Roman"/>
                <w:szCs w:val="24"/>
              </w:rPr>
              <w:t>The hospital makes sure that the various health programmes' subsystems are integrated.</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773E74FB" w14:textId="77777777" w:rsidR="00C670E3" w:rsidRPr="00EB11D3" w:rsidRDefault="00C670E3" w:rsidP="00C670E3">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321AC3C9" w14:textId="77777777" w:rsidR="00C670E3" w:rsidRPr="00EB11D3" w:rsidRDefault="00C670E3" w:rsidP="00C670E3">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47D5C093" w14:textId="77777777" w:rsidR="00C670E3" w:rsidRPr="00EB11D3" w:rsidRDefault="00C670E3" w:rsidP="00C670E3">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6E4996F9" w14:textId="77777777" w:rsidR="00C670E3" w:rsidRPr="00EB11D3" w:rsidRDefault="00C670E3" w:rsidP="00C670E3">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1831CAEA" w14:textId="77777777" w:rsidR="00C670E3" w:rsidRPr="00EB11D3" w:rsidRDefault="00C670E3" w:rsidP="00C670E3">
            <w:pPr>
              <w:spacing w:after="0" w:line="240" w:lineRule="auto"/>
              <w:rPr>
                <w:rFonts w:eastAsia="Times New Roman"/>
                <w:szCs w:val="24"/>
              </w:rPr>
            </w:pPr>
          </w:p>
        </w:tc>
      </w:tr>
      <w:tr w:rsidR="0039483D" w:rsidRPr="00EB11D3" w14:paraId="29968B39" w14:textId="77777777" w:rsidTr="00D02CAC">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0DDBC5E8" w14:textId="77777777" w:rsidR="00C670E3" w:rsidRPr="00EB11D3" w:rsidRDefault="00C670E3" w:rsidP="00C670E3">
            <w:pPr>
              <w:spacing w:after="0" w:line="240" w:lineRule="auto"/>
              <w:rPr>
                <w:rFonts w:eastAsia="Times New Roman"/>
                <w:szCs w:val="24"/>
              </w:rPr>
            </w:pPr>
            <w:r w:rsidRPr="00EB11D3">
              <w:rPr>
                <w:rFonts w:eastAsia="Times New Roman"/>
                <w:szCs w:val="24"/>
              </w:rPr>
              <w:t>7</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43440CA7" w14:textId="77777777" w:rsidR="00C670E3" w:rsidRPr="00EB11D3" w:rsidRDefault="00C670E3" w:rsidP="00C670E3">
            <w:pPr>
              <w:spacing w:after="0" w:line="240" w:lineRule="auto"/>
              <w:rPr>
                <w:rFonts w:eastAsia="Times New Roman"/>
                <w:szCs w:val="24"/>
              </w:rPr>
            </w:pPr>
            <w:r w:rsidRPr="00EB11D3">
              <w:rPr>
                <w:rFonts w:eastAsia="Times New Roman"/>
                <w:szCs w:val="24"/>
              </w:rPr>
              <w:t xml:space="preserve">Technical support is given by management to guarantee </w:t>
            </w:r>
            <w:r w:rsidR="00934063" w:rsidRPr="00EB11D3">
              <w:rPr>
                <w:rFonts w:eastAsia="Times New Roman"/>
                <w:szCs w:val="24"/>
              </w:rPr>
              <w:t>timely reports</w:t>
            </w:r>
            <w:r w:rsidRPr="00EB11D3">
              <w:rPr>
                <w:rFonts w:eastAsia="Times New Roman"/>
                <w:szCs w:val="24"/>
              </w:rPr>
              <w:t>.</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24A6456D" w14:textId="77777777" w:rsidR="00C670E3" w:rsidRPr="00EB11D3" w:rsidRDefault="00C670E3" w:rsidP="00C670E3">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19C22983" w14:textId="77777777" w:rsidR="00C670E3" w:rsidRPr="00EB11D3" w:rsidRDefault="00C670E3" w:rsidP="00C670E3">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48BF41EF" w14:textId="77777777" w:rsidR="00C670E3" w:rsidRPr="00EB11D3" w:rsidRDefault="00C670E3" w:rsidP="00C670E3">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6C514244" w14:textId="77777777" w:rsidR="00C670E3" w:rsidRPr="00EB11D3" w:rsidRDefault="00C670E3" w:rsidP="00C670E3">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04681FBF" w14:textId="77777777" w:rsidR="00C670E3" w:rsidRPr="00EB11D3" w:rsidRDefault="00C670E3" w:rsidP="00C670E3">
            <w:pPr>
              <w:spacing w:after="0" w:line="240" w:lineRule="auto"/>
              <w:rPr>
                <w:rFonts w:eastAsia="Times New Roman"/>
                <w:szCs w:val="24"/>
              </w:rPr>
            </w:pPr>
          </w:p>
        </w:tc>
      </w:tr>
      <w:tr w:rsidR="0039483D" w:rsidRPr="00EB11D3" w14:paraId="7D7F051E" w14:textId="77777777" w:rsidTr="00D02CAC">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0F67E353" w14:textId="77777777" w:rsidR="00C670E3" w:rsidRPr="00EB11D3" w:rsidRDefault="00C670E3" w:rsidP="00C670E3">
            <w:pPr>
              <w:spacing w:after="0" w:line="240" w:lineRule="auto"/>
              <w:rPr>
                <w:rFonts w:eastAsia="Times New Roman"/>
                <w:szCs w:val="24"/>
              </w:rPr>
            </w:pP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1F88A3EC" w14:textId="77777777" w:rsidR="00C670E3" w:rsidRPr="00EB11D3" w:rsidRDefault="00C670E3" w:rsidP="00C670E3">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5805541F" w14:textId="77777777" w:rsidR="00C670E3" w:rsidRPr="00EB11D3" w:rsidRDefault="00C670E3" w:rsidP="00C670E3">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5F791CBA" w14:textId="77777777" w:rsidR="00C670E3" w:rsidRPr="00EB11D3" w:rsidRDefault="00C670E3" w:rsidP="00C670E3">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444FE1E3" w14:textId="77777777" w:rsidR="00C670E3" w:rsidRPr="00EB11D3" w:rsidRDefault="00C670E3" w:rsidP="00C670E3">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4799A4E5" w14:textId="77777777" w:rsidR="00C670E3" w:rsidRPr="00EB11D3" w:rsidRDefault="00C670E3" w:rsidP="00C670E3">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6C57C074" w14:textId="77777777" w:rsidR="00C670E3" w:rsidRPr="00EB11D3" w:rsidRDefault="00C670E3" w:rsidP="00C670E3">
            <w:pPr>
              <w:spacing w:after="0" w:line="240" w:lineRule="auto"/>
              <w:rPr>
                <w:rFonts w:eastAsia="Times New Roman"/>
                <w:szCs w:val="24"/>
              </w:rPr>
            </w:pPr>
          </w:p>
        </w:tc>
      </w:tr>
      <w:tr w:rsidR="0039483D" w:rsidRPr="00EB11D3" w14:paraId="647C45F8" w14:textId="77777777" w:rsidTr="00D02CAC">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0CF44E28" w14:textId="77777777" w:rsidR="00C670E3" w:rsidRPr="00EB11D3" w:rsidRDefault="00C670E3" w:rsidP="00C670E3">
            <w:pPr>
              <w:spacing w:after="0" w:line="240" w:lineRule="auto"/>
              <w:rPr>
                <w:rFonts w:eastAsia="Times New Roman"/>
                <w:szCs w:val="24"/>
              </w:rPr>
            </w:pP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13670A8F" w14:textId="77777777" w:rsidR="00C670E3" w:rsidRPr="00EB11D3" w:rsidRDefault="00C670E3" w:rsidP="00C670E3">
            <w:pPr>
              <w:spacing w:after="0" w:line="240" w:lineRule="auto"/>
              <w:rPr>
                <w:rFonts w:eastAsia="Times New Roman"/>
                <w:b/>
                <w:bCs/>
                <w:szCs w:val="24"/>
              </w:rPr>
            </w:pPr>
            <w:r w:rsidRPr="00EB11D3">
              <w:rPr>
                <w:b/>
                <w:bCs/>
                <w:szCs w:val="24"/>
              </w:rPr>
              <w:t>Process Improvement</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730CC200" w14:textId="77777777" w:rsidR="00C670E3" w:rsidRPr="00EB11D3" w:rsidRDefault="00C670E3" w:rsidP="00C670E3">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4B7B60BA" w14:textId="77777777" w:rsidR="00C670E3" w:rsidRPr="00EB11D3" w:rsidRDefault="00C670E3" w:rsidP="00C670E3">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573A9A9B" w14:textId="77777777" w:rsidR="00C670E3" w:rsidRPr="00EB11D3" w:rsidRDefault="00C670E3" w:rsidP="00C670E3">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7E4A20BE" w14:textId="77777777" w:rsidR="00C670E3" w:rsidRPr="00EB11D3" w:rsidRDefault="00C670E3" w:rsidP="00C670E3">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7CD72390" w14:textId="77777777" w:rsidR="00C670E3" w:rsidRPr="00EB11D3" w:rsidRDefault="00C670E3" w:rsidP="00C670E3">
            <w:pPr>
              <w:spacing w:after="0" w:line="240" w:lineRule="auto"/>
              <w:rPr>
                <w:rFonts w:eastAsia="Times New Roman"/>
                <w:szCs w:val="24"/>
              </w:rPr>
            </w:pPr>
          </w:p>
        </w:tc>
      </w:tr>
      <w:tr w:rsidR="0039483D" w:rsidRPr="00EB11D3" w14:paraId="7D06E252" w14:textId="77777777" w:rsidTr="00D02CAC">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0E952246" w14:textId="77777777" w:rsidR="00C670E3" w:rsidRPr="00EB11D3" w:rsidRDefault="00244BEB" w:rsidP="00C670E3">
            <w:pPr>
              <w:spacing w:after="0" w:line="240" w:lineRule="auto"/>
              <w:rPr>
                <w:rFonts w:eastAsia="Times New Roman"/>
                <w:szCs w:val="24"/>
              </w:rPr>
            </w:pPr>
            <w:r w:rsidRPr="00EB11D3">
              <w:rPr>
                <w:rFonts w:eastAsia="Times New Roman"/>
                <w:szCs w:val="24"/>
              </w:rPr>
              <w:t>1</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0A508F7B" w14:textId="77777777" w:rsidR="00C670E3" w:rsidRPr="00EB11D3" w:rsidRDefault="00244BEB" w:rsidP="00C670E3">
            <w:pPr>
              <w:spacing w:after="0" w:line="240" w:lineRule="auto"/>
              <w:rPr>
                <w:b/>
                <w:bCs/>
                <w:szCs w:val="24"/>
              </w:rPr>
            </w:pPr>
            <w:r w:rsidRPr="00EB11D3">
              <w:rPr>
                <w:rFonts w:eastAsia="Times New Roman"/>
                <w:szCs w:val="24"/>
              </w:rPr>
              <w:t xml:space="preserve">The hospital undertakes improvements in service operations aimed at  operational efficiency </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4F9D1010" w14:textId="77777777" w:rsidR="00C670E3" w:rsidRPr="00EB11D3" w:rsidRDefault="00C670E3" w:rsidP="00C670E3">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577E205C" w14:textId="77777777" w:rsidR="00C670E3" w:rsidRPr="00EB11D3" w:rsidRDefault="00C670E3" w:rsidP="00C670E3">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1CAC4E81" w14:textId="77777777" w:rsidR="00C670E3" w:rsidRPr="00EB11D3" w:rsidRDefault="00C670E3" w:rsidP="00C670E3">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194C5F9E" w14:textId="77777777" w:rsidR="00C670E3" w:rsidRPr="00EB11D3" w:rsidRDefault="00C670E3" w:rsidP="00C670E3">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21FCDF15" w14:textId="77777777" w:rsidR="00C670E3" w:rsidRPr="00EB11D3" w:rsidRDefault="00C670E3" w:rsidP="00C670E3">
            <w:pPr>
              <w:spacing w:after="0" w:line="240" w:lineRule="auto"/>
              <w:rPr>
                <w:rFonts w:eastAsia="Times New Roman"/>
                <w:szCs w:val="24"/>
              </w:rPr>
            </w:pPr>
          </w:p>
        </w:tc>
      </w:tr>
      <w:tr w:rsidR="0039483D" w:rsidRPr="00EB11D3" w14:paraId="04A83AC8" w14:textId="77777777" w:rsidTr="00D02CAC">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0C255EC0" w14:textId="77777777" w:rsidR="00C670E3" w:rsidRPr="00EB11D3" w:rsidRDefault="00244BEB" w:rsidP="00C670E3">
            <w:pPr>
              <w:spacing w:after="0" w:line="240" w:lineRule="auto"/>
              <w:rPr>
                <w:rFonts w:eastAsia="Times New Roman"/>
                <w:szCs w:val="24"/>
              </w:rPr>
            </w:pPr>
            <w:r w:rsidRPr="00EB11D3">
              <w:rPr>
                <w:rFonts w:eastAsia="Times New Roman"/>
                <w:szCs w:val="24"/>
              </w:rPr>
              <w:t>2</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10B0A214" w14:textId="77777777" w:rsidR="00C670E3" w:rsidRPr="00EB11D3" w:rsidRDefault="00244BEB" w:rsidP="00C670E3">
            <w:pPr>
              <w:spacing w:after="0" w:line="240" w:lineRule="auto"/>
              <w:rPr>
                <w:rFonts w:eastAsia="Times New Roman"/>
                <w:szCs w:val="24"/>
              </w:rPr>
            </w:pPr>
            <w:r w:rsidRPr="00EB11D3">
              <w:rPr>
                <w:rFonts w:eastAsia="Times New Roman"/>
                <w:szCs w:val="24"/>
              </w:rPr>
              <w:t xml:space="preserve">The hospital continually aims at improving the accuracy of diagnoses </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634680D3" w14:textId="77777777" w:rsidR="00C670E3" w:rsidRPr="00EB11D3" w:rsidRDefault="00C670E3" w:rsidP="00C670E3">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22C91B43" w14:textId="77777777" w:rsidR="00C670E3" w:rsidRPr="00EB11D3" w:rsidRDefault="00C670E3" w:rsidP="00C670E3">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18278F71" w14:textId="77777777" w:rsidR="00C670E3" w:rsidRPr="00EB11D3" w:rsidRDefault="00C670E3" w:rsidP="00C670E3">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40B69B12" w14:textId="77777777" w:rsidR="00C670E3" w:rsidRPr="00EB11D3" w:rsidRDefault="00C670E3" w:rsidP="00C670E3">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3867E425" w14:textId="77777777" w:rsidR="00C670E3" w:rsidRPr="00EB11D3" w:rsidRDefault="00C670E3" w:rsidP="00C670E3">
            <w:pPr>
              <w:spacing w:after="0" w:line="240" w:lineRule="auto"/>
              <w:rPr>
                <w:rFonts w:eastAsia="Times New Roman"/>
                <w:szCs w:val="24"/>
              </w:rPr>
            </w:pPr>
          </w:p>
        </w:tc>
      </w:tr>
      <w:tr w:rsidR="0039483D" w:rsidRPr="00EB11D3" w14:paraId="55757EA9" w14:textId="77777777" w:rsidTr="00244BEB">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hideMark/>
          </w:tcPr>
          <w:p w14:paraId="44E3CE3E" w14:textId="77777777" w:rsidR="00C670E3" w:rsidRPr="00EB11D3" w:rsidRDefault="00244BEB" w:rsidP="00C670E3">
            <w:pPr>
              <w:spacing w:after="0" w:line="240" w:lineRule="auto"/>
              <w:rPr>
                <w:rFonts w:eastAsia="Times New Roman"/>
                <w:szCs w:val="24"/>
              </w:rPr>
            </w:pPr>
            <w:r w:rsidRPr="00EB11D3">
              <w:rPr>
                <w:rFonts w:eastAsia="Times New Roman"/>
                <w:szCs w:val="24"/>
              </w:rPr>
              <w:t>3</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726BF437" w14:textId="77777777" w:rsidR="00C670E3" w:rsidRPr="00EB11D3" w:rsidRDefault="00244BEB" w:rsidP="00C670E3">
            <w:pPr>
              <w:spacing w:after="0" w:line="240" w:lineRule="auto"/>
              <w:rPr>
                <w:rFonts w:eastAsia="Times New Roman"/>
                <w:szCs w:val="24"/>
              </w:rPr>
            </w:pPr>
            <w:r w:rsidRPr="00EB11D3">
              <w:rPr>
                <w:rFonts w:eastAsia="Times New Roman"/>
                <w:szCs w:val="24"/>
              </w:rPr>
              <w:t>The hospital promotes Standardization of procedures and protocols to  reduce variability in patient care</w:t>
            </w:r>
          </w:p>
        </w:tc>
        <w:tc>
          <w:tcPr>
            <w:tcW w:w="187" w:type="pct"/>
            <w:tcBorders>
              <w:top w:val="single" w:sz="4" w:space="0" w:color="666666"/>
              <w:left w:val="single" w:sz="4" w:space="0" w:color="666666"/>
              <w:bottom w:val="single" w:sz="4" w:space="0" w:color="666666"/>
              <w:right w:val="single" w:sz="4" w:space="0" w:color="666666"/>
            </w:tcBorders>
            <w:shd w:val="clear" w:color="auto" w:fill="FFFFFF"/>
            <w:hideMark/>
          </w:tcPr>
          <w:p w14:paraId="3284DE10" w14:textId="77777777" w:rsidR="00C670E3" w:rsidRPr="00EB11D3" w:rsidRDefault="00C670E3" w:rsidP="00C670E3">
            <w:pPr>
              <w:spacing w:after="0" w:line="240" w:lineRule="auto"/>
              <w:rPr>
                <w:rFonts w:eastAsia="Times New Roman"/>
                <w:szCs w:val="24"/>
              </w:rPr>
            </w:pPr>
            <w:r w:rsidRPr="00EB11D3">
              <w:rPr>
                <w:rFonts w:eastAsia="Times New Roman"/>
                <w:szCs w:val="24"/>
              </w:rPr>
              <w:t> </w:t>
            </w:r>
          </w:p>
        </w:tc>
        <w:tc>
          <w:tcPr>
            <w:tcW w:w="187" w:type="pct"/>
            <w:tcBorders>
              <w:top w:val="single" w:sz="4" w:space="0" w:color="666666"/>
              <w:left w:val="single" w:sz="4" w:space="0" w:color="666666"/>
              <w:bottom w:val="single" w:sz="4" w:space="0" w:color="666666"/>
              <w:right w:val="single" w:sz="4" w:space="0" w:color="666666"/>
            </w:tcBorders>
            <w:shd w:val="clear" w:color="auto" w:fill="FFFFFF"/>
            <w:hideMark/>
          </w:tcPr>
          <w:p w14:paraId="2E47DDDC" w14:textId="77777777" w:rsidR="00C670E3" w:rsidRPr="00EB11D3" w:rsidRDefault="00C670E3" w:rsidP="00C670E3">
            <w:pPr>
              <w:spacing w:after="0" w:line="240" w:lineRule="auto"/>
              <w:rPr>
                <w:rFonts w:eastAsia="Times New Roman"/>
                <w:szCs w:val="24"/>
              </w:rPr>
            </w:pPr>
            <w:r w:rsidRPr="00EB11D3">
              <w:rPr>
                <w:rFonts w:eastAsia="Times New Roman"/>
                <w:szCs w:val="24"/>
              </w:rPr>
              <w:t> </w:t>
            </w:r>
          </w:p>
        </w:tc>
        <w:tc>
          <w:tcPr>
            <w:tcW w:w="188" w:type="pct"/>
            <w:tcBorders>
              <w:top w:val="single" w:sz="4" w:space="0" w:color="666666"/>
              <w:left w:val="single" w:sz="4" w:space="0" w:color="666666"/>
              <w:bottom w:val="single" w:sz="4" w:space="0" w:color="666666"/>
              <w:right w:val="single" w:sz="4" w:space="0" w:color="666666"/>
            </w:tcBorders>
            <w:shd w:val="clear" w:color="auto" w:fill="FFFFFF"/>
            <w:hideMark/>
          </w:tcPr>
          <w:p w14:paraId="161716CB" w14:textId="77777777" w:rsidR="00C670E3" w:rsidRPr="00EB11D3" w:rsidRDefault="00C670E3" w:rsidP="00C670E3">
            <w:pPr>
              <w:spacing w:after="0" w:line="240" w:lineRule="auto"/>
              <w:rPr>
                <w:rFonts w:eastAsia="Times New Roman"/>
                <w:szCs w:val="24"/>
              </w:rPr>
            </w:pPr>
            <w:r w:rsidRPr="00EB11D3">
              <w:rPr>
                <w:rFonts w:eastAsia="Times New Roman"/>
                <w:szCs w:val="24"/>
              </w:rPr>
              <w:t> </w:t>
            </w:r>
          </w:p>
        </w:tc>
        <w:tc>
          <w:tcPr>
            <w:tcW w:w="188" w:type="pct"/>
            <w:tcBorders>
              <w:top w:val="single" w:sz="4" w:space="0" w:color="666666"/>
              <w:left w:val="single" w:sz="4" w:space="0" w:color="666666"/>
              <w:bottom w:val="single" w:sz="4" w:space="0" w:color="666666"/>
              <w:right w:val="single" w:sz="4" w:space="0" w:color="666666"/>
            </w:tcBorders>
            <w:shd w:val="clear" w:color="auto" w:fill="FFFFFF"/>
            <w:hideMark/>
          </w:tcPr>
          <w:p w14:paraId="0ED2235F" w14:textId="77777777" w:rsidR="00C670E3" w:rsidRPr="00EB11D3" w:rsidRDefault="00C670E3" w:rsidP="00C670E3">
            <w:pPr>
              <w:spacing w:after="0" w:line="240" w:lineRule="auto"/>
              <w:rPr>
                <w:rFonts w:eastAsia="Times New Roman"/>
                <w:szCs w:val="24"/>
              </w:rPr>
            </w:pPr>
            <w:r w:rsidRPr="00EB11D3">
              <w:rPr>
                <w:rFonts w:eastAsia="Times New Roman"/>
                <w:szCs w:val="24"/>
              </w:rPr>
              <w:t> </w:t>
            </w:r>
          </w:p>
        </w:tc>
        <w:tc>
          <w:tcPr>
            <w:tcW w:w="232" w:type="pct"/>
            <w:tcBorders>
              <w:top w:val="single" w:sz="4" w:space="0" w:color="666666"/>
              <w:left w:val="single" w:sz="4" w:space="0" w:color="666666"/>
              <w:bottom w:val="single" w:sz="4" w:space="0" w:color="666666"/>
              <w:right w:val="single" w:sz="4" w:space="0" w:color="666666"/>
            </w:tcBorders>
            <w:shd w:val="clear" w:color="auto" w:fill="FFFFFF"/>
            <w:hideMark/>
          </w:tcPr>
          <w:p w14:paraId="2EA39AC7" w14:textId="77777777" w:rsidR="00C670E3" w:rsidRPr="00EB11D3" w:rsidRDefault="00C670E3" w:rsidP="00C670E3">
            <w:pPr>
              <w:spacing w:after="0" w:line="240" w:lineRule="auto"/>
              <w:rPr>
                <w:rFonts w:eastAsia="Times New Roman"/>
                <w:szCs w:val="24"/>
              </w:rPr>
            </w:pPr>
            <w:r w:rsidRPr="00EB11D3">
              <w:rPr>
                <w:rFonts w:eastAsia="Times New Roman"/>
                <w:szCs w:val="24"/>
              </w:rPr>
              <w:t> </w:t>
            </w:r>
          </w:p>
        </w:tc>
      </w:tr>
      <w:tr w:rsidR="0039483D" w:rsidRPr="00EB11D3" w14:paraId="09D8E4B9" w14:textId="77777777" w:rsidTr="00244BEB">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17890658" w14:textId="77777777" w:rsidR="00244BEB" w:rsidRPr="00EB11D3" w:rsidRDefault="00244BEB" w:rsidP="00C670E3">
            <w:pPr>
              <w:spacing w:after="0" w:line="240" w:lineRule="auto"/>
              <w:rPr>
                <w:rFonts w:eastAsia="Times New Roman"/>
                <w:szCs w:val="24"/>
              </w:rPr>
            </w:pPr>
            <w:r w:rsidRPr="00EB11D3">
              <w:rPr>
                <w:rFonts w:eastAsia="Times New Roman"/>
                <w:szCs w:val="24"/>
              </w:rPr>
              <w:t>4</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7EC5157D" w14:textId="77777777" w:rsidR="00244BEB" w:rsidRPr="00EB11D3" w:rsidRDefault="00244BEB" w:rsidP="00C670E3">
            <w:pPr>
              <w:spacing w:after="0" w:line="240" w:lineRule="auto"/>
              <w:rPr>
                <w:rFonts w:eastAsia="Times New Roman"/>
                <w:szCs w:val="24"/>
              </w:rPr>
            </w:pPr>
            <w:r w:rsidRPr="00EB11D3">
              <w:rPr>
                <w:rFonts w:eastAsia="Times New Roman"/>
                <w:szCs w:val="24"/>
              </w:rPr>
              <w:t>Regularly harnesses innovation capabilities to fit the present innovations.</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69D64D1A" w14:textId="77777777" w:rsidR="00244BEB" w:rsidRPr="00EB11D3" w:rsidRDefault="00244BEB" w:rsidP="00C670E3">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5D58BF7A" w14:textId="77777777" w:rsidR="00244BEB" w:rsidRPr="00EB11D3" w:rsidRDefault="00244BEB" w:rsidP="00C670E3">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30B68DC7" w14:textId="77777777" w:rsidR="00244BEB" w:rsidRPr="00EB11D3" w:rsidRDefault="00244BEB" w:rsidP="00C670E3">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6669D8B1" w14:textId="77777777" w:rsidR="00244BEB" w:rsidRPr="00EB11D3" w:rsidRDefault="00244BEB" w:rsidP="00C670E3">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05AAF07F" w14:textId="77777777" w:rsidR="00244BEB" w:rsidRPr="00EB11D3" w:rsidRDefault="00244BEB" w:rsidP="00C670E3">
            <w:pPr>
              <w:spacing w:after="0" w:line="240" w:lineRule="auto"/>
              <w:rPr>
                <w:rFonts w:eastAsia="Times New Roman"/>
                <w:szCs w:val="24"/>
              </w:rPr>
            </w:pPr>
          </w:p>
        </w:tc>
      </w:tr>
      <w:tr w:rsidR="0039483D" w:rsidRPr="00EB11D3" w14:paraId="5175D4C3" w14:textId="77777777" w:rsidTr="00244BEB">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60CB439A" w14:textId="77777777" w:rsidR="00244BEB" w:rsidRPr="00EB11D3" w:rsidRDefault="0029417A" w:rsidP="00244BEB">
            <w:pPr>
              <w:spacing w:after="0" w:line="240" w:lineRule="auto"/>
              <w:rPr>
                <w:rFonts w:eastAsia="Times New Roman"/>
                <w:szCs w:val="24"/>
              </w:rPr>
            </w:pPr>
            <w:r w:rsidRPr="00EB11D3">
              <w:rPr>
                <w:rFonts w:eastAsia="Times New Roman"/>
                <w:szCs w:val="24"/>
              </w:rPr>
              <w:t>5</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70ED6633" w14:textId="77777777" w:rsidR="00244BEB" w:rsidRPr="00EB11D3" w:rsidRDefault="00244BEB" w:rsidP="00244BEB">
            <w:pPr>
              <w:spacing w:after="0" w:line="240" w:lineRule="auto"/>
              <w:rPr>
                <w:rFonts w:eastAsia="Times New Roman"/>
                <w:szCs w:val="24"/>
              </w:rPr>
            </w:pPr>
            <w:r w:rsidRPr="00EB11D3">
              <w:rPr>
                <w:rFonts w:eastAsia="Times New Roman"/>
                <w:szCs w:val="24"/>
              </w:rPr>
              <w:t>Undertakes continuous Research and Development on healthcare services</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5E76AB03" w14:textId="77777777" w:rsidR="00244BEB" w:rsidRPr="00EB11D3" w:rsidRDefault="00244BEB" w:rsidP="00244BEB">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098B6EEE" w14:textId="77777777" w:rsidR="00244BEB" w:rsidRPr="00EB11D3" w:rsidRDefault="00244BEB"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452B55F6" w14:textId="77777777" w:rsidR="00244BEB" w:rsidRPr="00EB11D3" w:rsidRDefault="00244BEB"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2A8D8C5F" w14:textId="77777777" w:rsidR="00244BEB" w:rsidRPr="00EB11D3" w:rsidRDefault="00244BEB" w:rsidP="00244BEB">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134ECF5D" w14:textId="77777777" w:rsidR="00244BEB" w:rsidRPr="00EB11D3" w:rsidRDefault="00244BEB" w:rsidP="00244BEB">
            <w:pPr>
              <w:spacing w:after="0" w:line="240" w:lineRule="auto"/>
              <w:rPr>
                <w:rFonts w:eastAsia="Times New Roman"/>
                <w:szCs w:val="24"/>
              </w:rPr>
            </w:pPr>
          </w:p>
        </w:tc>
      </w:tr>
      <w:tr w:rsidR="0039483D" w:rsidRPr="00EB11D3" w14:paraId="4C4468E2" w14:textId="77777777" w:rsidTr="00244BEB">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30701C99" w14:textId="77777777" w:rsidR="00244BEB" w:rsidRPr="00EB11D3" w:rsidRDefault="0029417A" w:rsidP="00244BEB">
            <w:pPr>
              <w:spacing w:after="0" w:line="240" w:lineRule="auto"/>
              <w:rPr>
                <w:rFonts w:eastAsia="Times New Roman"/>
                <w:szCs w:val="24"/>
              </w:rPr>
            </w:pPr>
            <w:r w:rsidRPr="00EB11D3">
              <w:rPr>
                <w:rFonts w:eastAsia="Times New Roman"/>
                <w:szCs w:val="24"/>
              </w:rPr>
              <w:t>6</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5805F8AA" w14:textId="77777777" w:rsidR="00244BEB" w:rsidRPr="00EB11D3" w:rsidRDefault="00244BEB" w:rsidP="00244BEB">
            <w:pPr>
              <w:spacing w:after="0" w:line="240" w:lineRule="auto"/>
              <w:rPr>
                <w:rFonts w:eastAsia="Times New Roman"/>
                <w:szCs w:val="24"/>
              </w:rPr>
            </w:pPr>
            <w:r w:rsidRPr="00EB11D3">
              <w:rPr>
                <w:rFonts w:eastAsia="Times New Roman"/>
                <w:szCs w:val="24"/>
              </w:rPr>
              <w:t>Engages innovative support service systems that leverage on the trending technology</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78217EDA" w14:textId="77777777" w:rsidR="00244BEB" w:rsidRPr="00EB11D3" w:rsidRDefault="00244BEB" w:rsidP="00244BEB">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380C5D05" w14:textId="77777777" w:rsidR="00244BEB" w:rsidRPr="00EB11D3" w:rsidRDefault="00244BEB"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4D594AFA" w14:textId="77777777" w:rsidR="00244BEB" w:rsidRPr="00EB11D3" w:rsidRDefault="00244BEB"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759E4191" w14:textId="77777777" w:rsidR="00244BEB" w:rsidRPr="00EB11D3" w:rsidRDefault="00244BEB" w:rsidP="00244BEB">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53465554" w14:textId="77777777" w:rsidR="00244BEB" w:rsidRPr="00EB11D3" w:rsidRDefault="00244BEB" w:rsidP="00244BEB">
            <w:pPr>
              <w:spacing w:after="0" w:line="240" w:lineRule="auto"/>
              <w:rPr>
                <w:rFonts w:eastAsia="Times New Roman"/>
                <w:szCs w:val="24"/>
              </w:rPr>
            </w:pPr>
          </w:p>
        </w:tc>
      </w:tr>
      <w:tr w:rsidR="0039483D" w:rsidRPr="00EB11D3" w14:paraId="01A1D615" w14:textId="77777777" w:rsidTr="00244BEB">
        <w:trPr>
          <w:trHeight w:val="288"/>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7778791E" w14:textId="77777777" w:rsidR="00244BEB" w:rsidRPr="00EB11D3" w:rsidRDefault="0029417A" w:rsidP="00244BEB">
            <w:pPr>
              <w:spacing w:after="0" w:line="240" w:lineRule="auto"/>
              <w:rPr>
                <w:rFonts w:eastAsia="Times New Roman"/>
                <w:szCs w:val="24"/>
              </w:rPr>
            </w:pPr>
            <w:r w:rsidRPr="00EB11D3">
              <w:rPr>
                <w:rFonts w:eastAsia="Times New Roman"/>
                <w:szCs w:val="24"/>
              </w:rPr>
              <w:t>7</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63CB7DFD" w14:textId="77777777" w:rsidR="00244BEB" w:rsidRPr="00EB11D3" w:rsidRDefault="00244BEB" w:rsidP="00244BEB">
            <w:pPr>
              <w:spacing w:after="0" w:line="240" w:lineRule="auto"/>
              <w:rPr>
                <w:rFonts w:eastAsia="Times New Roman"/>
                <w:szCs w:val="24"/>
              </w:rPr>
            </w:pPr>
            <w:r w:rsidRPr="00EB11D3">
              <w:rPr>
                <w:rFonts w:eastAsia="Times New Roman"/>
                <w:szCs w:val="24"/>
              </w:rPr>
              <w:t xml:space="preserve">Adopts new technologies in the healthcare service delivery </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10AD4A20" w14:textId="77777777" w:rsidR="00244BEB" w:rsidRPr="00EB11D3" w:rsidRDefault="00244BEB" w:rsidP="00244BEB">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630160B9" w14:textId="77777777" w:rsidR="00244BEB" w:rsidRPr="00EB11D3" w:rsidRDefault="00244BEB"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46E894C4" w14:textId="77777777" w:rsidR="00244BEB" w:rsidRPr="00EB11D3" w:rsidRDefault="00244BEB"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639FEAD5" w14:textId="77777777" w:rsidR="00244BEB" w:rsidRPr="00EB11D3" w:rsidRDefault="00244BEB" w:rsidP="00244BEB">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0900E019" w14:textId="77777777" w:rsidR="00244BEB" w:rsidRPr="00EB11D3" w:rsidRDefault="00244BEB" w:rsidP="00244BEB">
            <w:pPr>
              <w:spacing w:after="0" w:line="240" w:lineRule="auto"/>
              <w:rPr>
                <w:rFonts w:eastAsia="Times New Roman"/>
                <w:szCs w:val="24"/>
              </w:rPr>
            </w:pPr>
          </w:p>
        </w:tc>
      </w:tr>
      <w:tr w:rsidR="0039483D" w:rsidRPr="00EB11D3" w14:paraId="415C058B" w14:textId="77777777" w:rsidTr="00D02CAC">
        <w:trPr>
          <w:trHeight w:val="64"/>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389EA38B" w14:textId="77777777" w:rsidR="00244BEB" w:rsidRPr="00EB11D3" w:rsidRDefault="00244BEB" w:rsidP="00244BEB">
            <w:pPr>
              <w:spacing w:after="0" w:line="240" w:lineRule="auto"/>
              <w:rPr>
                <w:rFonts w:eastAsia="Times New Roman"/>
                <w:szCs w:val="24"/>
              </w:rPr>
            </w:pP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38F4E304" w14:textId="77777777" w:rsidR="00244BEB" w:rsidRPr="00EB11D3" w:rsidRDefault="00244BEB" w:rsidP="00244BEB">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25B5D564" w14:textId="77777777" w:rsidR="00244BEB" w:rsidRPr="00EB11D3" w:rsidRDefault="00244BEB" w:rsidP="00244BEB">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4BC81500" w14:textId="77777777" w:rsidR="00244BEB" w:rsidRPr="00EB11D3" w:rsidRDefault="00244BEB"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55DA7944" w14:textId="77777777" w:rsidR="00244BEB" w:rsidRPr="00EB11D3" w:rsidRDefault="00244BEB"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396AFE7E" w14:textId="77777777" w:rsidR="00244BEB" w:rsidRPr="00EB11D3" w:rsidRDefault="00244BEB" w:rsidP="00244BEB">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58B20AFA" w14:textId="77777777" w:rsidR="00244BEB" w:rsidRPr="00EB11D3" w:rsidRDefault="00244BEB" w:rsidP="00244BEB">
            <w:pPr>
              <w:spacing w:after="0" w:line="240" w:lineRule="auto"/>
              <w:rPr>
                <w:rFonts w:eastAsia="Times New Roman"/>
                <w:szCs w:val="24"/>
              </w:rPr>
            </w:pPr>
          </w:p>
        </w:tc>
      </w:tr>
      <w:tr w:rsidR="0039483D" w:rsidRPr="00EB11D3" w14:paraId="5C83E70A" w14:textId="77777777" w:rsidTr="00D02CAC">
        <w:trPr>
          <w:trHeight w:val="347"/>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024D6E7B" w14:textId="77777777" w:rsidR="00244BEB" w:rsidRPr="00EB11D3" w:rsidRDefault="00244BEB" w:rsidP="00244BEB">
            <w:pPr>
              <w:spacing w:after="0" w:line="240" w:lineRule="auto"/>
              <w:rPr>
                <w:rFonts w:eastAsia="Times New Roman"/>
                <w:szCs w:val="24"/>
              </w:rPr>
            </w:pPr>
          </w:p>
        </w:tc>
        <w:tc>
          <w:tcPr>
            <w:tcW w:w="3791" w:type="pct"/>
            <w:tcBorders>
              <w:top w:val="single" w:sz="4" w:space="0" w:color="666666"/>
              <w:left w:val="single" w:sz="4" w:space="0" w:color="666666"/>
              <w:bottom w:val="single" w:sz="4" w:space="0" w:color="666666"/>
              <w:right w:val="single" w:sz="4" w:space="0" w:color="666666"/>
            </w:tcBorders>
            <w:shd w:val="clear" w:color="auto" w:fill="FFFFFF"/>
            <w:hideMark/>
          </w:tcPr>
          <w:p w14:paraId="6F941503" w14:textId="77777777" w:rsidR="00244BEB" w:rsidRPr="00EB11D3" w:rsidRDefault="00244BEB" w:rsidP="00244BEB">
            <w:pPr>
              <w:spacing w:after="0" w:line="240" w:lineRule="auto"/>
              <w:rPr>
                <w:rFonts w:eastAsia="Times New Roman"/>
                <w:b/>
                <w:bCs/>
                <w:szCs w:val="24"/>
              </w:rPr>
            </w:pPr>
            <w:r w:rsidRPr="00EB11D3">
              <w:rPr>
                <w:b/>
                <w:bCs/>
                <w:szCs w:val="24"/>
              </w:rPr>
              <w:t>Customer-centric Services</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1EF6F401" w14:textId="77777777" w:rsidR="00244BEB" w:rsidRPr="00EB11D3" w:rsidRDefault="00244BEB" w:rsidP="00244BEB">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02FB8197" w14:textId="77777777" w:rsidR="00244BEB" w:rsidRPr="00EB11D3" w:rsidRDefault="00244BEB"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05A72C51" w14:textId="77777777" w:rsidR="00244BEB" w:rsidRPr="00EB11D3" w:rsidRDefault="00244BEB"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795BC437" w14:textId="77777777" w:rsidR="00244BEB" w:rsidRPr="00EB11D3" w:rsidRDefault="00244BEB" w:rsidP="00244BEB">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508369EF" w14:textId="77777777" w:rsidR="00244BEB" w:rsidRPr="00EB11D3" w:rsidRDefault="00244BEB" w:rsidP="00244BEB">
            <w:pPr>
              <w:spacing w:after="0" w:line="240" w:lineRule="auto"/>
              <w:rPr>
                <w:rFonts w:eastAsia="Times New Roman"/>
                <w:szCs w:val="24"/>
              </w:rPr>
            </w:pPr>
          </w:p>
        </w:tc>
      </w:tr>
      <w:tr w:rsidR="0039483D" w:rsidRPr="00EB11D3" w14:paraId="4D79DF43" w14:textId="77777777" w:rsidTr="00D02CAC">
        <w:trPr>
          <w:trHeight w:val="347"/>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4B435614" w14:textId="77777777" w:rsidR="0029417A" w:rsidRPr="00EB11D3" w:rsidRDefault="0029417A" w:rsidP="00244BEB">
            <w:pPr>
              <w:spacing w:after="0" w:line="240" w:lineRule="auto"/>
              <w:rPr>
                <w:rFonts w:eastAsia="Times New Roman"/>
                <w:szCs w:val="24"/>
              </w:rPr>
            </w:pPr>
            <w:r w:rsidRPr="00EB11D3">
              <w:rPr>
                <w:rFonts w:eastAsia="Times New Roman"/>
                <w:szCs w:val="24"/>
              </w:rPr>
              <w:t>1</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714A293C" w14:textId="77777777" w:rsidR="0029417A" w:rsidRPr="00EB11D3" w:rsidRDefault="0029417A" w:rsidP="00244BEB">
            <w:pPr>
              <w:spacing w:after="0" w:line="240" w:lineRule="auto"/>
              <w:rPr>
                <w:szCs w:val="24"/>
              </w:rPr>
            </w:pPr>
            <w:r w:rsidRPr="00EB11D3">
              <w:rPr>
                <w:szCs w:val="24"/>
              </w:rPr>
              <w:t>The hospital conducts continuous survey to understand customers' experience</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451CD92F" w14:textId="77777777" w:rsidR="0029417A" w:rsidRPr="00EB11D3" w:rsidRDefault="0029417A" w:rsidP="00244BEB">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7EC4B99C" w14:textId="77777777" w:rsidR="0029417A" w:rsidRPr="00EB11D3" w:rsidRDefault="0029417A"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5C119832" w14:textId="77777777" w:rsidR="0029417A" w:rsidRPr="00EB11D3" w:rsidRDefault="0029417A"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2A08A00A" w14:textId="77777777" w:rsidR="0029417A" w:rsidRPr="00EB11D3" w:rsidRDefault="0029417A" w:rsidP="00244BEB">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27F06C5C" w14:textId="77777777" w:rsidR="0029417A" w:rsidRPr="00EB11D3" w:rsidRDefault="0029417A" w:rsidP="00244BEB">
            <w:pPr>
              <w:spacing w:after="0" w:line="240" w:lineRule="auto"/>
              <w:rPr>
                <w:rFonts w:eastAsia="Times New Roman"/>
                <w:szCs w:val="24"/>
              </w:rPr>
            </w:pPr>
          </w:p>
        </w:tc>
      </w:tr>
      <w:tr w:rsidR="0039483D" w:rsidRPr="00EB11D3" w14:paraId="375BB590" w14:textId="77777777" w:rsidTr="00D02CAC">
        <w:trPr>
          <w:trHeight w:val="347"/>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5776DF03" w14:textId="77777777" w:rsidR="0029417A" w:rsidRPr="00EB11D3" w:rsidRDefault="0029417A" w:rsidP="00244BEB">
            <w:pPr>
              <w:spacing w:after="0" w:line="240" w:lineRule="auto"/>
              <w:rPr>
                <w:rFonts w:eastAsia="Times New Roman"/>
                <w:szCs w:val="24"/>
              </w:rPr>
            </w:pPr>
            <w:r w:rsidRPr="00EB11D3">
              <w:rPr>
                <w:rFonts w:eastAsia="Times New Roman"/>
                <w:szCs w:val="24"/>
              </w:rPr>
              <w:t>2</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06564F7C" w14:textId="77777777" w:rsidR="0029417A" w:rsidRPr="00EB11D3" w:rsidRDefault="0029417A" w:rsidP="00244BEB">
            <w:pPr>
              <w:spacing w:after="0" w:line="240" w:lineRule="auto"/>
              <w:rPr>
                <w:szCs w:val="24"/>
              </w:rPr>
            </w:pPr>
            <w:r w:rsidRPr="00EB11D3">
              <w:rPr>
                <w:szCs w:val="24"/>
              </w:rPr>
              <w:t>The hospital leverage customer data responsibly to provide personalized patient services.</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3833EFE9" w14:textId="77777777" w:rsidR="0029417A" w:rsidRPr="00EB11D3" w:rsidRDefault="0029417A" w:rsidP="00244BEB">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3B878966" w14:textId="77777777" w:rsidR="0029417A" w:rsidRPr="00EB11D3" w:rsidRDefault="0029417A"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59AEDA08" w14:textId="77777777" w:rsidR="0029417A" w:rsidRPr="00EB11D3" w:rsidRDefault="0029417A"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23EF45CA" w14:textId="77777777" w:rsidR="0029417A" w:rsidRPr="00EB11D3" w:rsidRDefault="0029417A" w:rsidP="00244BEB">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2D552AE7" w14:textId="77777777" w:rsidR="0029417A" w:rsidRPr="00EB11D3" w:rsidRDefault="0029417A" w:rsidP="00244BEB">
            <w:pPr>
              <w:spacing w:after="0" w:line="240" w:lineRule="auto"/>
              <w:rPr>
                <w:rFonts w:eastAsia="Times New Roman"/>
                <w:szCs w:val="24"/>
              </w:rPr>
            </w:pPr>
          </w:p>
        </w:tc>
      </w:tr>
      <w:tr w:rsidR="0039483D" w:rsidRPr="00EB11D3" w14:paraId="619602C1" w14:textId="77777777" w:rsidTr="00D02CAC">
        <w:trPr>
          <w:trHeight w:val="347"/>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54512064" w14:textId="77777777" w:rsidR="0029417A" w:rsidRPr="00EB11D3" w:rsidRDefault="0029417A" w:rsidP="00244BEB">
            <w:pPr>
              <w:spacing w:after="0" w:line="240" w:lineRule="auto"/>
              <w:rPr>
                <w:rFonts w:eastAsia="Times New Roman"/>
                <w:szCs w:val="24"/>
              </w:rPr>
            </w:pPr>
            <w:r w:rsidRPr="00EB11D3">
              <w:rPr>
                <w:rFonts w:eastAsia="Times New Roman"/>
                <w:szCs w:val="24"/>
              </w:rPr>
              <w:t>3</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47547651" w14:textId="77777777" w:rsidR="0029417A" w:rsidRPr="00EB11D3" w:rsidRDefault="0029417A" w:rsidP="00244BEB">
            <w:pPr>
              <w:spacing w:after="0" w:line="240" w:lineRule="auto"/>
              <w:rPr>
                <w:szCs w:val="24"/>
              </w:rPr>
            </w:pPr>
            <w:r w:rsidRPr="00EB11D3">
              <w:rPr>
                <w:szCs w:val="24"/>
              </w:rPr>
              <w:t>The hospital maintains open communication channels for customer feedback and inquiries.</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0E4BE10A" w14:textId="77777777" w:rsidR="0029417A" w:rsidRPr="00EB11D3" w:rsidRDefault="0029417A" w:rsidP="00244BEB">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1004E76C" w14:textId="77777777" w:rsidR="0029417A" w:rsidRPr="00EB11D3" w:rsidRDefault="0029417A"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272EC2D9" w14:textId="77777777" w:rsidR="0029417A" w:rsidRPr="00EB11D3" w:rsidRDefault="0029417A"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47F5C38B" w14:textId="77777777" w:rsidR="0029417A" w:rsidRPr="00EB11D3" w:rsidRDefault="0029417A" w:rsidP="00244BEB">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3A5B74A0" w14:textId="77777777" w:rsidR="0029417A" w:rsidRPr="00EB11D3" w:rsidRDefault="0029417A" w:rsidP="00244BEB">
            <w:pPr>
              <w:spacing w:after="0" w:line="240" w:lineRule="auto"/>
              <w:rPr>
                <w:rFonts w:eastAsia="Times New Roman"/>
                <w:szCs w:val="24"/>
              </w:rPr>
            </w:pPr>
          </w:p>
        </w:tc>
      </w:tr>
      <w:tr w:rsidR="0039483D" w:rsidRPr="00EB11D3" w14:paraId="28B461A7" w14:textId="77777777" w:rsidTr="00D02CAC">
        <w:trPr>
          <w:trHeight w:val="347"/>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52F47DC7" w14:textId="77777777" w:rsidR="0029417A" w:rsidRPr="00EB11D3" w:rsidRDefault="0029417A" w:rsidP="00244BEB">
            <w:pPr>
              <w:spacing w:after="0" w:line="240" w:lineRule="auto"/>
              <w:rPr>
                <w:rFonts w:eastAsia="Times New Roman"/>
                <w:szCs w:val="24"/>
              </w:rPr>
            </w:pPr>
            <w:r w:rsidRPr="00EB11D3">
              <w:rPr>
                <w:rFonts w:eastAsia="Times New Roman"/>
                <w:szCs w:val="24"/>
              </w:rPr>
              <w:t>4</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088A2911" w14:textId="77777777" w:rsidR="0029417A" w:rsidRPr="00EB11D3" w:rsidRDefault="0029417A" w:rsidP="00244BEB">
            <w:pPr>
              <w:spacing w:after="0" w:line="240" w:lineRule="auto"/>
              <w:rPr>
                <w:szCs w:val="24"/>
              </w:rPr>
            </w:pPr>
            <w:r w:rsidRPr="00EB11D3">
              <w:rPr>
                <w:szCs w:val="24"/>
              </w:rPr>
              <w:t xml:space="preserve">The hospital streamlines its processes to make it easy for patients/customers to interact </w:t>
            </w:r>
            <w:r w:rsidR="00607BA0" w:rsidRPr="00EB11D3">
              <w:rPr>
                <w:szCs w:val="24"/>
              </w:rPr>
              <w:t>with.</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375628A0" w14:textId="77777777" w:rsidR="0029417A" w:rsidRPr="00EB11D3" w:rsidRDefault="0029417A" w:rsidP="00244BEB">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7F61457B" w14:textId="77777777" w:rsidR="0029417A" w:rsidRPr="00EB11D3" w:rsidRDefault="0029417A"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51B38B33" w14:textId="77777777" w:rsidR="0029417A" w:rsidRPr="00EB11D3" w:rsidRDefault="0029417A"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6FF0059B" w14:textId="77777777" w:rsidR="0029417A" w:rsidRPr="00EB11D3" w:rsidRDefault="0029417A" w:rsidP="00244BEB">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66140298" w14:textId="77777777" w:rsidR="0029417A" w:rsidRPr="00EB11D3" w:rsidRDefault="0029417A" w:rsidP="00244BEB">
            <w:pPr>
              <w:spacing w:after="0" w:line="240" w:lineRule="auto"/>
              <w:rPr>
                <w:rFonts w:eastAsia="Times New Roman"/>
                <w:szCs w:val="24"/>
              </w:rPr>
            </w:pPr>
          </w:p>
        </w:tc>
      </w:tr>
      <w:tr w:rsidR="0039483D" w:rsidRPr="00EB11D3" w14:paraId="10BEFF46" w14:textId="77777777" w:rsidTr="00D02CAC">
        <w:trPr>
          <w:trHeight w:val="347"/>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2B1314BE" w14:textId="77777777" w:rsidR="00607BA0" w:rsidRPr="00EB11D3" w:rsidRDefault="00607BA0" w:rsidP="00244BEB">
            <w:pPr>
              <w:spacing w:after="0" w:line="240" w:lineRule="auto"/>
              <w:rPr>
                <w:rFonts w:eastAsia="Times New Roman"/>
                <w:szCs w:val="24"/>
              </w:rPr>
            </w:pPr>
            <w:r w:rsidRPr="00EB11D3">
              <w:rPr>
                <w:rFonts w:eastAsia="Times New Roman"/>
                <w:szCs w:val="24"/>
              </w:rPr>
              <w:t xml:space="preserve">5. </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160F8508" w14:textId="77777777" w:rsidR="00607BA0" w:rsidRPr="00EB11D3" w:rsidRDefault="00607BA0" w:rsidP="00244BEB">
            <w:pPr>
              <w:spacing w:after="0" w:line="240" w:lineRule="auto"/>
              <w:rPr>
                <w:szCs w:val="24"/>
              </w:rPr>
            </w:pPr>
            <w:r w:rsidRPr="00EB11D3">
              <w:rPr>
                <w:szCs w:val="24"/>
              </w:rPr>
              <w:t>Regularly update and improve services based on customer insights</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6C6F4CBC" w14:textId="77777777" w:rsidR="00607BA0" w:rsidRPr="00EB11D3" w:rsidRDefault="00607BA0" w:rsidP="00244BEB">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04DFB76B" w14:textId="77777777" w:rsidR="00607BA0" w:rsidRPr="00EB11D3" w:rsidRDefault="00607BA0"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158C45BC" w14:textId="77777777" w:rsidR="00607BA0" w:rsidRPr="00EB11D3" w:rsidRDefault="00607BA0"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415C0A2C" w14:textId="77777777" w:rsidR="00607BA0" w:rsidRPr="00EB11D3" w:rsidRDefault="00607BA0" w:rsidP="00244BEB">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02FF21C4" w14:textId="77777777" w:rsidR="00607BA0" w:rsidRPr="00EB11D3" w:rsidRDefault="00607BA0" w:rsidP="00244BEB">
            <w:pPr>
              <w:spacing w:after="0" w:line="240" w:lineRule="auto"/>
              <w:rPr>
                <w:rFonts w:eastAsia="Times New Roman"/>
                <w:szCs w:val="24"/>
              </w:rPr>
            </w:pPr>
          </w:p>
        </w:tc>
      </w:tr>
      <w:tr w:rsidR="0039483D" w:rsidRPr="00EB11D3" w14:paraId="73564A8C" w14:textId="77777777" w:rsidTr="00D02CAC">
        <w:trPr>
          <w:trHeight w:val="347"/>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0A53D436" w14:textId="77777777" w:rsidR="00607BA0" w:rsidRPr="00EB11D3" w:rsidRDefault="00607BA0" w:rsidP="00244BEB">
            <w:pPr>
              <w:spacing w:after="0" w:line="240" w:lineRule="auto"/>
              <w:rPr>
                <w:rFonts w:eastAsia="Times New Roman"/>
                <w:szCs w:val="24"/>
              </w:rPr>
            </w:pPr>
            <w:r w:rsidRPr="00EB11D3">
              <w:rPr>
                <w:rFonts w:eastAsia="Times New Roman"/>
                <w:szCs w:val="24"/>
              </w:rPr>
              <w:t>6</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4D00D370" w14:textId="77777777" w:rsidR="00607BA0" w:rsidRPr="00EB11D3" w:rsidRDefault="00607BA0" w:rsidP="00244BEB">
            <w:pPr>
              <w:spacing w:after="0" w:line="240" w:lineRule="auto"/>
              <w:rPr>
                <w:szCs w:val="24"/>
              </w:rPr>
            </w:pPr>
            <w:r w:rsidRPr="00EB11D3">
              <w:rPr>
                <w:szCs w:val="24"/>
              </w:rPr>
              <w:t>The hospital management provide ongoing training to employees on customer service best practices.</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33BC55E4" w14:textId="77777777" w:rsidR="00607BA0" w:rsidRPr="00EB11D3" w:rsidRDefault="00607BA0" w:rsidP="00244BEB">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5B37DC60" w14:textId="77777777" w:rsidR="00607BA0" w:rsidRPr="00EB11D3" w:rsidRDefault="00607BA0"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090E32D5" w14:textId="77777777" w:rsidR="00607BA0" w:rsidRPr="00EB11D3" w:rsidRDefault="00607BA0"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00C0D4B3" w14:textId="77777777" w:rsidR="00607BA0" w:rsidRPr="00EB11D3" w:rsidRDefault="00607BA0" w:rsidP="00244BEB">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00AC76CD" w14:textId="77777777" w:rsidR="00607BA0" w:rsidRPr="00EB11D3" w:rsidRDefault="00607BA0" w:rsidP="00244BEB">
            <w:pPr>
              <w:spacing w:after="0" w:line="240" w:lineRule="auto"/>
              <w:rPr>
                <w:rFonts w:eastAsia="Times New Roman"/>
                <w:szCs w:val="24"/>
              </w:rPr>
            </w:pPr>
          </w:p>
        </w:tc>
      </w:tr>
      <w:tr w:rsidR="0039483D" w:rsidRPr="00EB11D3" w14:paraId="1592BCB5" w14:textId="77777777" w:rsidTr="00D02CAC">
        <w:trPr>
          <w:trHeight w:val="347"/>
        </w:trPr>
        <w:tc>
          <w:tcPr>
            <w:tcW w:w="226" w:type="pct"/>
            <w:tcBorders>
              <w:top w:val="single" w:sz="4" w:space="0" w:color="666666"/>
              <w:left w:val="single" w:sz="4" w:space="0" w:color="666666"/>
              <w:bottom w:val="single" w:sz="4" w:space="0" w:color="666666"/>
              <w:right w:val="single" w:sz="4" w:space="0" w:color="666666"/>
            </w:tcBorders>
            <w:shd w:val="clear" w:color="auto" w:fill="FFFFFF"/>
          </w:tcPr>
          <w:p w14:paraId="5076CB6A" w14:textId="77777777" w:rsidR="00607BA0" w:rsidRPr="00EB11D3" w:rsidRDefault="00607BA0" w:rsidP="00244BEB">
            <w:pPr>
              <w:spacing w:after="0" w:line="240" w:lineRule="auto"/>
              <w:rPr>
                <w:rFonts w:eastAsia="Times New Roman"/>
                <w:szCs w:val="24"/>
              </w:rPr>
            </w:pPr>
            <w:r w:rsidRPr="00EB11D3">
              <w:rPr>
                <w:rFonts w:eastAsia="Times New Roman"/>
                <w:szCs w:val="24"/>
              </w:rPr>
              <w:t>7</w:t>
            </w:r>
          </w:p>
        </w:tc>
        <w:tc>
          <w:tcPr>
            <w:tcW w:w="3791" w:type="pct"/>
            <w:tcBorders>
              <w:top w:val="single" w:sz="4" w:space="0" w:color="666666"/>
              <w:left w:val="single" w:sz="4" w:space="0" w:color="666666"/>
              <w:bottom w:val="single" w:sz="4" w:space="0" w:color="666666"/>
              <w:right w:val="single" w:sz="4" w:space="0" w:color="666666"/>
            </w:tcBorders>
            <w:shd w:val="clear" w:color="auto" w:fill="FFFFFF"/>
          </w:tcPr>
          <w:p w14:paraId="786677E6" w14:textId="77777777" w:rsidR="00607BA0" w:rsidRPr="00EB11D3" w:rsidRDefault="00607BA0" w:rsidP="00244BEB">
            <w:pPr>
              <w:spacing w:after="0" w:line="240" w:lineRule="auto"/>
              <w:rPr>
                <w:szCs w:val="24"/>
              </w:rPr>
            </w:pPr>
            <w:r w:rsidRPr="00EB11D3">
              <w:rPr>
                <w:szCs w:val="24"/>
              </w:rPr>
              <w:t>The hospital clearly communicates the unique value of your services offer to customers.</w:t>
            </w: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0E129CF5" w14:textId="77777777" w:rsidR="00607BA0" w:rsidRPr="00EB11D3" w:rsidRDefault="00607BA0" w:rsidP="00244BEB">
            <w:pPr>
              <w:spacing w:after="0" w:line="240" w:lineRule="auto"/>
              <w:rPr>
                <w:rFonts w:eastAsia="Times New Roman"/>
                <w:szCs w:val="24"/>
              </w:rPr>
            </w:pPr>
          </w:p>
        </w:tc>
        <w:tc>
          <w:tcPr>
            <w:tcW w:w="187" w:type="pct"/>
            <w:tcBorders>
              <w:top w:val="single" w:sz="4" w:space="0" w:color="666666"/>
              <w:left w:val="single" w:sz="4" w:space="0" w:color="666666"/>
              <w:bottom w:val="single" w:sz="4" w:space="0" w:color="666666"/>
              <w:right w:val="single" w:sz="4" w:space="0" w:color="666666"/>
            </w:tcBorders>
            <w:shd w:val="clear" w:color="auto" w:fill="FFFFFF"/>
          </w:tcPr>
          <w:p w14:paraId="7B1C13C7" w14:textId="77777777" w:rsidR="00607BA0" w:rsidRPr="00EB11D3" w:rsidRDefault="00607BA0"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7F2FC302" w14:textId="77777777" w:rsidR="00607BA0" w:rsidRPr="00EB11D3" w:rsidRDefault="00607BA0" w:rsidP="00244BEB">
            <w:pPr>
              <w:spacing w:after="0" w:line="240" w:lineRule="auto"/>
              <w:rPr>
                <w:rFonts w:eastAsia="Times New Roman"/>
                <w:szCs w:val="24"/>
              </w:rPr>
            </w:pPr>
          </w:p>
        </w:tc>
        <w:tc>
          <w:tcPr>
            <w:tcW w:w="188" w:type="pct"/>
            <w:tcBorders>
              <w:top w:val="single" w:sz="4" w:space="0" w:color="666666"/>
              <w:left w:val="single" w:sz="4" w:space="0" w:color="666666"/>
              <w:bottom w:val="single" w:sz="4" w:space="0" w:color="666666"/>
              <w:right w:val="single" w:sz="4" w:space="0" w:color="666666"/>
            </w:tcBorders>
            <w:shd w:val="clear" w:color="auto" w:fill="FFFFFF"/>
          </w:tcPr>
          <w:p w14:paraId="66591E62" w14:textId="77777777" w:rsidR="00607BA0" w:rsidRPr="00EB11D3" w:rsidRDefault="00607BA0" w:rsidP="00244BEB">
            <w:pPr>
              <w:spacing w:after="0" w:line="240" w:lineRule="auto"/>
              <w:rPr>
                <w:rFonts w:eastAsia="Times New Roman"/>
                <w:szCs w:val="24"/>
              </w:rPr>
            </w:pPr>
          </w:p>
        </w:tc>
        <w:tc>
          <w:tcPr>
            <w:tcW w:w="232" w:type="pct"/>
            <w:tcBorders>
              <w:top w:val="single" w:sz="4" w:space="0" w:color="666666"/>
              <w:left w:val="single" w:sz="4" w:space="0" w:color="666666"/>
              <w:bottom w:val="single" w:sz="4" w:space="0" w:color="666666"/>
              <w:right w:val="single" w:sz="4" w:space="0" w:color="666666"/>
            </w:tcBorders>
            <w:shd w:val="clear" w:color="auto" w:fill="FFFFFF"/>
          </w:tcPr>
          <w:p w14:paraId="03EF7CC8" w14:textId="77777777" w:rsidR="00607BA0" w:rsidRPr="00EB11D3" w:rsidRDefault="00607BA0" w:rsidP="00244BEB">
            <w:pPr>
              <w:spacing w:after="0" w:line="240" w:lineRule="auto"/>
              <w:rPr>
                <w:rFonts w:eastAsia="Times New Roman"/>
                <w:szCs w:val="24"/>
              </w:rPr>
            </w:pPr>
          </w:p>
        </w:tc>
      </w:tr>
    </w:tbl>
    <w:p w14:paraId="395E1A23" w14:textId="77777777" w:rsidR="00D73D79" w:rsidRPr="00EB11D3" w:rsidRDefault="00D73D79" w:rsidP="00D02CAC">
      <w:pPr>
        <w:spacing w:after="0" w:line="240" w:lineRule="auto"/>
        <w:jc w:val="left"/>
        <w:rPr>
          <w:rFonts w:eastAsia="Times New Roman"/>
          <w:b/>
          <w:szCs w:val="24"/>
        </w:rPr>
      </w:pPr>
    </w:p>
    <w:p w14:paraId="6A1D74E6" w14:textId="77777777" w:rsidR="00146C48" w:rsidRPr="00EB11D3" w:rsidRDefault="00146C48" w:rsidP="00D02CAC">
      <w:pPr>
        <w:spacing w:after="0" w:line="240" w:lineRule="auto"/>
        <w:jc w:val="left"/>
        <w:rPr>
          <w:rFonts w:eastAsia="Times New Roman"/>
          <w:b/>
          <w:szCs w:val="24"/>
        </w:rPr>
      </w:pPr>
    </w:p>
    <w:p w14:paraId="071A80A3" w14:textId="77777777" w:rsidR="00934063" w:rsidRPr="00EB11D3" w:rsidRDefault="00934063">
      <w:pPr>
        <w:spacing w:after="0" w:line="240" w:lineRule="auto"/>
        <w:jc w:val="left"/>
        <w:rPr>
          <w:rFonts w:eastAsia="Times New Roman"/>
          <w:b/>
          <w:szCs w:val="24"/>
        </w:rPr>
      </w:pPr>
      <w:r w:rsidRPr="00EB11D3">
        <w:rPr>
          <w:rFonts w:eastAsia="Times New Roman"/>
          <w:b/>
          <w:szCs w:val="24"/>
        </w:rPr>
        <w:br w:type="page"/>
      </w:r>
    </w:p>
    <w:p w14:paraId="1EC5A1F7" w14:textId="77777777" w:rsidR="00C21257" w:rsidRPr="00EB11D3" w:rsidRDefault="00C21257" w:rsidP="00D02CAC">
      <w:pPr>
        <w:spacing w:after="0" w:line="240" w:lineRule="auto"/>
        <w:jc w:val="left"/>
        <w:rPr>
          <w:rFonts w:eastAsia="Times New Roman"/>
          <w:b/>
          <w:szCs w:val="24"/>
        </w:rPr>
      </w:pPr>
      <w:r w:rsidRPr="00EB11D3">
        <w:rPr>
          <w:rFonts w:eastAsia="Times New Roman"/>
          <w:b/>
          <w:szCs w:val="24"/>
        </w:rPr>
        <w:t xml:space="preserve">SECTION D: </w:t>
      </w:r>
      <w:r w:rsidRPr="00EB11D3">
        <w:rPr>
          <w:rFonts w:eastAsia="Times New Roman"/>
          <w:b/>
          <w:bCs/>
          <w:szCs w:val="24"/>
        </w:rPr>
        <w:t>GOVERNMENT REGULATIONS</w:t>
      </w:r>
    </w:p>
    <w:p w14:paraId="1EE355C7" w14:textId="77777777" w:rsidR="00D02CAC" w:rsidRPr="00EB11D3" w:rsidRDefault="00D02CAC" w:rsidP="00052AD2">
      <w:pPr>
        <w:spacing w:after="0" w:line="360" w:lineRule="auto"/>
        <w:ind w:left="720"/>
        <w:rPr>
          <w:rFonts w:eastAsia="Times New Roman"/>
          <w:b/>
          <w:szCs w:val="24"/>
        </w:rPr>
      </w:pPr>
    </w:p>
    <w:p w14:paraId="125E6CFE" w14:textId="77777777" w:rsidR="00C21257" w:rsidRPr="00EB11D3" w:rsidRDefault="00C21257" w:rsidP="005741E2">
      <w:pPr>
        <w:numPr>
          <w:ilvl w:val="0"/>
          <w:numId w:val="2"/>
        </w:numPr>
        <w:spacing w:after="0" w:line="360" w:lineRule="auto"/>
        <w:rPr>
          <w:rFonts w:eastAsia="Times New Roman"/>
          <w:b/>
          <w:szCs w:val="24"/>
        </w:rPr>
      </w:pPr>
      <w:r w:rsidRPr="00EB11D3">
        <w:rPr>
          <w:rFonts w:eastAsia="Times New Roman"/>
          <w:szCs w:val="24"/>
        </w:rPr>
        <w:t xml:space="preserve">To what extent do you agree with the various components of government regulations in your organisation. Please indicate the level of agreement using a scale of 1-5 where; </w:t>
      </w:r>
      <w:r w:rsidRPr="00EB11D3">
        <w:rPr>
          <w:rFonts w:eastAsia="Times New Roman"/>
          <w:b/>
          <w:szCs w:val="24"/>
        </w:rPr>
        <w:t xml:space="preserve">1=Strongly Disagree, </w:t>
      </w:r>
      <w:r w:rsidR="00D02CAC" w:rsidRPr="00EB11D3">
        <w:rPr>
          <w:rFonts w:eastAsia="Times New Roman"/>
          <w:b/>
          <w:szCs w:val="24"/>
        </w:rPr>
        <w:t>Disagree</w:t>
      </w:r>
      <w:r w:rsidRPr="00EB11D3">
        <w:rPr>
          <w:rFonts w:eastAsia="Times New Roman"/>
          <w:b/>
          <w:szCs w:val="24"/>
        </w:rPr>
        <w:t>=2, Neutral=3, Agree=4, Strongly Agree=5</w:t>
      </w:r>
    </w:p>
    <w:tbl>
      <w:tblPr>
        <w:tblW w:w="5000" w:type="pct"/>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ook w:val="04A0" w:firstRow="1" w:lastRow="0" w:firstColumn="1" w:lastColumn="0" w:noHBand="0" w:noVBand="1"/>
      </w:tblPr>
      <w:tblGrid>
        <w:gridCol w:w="448"/>
        <w:gridCol w:w="6786"/>
        <w:gridCol w:w="426"/>
        <w:gridCol w:w="424"/>
        <w:gridCol w:w="439"/>
        <w:gridCol w:w="419"/>
        <w:gridCol w:w="408"/>
      </w:tblGrid>
      <w:tr w:rsidR="0039483D" w:rsidRPr="00EB11D3" w14:paraId="0C01896F" w14:textId="77777777" w:rsidTr="00580FDF">
        <w:trPr>
          <w:trHeight w:val="276"/>
        </w:trPr>
        <w:tc>
          <w:tcPr>
            <w:tcW w:w="239" w:type="pct"/>
            <w:tcBorders>
              <w:top w:val="single" w:sz="4" w:space="0" w:color="999999"/>
              <w:left w:val="single" w:sz="4" w:space="0" w:color="999999"/>
              <w:bottom w:val="single" w:sz="4" w:space="0" w:color="999999"/>
              <w:right w:val="single" w:sz="4" w:space="0" w:color="999999"/>
            </w:tcBorders>
          </w:tcPr>
          <w:p w14:paraId="4B87FA81" w14:textId="77777777" w:rsidR="00C21257" w:rsidRPr="00EB11D3" w:rsidRDefault="00C21257" w:rsidP="00D02CAC">
            <w:pPr>
              <w:spacing w:after="0" w:line="240" w:lineRule="auto"/>
              <w:rPr>
                <w:rFonts w:eastAsia="Times New Roman"/>
                <w:szCs w:val="24"/>
              </w:rPr>
            </w:pPr>
          </w:p>
        </w:tc>
        <w:tc>
          <w:tcPr>
            <w:tcW w:w="3629" w:type="pct"/>
            <w:tcBorders>
              <w:top w:val="single" w:sz="4" w:space="0" w:color="999999"/>
              <w:left w:val="single" w:sz="4" w:space="0" w:color="999999"/>
              <w:bottom w:val="single" w:sz="4" w:space="0" w:color="999999"/>
              <w:right w:val="single" w:sz="4" w:space="0" w:color="999999"/>
            </w:tcBorders>
            <w:hideMark/>
          </w:tcPr>
          <w:p w14:paraId="3AA2037A" w14:textId="77777777" w:rsidR="00C21257" w:rsidRPr="00EB11D3" w:rsidRDefault="00D02CAC" w:rsidP="00D02CAC">
            <w:pPr>
              <w:spacing w:after="0" w:line="240" w:lineRule="auto"/>
              <w:rPr>
                <w:rFonts w:eastAsia="Times New Roman"/>
                <w:szCs w:val="24"/>
              </w:rPr>
            </w:pPr>
            <w:r w:rsidRPr="00EB11D3">
              <w:rPr>
                <w:rFonts w:eastAsia="Times New Roman"/>
                <w:b/>
                <w:bCs/>
                <w:szCs w:val="24"/>
              </w:rPr>
              <w:t>Aspects of Government Regulations</w:t>
            </w:r>
            <w:r w:rsidRPr="00EB11D3" w:rsidDel="00D02CAC">
              <w:rPr>
                <w:rFonts w:eastAsia="Times New Roman"/>
                <w:b/>
                <w:bCs/>
                <w:szCs w:val="24"/>
              </w:rPr>
              <w:t xml:space="preserve"> </w:t>
            </w:r>
          </w:p>
        </w:tc>
        <w:tc>
          <w:tcPr>
            <w:tcW w:w="228" w:type="pct"/>
            <w:tcBorders>
              <w:top w:val="single" w:sz="4" w:space="0" w:color="999999"/>
              <w:left w:val="single" w:sz="4" w:space="0" w:color="999999"/>
              <w:bottom w:val="single" w:sz="4" w:space="0" w:color="999999"/>
              <w:right w:val="single" w:sz="4" w:space="0" w:color="999999"/>
            </w:tcBorders>
          </w:tcPr>
          <w:p w14:paraId="746C2646" w14:textId="77777777" w:rsidR="00C21257" w:rsidRPr="00EB11D3" w:rsidRDefault="00D02CAC" w:rsidP="00D02CAC">
            <w:pPr>
              <w:spacing w:after="0" w:line="240" w:lineRule="auto"/>
              <w:rPr>
                <w:rFonts w:eastAsia="Times New Roman"/>
                <w:szCs w:val="24"/>
              </w:rPr>
            </w:pPr>
            <w:r w:rsidRPr="00EB11D3">
              <w:rPr>
                <w:rFonts w:eastAsia="Times New Roman"/>
                <w:b/>
                <w:bCs/>
                <w:szCs w:val="24"/>
              </w:rPr>
              <w:t>1</w:t>
            </w:r>
          </w:p>
        </w:tc>
        <w:tc>
          <w:tcPr>
            <w:tcW w:w="227" w:type="pct"/>
            <w:tcBorders>
              <w:top w:val="single" w:sz="4" w:space="0" w:color="999999"/>
              <w:left w:val="single" w:sz="4" w:space="0" w:color="999999"/>
              <w:bottom w:val="single" w:sz="4" w:space="0" w:color="999999"/>
              <w:right w:val="single" w:sz="4" w:space="0" w:color="999999"/>
            </w:tcBorders>
          </w:tcPr>
          <w:p w14:paraId="74054C27" w14:textId="77777777" w:rsidR="00C21257" w:rsidRPr="00EB11D3" w:rsidRDefault="00D02CAC" w:rsidP="00D02CAC">
            <w:pPr>
              <w:spacing w:after="0" w:line="240" w:lineRule="auto"/>
              <w:rPr>
                <w:rFonts w:eastAsia="Times New Roman"/>
                <w:szCs w:val="24"/>
              </w:rPr>
            </w:pPr>
            <w:r w:rsidRPr="00EB11D3">
              <w:rPr>
                <w:rFonts w:eastAsia="Times New Roman"/>
                <w:b/>
                <w:bCs/>
                <w:szCs w:val="24"/>
              </w:rPr>
              <w:t>2</w:t>
            </w:r>
          </w:p>
        </w:tc>
        <w:tc>
          <w:tcPr>
            <w:tcW w:w="235" w:type="pct"/>
            <w:tcBorders>
              <w:top w:val="single" w:sz="4" w:space="0" w:color="999999"/>
              <w:left w:val="single" w:sz="4" w:space="0" w:color="999999"/>
              <w:bottom w:val="single" w:sz="4" w:space="0" w:color="999999"/>
              <w:right w:val="single" w:sz="4" w:space="0" w:color="999999"/>
            </w:tcBorders>
          </w:tcPr>
          <w:p w14:paraId="0A47769F" w14:textId="77777777" w:rsidR="00C21257" w:rsidRPr="00EB11D3" w:rsidRDefault="00D02CAC" w:rsidP="00D02CAC">
            <w:pPr>
              <w:spacing w:after="0" w:line="240" w:lineRule="auto"/>
              <w:rPr>
                <w:rFonts w:eastAsia="Times New Roman"/>
                <w:szCs w:val="24"/>
              </w:rPr>
            </w:pPr>
            <w:r w:rsidRPr="00EB11D3">
              <w:rPr>
                <w:rFonts w:eastAsia="Times New Roman"/>
                <w:b/>
                <w:bCs/>
                <w:szCs w:val="24"/>
              </w:rPr>
              <w:t>3</w:t>
            </w:r>
          </w:p>
        </w:tc>
        <w:tc>
          <w:tcPr>
            <w:tcW w:w="224" w:type="pct"/>
            <w:tcBorders>
              <w:top w:val="single" w:sz="4" w:space="0" w:color="999999"/>
              <w:left w:val="single" w:sz="4" w:space="0" w:color="999999"/>
              <w:bottom w:val="single" w:sz="4" w:space="0" w:color="999999"/>
              <w:right w:val="single" w:sz="4" w:space="0" w:color="999999"/>
            </w:tcBorders>
          </w:tcPr>
          <w:p w14:paraId="729E6E60" w14:textId="77777777" w:rsidR="00C21257" w:rsidRPr="00EB11D3" w:rsidRDefault="00D02CAC" w:rsidP="00D02CAC">
            <w:pPr>
              <w:spacing w:after="0" w:line="240" w:lineRule="auto"/>
              <w:rPr>
                <w:rFonts w:eastAsia="Times New Roman"/>
                <w:szCs w:val="24"/>
              </w:rPr>
            </w:pPr>
            <w:r w:rsidRPr="00EB11D3">
              <w:rPr>
                <w:rFonts w:eastAsia="Times New Roman"/>
                <w:b/>
                <w:bCs/>
                <w:szCs w:val="24"/>
              </w:rPr>
              <w:t>4</w:t>
            </w:r>
          </w:p>
        </w:tc>
        <w:tc>
          <w:tcPr>
            <w:tcW w:w="219" w:type="pct"/>
            <w:tcBorders>
              <w:top w:val="single" w:sz="4" w:space="0" w:color="999999"/>
              <w:left w:val="single" w:sz="4" w:space="0" w:color="999999"/>
              <w:bottom w:val="single" w:sz="4" w:space="0" w:color="999999"/>
              <w:right w:val="single" w:sz="4" w:space="0" w:color="999999"/>
            </w:tcBorders>
          </w:tcPr>
          <w:p w14:paraId="42FD570E" w14:textId="77777777" w:rsidR="00C21257" w:rsidRPr="00EB11D3" w:rsidRDefault="00D02CAC" w:rsidP="00D02CAC">
            <w:pPr>
              <w:spacing w:after="0" w:line="240" w:lineRule="auto"/>
              <w:rPr>
                <w:rFonts w:eastAsia="Times New Roman"/>
                <w:szCs w:val="24"/>
              </w:rPr>
            </w:pPr>
            <w:r w:rsidRPr="00EB11D3">
              <w:rPr>
                <w:rFonts w:eastAsia="Times New Roman"/>
                <w:b/>
                <w:bCs/>
                <w:szCs w:val="24"/>
              </w:rPr>
              <w:t>5</w:t>
            </w:r>
          </w:p>
        </w:tc>
      </w:tr>
      <w:tr w:rsidR="0039483D" w:rsidRPr="00EB11D3" w14:paraId="1F64229C" w14:textId="77777777" w:rsidTr="00580FDF">
        <w:trPr>
          <w:trHeight w:val="276"/>
        </w:trPr>
        <w:tc>
          <w:tcPr>
            <w:tcW w:w="239" w:type="pct"/>
            <w:tcBorders>
              <w:top w:val="single" w:sz="4" w:space="0" w:color="999999"/>
              <w:left w:val="single" w:sz="4" w:space="0" w:color="999999"/>
              <w:bottom w:val="single" w:sz="4" w:space="0" w:color="999999"/>
              <w:right w:val="single" w:sz="4" w:space="0" w:color="999999"/>
            </w:tcBorders>
          </w:tcPr>
          <w:p w14:paraId="32021688" w14:textId="77777777" w:rsidR="00D02CAC" w:rsidRPr="00EB11D3" w:rsidRDefault="00D02CAC" w:rsidP="00D42354">
            <w:pPr>
              <w:spacing w:after="0" w:line="240" w:lineRule="auto"/>
              <w:rPr>
                <w:rFonts w:eastAsia="Times New Roman"/>
                <w:szCs w:val="24"/>
              </w:rPr>
            </w:pPr>
          </w:p>
        </w:tc>
        <w:tc>
          <w:tcPr>
            <w:tcW w:w="3629" w:type="pct"/>
            <w:tcBorders>
              <w:top w:val="single" w:sz="4" w:space="0" w:color="999999"/>
              <w:left w:val="single" w:sz="4" w:space="0" w:color="999999"/>
              <w:bottom w:val="single" w:sz="4" w:space="0" w:color="999999"/>
              <w:right w:val="single" w:sz="4" w:space="0" w:color="999999"/>
            </w:tcBorders>
          </w:tcPr>
          <w:p w14:paraId="15272385" w14:textId="77777777" w:rsidR="00D02CAC" w:rsidRPr="00EB11D3" w:rsidRDefault="00D02CAC" w:rsidP="00D42354">
            <w:pPr>
              <w:spacing w:after="0" w:line="240" w:lineRule="auto"/>
              <w:rPr>
                <w:rFonts w:eastAsia="Times New Roman"/>
                <w:b/>
                <w:bCs/>
                <w:szCs w:val="24"/>
              </w:rPr>
            </w:pPr>
            <w:r w:rsidRPr="00EB11D3">
              <w:rPr>
                <w:rFonts w:eastAsia="Times New Roman"/>
                <w:b/>
                <w:bCs/>
                <w:szCs w:val="24"/>
              </w:rPr>
              <w:t>Law &amp; Regulations</w:t>
            </w:r>
          </w:p>
        </w:tc>
        <w:tc>
          <w:tcPr>
            <w:tcW w:w="228" w:type="pct"/>
            <w:tcBorders>
              <w:top w:val="single" w:sz="4" w:space="0" w:color="999999"/>
              <w:left w:val="single" w:sz="4" w:space="0" w:color="999999"/>
              <w:bottom w:val="single" w:sz="4" w:space="0" w:color="999999"/>
              <w:right w:val="single" w:sz="4" w:space="0" w:color="999999"/>
            </w:tcBorders>
          </w:tcPr>
          <w:p w14:paraId="198A5D11" w14:textId="77777777" w:rsidR="00D02CAC" w:rsidRPr="00EB11D3" w:rsidRDefault="00D02CAC" w:rsidP="00D42354">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6C210E0B" w14:textId="77777777" w:rsidR="00D02CAC" w:rsidRPr="00EB11D3" w:rsidRDefault="00D02CAC" w:rsidP="00D42354">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4B24B707" w14:textId="77777777" w:rsidR="00D02CAC" w:rsidRPr="00EB11D3" w:rsidRDefault="00D02CAC" w:rsidP="00D42354">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5A8E6B1F" w14:textId="77777777" w:rsidR="00D02CAC" w:rsidRPr="00EB11D3" w:rsidRDefault="00D02CAC" w:rsidP="00D42354">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24B06D77" w14:textId="77777777" w:rsidR="00D02CAC" w:rsidRPr="00EB11D3" w:rsidRDefault="00D02CAC" w:rsidP="00D42354">
            <w:pPr>
              <w:spacing w:after="0" w:line="240" w:lineRule="auto"/>
              <w:rPr>
                <w:rFonts w:eastAsia="Times New Roman"/>
                <w:szCs w:val="24"/>
              </w:rPr>
            </w:pPr>
          </w:p>
        </w:tc>
      </w:tr>
      <w:tr w:rsidR="0039483D" w:rsidRPr="00EB11D3" w14:paraId="6FBC74D4" w14:textId="77777777" w:rsidTr="00580FDF">
        <w:trPr>
          <w:trHeight w:val="63"/>
        </w:trPr>
        <w:tc>
          <w:tcPr>
            <w:tcW w:w="239" w:type="pct"/>
            <w:tcBorders>
              <w:top w:val="single" w:sz="4" w:space="0" w:color="999999"/>
              <w:left w:val="single" w:sz="4" w:space="0" w:color="999999"/>
              <w:bottom w:val="single" w:sz="4" w:space="0" w:color="999999"/>
              <w:right w:val="single" w:sz="4" w:space="0" w:color="999999"/>
            </w:tcBorders>
            <w:hideMark/>
          </w:tcPr>
          <w:p w14:paraId="5F906CDF" w14:textId="77777777" w:rsidR="00C21257" w:rsidRPr="00EB11D3" w:rsidRDefault="00C21257" w:rsidP="00052AD2">
            <w:pPr>
              <w:spacing w:after="0" w:line="240" w:lineRule="auto"/>
              <w:rPr>
                <w:rFonts w:eastAsia="Times New Roman"/>
                <w:szCs w:val="24"/>
              </w:rPr>
            </w:pPr>
            <w:r w:rsidRPr="00EB11D3">
              <w:rPr>
                <w:rFonts w:eastAsia="Times New Roman"/>
                <w:szCs w:val="24"/>
              </w:rPr>
              <w:t>1</w:t>
            </w:r>
          </w:p>
        </w:tc>
        <w:tc>
          <w:tcPr>
            <w:tcW w:w="3629" w:type="pct"/>
            <w:tcBorders>
              <w:top w:val="single" w:sz="4" w:space="0" w:color="999999"/>
              <w:left w:val="single" w:sz="4" w:space="0" w:color="999999"/>
              <w:bottom w:val="single" w:sz="4" w:space="0" w:color="999999"/>
              <w:right w:val="single" w:sz="4" w:space="0" w:color="999999"/>
            </w:tcBorders>
            <w:hideMark/>
          </w:tcPr>
          <w:p w14:paraId="42AD9BAD" w14:textId="77777777" w:rsidR="00C21257" w:rsidRPr="00EB11D3" w:rsidRDefault="00C21257" w:rsidP="00052AD2">
            <w:pPr>
              <w:spacing w:after="0" w:line="240" w:lineRule="auto"/>
              <w:rPr>
                <w:rFonts w:eastAsia="Times New Roman"/>
                <w:szCs w:val="24"/>
              </w:rPr>
            </w:pPr>
            <w:r w:rsidRPr="00EB11D3">
              <w:rPr>
                <w:rFonts w:eastAsia="Times New Roman"/>
                <w:szCs w:val="24"/>
              </w:rPr>
              <w:t>The hospital operates within the Law</w:t>
            </w:r>
          </w:p>
        </w:tc>
        <w:tc>
          <w:tcPr>
            <w:tcW w:w="228" w:type="pct"/>
            <w:tcBorders>
              <w:top w:val="single" w:sz="4" w:space="0" w:color="999999"/>
              <w:left w:val="single" w:sz="4" w:space="0" w:color="999999"/>
              <w:bottom w:val="single" w:sz="4" w:space="0" w:color="999999"/>
              <w:right w:val="single" w:sz="4" w:space="0" w:color="999999"/>
            </w:tcBorders>
          </w:tcPr>
          <w:p w14:paraId="193A0E92" w14:textId="77777777" w:rsidR="00C21257" w:rsidRPr="00EB11D3" w:rsidRDefault="00C21257" w:rsidP="00052AD2">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634DBEE5" w14:textId="77777777" w:rsidR="00C21257" w:rsidRPr="00EB11D3" w:rsidRDefault="00C21257" w:rsidP="00052AD2">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38A13873" w14:textId="77777777" w:rsidR="00C21257" w:rsidRPr="00EB11D3" w:rsidRDefault="00C21257" w:rsidP="00052AD2">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1BFF64C7" w14:textId="77777777" w:rsidR="00C21257" w:rsidRPr="00EB11D3" w:rsidRDefault="00C21257" w:rsidP="00052AD2">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2FC9E755" w14:textId="77777777" w:rsidR="00C21257" w:rsidRPr="00EB11D3" w:rsidRDefault="00C21257" w:rsidP="00052AD2">
            <w:pPr>
              <w:spacing w:after="0" w:line="240" w:lineRule="auto"/>
              <w:rPr>
                <w:rFonts w:eastAsia="Times New Roman"/>
                <w:szCs w:val="24"/>
              </w:rPr>
            </w:pPr>
          </w:p>
        </w:tc>
      </w:tr>
      <w:tr w:rsidR="0039483D" w:rsidRPr="00EB11D3" w14:paraId="439C13CA" w14:textId="77777777" w:rsidTr="00580FDF">
        <w:trPr>
          <w:trHeight w:val="63"/>
        </w:trPr>
        <w:tc>
          <w:tcPr>
            <w:tcW w:w="239" w:type="pct"/>
            <w:tcBorders>
              <w:top w:val="single" w:sz="4" w:space="0" w:color="999999"/>
              <w:left w:val="single" w:sz="4" w:space="0" w:color="999999"/>
              <w:bottom w:val="single" w:sz="4" w:space="0" w:color="999999"/>
              <w:right w:val="single" w:sz="4" w:space="0" w:color="999999"/>
            </w:tcBorders>
            <w:hideMark/>
          </w:tcPr>
          <w:p w14:paraId="2BDAD7C3" w14:textId="77777777" w:rsidR="00C21257" w:rsidRPr="00EB11D3" w:rsidRDefault="00C21257" w:rsidP="00052AD2">
            <w:pPr>
              <w:spacing w:after="0" w:line="240" w:lineRule="auto"/>
              <w:rPr>
                <w:rFonts w:eastAsia="Times New Roman"/>
                <w:szCs w:val="24"/>
              </w:rPr>
            </w:pPr>
            <w:r w:rsidRPr="00EB11D3">
              <w:rPr>
                <w:rFonts w:eastAsia="Times New Roman"/>
                <w:szCs w:val="24"/>
              </w:rPr>
              <w:t>2</w:t>
            </w:r>
          </w:p>
        </w:tc>
        <w:tc>
          <w:tcPr>
            <w:tcW w:w="3629" w:type="pct"/>
            <w:tcBorders>
              <w:top w:val="single" w:sz="4" w:space="0" w:color="999999"/>
              <w:left w:val="single" w:sz="4" w:space="0" w:color="999999"/>
              <w:bottom w:val="single" w:sz="4" w:space="0" w:color="999999"/>
              <w:right w:val="single" w:sz="4" w:space="0" w:color="999999"/>
            </w:tcBorders>
            <w:hideMark/>
          </w:tcPr>
          <w:p w14:paraId="05941927" w14:textId="77777777" w:rsidR="00C21257" w:rsidRPr="00EB11D3" w:rsidRDefault="00C21257" w:rsidP="00052AD2">
            <w:pPr>
              <w:spacing w:after="0" w:line="240" w:lineRule="auto"/>
              <w:rPr>
                <w:rFonts w:eastAsia="Times New Roman"/>
                <w:szCs w:val="24"/>
              </w:rPr>
            </w:pPr>
            <w:r w:rsidRPr="00EB11D3">
              <w:rPr>
                <w:rFonts w:eastAsia="Times New Roman"/>
                <w:szCs w:val="24"/>
              </w:rPr>
              <w:t>The hospital adheres to all the regulation as set out by the government</w:t>
            </w:r>
          </w:p>
        </w:tc>
        <w:tc>
          <w:tcPr>
            <w:tcW w:w="228" w:type="pct"/>
            <w:tcBorders>
              <w:top w:val="single" w:sz="4" w:space="0" w:color="999999"/>
              <w:left w:val="single" w:sz="4" w:space="0" w:color="999999"/>
              <w:bottom w:val="single" w:sz="4" w:space="0" w:color="999999"/>
              <w:right w:val="single" w:sz="4" w:space="0" w:color="999999"/>
            </w:tcBorders>
          </w:tcPr>
          <w:p w14:paraId="1D95A152" w14:textId="77777777" w:rsidR="00C21257" w:rsidRPr="00EB11D3" w:rsidRDefault="00C21257" w:rsidP="00052AD2">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105A8A74" w14:textId="77777777" w:rsidR="00C21257" w:rsidRPr="00EB11D3" w:rsidRDefault="00C21257" w:rsidP="00052AD2">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7C7E3870" w14:textId="77777777" w:rsidR="00C21257" w:rsidRPr="00EB11D3" w:rsidRDefault="00C21257" w:rsidP="00052AD2">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114818A7" w14:textId="77777777" w:rsidR="00C21257" w:rsidRPr="00EB11D3" w:rsidRDefault="00C21257" w:rsidP="00052AD2">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15E66ACE" w14:textId="77777777" w:rsidR="00C21257" w:rsidRPr="00EB11D3" w:rsidRDefault="00C21257" w:rsidP="00052AD2">
            <w:pPr>
              <w:spacing w:after="0" w:line="240" w:lineRule="auto"/>
              <w:rPr>
                <w:rFonts w:eastAsia="Times New Roman"/>
                <w:szCs w:val="24"/>
              </w:rPr>
            </w:pPr>
          </w:p>
        </w:tc>
      </w:tr>
      <w:tr w:rsidR="0039483D" w:rsidRPr="00EB11D3" w14:paraId="399CC227" w14:textId="77777777" w:rsidTr="00580FDF">
        <w:trPr>
          <w:trHeight w:val="63"/>
        </w:trPr>
        <w:tc>
          <w:tcPr>
            <w:tcW w:w="239" w:type="pct"/>
            <w:tcBorders>
              <w:top w:val="single" w:sz="4" w:space="0" w:color="999999"/>
              <w:left w:val="single" w:sz="4" w:space="0" w:color="999999"/>
              <w:bottom w:val="single" w:sz="4" w:space="0" w:color="999999"/>
              <w:right w:val="single" w:sz="4" w:space="0" w:color="999999"/>
            </w:tcBorders>
            <w:hideMark/>
          </w:tcPr>
          <w:p w14:paraId="55AFF3A3" w14:textId="77777777" w:rsidR="00C21257" w:rsidRPr="00EB11D3" w:rsidRDefault="00C21257" w:rsidP="00052AD2">
            <w:pPr>
              <w:spacing w:after="0" w:line="240" w:lineRule="auto"/>
              <w:rPr>
                <w:rFonts w:eastAsia="Times New Roman"/>
                <w:szCs w:val="24"/>
              </w:rPr>
            </w:pPr>
            <w:r w:rsidRPr="00EB11D3">
              <w:rPr>
                <w:rFonts w:eastAsia="Times New Roman"/>
                <w:szCs w:val="24"/>
              </w:rPr>
              <w:t>3</w:t>
            </w:r>
          </w:p>
        </w:tc>
        <w:tc>
          <w:tcPr>
            <w:tcW w:w="3629" w:type="pct"/>
            <w:tcBorders>
              <w:top w:val="single" w:sz="4" w:space="0" w:color="999999"/>
              <w:left w:val="single" w:sz="4" w:space="0" w:color="999999"/>
              <w:bottom w:val="single" w:sz="4" w:space="0" w:color="999999"/>
              <w:right w:val="single" w:sz="4" w:space="0" w:color="999999"/>
            </w:tcBorders>
            <w:hideMark/>
          </w:tcPr>
          <w:p w14:paraId="5A22AA73" w14:textId="77777777" w:rsidR="00C21257" w:rsidRPr="00EB11D3" w:rsidRDefault="00C21257" w:rsidP="00052AD2">
            <w:pPr>
              <w:spacing w:after="0" w:line="240" w:lineRule="auto"/>
              <w:rPr>
                <w:rFonts w:eastAsia="Times New Roman"/>
                <w:szCs w:val="24"/>
              </w:rPr>
            </w:pPr>
            <w:r w:rsidRPr="00EB11D3">
              <w:rPr>
                <w:rFonts w:eastAsia="Times New Roman"/>
                <w:szCs w:val="24"/>
              </w:rPr>
              <w:t>The hospital adheres to the set-out guideline as stipulated by government agencies.</w:t>
            </w:r>
          </w:p>
        </w:tc>
        <w:tc>
          <w:tcPr>
            <w:tcW w:w="228" w:type="pct"/>
            <w:tcBorders>
              <w:top w:val="single" w:sz="4" w:space="0" w:color="999999"/>
              <w:left w:val="single" w:sz="4" w:space="0" w:color="999999"/>
              <w:bottom w:val="single" w:sz="4" w:space="0" w:color="999999"/>
              <w:right w:val="single" w:sz="4" w:space="0" w:color="999999"/>
            </w:tcBorders>
          </w:tcPr>
          <w:p w14:paraId="7EF1EFBD" w14:textId="77777777" w:rsidR="00C21257" w:rsidRPr="00EB11D3" w:rsidRDefault="00C21257" w:rsidP="00052AD2">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2287306E" w14:textId="77777777" w:rsidR="00C21257" w:rsidRPr="00EB11D3" w:rsidRDefault="00C21257" w:rsidP="00052AD2">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3759AEB9" w14:textId="77777777" w:rsidR="00C21257" w:rsidRPr="00EB11D3" w:rsidRDefault="00C21257" w:rsidP="00052AD2">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0690C2FB" w14:textId="77777777" w:rsidR="00C21257" w:rsidRPr="00EB11D3" w:rsidRDefault="00C21257" w:rsidP="00052AD2">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7A94CD81" w14:textId="77777777" w:rsidR="00C21257" w:rsidRPr="00EB11D3" w:rsidRDefault="00C21257" w:rsidP="00052AD2">
            <w:pPr>
              <w:spacing w:after="0" w:line="240" w:lineRule="auto"/>
              <w:rPr>
                <w:rFonts w:eastAsia="Times New Roman"/>
                <w:szCs w:val="24"/>
              </w:rPr>
            </w:pPr>
          </w:p>
        </w:tc>
      </w:tr>
      <w:tr w:rsidR="0039483D" w:rsidRPr="00EB11D3" w14:paraId="0F5DD2A2" w14:textId="77777777" w:rsidTr="00580FDF">
        <w:trPr>
          <w:trHeight w:val="63"/>
        </w:trPr>
        <w:tc>
          <w:tcPr>
            <w:tcW w:w="239" w:type="pct"/>
            <w:tcBorders>
              <w:top w:val="single" w:sz="4" w:space="0" w:color="999999"/>
              <w:left w:val="single" w:sz="4" w:space="0" w:color="999999"/>
              <w:bottom w:val="single" w:sz="4" w:space="0" w:color="999999"/>
              <w:right w:val="single" w:sz="4" w:space="0" w:color="999999"/>
            </w:tcBorders>
            <w:hideMark/>
          </w:tcPr>
          <w:p w14:paraId="4DD12869" w14:textId="77777777" w:rsidR="00C21257" w:rsidRPr="00EB11D3" w:rsidRDefault="00C21257" w:rsidP="00052AD2">
            <w:pPr>
              <w:spacing w:after="0" w:line="240" w:lineRule="auto"/>
              <w:rPr>
                <w:rFonts w:eastAsia="Times New Roman"/>
                <w:szCs w:val="24"/>
              </w:rPr>
            </w:pPr>
            <w:r w:rsidRPr="00EB11D3">
              <w:rPr>
                <w:rFonts w:eastAsia="Times New Roman"/>
                <w:szCs w:val="24"/>
              </w:rPr>
              <w:t>4</w:t>
            </w:r>
          </w:p>
        </w:tc>
        <w:tc>
          <w:tcPr>
            <w:tcW w:w="3629" w:type="pct"/>
            <w:tcBorders>
              <w:top w:val="single" w:sz="4" w:space="0" w:color="999999"/>
              <w:left w:val="single" w:sz="4" w:space="0" w:color="999999"/>
              <w:bottom w:val="single" w:sz="4" w:space="0" w:color="999999"/>
              <w:right w:val="single" w:sz="4" w:space="0" w:color="999999"/>
            </w:tcBorders>
            <w:hideMark/>
          </w:tcPr>
          <w:p w14:paraId="6C08209B" w14:textId="77777777" w:rsidR="00C21257" w:rsidRPr="00EB11D3" w:rsidRDefault="00C21257" w:rsidP="00052AD2">
            <w:pPr>
              <w:spacing w:after="0" w:line="240" w:lineRule="auto"/>
              <w:rPr>
                <w:rFonts w:eastAsia="Times New Roman"/>
                <w:szCs w:val="24"/>
              </w:rPr>
            </w:pPr>
            <w:r w:rsidRPr="00EB11D3">
              <w:rPr>
                <w:rFonts w:eastAsia="Times New Roman"/>
                <w:szCs w:val="24"/>
              </w:rPr>
              <w:t xml:space="preserve">Regulations inform health care decision makers in their </w:t>
            </w:r>
            <w:r w:rsidR="00D42354" w:rsidRPr="00EB11D3">
              <w:rPr>
                <w:rFonts w:eastAsia="Times New Roman"/>
                <w:szCs w:val="24"/>
              </w:rPr>
              <w:t>decision-making</w:t>
            </w:r>
            <w:r w:rsidRPr="00EB11D3">
              <w:rPr>
                <w:rFonts w:eastAsia="Times New Roman"/>
                <w:szCs w:val="24"/>
              </w:rPr>
              <w:t xml:space="preserve"> process</w:t>
            </w:r>
          </w:p>
        </w:tc>
        <w:tc>
          <w:tcPr>
            <w:tcW w:w="228" w:type="pct"/>
            <w:tcBorders>
              <w:top w:val="single" w:sz="4" w:space="0" w:color="999999"/>
              <w:left w:val="single" w:sz="4" w:space="0" w:color="999999"/>
              <w:bottom w:val="single" w:sz="4" w:space="0" w:color="999999"/>
              <w:right w:val="single" w:sz="4" w:space="0" w:color="999999"/>
            </w:tcBorders>
          </w:tcPr>
          <w:p w14:paraId="0ED7B9B2" w14:textId="77777777" w:rsidR="00C21257" w:rsidRPr="00EB11D3" w:rsidRDefault="00C21257" w:rsidP="00052AD2">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04FB9DFC" w14:textId="77777777" w:rsidR="00C21257" w:rsidRPr="00EB11D3" w:rsidRDefault="00C21257" w:rsidP="00052AD2">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43E8887D" w14:textId="77777777" w:rsidR="00C21257" w:rsidRPr="00EB11D3" w:rsidRDefault="00C21257" w:rsidP="00052AD2">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4AC9093D" w14:textId="77777777" w:rsidR="00C21257" w:rsidRPr="00EB11D3" w:rsidRDefault="00C21257" w:rsidP="00052AD2">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1D743D3B" w14:textId="77777777" w:rsidR="00C21257" w:rsidRPr="00EB11D3" w:rsidRDefault="00C21257" w:rsidP="00052AD2">
            <w:pPr>
              <w:spacing w:after="0" w:line="240" w:lineRule="auto"/>
              <w:rPr>
                <w:rFonts w:eastAsia="Times New Roman"/>
                <w:szCs w:val="24"/>
              </w:rPr>
            </w:pPr>
          </w:p>
        </w:tc>
      </w:tr>
      <w:tr w:rsidR="0039483D" w:rsidRPr="00EB11D3" w14:paraId="6F8E8B11" w14:textId="77777777" w:rsidTr="00580FDF">
        <w:trPr>
          <w:trHeight w:val="63"/>
        </w:trPr>
        <w:tc>
          <w:tcPr>
            <w:tcW w:w="239" w:type="pct"/>
            <w:tcBorders>
              <w:top w:val="single" w:sz="4" w:space="0" w:color="999999"/>
              <w:left w:val="single" w:sz="4" w:space="0" w:color="999999"/>
              <w:bottom w:val="single" w:sz="4" w:space="0" w:color="999999"/>
              <w:right w:val="single" w:sz="4" w:space="0" w:color="999999"/>
            </w:tcBorders>
            <w:hideMark/>
          </w:tcPr>
          <w:p w14:paraId="1D664E4C" w14:textId="77777777" w:rsidR="00C21257" w:rsidRPr="00EB11D3" w:rsidRDefault="00C21257" w:rsidP="00052AD2">
            <w:pPr>
              <w:spacing w:after="0" w:line="240" w:lineRule="auto"/>
              <w:rPr>
                <w:rFonts w:eastAsia="Times New Roman"/>
                <w:szCs w:val="24"/>
              </w:rPr>
            </w:pPr>
            <w:r w:rsidRPr="00EB11D3">
              <w:rPr>
                <w:rFonts w:eastAsia="Times New Roman"/>
                <w:szCs w:val="24"/>
              </w:rPr>
              <w:t>5</w:t>
            </w:r>
          </w:p>
        </w:tc>
        <w:tc>
          <w:tcPr>
            <w:tcW w:w="3629" w:type="pct"/>
            <w:tcBorders>
              <w:top w:val="single" w:sz="4" w:space="0" w:color="999999"/>
              <w:left w:val="single" w:sz="4" w:space="0" w:color="999999"/>
              <w:bottom w:val="single" w:sz="4" w:space="0" w:color="999999"/>
              <w:right w:val="single" w:sz="4" w:space="0" w:color="999999"/>
            </w:tcBorders>
            <w:hideMark/>
          </w:tcPr>
          <w:p w14:paraId="78D66AFC" w14:textId="77777777" w:rsidR="00C21257" w:rsidRPr="00EB11D3" w:rsidRDefault="00C21257" w:rsidP="00052AD2">
            <w:pPr>
              <w:spacing w:after="0" w:line="240" w:lineRule="auto"/>
              <w:rPr>
                <w:rFonts w:eastAsia="Times New Roman"/>
                <w:szCs w:val="24"/>
              </w:rPr>
            </w:pPr>
            <w:r w:rsidRPr="00EB11D3">
              <w:rPr>
                <w:rFonts w:eastAsia="Times New Roman"/>
                <w:szCs w:val="24"/>
              </w:rPr>
              <w:t>Health regulation promote access to quality health care services</w:t>
            </w:r>
          </w:p>
        </w:tc>
        <w:tc>
          <w:tcPr>
            <w:tcW w:w="228" w:type="pct"/>
            <w:tcBorders>
              <w:top w:val="single" w:sz="4" w:space="0" w:color="999999"/>
              <w:left w:val="single" w:sz="4" w:space="0" w:color="999999"/>
              <w:bottom w:val="single" w:sz="4" w:space="0" w:color="999999"/>
              <w:right w:val="single" w:sz="4" w:space="0" w:color="999999"/>
            </w:tcBorders>
          </w:tcPr>
          <w:p w14:paraId="54D33A49" w14:textId="77777777" w:rsidR="00C21257" w:rsidRPr="00EB11D3" w:rsidRDefault="00C21257" w:rsidP="00052AD2">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466FDC35" w14:textId="77777777" w:rsidR="00C21257" w:rsidRPr="00EB11D3" w:rsidRDefault="00C21257" w:rsidP="00052AD2">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4C5FC75A" w14:textId="77777777" w:rsidR="00C21257" w:rsidRPr="00EB11D3" w:rsidRDefault="00C21257" w:rsidP="00052AD2">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116FA954" w14:textId="77777777" w:rsidR="00C21257" w:rsidRPr="00EB11D3" w:rsidRDefault="00C21257" w:rsidP="00052AD2">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03BFC8FF" w14:textId="77777777" w:rsidR="00C21257" w:rsidRPr="00EB11D3" w:rsidRDefault="00C21257" w:rsidP="00052AD2">
            <w:pPr>
              <w:spacing w:after="0" w:line="240" w:lineRule="auto"/>
              <w:rPr>
                <w:rFonts w:eastAsia="Times New Roman"/>
                <w:szCs w:val="24"/>
              </w:rPr>
            </w:pPr>
          </w:p>
        </w:tc>
      </w:tr>
      <w:tr w:rsidR="0039483D" w:rsidRPr="00EB11D3" w14:paraId="42420FDF" w14:textId="77777777" w:rsidTr="00580FDF">
        <w:trPr>
          <w:trHeight w:val="63"/>
        </w:trPr>
        <w:tc>
          <w:tcPr>
            <w:tcW w:w="239" w:type="pct"/>
            <w:tcBorders>
              <w:top w:val="single" w:sz="4" w:space="0" w:color="999999"/>
              <w:left w:val="single" w:sz="4" w:space="0" w:color="999999"/>
              <w:bottom w:val="single" w:sz="4" w:space="0" w:color="999999"/>
              <w:right w:val="single" w:sz="4" w:space="0" w:color="999999"/>
            </w:tcBorders>
            <w:hideMark/>
          </w:tcPr>
          <w:p w14:paraId="4A7A005D" w14:textId="77777777" w:rsidR="00C21257" w:rsidRPr="00EB11D3" w:rsidRDefault="00C21257" w:rsidP="00052AD2">
            <w:pPr>
              <w:spacing w:after="0" w:line="240" w:lineRule="auto"/>
              <w:rPr>
                <w:rFonts w:eastAsia="Times New Roman"/>
                <w:szCs w:val="24"/>
              </w:rPr>
            </w:pPr>
            <w:r w:rsidRPr="00EB11D3">
              <w:rPr>
                <w:rFonts w:eastAsia="Times New Roman"/>
                <w:szCs w:val="24"/>
              </w:rPr>
              <w:t>6</w:t>
            </w:r>
          </w:p>
        </w:tc>
        <w:tc>
          <w:tcPr>
            <w:tcW w:w="3629" w:type="pct"/>
            <w:tcBorders>
              <w:top w:val="single" w:sz="4" w:space="0" w:color="999999"/>
              <w:left w:val="single" w:sz="4" w:space="0" w:color="999999"/>
              <w:bottom w:val="single" w:sz="4" w:space="0" w:color="999999"/>
              <w:right w:val="single" w:sz="4" w:space="0" w:color="999999"/>
            </w:tcBorders>
            <w:hideMark/>
          </w:tcPr>
          <w:p w14:paraId="456CCCEC" w14:textId="77777777" w:rsidR="00C21257" w:rsidRPr="00EB11D3" w:rsidRDefault="00C21257" w:rsidP="00052AD2">
            <w:pPr>
              <w:spacing w:after="0" w:line="240" w:lineRule="auto"/>
              <w:rPr>
                <w:rFonts w:eastAsia="Times New Roman"/>
                <w:szCs w:val="24"/>
              </w:rPr>
            </w:pPr>
            <w:r w:rsidRPr="00EB11D3">
              <w:rPr>
                <w:rFonts w:eastAsia="Times New Roman"/>
                <w:szCs w:val="24"/>
              </w:rPr>
              <w:t>The hospital involves stakeholders in its policy formulation process</w:t>
            </w:r>
          </w:p>
        </w:tc>
        <w:tc>
          <w:tcPr>
            <w:tcW w:w="228" w:type="pct"/>
            <w:tcBorders>
              <w:top w:val="single" w:sz="4" w:space="0" w:color="999999"/>
              <w:left w:val="single" w:sz="4" w:space="0" w:color="999999"/>
              <w:bottom w:val="single" w:sz="4" w:space="0" w:color="999999"/>
              <w:right w:val="single" w:sz="4" w:space="0" w:color="999999"/>
            </w:tcBorders>
          </w:tcPr>
          <w:p w14:paraId="79FE4B1A" w14:textId="77777777" w:rsidR="00C21257" w:rsidRPr="00EB11D3" w:rsidRDefault="00C21257" w:rsidP="00052AD2">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2B942EB1" w14:textId="77777777" w:rsidR="00C21257" w:rsidRPr="00EB11D3" w:rsidRDefault="00C21257" w:rsidP="00052AD2">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6ECFF4B8" w14:textId="77777777" w:rsidR="00C21257" w:rsidRPr="00EB11D3" w:rsidRDefault="00C21257" w:rsidP="00052AD2">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3AEC2E6E" w14:textId="77777777" w:rsidR="00C21257" w:rsidRPr="00EB11D3" w:rsidRDefault="00C21257" w:rsidP="00052AD2">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11BE07E8" w14:textId="77777777" w:rsidR="00C21257" w:rsidRPr="00EB11D3" w:rsidRDefault="00C21257" w:rsidP="00052AD2">
            <w:pPr>
              <w:spacing w:after="0" w:line="240" w:lineRule="auto"/>
              <w:rPr>
                <w:rFonts w:eastAsia="Times New Roman"/>
                <w:szCs w:val="24"/>
              </w:rPr>
            </w:pPr>
          </w:p>
        </w:tc>
      </w:tr>
      <w:tr w:rsidR="0039483D" w:rsidRPr="00EB11D3" w14:paraId="66D54720" w14:textId="77777777" w:rsidTr="00580FDF">
        <w:trPr>
          <w:trHeight w:val="563"/>
        </w:trPr>
        <w:tc>
          <w:tcPr>
            <w:tcW w:w="239" w:type="pct"/>
            <w:tcBorders>
              <w:top w:val="single" w:sz="4" w:space="0" w:color="999999"/>
              <w:left w:val="single" w:sz="4" w:space="0" w:color="999999"/>
              <w:bottom w:val="single" w:sz="4" w:space="0" w:color="999999"/>
              <w:right w:val="single" w:sz="4" w:space="0" w:color="999999"/>
            </w:tcBorders>
            <w:hideMark/>
          </w:tcPr>
          <w:p w14:paraId="7B67A783" w14:textId="77777777" w:rsidR="00C21257" w:rsidRPr="00EB11D3" w:rsidRDefault="00C21257" w:rsidP="00052AD2">
            <w:pPr>
              <w:spacing w:after="0" w:line="240" w:lineRule="auto"/>
              <w:rPr>
                <w:rFonts w:eastAsia="Times New Roman"/>
                <w:szCs w:val="24"/>
              </w:rPr>
            </w:pPr>
            <w:r w:rsidRPr="00EB11D3">
              <w:rPr>
                <w:rFonts w:eastAsia="Times New Roman"/>
                <w:szCs w:val="24"/>
              </w:rPr>
              <w:t>7</w:t>
            </w:r>
          </w:p>
        </w:tc>
        <w:tc>
          <w:tcPr>
            <w:tcW w:w="3629" w:type="pct"/>
            <w:tcBorders>
              <w:top w:val="single" w:sz="4" w:space="0" w:color="999999"/>
              <w:left w:val="single" w:sz="4" w:space="0" w:color="999999"/>
              <w:bottom w:val="single" w:sz="4" w:space="0" w:color="999999"/>
              <w:right w:val="single" w:sz="4" w:space="0" w:color="999999"/>
            </w:tcBorders>
            <w:hideMark/>
          </w:tcPr>
          <w:p w14:paraId="5292540F" w14:textId="77777777" w:rsidR="00C21257" w:rsidRPr="00EB11D3" w:rsidRDefault="00C21257" w:rsidP="00052AD2">
            <w:pPr>
              <w:spacing w:after="0" w:line="240" w:lineRule="auto"/>
              <w:rPr>
                <w:rFonts w:eastAsia="Times New Roman"/>
                <w:szCs w:val="24"/>
              </w:rPr>
            </w:pPr>
            <w:r w:rsidRPr="00EB11D3">
              <w:rPr>
                <w:rFonts w:eastAsia="Times New Roman"/>
                <w:szCs w:val="24"/>
              </w:rPr>
              <w:t>The hospital has adequate institutional capacity to ensure compliance with law and regulations</w:t>
            </w:r>
          </w:p>
        </w:tc>
        <w:tc>
          <w:tcPr>
            <w:tcW w:w="228" w:type="pct"/>
            <w:tcBorders>
              <w:top w:val="single" w:sz="4" w:space="0" w:color="999999"/>
              <w:left w:val="single" w:sz="4" w:space="0" w:color="999999"/>
              <w:bottom w:val="single" w:sz="4" w:space="0" w:color="999999"/>
              <w:right w:val="single" w:sz="4" w:space="0" w:color="999999"/>
            </w:tcBorders>
          </w:tcPr>
          <w:p w14:paraId="52AFACDF" w14:textId="77777777" w:rsidR="00C21257" w:rsidRPr="00EB11D3" w:rsidRDefault="00C21257" w:rsidP="00052AD2">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3887D6A8" w14:textId="77777777" w:rsidR="00C21257" w:rsidRPr="00EB11D3" w:rsidRDefault="00C21257" w:rsidP="00052AD2">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4E42B73C" w14:textId="77777777" w:rsidR="00C21257" w:rsidRPr="00EB11D3" w:rsidRDefault="00C21257" w:rsidP="00052AD2">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707C4838" w14:textId="77777777" w:rsidR="00C21257" w:rsidRPr="00EB11D3" w:rsidRDefault="00C21257" w:rsidP="00052AD2">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6AEB7ADC" w14:textId="77777777" w:rsidR="00C21257" w:rsidRPr="00EB11D3" w:rsidRDefault="00C21257" w:rsidP="00052AD2">
            <w:pPr>
              <w:spacing w:after="0" w:line="240" w:lineRule="auto"/>
              <w:rPr>
                <w:rFonts w:eastAsia="Times New Roman"/>
                <w:szCs w:val="24"/>
              </w:rPr>
            </w:pPr>
          </w:p>
        </w:tc>
      </w:tr>
      <w:tr w:rsidR="0039483D" w:rsidRPr="00EB11D3" w14:paraId="3265278F" w14:textId="77777777" w:rsidTr="00580FDF">
        <w:trPr>
          <w:trHeight w:val="287"/>
        </w:trPr>
        <w:tc>
          <w:tcPr>
            <w:tcW w:w="239" w:type="pct"/>
            <w:tcBorders>
              <w:top w:val="single" w:sz="4" w:space="0" w:color="999999"/>
              <w:left w:val="single" w:sz="4" w:space="0" w:color="999999"/>
              <w:bottom w:val="single" w:sz="4" w:space="0" w:color="999999"/>
              <w:right w:val="single" w:sz="4" w:space="0" w:color="999999"/>
            </w:tcBorders>
          </w:tcPr>
          <w:p w14:paraId="1F16848C" w14:textId="77777777" w:rsidR="00C21257" w:rsidRPr="00EB11D3" w:rsidRDefault="00C21257" w:rsidP="002537CE">
            <w:pPr>
              <w:spacing w:after="0" w:line="240" w:lineRule="auto"/>
              <w:rPr>
                <w:rFonts w:eastAsia="Times New Roman"/>
                <w:szCs w:val="24"/>
              </w:rPr>
            </w:pPr>
          </w:p>
        </w:tc>
        <w:tc>
          <w:tcPr>
            <w:tcW w:w="3629" w:type="pct"/>
            <w:tcBorders>
              <w:top w:val="single" w:sz="4" w:space="0" w:color="999999"/>
              <w:left w:val="single" w:sz="4" w:space="0" w:color="999999"/>
              <w:bottom w:val="single" w:sz="4" w:space="0" w:color="999999"/>
              <w:right w:val="single" w:sz="4" w:space="0" w:color="999999"/>
            </w:tcBorders>
          </w:tcPr>
          <w:p w14:paraId="3DE7B43E" w14:textId="77777777" w:rsidR="00C21257" w:rsidRPr="00EB11D3" w:rsidRDefault="00C21257" w:rsidP="002537CE">
            <w:pPr>
              <w:spacing w:after="0" w:line="240" w:lineRule="auto"/>
              <w:rPr>
                <w:rFonts w:eastAsia="Times New Roman"/>
                <w:szCs w:val="24"/>
              </w:rPr>
            </w:pPr>
          </w:p>
        </w:tc>
        <w:tc>
          <w:tcPr>
            <w:tcW w:w="228" w:type="pct"/>
            <w:tcBorders>
              <w:top w:val="single" w:sz="4" w:space="0" w:color="999999"/>
              <w:left w:val="single" w:sz="4" w:space="0" w:color="999999"/>
              <w:bottom w:val="single" w:sz="4" w:space="0" w:color="999999"/>
              <w:right w:val="single" w:sz="4" w:space="0" w:color="999999"/>
            </w:tcBorders>
          </w:tcPr>
          <w:p w14:paraId="7CFA9000" w14:textId="77777777" w:rsidR="00C21257" w:rsidRPr="00EB11D3" w:rsidRDefault="00C21257" w:rsidP="002537CE">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33735C44" w14:textId="77777777" w:rsidR="00C21257" w:rsidRPr="00EB11D3" w:rsidRDefault="00C21257" w:rsidP="002537CE">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6BA777BD" w14:textId="77777777" w:rsidR="00C21257" w:rsidRPr="00EB11D3" w:rsidRDefault="00C21257" w:rsidP="002537CE">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12A9821A" w14:textId="77777777" w:rsidR="00C21257" w:rsidRPr="00EB11D3" w:rsidRDefault="00C21257" w:rsidP="002537CE">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0BF0DD44" w14:textId="77777777" w:rsidR="00C21257" w:rsidRPr="00EB11D3" w:rsidRDefault="00C21257" w:rsidP="002537CE">
            <w:pPr>
              <w:spacing w:after="0" w:line="240" w:lineRule="auto"/>
              <w:rPr>
                <w:rFonts w:eastAsia="Times New Roman"/>
                <w:szCs w:val="24"/>
              </w:rPr>
            </w:pPr>
          </w:p>
        </w:tc>
      </w:tr>
      <w:tr w:rsidR="0039483D" w:rsidRPr="00EB11D3" w14:paraId="2191AB85" w14:textId="77777777" w:rsidTr="00580FDF">
        <w:trPr>
          <w:trHeight w:val="283"/>
        </w:trPr>
        <w:tc>
          <w:tcPr>
            <w:tcW w:w="239" w:type="pct"/>
            <w:tcBorders>
              <w:top w:val="single" w:sz="4" w:space="0" w:color="999999"/>
              <w:left w:val="single" w:sz="4" w:space="0" w:color="999999"/>
              <w:bottom w:val="single" w:sz="4" w:space="0" w:color="999999"/>
              <w:right w:val="single" w:sz="4" w:space="0" w:color="999999"/>
            </w:tcBorders>
          </w:tcPr>
          <w:p w14:paraId="6DAB7914" w14:textId="77777777" w:rsidR="00C21257" w:rsidRPr="00EB11D3" w:rsidRDefault="00C21257" w:rsidP="00052AD2">
            <w:pPr>
              <w:spacing w:after="0" w:line="240" w:lineRule="auto"/>
              <w:rPr>
                <w:rFonts w:eastAsia="Times New Roman"/>
                <w:szCs w:val="24"/>
              </w:rPr>
            </w:pPr>
          </w:p>
        </w:tc>
        <w:tc>
          <w:tcPr>
            <w:tcW w:w="3629" w:type="pct"/>
            <w:tcBorders>
              <w:top w:val="single" w:sz="4" w:space="0" w:color="999999"/>
              <w:left w:val="single" w:sz="4" w:space="0" w:color="999999"/>
              <w:bottom w:val="single" w:sz="4" w:space="0" w:color="999999"/>
              <w:right w:val="single" w:sz="4" w:space="0" w:color="999999"/>
            </w:tcBorders>
            <w:hideMark/>
          </w:tcPr>
          <w:p w14:paraId="6650F630"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Professional Ethics</w:t>
            </w:r>
          </w:p>
        </w:tc>
        <w:tc>
          <w:tcPr>
            <w:tcW w:w="228" w:type="pct"/>
            <w:tcBorders>
              <w:top w:val="single" w:sz="4" w:space="0" w:color="999999"/>
              <w:left w:val="single" w:sz="4" w:space="0" w:color="999999"/>
              <w:bottom w:val="single" w:sz="4" w:space="0" w:color="999999"/>
              <w:right w:val="single" w:sz="4" w:space="0" w:color="999999"/>
            </w:tcBorders>
          </w:tcPr>
          <w:p w14:paraId="4B018E4A" w14:textId="77777777" w:rsidR="00C21257" w:rsidRPr="00EB11D3" w:rsidRDefault="00C21257" w:rsidP="00052AD2">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15BC9A95" w14:textId="77777777" w:rsidR="00C21257" w:rsidRPr="00EB11D3" w:rsidRDefault="00C21257" w:rsidP="00052AD2">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7F82F69B" w14:textId="77777777" w:rsidR="00C21257" w:rsidRPr="00EB11D3" w:rsidRDefault="00C21257" w:rsidP="00052AD2">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5E3B8627" w14:textId="77777777" w:rsidR="00C21257" w:rsidRPr="00EB11D3" w:rsidRDefault="00C21257" w:rsidP="00052AD2">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2C966AF3" w14:textId="77777777" w:rsidR="00C21257" w:rsidRPr="00EB11D3" w:rsidRDefault="00C21257" w:rsidP="00052AD2">
            <w:pPr>
              <w:spacing w:after="0" w:line="240" w:lineRule="auto"/>
              <w:rPr>
                <w:rFonts w:eastAsia="Times New Roman"/>
                <w:szCs w:val="24"/>
              </w:rPr>
            </w:pPr>
          </w:p>
        </w:tc>
      </w:tr>
      <w:tr w:rsidR="0039483D" w:rsidRPr="00EB11D3" w14:paraId="62B6F136" w14:textId="77777777" w:rsidTr="00580FDF">
        <w:trPr>
          <w:trHeight w:val="265"/>
        </w:trPr>
        <w:tc>
          <w:tcPr>
            <w:tcW w:w="239" w:type="pct"/>
            <w:tcBorders>
              <w:top w:val="single" w:sz="4" w:space="0" w:color="999999"/>
              <w:left w:val="single" w:sz="4" w:space="0" w:color="999999"/>
              <w:bottom w:val="single" w:sz="4" w:space="0" w:color="999999"/>
              <w:right w:val="single" w:sz="4" w:space="0" w:color="999999"/>
            </w:tcBorders>
            <w:hideMark/>
          </w:tcPr>
          <w:p w14:paraId="6C6DCC7B" w14:textId="77777777" w:rsidR="00C21257" w:rsidRPr="00EB11D3" w:rsidRDefault="00C21257" w:rsidP="00052AD2">
            <w:pPr>
              <w:spacing w:after="0" w:line="240" w:lineRule="auto"/>
              <w:rPr>
                <w:rFonts w:eastAsia="Times New Roman"/>
                <w:szCs w:val="24"/>
              </w:rPr>
            </w:pPr>
            <w:r w:rsidRPr="00EB11D3">
              <w:rPr>
                <w:rFonts w:eastAsia="Times New Roman"/>
                <w:szCs w:val="24"/>
              </w:rPr>
              <w:t>1</w:t>
            </w:r>
          </w:p>
        </w:tc>
        <w:tc>
          <w:tcPr>
            <w:tcW w:w="3629" w:type="pct"/>
            <w:tcBorders>
              <w:top w:val="single" w:sz="4" w:space="0" w:color="999999"/>
              <w:left w:val="single" w:sz="4" w:space="0" w:color="999999"/>
              <w:bottom w:val="single" w:sz="4" w:space="0" w:color="999999"/>
              <w:right w:val="single" w:sz="4" w:space="0" w:color="999999"/>
            </w:tcBorders>
            <w:hideMark/>
          </w:tcPr>
          <w:p w14:paraId="4B4A693E" w14:textId="77777777" w:rsidR="00C21257" w:rsidRPr="00EB11D3" w:rsidRDefault="00C21257" w:rsidP="00052AD2">
            <w:pPr>
              <w:spacing w:after="0" w:line="240" w:lineRule="auto"/>
              <w:rPr>
                <w:rFonts w:eastAsia="Times New Roman"/>
                <w:szCs w:val="24"/>
              </w:rPr>
            </w:pPr>
            <w:r w:rsidRPr="00EB11D3">
              <w:rPr>
                <w:rFonts w:eastAsia="Times New Roman"/>
                <w:szCs w:val="24"/>
              </w:rPr>
              <w:t xml:space="preserve">The hospital adheres to the relevant professional set of rules in place </w:t>
            </w:r>
          </w:p>
        </w:tc>
        <w:tc>
          <w:tcPr>
            <w:tcW w:w="228" w:type="pct"/>
            <w:tcBorders>
              <w:top w:val="single" w:sz="4" w:space="0" w:color="999999"/>
              <w:left w:val="single" w:sz="4" w:space="0" w:color="999999"/>
              <w:bottom w:val="single" w:sz="4" w:space="0" w:color="999999"/>
              <w:right w:val="single" w:sz="4" w:space="0" w:color="999999"/>
            </w:tcBorders>
          </w:tcPr>
          <w:p w14:paraId="00B45235" w14:textId="77777777" w:rsidR="00C21257" w:rsidRPr="00EB11D3" w:rsidRDefault="00C21257" w:rsidP="00052AD2">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20C27733" w14:textId="77777777" w:rsidR="00C21257" w:rsidRPr="00EB11D3" w:rsidRDefault="00C21257" w:rsidP="00052AD2">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5F639EFE" w14:textId="77777777" w:rsidR="00C21257" w:rsidRPr="00EB11D3" w:rsidRDefault="00C21257" w:rsidP="00052AD2">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0BD755D9" w14:textId="77777777" w:rsidR="00C21257" w:rsidRPr="00EB11D3" w:rsidRDefault="00C21257" w:rsidP="00052AD2">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5F052059" w14:textId="77777777" w:rsidR="00C21257" w:rsidRPr="00EB11D3" w:rsidRDefault="00C21257" w:rsidP="00052AD2">
            <w:pPr>
              <w:spacing w:after="0" w:line="240" w:lineRule="auto"/>
              <w:rPr>
                <w:rFonts w:eastAsia="Times New Roman"/>
                <w:szCs w:val="24"/>
              </w:rPr>
            </w:pPr>
          </w:p>
        </w:tc>
      </w:tr>
      <w:tr w:rsidR="0039483D" w:rsidRPr="00EB11D3" w14:paraId="749D844E" w14:textId="77777777" w:rsidTr="00580FDF">
        <w:trPr>
          <w:trHeight w:val="265"/>
        </w:trPr>
        <w:tc>
          <w:tcPr>
            <w:tcW w:w="239" w:type="pct"/>
            <w:tcBorders>
              <w:top w:val="single" w:sz="4" w:space="0" w:color="999999"/>
              <w:left w:val="single" w:sz="4" w:space="0" w:color="999999"/>
              <w:bottom w:val="single" w:sz="4" w:space="0" w:color="999999"/>
              <w:right w:val="single" w:sz="4" w:space="0" w:color="999999"/>
            </w:tcBorders>
            <w:hideMark/>
          </w:tcPr>
          <w:p w14:paraId="1F50A0A0" w14:textId="77777777" w:rsidR="00C21257" w:rsidRPr="00EB11D3" w:rsidRDefault="00C21257" w:rsidP="00052AD2">
            <w:pPr>
              <w:spacing w:after="0" w:line="240" w:lineRule="auto"/>
              <w:rPr>
                <w:rFonts w:eastAsia="Times New Roman"/>
                <w:szCs w:val="24"/>
              </w:rPr>
            </w:pPr>
            <w:r w:rsidRPr="00EB11D3">
              <w:rPr>
                <w:rFonts w:eastAsia="Times New Roman"/>
                <w:szCs w:val="24"/>
              </w:rPr>
              <w:t>2</w:t>
            </w:r>
          </w:p>
        </w:tc>
        <w:tc>
          <w:tcPr>
            <w:tcW w:w="3629" w:type="pct"/>
            <w:tcBorders>
              <w:top w:val="single" w:sz="4" w:space="0" w:color="999999"/>
              <w:left w:val="single" w:sz="4" w:space="0" w:color="999999"/>
              <w:bottom w:val="single" w:sz="4" w:space="0" w:color="999999"/>
              <w:right w:val="single" w:sz="4" w:space="0" w:color="999999"/>
            </w:tcBorders>
            <w:hideMark/>
          </w:tcPr>
          <w:p w14:paraId="732EE533" w14:textId="77777777" w:rsidR="00C21257" w:rsidRPr="00EB11D3" w:rsidRDefault="00C21257" w:rsidP="00052AD2">
            <w:pPr>
              <w:spacing w:after="0" w:line="240" w:lineRule="auto"/>
              <w:rPr>
                <w:rFonts w:eastAsia="Times New Roman"/>
                <w:szCs w:val="24"/>
              </w:rPr>
            </w:pPr>
            <w:r w:rsidRPr="00EB11D3">
              <w:rPr>
                <w:rFonts w:eastAsia="Times New Roman"/>
                <w:szCs w:val="24"/>
              </w:rPr>
              <w:t>The hospital prioritizes the interest of client first</w:t>
            </w:r>
          </w:p>
        </w:tc>
        <w:tc>
          <w:tcPr>
            <w:tcW w:w="228" w:type="pct"/>
            <w:tcBorders>
              <w:top w:val="single" w:sz="4" w:space="0" w:color="999999"/>
              <w:left w:val="single" w:sz="4" w:space="0" w:color="999999"/>
              <w:bottom w:val="single" w:sz="4" w:space="0" w:color="999999"/>
              <w:right w:val="single" w:sz="4" w:space="0" w:color="999999"/>
            </w:tcBorders>
          </w:tcPr>
          <w:p w14:paraId="691BD5E1" w14:textId="77777777" w:rsidR="00C21257" w:rsidRPr="00EB11D3" w:rsidRDefault="00C21257" w:rsidP="00052AD2">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6BE8F86B" w14:textId="77777777" w:rsidR="00C21257" w:rsidRPr="00EB11D3" w:rsidRDefault="00C21257" w:rsidP="00052AD2">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638F1F59" w14:textId="77777777" w:rsidR="00C21257" w:rsidRPr="00EB11D3" w:rsidRDefault="00C21257" w:rsidP="00052AD2">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04B28A8D" w14:textId="77777777" w:rsidR="00C21257" w:rsidRPr="00EB11D3" w:rsidRDefault="00C21257" w:rsidP="00052AD2">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507A084E" w14:textId="77777777" w:rsidR="00C21257" w:rsidRPr="00EB11D3" w:rsidRDefault="00C21257" w:rsidP="00052AD2">
            <w:pPr>
              <w:spacing w:after="0" w:line="240" w:lineRule="auto"/>
              <w:rPr>
                <w:rFonts w:eastAsia="Times New Roman"/>
                <w:szCs w:val="24"/>
              </w:rPr>
            </w:pPr>
          </w:p>
        </w:tc>
      </w:tr>
      <w:tr w:rsidR="0039483D" w:rsidRPr="00EB11D3" w14:paraId="4D281601" w14:textId="77777777" w:rsidTr="00580FDF">
        <w:trPr>
          <w:trHeight w:val="265"/>
        </w:trPr>
        <w:tc>
          <w:tcPr>
            <w:tcW w:w="239" w:type="pct"/>
            <w:tcBorders>
              <w:top w:val="single" w:sz="4" w:space="0" w:color="999999"/>
              <w:left w:val="single" w:sz="4" w:space="0" w:color="999999"/>
              <w:bottom w:val="single" w:sz="4" w:space="0" w:color="999999"/>
              <w:right w:val="single" w:sz="4" w:space="0" w:color="999999"/>
            </w:tcBorders>
            <w:hideMark/>
          </w:tcPr>
          <w:p w14:paraId="59E99AB9" w14:textId="77777777" w:rsidR="00C21257" w:rsidRPr="00EB11D3" w:rsidRDefault="00C21257" w:rsidP="00052AD2">
            <w:pPr>
              <w:spacing w:after="0" w:line="240" w:lineRule="auto"/>
              <w:rPr>
                <w:rFonts w:eastAsia="Times New Roman"/>
                <w:szCs w:val="24"/>
              </w:rPr>
            </w:pPr>
            <w:r w:rsidRPr="00EB11D3">
              <w:rPr>
                <w:rFonts w:eastAsia="Times New Roman"/>
                <w:szCs w:val="24"/>
              </w:rPr>
              <w:t>3</w:t>
            </w:r>
          </w:p>
        </w:tc>
        <w:tc>
          <w:tcPr>
            <w:tcW w:w="3629" w:type="pct"/>
            <w:tcBorders>
              <w:top w:val="single" w:sz="4" w:space="0" w:color="999999"/>
              <w:left w:val="single" w:sz="4" w:space="0" w:color="999999"/>
              <w:bottom w:val="single" w:sz="4" w:space="0" w:color="999999"/>
              <w:right w:val="single" w:sz="4" w:space="0" w:color="999999"/>
            </w:tcBorders>
            <w:hideMark/>
          </w:tcPr>
          <w:p w14:paraId="71E184BE" w14:textId="77777777" w:rsidR="00C21257" w:rsidRPr="00EB11D3" w:rsidRDefault="00C21257" w:rsidP="00052AD2">
            <w:pPr>
              <w:spacing w:after="0" w:line="240" w:lineRule="auto"/>
              <w:rPr>
                <w:rFonts w:eastAsia="Times New Roman"/>
                <w:szCs w:val="24"/>
              </w:rPr>
            </w:pPr>
            <w:r w:rsidRPr="00EB11D3">
              <w:rPr>
                <w:rFonts w:eastAsia="Times New Roman"/>
                <w:szCs w:val="24"/>
              </w:rPr>
              <w:t>The hospital operations contribute to professional growth of employees</w:t>
            </w:r>
          </w:p>
        </w:tc>
        <w:tc>
          <w:tcPr>
            <w:tcW w:w="228" w:type="pct"/>
            <w:tcBorders>
              <w:top w:val="single" w:sz="4" w:space="0" w:color="999999"/>
              <w:left w:val="single" w:sz="4" w:space="0" w:color="999999"/>
              <w:bottom w:val="single" w:sz="4" w:space="0" w:color="999999"/>
              <w:right w:val="single" w:sz="4" w:space="0" w:color="999999"/>
            </w:tcBorders>
          </w:tcPr>
          <w:p w14:paraId="73AE6F8C" w14:textId="77777777" w:rsidR="00C21257" w:rsidRPr="00EB11D3" w:rsidRDefault="00C21257" w:rsidP="00052AD2">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05FA37BD" w14:textId="77777777" w:rsidR="00C21257" w:rsidRPr="00EB11D3" w:rsidRDefault="00C21257" w:rsidP="00052AD2">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6B38F419" w14:textId="77777777" w:rsidR="00C21257" w:rsidRPr="00EB11D3" w:rsidRDefault="00C21257" w:rsidP="00052AD2">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02F943E5" w14:textId="77777777" w:rsidR="00C21257" w:rsidRPr="00EB11D3" w:rsidRDefault="00C21257" w:rsidP="00052AD2">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2FAE4F61" w14:textId="77777777" w:rsidR="00C21257" w:rsidRPr="00EB11D3" w:rsidRDefault="00C21257" w:rsidP="00052AD2">
            <w:pPr>
              <w:spacing w:after="0" w:line="240" w:lineRule="auto"/>
              <w:rPr>
                <w:rFonts w:eastAsia="Times New Roman"/>
                <w:szCs w:val="24"/>
              </w:rPr>
            </w:pPr>
          </w:p>
        </w:tc>
      </w:tr>
      <w:tr w:rsidR="0039483D" w:rsidRPr="00EB11D3" w14:paraId="4B47E078" w14:textId="77777777" w:rsidTr="00580FDF">
        <w:trPr>
          <w:trHeight w:val="265"/>
        </w:trPr>
        <w:tc>
          <w:tcPr>
            <w:tcW w:w="239" w:type="pct"/>
            <w:tcBorders>
              <w:top w:val="single" w:sz="4" w:space="0" w:color="999999"/>
              <w:left w:val="single" w:sz="4" w:space="0" w:color="999999"/>
              <w:bottom w:val="single" w:sz="4" w:space="0" w:color="999999"/>
              <w:right w:val="single" w:sz="4" w:space="0" w:color="999999"/>
            </w:tcBorders>
            <w:hideMark/>
          </w:tcPr>
          <w:p w14:paraId="15E10613" w14:textId="77777777" w:rsidR="00C21257" w:rsidRPr="00EB11D3" w:rsidRDefault="00580FDF" w:rsidP="00052AD2">
            <w:pPr>
              <w:spacing w:after="0" w:line="240" w:lineRule="auto"/>
              <w:rPr>
                <w:rFonts w:eastAsia="Times New Roman"/>
                <w:szCs w:val="24"/>
              </w:rPr>
            </w:pPr>
            <w:r w:rsidRPr="00EB11D3">
              <w:rPr>
                <w:rFonts w:eastAsia="Times New Roman"/>
                <w:szCs w:val="24"/>
              </w:rPr>
              <w:t>4</w:t>
            </w:r>
          </w:p>
        </w:tc>
        <w:tc>
          <w:tcPr>
            <w:tcW w:w="3629" w:type="pct"/>
            <w:tcBorders>
              <w:top w:val="single" w:sz="4" w:space="0" w:color="999999"/>
              <w:left w:val="single" w:sz="4" w:space="0" w:color="999999"/>
              <w:bottom w:val="single" w:sz="4" w:space="0" w:color="999999"/>
              <w:right w:val="single" w:sz="4" w:space="0" w:color="999999"/>
            </w:tcBorders>
            <w:hideMark/>
          </w:tcPr>
          <w:p w14:paraId="74B2B4FB" w14:textId="77777777" w:rsidR="00C21257" w:rsidRPr="00EB11D3" w:rsidRDefault="00C21257" w:rsidP="00052AD2">
            <w:pPr>
              <w:spacing w:after="0" w:line="240" w:lineRule="auto"/>
              <w:rPr>
                <w:rFonts w:eastAsia="Times New Roman"/>
                <w:szCs w:val="24"/>
              </w:rPr>
            </w:pPr>
            <w:r w:rsidRPr="00EB11D3">
              <w:rPr>
                <w:rFonts w:eastAsia="Times New Roman"/>
                <w:szCs w:val="24"/>
              </w:rPr>
              <w:t>The hospital has operational conflict of interest policy</w:t>
            </w:r>
          </w:p>
        </w:tc>
        <w:tc>
          <w:tcPr>
            <w:tcW w:w="228" w:type="pct"/>
            <w:tcBorders>
              <w:top w:val="single" w:sz="4" w:space="0" w:color="999999"/>
              <w:left w:val="single" w:sz="4" w:space="0" w:color="999999"/>
              <w:bottom w:val="single" w:sz="4" w:space="0" w:color="999999"/>
              <w:right w:val="single" w:sz="4" w:space="0" w:color="999999"/>
            </w:tcBorders>
          </w:tcPr>
          <w:p w14:paraId="06D5F63A" w14:textId="77777777" w:rsidR="00C21257" w:rsidRPr="00EB11D3" w:rsidRDefault="00C21257" w:rsidP="00052AD2">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5953B7E8" w14:textId="77777777" w:rsidR="00C21257" w:rsidRPr="00EB11D3" w:rsidRDefault="00C21257" w:rsidP="00052AD2">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7BC318E4" w14:textId="77777777" w:rsidR="00C21257" w:rsidRPr="00EB11D3" w:rsidRDefault="00C21257" w:rsidP="00052AD2">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069EEC53" w14:textId="77777777" w:rsidR="00C21257" w:rsidRPr="00EB11D3" w:rsidRDefault="00C21257" w:rsidP="00052AD2">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19DCEB9F" w14:textId="77777777" w:rsidR="00C21257" w:rsidRPr="00EB11D3" w:rsidRDefault="00C21257" w:rsidP="00052AD2">
            <w:pPr>
              <w:spacing w:after="0" w:line="240" w:lineRule="auto"/>
              <w:rPr>
                <w:rFonts w:eastAsia="Times New Roman"/>
                <w:szCs w:val="24"/>
              </w:rPr>
            </w:pPr>
          </w:p>
        </w:tc>
      </w:tr>
      <w:tr w:rsidR="0039483D" w:rsidRPr="00EB11D3" w14:paraId="0AC9EA5C" w14:textId="77777777" w:rsidTr="00580FDF">
        <w:trPr>
          <w:trHeight w:val="265"/>
        </w:trPr>
        <w:tc>
          <w:tcPr>
            <w:tcW w:w="239" w:type="pct"/>
            <w:tcBorders>
              <w:top w:val="single" w:sz="4" w:space="0" w:color="999999"/>
              <w:left w:val="single" w:sz="4" w:space="0" w:color="999999"/>
              <w:bottom w:val="single" w:sz="4" w:space="0" w:color="999999"/>
              <w:right w:val="single" w:sz="4" w:space="0" w:color="999999"/>
            </w:tcBorders>
          </w:tcPr>
          <w:p w14:paraId="1F7B2DCB" w14:textId="77777777" w:rsidR="00C21257" w:rsidRPr="00EB11D3" w:rsidRDefault="00580FDF" w:rsidP="002537CE">
            <w:pPr>
              <w:spacing w:after="0" w:line="240" w:lineRule="auto"/>
              <w:rPr>
                <w:rFonts w:eastAsia="Times New Roman"/>
                <w:szCs w:val="24"/>
              </w:rPr>
            </w:pPr>
            <w:r w:rsidRPr="00EB11D3">
              <w:rPr>
                <w:rFonts w:eastAsia="Times New Roman"/>
                <w:szCs w:val="24"/>
              </w:rPr>
              <w:t>5</w:t>
            </w:r>
          </w:p>
        </w:tc>
        <w:tc>
          <w:tcPr>
            <w:tcW w:w="3629" w:type="pct"/>
            <w:tcBorders>
              <w:top w:val="single" w:sz="4" w:space="0" w:color="999999"/>
              <w:left w:val="single" w:sz="4" w:space="0" w:color="999999"/>
              <w:bottom w:val="single" w:sz="4" w:space="0" w:color="999999"/>
              <w:right w:val="single" w:sz="4" w:space="0" w:color="999999"/>
            </w:tcBorders>
            <w:hideMark/>
          </w:tcPr>
          <w:p w14:paraId="53988230" w14:textId="77777777" w:rsidR="00C21257" w:rsidRPr="00EB11D3" w:rsidRDefault="00C21257" w:rsidP="002537CE">
            <w:pPr>
              <w:spacing w:after="0" w:line="240" w:lineRule="auto"/>
              <w:rPr>
                <w:rFonts w:eastAsia="Times New Roman"/>
                <w:szCs w:val="24"/>
              </w:rPr>
            </w:pPr>
            <w:r w:rsidRPr="00EB11D3">
              <w:rPr>
                <w:rFonts w:eastAsia="Times New Roman"/>
                <w:szCs w:val="24"/>
              </w:rPr>
              <w:t>The hospital provides professional benefit by monitoring profession actions.</w:t>
            </w:r>
          </w:p>
        </w:tc>
        <w:tc>
          <w:tcPr>
            <w:tcW w:w="228" w:type="pct"/>
            <w:tcBorders>
              <w:top w:val="single" w:sz="4" w:space="0" w:color="999999"/>
              <w:left w:val="single" w:sz="4" w:space="0" w:color="999999"/>
              <w:bottom w:val="single" w:sz="4" w:space="0" w:color="999999"/>
              <w:right w:val="single" w:sz="4" w:space="0" w:color="999999"/>
            </w:tcBorders>
          </w:tcPr>
          <w:p w14:paraId="1CC7432E" w14:textId="77777777" w:rsidR="00C21257" w:rsidRPr="00EB11D3" w:rsidRDefault="00C21257" w:rsidP="002537CE">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23690A17" w14:textId="77777777" w:rsidR="00C21257" w:rsidRPr="00EB11D3" w:rsidRDefault="00C21257" w:rsidP="002537CE">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0FB4C7AF" w14:textId="77777777" w:rsidR="00C21257" w:rsidRPr="00EB11D3" w:rsidRDefault="00C21257" w:rsidP="002537CE">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255D4850" w14:textId="77777777" w:rsidR="00C21257" w:rsidRPr="00EB11D3" w:rsidRDefault="00C21257" w:rsidP="002537CE">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06ABE056" w14:textId="77777777" w:rsidR="00C21257" w:rsidRPr="00EB11D3" w:rsidRDefault="00C21257" w:rsidP="002537CE">
            <w:pPr>
              <w:spacing w:after="0" w:line="240" w:lineRule="auto"/>
              <w:rPr>
                <w:rFonts w:eastAsia="Times New Roman"/>
                <w:szCs w:val="24"/>
              </w:rPr>
            </w:pPr>
          </w:p>
        </w:tc>
      </w:tr>
      <w:tr w:rsidR="0039483D" w:rsidRPr="00EB11D3" w14:paraId="6AB75D92" w14:textId="77777777" w:rsidTr="00580FDF">
        <w:trPr>
          <w:trHeight w:val="265"/>
        </w:trPr>
        <w:tc>
          <w:tcPr>
            <w:tcW w:w="239" w:type="pct"/>
            <w:tcBorders>
              <w:top w:val="single" w:sz="4" w:space="0" w:color="999999"/>
              <w:left w:val="single" w:sz="4" w:space="0" w:color="999999"/>
              <w:bottom w:val="single" w:sz="4" w:space="0" w:color="999999"/>
              <w:right w:val="single" w:sz="4" w:space="0" w:color="999999"/>
            </w:tcBorders>
          </w:tcPr>
          <w:p w14:paraId="7F3077DA" w14:textId="77777777" w:rsidR="00C21257" w:rsidRPr="00EB11D3" w:rsidRDefault="00580FDF" w:rsidP="002537CE">
            <w:pPr>
              <w:spacing w:after="0" w:line="240" w:lineRule="auto"/>
              <w:rPr>
                <w:rFonts w:eastAsia="Times New Roman"/>
                <w:szCs w:val="24"/>
              </w:rPr>
            </w:pPr>
            <w:r w:rsidRPr="00EB11D3">
              <w:rPr>
                <w:rFonts w:eastAsia="Times New Roman"/>
                <w:szCs w:val="24"/>
              </w:rPr>
              <w:t>6</w:t>
            </w:r>
          </w:p>
        </w:tc>
        <w:tc>
          <w:tcPr>
            <w:tcW w:w="3629" w:type="pct"/>
            <w:tcBorders>
              <w:top w:val="single" w:sz="4" w:space="0" w:color="999999"/>
              <w:left w:val="single" w:sz="4" w:space="0" w:color="999999"/>
              <w:bottom w:val="single" w:sz="4" w:space="0" w:color="999999"/>
              <w:right w:val="single" w:sz="4" w:space="0" w:color="999999"/>
            </w:tcBorders>
            <w:hideMark/>
          </w:tcPr>
          <w:p w14:paraId="0172DB63" w14:textId="77777777" w:rsidR="00C21257" w:rsidRPr="00EB11D3" w:rsidRDefault="00C21257" w:rsidP="002537CE">
            <w:pPr>
              <w:spacing w:after="0" w:line="240" w:lineRule="auto"/>
              <w:rPr>
                <w:rFonts w:eastAsia="Times New Roman"/>
                <w:szCs w:val="24"/>
              </w:rPr>
            </w:pPr>
            <w:r w:rsidRPr="00EB11D3">
              <w:rPr>
                <w:rFonts w:eastAsia="Times New Roman"/>
                <w:szCs w:val="24"/>
              </w:rPr>
              <w:t xml:space="preserve">The hospital has clear framework of disciplinary ethical standards in place </w:t>
            </w:r>
          </w:p>
        </w:tc>
        <w:tc>
          <w:tcPr>
            <w:tcW w:w="228" w:type="pct"/>
            <w:tcBorders>
              <w:top w:val="single" w:sz="4" w:space="0" w:color="999999"/>
              <w:left w:val="single" w:sz="4" w:space="0" w:color="999999"/>
              <w:bottom w:val="single" w:sz="4" w:space="0" w:color="999999"/>
              <w:right w:val="single" w:sz="4" w:space="0" w:color="999999"/>
            </w:tcBorders>
          </w:tcPr>
          <w:p w14:paraId="2E571BBD" w14:textId="77777777" w:rsidR="00C21257" w:rsidRPr="00EB11D3" w:rsidRDefault="00C21257" w:rsidP="002537CE">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5ECFF308" w14:textId="77777777" w:rsidR="00C21257" w:rsidRPr="00EB11D3" w:rsidRDefault="00C21257" w:rsidP="002537CE">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6AAB6949" w14:textId="77777777" w:rsidR="00C21257" w:rsidRPr="00EB11D3" w:rsidRDefault="00C21257" w:rsidP="002537CE">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4CF302EA" w14:textId="77777777" w:rsidR="00C21257" w:rsidRPr="00EB11D3" w:rsidRDefault="00C21257" w:rsidP="002537CE">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21C3AC58" w14:textId="77777777" w:rsidR="00C21257" w:rsidRPr="00EB11D3" w:rsidRDefault="00C21257" w:rsidP="002537CE">
            <w:pPr>
              <w:spacing w:after="0" w:line="240" w:lineRule="auto"/>
              <w:rPr>
                <w:rFonts w:eastAsia="Times New Roman"/>
                <w:szCs w:val="24"/>
              </w:rPr>
            </w:pPr>
          </w:p>
        </w:tc>
      </w:tr>
      <w:tr w:rsidR="0039483D" w:rsidRPr="00EB11D3" w14:paraId="5F758A3F" w14:textId="77777777" w:rsidTr="00580FDF">
        <w:trPr>
          <w:trHeight w:val="265"/>
        </w:trPr>
        <w:tc>
          <w:tcPr>
            <w:tcW w:w="239" w:type="pct"/>
            <w:tcBorders>
              <w:top w:val="single" w:sz="4" w:space="0" w:color="999999"/>
              <w:left w:val="single" w:sz="4" w:space="0" w:color="999999"/>
              <w:bottom w:val="single" w:sz="4" w:space="0" w:color="999999"/>
              <w:right w:val="single" w:sz="4" w:space="0" w:color="999999"/>
            </w:tcBorders>
          </w:tcPr>
          <w:p w14:paraId="178D8D52" w14:textId="77777777" w:rsidR="00C21257" w:rsidRPr="00EB11D3" w:rsidRDefault="00C21257" w:rsidP="00052AD2">
            <w:pPr>
              <w:spacing w:after="0" w:line="240" w:lineRule="auto"/>
              <w:rPr>
                <w:rFonts w:eastAsia="Times New Roman"/>
                <w:szCs w:val="24"/>
              </w:rPr>
            </w:pPr>
          </w:p>
        </w:tc>
        <w:tc>
          <w:tcPr>
            <w:tcW w:w="3629" w:type="pct"/>
            <w:tcBorders>
              <w:top w:val="single" w:sz="4" w:space="0" w:color="999999"/>
              <w:left w:val="single" w:sz="4" w:space="0" w:color="999999"/>
              <w:bottom w:val="single" w:sz="4" w:space="0" w:color="999999"/>
              <w:right w:val="single" w:sz="4" w:space="0" w:color="999999"/>
            </w:tcBorders>
          </w:tcPr>
          <w:p w14:paraId="2C73501E" w14:textId="77777777" w:rsidR="00C21257" w:rsidRPr="00EB11D3" w:rsidRDefault="00C21257" w:rsidP="00052AD2">
            <w:pPr>
              <w:spacing w:after="0" w:line="240" w:lineRule="auto"/>
              <w:rPr>
                <w:rFonts w:eastAsia="Times New Roman"/>
                <w:szCs w:val="24"/>
              </w:rPr>
            </w:pPr>
          </w:p>
        </w:tc>
        <w:tc>
          <w:tcPr>
            <w:tcW w:w="228" w:type="pct"/>
            <w:tcBorders>
              <w:top w:val="single" w:sz="4" w:space="0" w:color="999999"/>
              <w:left w:val="single" w:sz="4" w:space="0" w:color="999999"/>
              <w:bottom w:val="single" w:sz="4" w:space="0" w:color="999999"/>
              <w:right w:val="single" w:sz="4" w:space="0" w:color="999999"/>
            </w:tcBorders>
          </w:tcPr>
          <w:p w14:paraId="5ED553C2" w14:textId="77777777" w:rsidR="00C21257" w:rsidRPr="00EB11D3" w:rsidRDefault="00C21257" w:rsidP="00052AD2">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38FB108B" w14:textId="77777777" w:rsidR="00C21257" w:rsidRPr="00EB11D3" w:rsidRDefault="00C21257" w:rsidP="00052AD2">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12B680E3" w14:textId="77777777" w:rsidR="00C21257" w:rsidRPr="00EB11D3" w:rsidRDefault="00C21257" w:rsidP="00052AD2">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7E7B3683" w14:textId="77777777" w:rsidR="00C21257" w:rsidRPr="00EB11D3" w:rsidRDefault="00C21257" w:rsidP="00052AD2">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57E74CAE" w14:textId="77777777" w:rsidR="00C21257" w:rsidRPr="00EB11D3" w:rsidRDefault="00C21257" w:rsidP="00052AD2">
            <w:pPr>
              <w:spacing w:after="0" w:line="240" w:lineRule="auto"/>
              <w:rPr>
                <w:rFonts w:eastAsia="Times New Roman"/>
                <w:szCs w:val="24"/>
              </w:rPr>
            </w:pPr>
          </w:p>
        </w:tc>
      </w:tr>
      <w:tr w:rsidR="0039483D" w:rsidRPr="00EB11D3" w14:paraId="60EC4A5D" w14:textId="77777777" w:rsidTr="00580FDF">
        <w:trPr>
          <w:trHeight w:val="337"/>
        </w:trPr>
        <w:tc>
          <w:tcPr>
            <w:tcW w:w="239" w:type="pct"/>
            <w:tcBorders>
              <w:top w:val="single" w:sz="4" w:space="0" w:color="999999"/>
              <w:left w:val="single" w:sz="4" w:space="0" w:color="999999"/>
              <w:bottom w:val="single" w:sz="4" w:space="0" w:color="999999"/>
              <w:right w:val="single" w:sz="4" w:space="0" w:color="999999"/>
            </w:tcBorders>
          </w:tcPr>
          <w:p w14:paraId="3B458753" w14:textId="77777777" w:rsidR="00C21257" w:rsidRPr="00EB11D3" w:rsidRDefault="00C21257" w:rsidP="00052AD2">
            <w:pPr>
              <w:spacing w:after="0" w:line="240" w:lineRule="auto"/>
              <w:rPr>
                <w:rFonts w:eastAsia="Times New Roman"/>
                <w:szCs w:val="24"/>
              </w:rPr>
            </w:pPr>
          </w:p>
        </w:tc>
        <w:tc>
          <w:tcPr>
            <w:tcW w:w="3629" w:type="pct"/>
            <w:tcBorders>
              <w:top w:val="single" w:sz="4" w:space="0" w:color="999999"/>
              <w:left w:val="single" w:sz="4" w:space="0" w:color="999999"/>
              <w:bottom w:val="single" w:sz="4" w:space="0" w:color="999999"/>
              <w:right w:val="single" w:sz="4" w:space="0" w:color="999999"/>
            </w:tcBorders>
            <w:hideMark/>
          </w:tcPr>
          <w:p w14:paraId="75655F54"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Professional Standards</w:t>
            </w:r>
          </w:p>
        </w:tc>
        <w:tc>
          <w:tcPr>
            <w:tcW w:w="228" w:type="pct"/>
            <w:tcBorders>
              <w:top w:val="single" w:sz="4" w:space="0" w:color="999999"/>
              <w:left w:val="single" w:sz="4" w:space="0" w:color="999999"/>
              <w:bottom w:val="single" w:sz="4" w:space="0" w:color="999999"/>
              <w:right w:val="single" w:sz="4" w:space="0" w:color="999999"/>
            </w:tcBorders>
          </w:tcPr>
          <w:p w14:paraId="4D071419" w14:textId="77777777" w:rsidR="00C21257" w:rsidRPr="00EB11D3" w:rsidRDefault="00C21257" w:rsidP="00052AD2">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239AE338" w14:textId="77777777" w:rsidR="00C21257" w:rsidRPr="00EB11D3" w:rsidRDefault="00C21257" w:rsidP="00052AD2">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080B908C" w14:textId="77777777" w:rsidR="00C21257" w:rsidRPr="00EB11D3" w:rsidRDefault="00C21257" w:rsidP="00052AD2">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3EB4FCFD" w14:textId="77777777" w:rsidR="00C21257" w:rsidRPr="00EB11D3" w:rsidRDefault="00C21257" w:rsidP="00052AD2">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405A3D3E" w14:textId="77777777" w:rsidR="00C21257" w:rsidRPr="00EB11D3" w:rsidRDefault="00C21257" w:rsidP="00052AD2">
            <w:pPr>
              <w:spacing w:after="0" w:line="240" w:lineRule="auto"/>
              <w:rPr>
                <w:rFonts w:eastAsia="Times New Roman"/>
                <w:szCs w:val="24"/>
              </w:rPr>
            </w:pPr>
          </w:p>
        </w:tc>
      </w:tr>
      <w:tr w:rsidR="0039483D" w:rsidRPr="00EB11D3" w14:paraId="210B6335" w14:textId="77777777" w:rsidTr="00580FDF">
        <w:trPr>
          <w:trHeight w:val="337"/>
        </w:trPr>
        <w:tc>
          <w:tcPr>
            <w:tcW w:w="239" w:type="pct"/>
            <w:tcBorders>
              <w:top w:val="single" w:sz="4" w:space="0" w:color="999999"/>
              <w:left w:val="single" w:sz="4" w:space="0" w:color="999999"/>
              <w:bottom w:val="single" w:sz="4" w:space="0" w:color="999999"/>
              <w:right w:val="single" w:sz="4" w:space="0" w:color="999999"/>
            </w:tcBorders>
          </w:tcPr>
          <w:p w14:paraId="63EDBFA1" w14:textId="77777777" w:rsidR="002537CE" w:rsidRPr="00EB11D3" w:rsidRDefault="002537CE" w:rsidP="00D42354">
            <w:pPr>
              <w:spacing w:after="0" w:line="240" w:lineRule="auto"/>
              <w:rPr>
                <w:rFonts w:eastAsia="Times New Roman"/>
                <w:szCs w:val="24"/>
              </w:rPr>
            </w:pPr>
          </w:p>
        </w:tc>
        <w:tc>
          <w:tcPr>
            <w:tcW w:w="3629" w:type="pct"/>
            <w:tcBorders>
              <w:top w:val="single" w:sz="4" w:space="0" w:color="999999"/>
              <w:left w:val="single" w:sz="4" w:space="0" w:color="999999"/>
              <w:bottom w:val="single" w:sz="4" w:space="0" w:color="999999"/>
              <w:right w:val="single" w:sz="4" w:space="0" w:color="999999"/>
            </w:tcBorders>
          </w:tcPr>
          <w:p w14:paraId="32DD6845" w14:textId="77777777" w:rsidR="002537CE" w:rsidRPr="00EB11D3" w:rsidRDefault="00632E5F" w:rsidP="00D42354">
            <w:pPr>
              <w:spacing w:after="0" w:line="240" w:lineRule="auto"/>
              <w:rPr>
                <w:rFonts w:eastAsia="Times New Roman"/>
                <w:b/>
                <w:bCs/>
                <w:szCs w:val="24"/>
              </w:rPr>
            </w:pPr>
            <w:r w:rsidRPr="00EB11D3">
              <w:rPr>
                <w:rFonts w:eastAsia="Times New Roman"/>
                <w:b/>
                <w:bCs/>
                <w:szCs w:val="24"/>
              </w:rPr>
              <w:t>The</w:t>
            </w:r>
            <w:r w:rsidR="002537CE" w:rsidRPr="00EB11D3">
              <w:rPr>
                <w:rFonts w:eastAsia="Times New Roman"/>
                <w:b/>
                <w:bCs/>
                <w:szCs w:val="24"/>
              </w:rPr>
              <w:t xml:space="preserve"> hospital;</w:t>
            </w:r>
          </w:p>
        </w:tc>
        <w:tc>
          <w:tcPr>
            <w:tcW w:w="228" w:type="pct"/>
            <w:tcBorders>
              <w:top w:val="single" w:sz="4" w:space="0" w:color="999999"/>
              <w:left w:val="single" w:sz="4" w:space="0" w:color="999999"/>
              <w:bottom w:val="single" w:sz="4" w:space="0" w:color="999999"/>
              <w:right w:val="single" w:sz="4" w:space="0" w:color="999999"/>
            </w:tcBorders>
          </w:tcPr>
          <w:p w14:paraId="72F5DE4E" w14:textId="77777777" w:rsidR="002537CE" w:rsidRPr="00EB11D3" w:rsidRDefault="002537CE" w:rsidP="00D42354">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5D5E3BDD" w14:textId="77777777" w:rsidR="002537CE" w:rsidRPr="00EB11D3" w:rsidRDefault="002537CE" w:rsidP="00D42354">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032B6BEC" w14:textId="77777777" w:rsidR="002537CE" w:rsidRPr="00EB11D3" w:rsidRDefault="002537CE" w:rsidP="00D42354">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33D80005" w14:textId="77777777" w:rsidR="002537CE" w:rsidRPr="00EB11D3" w:rsidRDefault="002537CE" w:rsidP="00D42354">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00859E02" w14:textId="77777777" w:rsidR="002537CE" w:rsidRPr="00EB11D3" w:rsidRDefault="002537CE" w:rsidP="00D42354">
            <w:pPr>
              <w:spacing w:after="0" w:line="240" w:lineRule="auto"/>
              <w:rPr>
                <w:rFonts w:eastAsia="Times New Roman"/>
                <w:szCs w:val="24"/>
              </w:rPr>
            </w:pPr>
          </w:p>
        </w:tc>
      </w:tr>
      <w:tr w:rsidR="0039483D" w:rsidRPr="00EB11D3" w14:paraId="4B265C60" w14:textId="77777777" w:rsidTr="00580FDF">
        <w:trPr>
          <w:trHeight w:val="260"/>
        </w:trPr>
        <w:tc>
          <w:tcPr>
            <w:tcW w:w="239" w:type="pct"/>
            <w:tcBorders>
              <w:top w:val="single" w:sz="4" w:space="0" w:color="999999"/>
              <w:left w:val="single" w:sz="4" w:space="0" w:color="999999"/>
              <w:bottom w:val="single" w:sz="4" w:space="0" w:color="999999"/>
              <w:right w:val="single" w:sz="4" w:space="0" w:color="999999"/>
            </w:tcBorders>
            <w:hideMark/>
          </w:tcPr>
          <w:p w14:paraId="4CE9AFBC" w14:textId="77777777" w:rsidR="00C21257" w:rsidRPr="00EB11D3" w:rsidRDefault="00C21257" w:rsidP="002537CE">
            <w:pPr>
              <w:spacing w:after="0" w:line="240" w:lineRule="auto"/>
              <w:rPr>
                <w:rFonts w:eastAsia="Times New Roman"/>
                <w:szCs w:val="24"/>
              </w:rPr>
            </w:pPr>
            <w:r w:rsidRPr="00EB11D3">
              <w:rPr>
                <w:rFonts w:eastAsia="Times New Roman"/>
                <w:szCs w:val="24"/>
              </w:rPr>
              <w:t>1</w:t>
            </w:r>
          </w:p>
        </w:tc>
        <w:tc>
          <w:tcPr>
            <w:tcW w:w="3629" w:type="pct"/>
            <w:tcBorders>
              <w:top w:val="single" w:sz="4" w:space="0" w:color="999999"/>
              <w:left w:val="single" w:sz="4" w:space="0" w:color="999999"/>
              <w:bottom w:val="single" w:sz="4" w:space="0" w:color="999999"/>
              <w:right w:val="single" w:sz="4" w:space="0" w:color="999999"/>
            </w:tcBorders>
            <w:hideMark/>
          </w:tcPr>
          <w:p w14:paraId="3C07AF94" w14:textId="77777777" w:rsidR="00C21257" w:rsidRPr="00EB11D3" w:rsidRDefault="002537CE" w:rsidP="002537CE">
            <w:pPr>
              <w:spacing w:after="0" w:line="240" w:lineRule="auto"/>
              <w:rPr>
                <w:rFonts w:eastAsia="Times New Roman"/>
                <w:szCs w:val="24"/>
              </w:rPr>
            </w:pPr>
            <w:r w:rsidRPr="00EB11D3">
              <w:rPr>
                <w:rFonts w:eastAsia="Times New Roman"/>
                <w:szCs w:val="24"/>
              </w:rPr>
              <w:t>R</w:t>
            </w:r>
            <w:r w:rsidR="00C21257" w:rsidRPr="00EB11D3">
              <w:rPr>
                <w:rFonts w:eastAsia="Times New Roman"/>
                <w:szCs w:val="24"/>
              </w:rPr>
              <w:t xml:space="preserve">egularly reviews service delivery protocol  </w:t>
            </w:r>
          </w:p>
        </w:tc>
        <w:tc>
          <w:tcPr>
            <w:tcW w:w="228" w:type="pct"/>
            <w:tcBorders>
              <w:top w:val="single" w:sz="4" w:space="0" w:color="999999"/>
              <w:left w:val="single" w:sz="4" w:space="0" w:color="999999"/>
              <w:bottom w:val="single" w:sz="4" w:space="0" w:color="999999"/>
              <w:right w:val="single" w:sz="4" w:space="0" w:color="999999"/>
            </w:tcBorders>
          </w:tcPr>
          <w:p w14:paraId="0DE78EB2" w14:textId="77777777" w:rsidR="00C21257" w:rsidRPr="00EB11D3" w:rsidRDefault="00C21257" w:rsidP="002537CE">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0759F28C" w14:textId="77777777" w:rsidR="00C21257" w:rsidRPr="00EB11D3" w:rsidRDefault="00C21257" w:rsidP="002537CE">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20BA9AF6" w14:textId="77777777" w:rsidR="00C21257" w:rsidRPr="00EB11D3" w:rsidRDefault="00C21257" w:rsidP="002537CE">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31D78864" w14:textId="77777777" w:rsidR="00C21257" w:rsidRPr="00EB11D3" w:rsidRDefault="00C21257" w:rsidP="002537CE">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34982092" w14:textId="77777777" w:rsidR="00C21257" w:rsidRPr="00EB11D3" w:rsidRDefault="00C21257" w:rsidP="002537CE">
            <w:pPr>
              <w:spacing w:after="0" w:line="240" w:lineRule="auto"/>
              <w:rPr>
                <w:rFonts w:eastAsia="Times New Roman"/>
                <w:szCs w:val="24"/>
              </w:rPr>
            </w:pPr>
          </w:p>
        </w:tc>
      </w:tr>
      <w:tr w:rsidR="0039483D" w:rsidRPr="00EB11D3" w14:paraId="4F9F0816" w14:textId="77777777" w:rsidTr="00580FDF">
        <w:trPr>
          <w:trHeight w:val="242"/>
        </w:trPr>
        <w:tc>
          <w:tcPr>
            <w:tcW w:w="239" w:type="pct"/>
            <w:tcBorders>
              <w:top w:val="single" w:sz="4" w:space="0" w:color="999999"/>
              <w:left w:val="single" w:sz="4" w:space="0" w:color="999999"/>
              <w:bottom w:val="single" w:sz="4" w:space="0" w:color="999999"/>
              <w:right w:val="single" w:sz="4" w:space="0" w:color="999999"/>
            </w:tcBorders>
            <w:hideMark/>
          </w:tcPr>
          <w:p w14:paraId="19B2B8D4" w14:textId="77777777" w:rsidR="00C21257" w:rsidRPr="00EB11D3" w:rsidRDefault="00C21257" w:rsidP="00052AD2">
            <w:pPr>
              <w:spacing w:after="0" w:line="240" w:lineRule="auto"/>
              <w:rPr>
                <w:rFonts w:eastAsia="Times New Roman"/>
                <w:szCs w:val="24"/>
              </w:rPr>
            </w:pPr>
            <w:r w:rsidRPr="00EB11D3">
              <w:rPr>
                <w:rFonts w:eastAsia="Times New Roman"/>
                <w:szCs w:val="24"/>
              </w:rPr>
              <w:t>2</w:t>
            </w:r>
          </w:p>
        </w:tc>
        <w:tc>
          <w:tcPr>
            <w:tcW w:w="3629" w:type="pct"/>
            <w:tcBorders>
              <w:top w:val="single" w:sz="4" w:space="0" w:color="999999"/>
              <w:left w:val="single" w:sz="4" w:space="0" w:color="999999"/>
              <w:bottom w:val="single" w:sz="4" w:space="0" w:color="999999"/>
              <w:right w:val="single" w:sz="4" w:space="0" w:color="999999"/>
            </w:tcBorders>
            <w:hideMark/>
          </w:tcPr>
          <w:p w14:paraId="78694A58" w14:textId="77777777" w:rsidR="00C21257" w:rsidRPr="00EB11D3" w:rsidRDefault="002537CE" w:rsidP="00052AD2">
            <w:pPr>
              <w:spacing w:after="0" w:line="240" w:lineRule="auto"/>
              <w:rPr>
                <w:rFonts w:eastAsia="Times New Roman"/>
                <w:szCs w:val="24"/>
              </w:rPr>
            </w:pPr>
            <w:r w:rsidRPr="00EB11D3">
              <w:rPr>
                <w:rFonts w:eastAsia="Times New Roman"/>
                <w:szCs w:val="24"/>
              </w:rPr>
              <w:t>E</w:t>
            </w:r>
            <w:r w:rsidR="00C21257" w:rsidRPr="00EB11D3">
              <w:rPr>
                <w:rFonts w:eastAsia="Times New Roman"/>
                <w:szCs w:val="24"/>
              </w:rPr>
              <w:t xml:space="preserve">nforces penalties on non-compliant professionals </w:t>
            </w:r>
          </w:p>
        </w:tc>
        <w:tc>
          <w:tcPr>
            <w:tcW w:w="228" w:type="pct"/>
            <w:tcBorders>
              <w:top w:val="single" w:sz="4" w:space="0" w:color="999999"/>
              <w:left w:val="single" w:sz="4" w:space="0" w:color="999999"/>
              <w:bottom w:val="single" w:sz="4" w:space="0" w:color="999999"/>
              <w:right w:val="single" w:sz="4" w:space="0" w:color="999999"/>
            </w:tcBorders>
          </w:tcPr>
          <w:p w14:paraId="7A560E0C" w14:textId="77777777" w:rsidR="00C21257" w:rsidRPr="00EB11D3" w:rsidRDefault="00C21257" w:rsidP="00052AD2">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5265DAC5" w14:textId="77777777" w:rsidR="00C21257" w:rsidRPr="00EB11D3" w:rsidRDefault="00C21257" w:rsidP="00052AD2">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28868D83" w14:textId="77777777" w:rsidR="00C21257" w:rsidRPr="00EB11D3" w:rsidRDefault="00C21257" w:rsidP="00052AD2">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4CEF9B2D" w14:textId="77777777" w:rsidR="00C21257" w:rsidRPr="00EB11D3" w:rsidRDefault="00C21257" w:rsidP="00052AD2">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1F20FD38" w14:textId="77777777" w:rsidR="00C21257" w:rsidRPr="00EB11D3" w:rsidRDefault="00C21257" w:rsidP="00052AD2">
            <w:pPr>
              <w:spacing w:after="0" w:line="240" w:lineRule="auto"/>
              <w:rPr>
                <w:rFonts w:eastAsia="Times New Roman"/>
                <w:szCs w:val="24"/>
              </w:rPr>
            </w:pPr>
          </w:p>
        </w:tc>
      </w:tr>
      <w:tr w:rsidR="0039483D" w:rsidRPr="00EB11D3" w14:paraId="1BF08AE3" w14:textId="77777777" w:rsidTr="00580FDF">
        <w:trPr>
          <w:trHeight w:val="343"/>
        </w:trPr>
        <w:tc>
          <w:tcPr>
            <w:tcW w:w="239" w:type="pct"/>
            <w:tcBorders>
              <w:top w:val="single" w:sz="4" w:space="0" w:color="999999"/>
              <w:left w:val="single" w:sz="4" w:space="0" w:color="999999"/>
              <w:bottom w:val="single" w:sz="4" w:space="0" w:color="999999"/>
              <w:right w:val="single" w:sz="4" w:space="0" w:color="999999"/>
            </w:tcBorders>
            <w:hideMark/>
          </w:tcPr>
          <w:p w14:paraId="23061D6B" w14:textId="77777777" w:rsidR="00C21257" w:rsidRPr="00EB11D3" w:rsidRDefault="00C21257" w:rsidP="00052AD2">
            <w:pPr>
              <w:spacing w:after="0" w:line="240" w:lineRule="auto"/>
              <w:rPr>
                <w:rFonts w:eastAsia="Times New Roman"/>
                <w:szCs w:val="24"/>
              </w:rPr>
            </w:pPr>
            <w:r w:rsidRPr="00EB11D3">
              <w:rPr>
                <w:rFonts w:eastAsia="Times New Roman"/>
                <w:szCs w:val="24"/>
              </w:rPr>
              <w:t>3</w:t>
            </w:r>
          </w:p>
        </w:tc>
        <w:tc>
          <w:tcPr>
            <w:tcW w:w="3629" w:type="pct"/>
            <w:tcBorders>
              <w:top w:val="single" w:sz="4" w:space="0" w:color="999999"/>
              <w:left w:val="single" w:sz="4" w:space="0" w:color="999999"/>
              <w:bottom w:val="single" w:sz="4" w:space="0" w:color="999999"/>
              <w:right w:val="single" w:sz="4" w:space="0" w:color="999999"/>
            </w:tcBorders>
            <w:hideMark/>
          </w:tcPr>
          <w:p w14:paraId="3CA35B27" w14:textId="77777777" w:rsidR="00C21257" w:rsidRPr="00EB11D3" w:rsidRDefault="002537CE" w:rsidP="00052AD2">
            <w:pPr>
              <w:spacing w:after="0" w:line="240" w:lineRule="auto"/>
              <w:rPr>
                <w:rFonts w:eastAsia="Times New Roman"/>
                <w:szCs w:val="24"/>
              </w:rPr>
            </w:pPr>
            <w:r w:rsidRPr="00EB11D3">
              <w:rPr>
                <w:rFonts w:eastAsia="Times New Roman"/>
                <w:szCs w:val="24"/>
              </w:rPr>
              <w:t>E</w:t>
            </w:r>
            <w:r w:rsidR="00C21257" w:rsidRPr="00EB11D3">
              <w:rPr>
                <w:rFonts w:eastAsia="Times New Roman"/>
                <w:szCs w:val="24"/>
              </w:rPr>
              <w:t>ffectively standardizes service delivery protocols</w:t>
            </w:r>
          </w:p>
        </w:tc>
        <w:tc>
          <w:tcPr>
            <w:tcW w:w="228" w:type="pct"/>
            <w:tcBorders>
              <w:top w:val="single" w:sz="4" w:space="0" w:color="999999"/>
              <w:left w:val="single" w:sz="4" w:space="0" w:color="999999"/>
              <w:bottom w:val="single" w:sz="4" w:space="0" w:color="999999"/>
              <w:right w:val="single" w:sz="4" w:space="0" w:color="999999"/>
            </w:tcBorders>
          </w:tcPr>
          <w:p w14:paraId="61ECB35E" w14:textId="77777777" w:rsidR="00C21257" w:rsidRPr="00EB11D3" w:rsidRDefault="00C21257" w:rsidP="00052AD2">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50AA12EF" w14:textId="77777777" w:rsidR="00C21257" w:rsidRPr="00EB11D3" w:rsidRDefault="00C21257" w:rsidP="00052AD2">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27A54958" w14:textId="77777777" w:rsidR="00C21257" w:rsidRPr="00EB11D3" w:rsidRDefault="00C21257" w:rsidP="00052AD2">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0AFB8BBD" w14:textId="77777777" w:rsidR="00C21257" w:rsidRPr="00EB11D3" w:rsidRDefault="00C21257" w:rsidP="00052AD2">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6F2C922C" w14:textId="77777777" w:rsidR="00C21257" w:rsidRPr="00EB11D3" w:rsidRDefault="00C21257" w:rsidP="00052AD2">
            <w:pPr>
              <w:spacing w:after="0" w:line="240" w:lineRule="auto"/>
              <w:rPr>
                <w:rFonts w:eastAsia="Times New Roman"/>
                <w:szCs w:val="24"/>
              </w:rPr>
            </w:pPr>
          </w:p>
        </w:tc>
      </w:tr>
      <w:tr w:rsidR="0039483D" w:rsidRPr="00EB11D3" w14:paraId="230E197D" w14:textId="77777777" w:rsidTr="00580FDF">
        <w:trPr>
          <w:trHeight w:val="296"/>
        </w:trPr>
        <w:tc>
          <w:tcPr>
            <w:tcW w:w="239" w:type="pct"/>
            <w:tcBorders>
              <w:top w:val="single" w:sz="4" w:space="0" w:color="999999"/>
              <w:left w:val="single" w:sz="4" w:space="0" w:color="999999"/>
              <w:bottom w:val="single" w:sz="4" w:space="0" w:color="999999"/>
              <w:right w:val="single" w:sz="4" w:space="0" w:color="999999"/>
            </w:tcBorders>
            <w:hideMark/>
          </w:tcPr>
          <w:p w14:paraId="760CE554" w14:textId="77777777" w:rsidR="00C21257" w:rsidRPr="00EB11D3" w:rsidRDefault="00C21257" w:rsidP="00052AD2">
            <w:pPr>
              <w:spacing w:after="0" w:line="240" w:lineRule="auto"/>
              <w:rPr>
                <w:rFonts w:eastAsia="Times New Roman"/>
                <w:szCs w:val="24"/>
              </w:rPr>
            </w:pPr>
            <w:r w:rsidRPr="00EB11D3">
              <w:rPr>
                <w:rFonts w:eastAsia="Times New Roman"/>
                <w:szCs w:val="24"/>
              </w:rPr>
              <w:t>4</w:t>
            </w:r>
          </w:p>
        </w:tc>
        <w:tc>
          <w:tcPr>
            <w:tcW w:w="3629" w:type="pct"/>
            <w:tcBorders>
              <w:top w:val="single" w:sz="4" w:space="0" w:color="999999"/>
              <w:left w:val="single" w:sz="4" w:space="0" w:color="999999"/>
              <w:bottom w:val="single" w:sz="4" w:space="0" w:color="999999"/>
              <w:right w:val="single" w:sz="4" w:space="0" w:color="999999"/>
            </w:tcBorders>
            <w:hideMark/>
          </w:tcPr>
          <w:p w14:paraId="67C6B090" w14:textId="77777777" w:rsidR="00C21257" w:rsidRPr="00EB11D3" w:rsidRDefault="002537CE" w:rsidP="00052AD2">
            <w:pPr>
              <w:spacing w:after="0" w:line="240" w:lineRule="auto"/>
              <w:rPr>
                <w:rFonts w:eastAsia="Times New Roman"/>
                <w:szCs w:val="24"/>
              </w:rPr>
            </w:pPr>
            <w:r w:rsidRPr="00EB11D3">
              <w:rPr>
                <w:rFonts w:eastAsia="Times New Roman"/>
                <w:szCs w:val="24"/>
              </w:rPr>
              <w:t>O</w:t>
            </w:r>
            <w:r w:rsidR="00C21257" w:rsidRPr="00EB11D3">
              <w:rPr>
                <w:rFonts w:eastAsia="Times New Roman"/>
                <w:szCs w:val="24"/>
              </w:rPr>
              <w:t xml:space="preserve">ffers professional upgrade training programs to its professionals </w:t>
            </w:r>
          </w:p>
        </w:tc>
        <w:tc>
          <w:tcPr>
            <w:tcW w:w="228" w:type="pct"/>
            <w:tcBorders>
              <w:top w:val="single" w:sz="4" w:space="0" w:color="999999"/>
              <w:left w:val="single" w:sz="4" w:space="0" w:color="999999"/>
              <w:bottom w:val="single" w:sz="4" w:space="0" w:color="999999"/>
              <w:right w:val="single" w:sz="4" w:space="0" w:color="999999"/>
            </w:tcBorders>
          </w:tcPr>
          <w:p w14:paraId="4C70777A" w14:textId="77777777" w:rsidR="00C21257" w:rsidRPr="00EB11D3" w:rsidRDefault="00C21257" w:rsidP="00052AD2">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11A46421" w14:textId="77777777" w:rsidR="00C21257" w:rsidRPr="00EB11D3" w:rsidRDefault="00C21257" w:rsidP="00052AD2">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6AA21389" w14:textId="77777777" w:rsidR="00C21257" w:rsidRPr="00EB11D3" w:rsidRDefault="00C21257" w:rsidP="00052AD2">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66D46EE5" w14:textId="77777777" w:rsidR="00C21257" w:rsidRPr="00EB11D3" w:rsidRDefault="00C21257" w:rsidP="00052AD2">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7EAF3841" w14:textId="77777777" w:rsidR="00C21257" w:rsidRPr="00EB11D3" w:rsidRDefault="00C21257" w:rsidP="00052AD2">
            <w:pPr>
              <w:spacing w:after="0" w:line="240" w:lineRule="auto"/>
              <w:rPr>
                <w:rFonts w:eastAsia="Times New Roman"/>
                <w:szCs w:val="24"/>
              </w:rPr>
            </w:pPr>
          </w:p>
        </w:tc>
      </w:tr>
      <w:tr w:rsidR="0039483D" w:rsidRPr="00EB11D3" w14:paraId="6ABFD108" w14:textId="77777777" w:rsidTr="00580FDF">
        <w:trPr>
          <w:trHeight w:val="243"/>
        </w:trPr>
        <w:tc>
          <w:tcPr>
            <w:tcW w:w="239" w:type="pct"/>
            <w:tcBorders>
              <w:top w:val="single" w:sz="4" w:space="0" w:color="999999"/>
              <w:left w:val="single" w:sz="4" w:space="0" w:color="999999"/>
              <w:bottom w:val="single" w:sz="4" w:space="0" w:color="999999"/>
              <w:right w:val="single" w:sz="4" w:space="0" w:color="999999"/>
            </w:tcBorders>
            <w:hideMark/>
          </w:tcPr>
          <w:p w14:paraId="6EF49E42" w14:textId="77777777" w:rsidR="00C21257" w:rsidRPr="00EB11D3" w:rsidRDefault="00C21257" w:rsidP="00052AD2">
            <w:pPr>
              <w:spacing w:after="0" w:line="240" w:lineRule="auto"/>
              <w:rPr>
                <w:rFonts w:eastAsia="Times New Roman"/>
                <w:szCs w:val="24"/>
              </w:rPr>
            </w:pPr>
            <w:r w:rsidRPr="00EB11D3">
              <w:rPr>
                <w:rFonts w:eastAsia="Times New Roman"/>
                <w:szCs w:val="24"/>
              </w:rPr>
              <w:t>5</w:t>
            </w:r>
          </w:p>
        </w:tc>
        <w:tc>
          <w:tcPr>
            <w:tcW w:w="3629" w:type="pct"/>
            <w:tcBorders>
              <w:top w:val="single" w:sz="4" w:space="0" w:color="999999"/>
              <w:left w:val="single" w:sz="4" w:space="0" w:color="999999"/>
              <w:bottom w:val="single" w:sz="4" w:space="0" w:color="999999"/>
              <w:right w:val="single" w:sz="4" w:space="0" w:color="999999"/>
            </w:tcBorders>
            <w:hideMark/>
          </w:tcPr>
          <w:p w14:paraId="39683F9D" w14:textId="77777777" w:rsidR="00C21257" w:rsidRPr="00EB11D3" w:rsidRDefault="002537CE" w:rsidP="00052AD2">
            <w:pPr>
              <w:spacing w:after="0" w:line="240" w:lineRule="auto"/>
              <w:rPr>
                <w:rFonts w:eastAsia="Times New Roman"/>
                <w:szCs w:val="24"/>
              </w:rPr>
            </w:pPr>
            <w:r w:rsidRPr="00EB11D3">
              <w:rPr>
                <w:rFonts w:eastAsia="Times New Roman"/>
                <w:szCs w:val="24"/>
              </w:rPr>
              <w:t>U</w:t>
            </w:r>
            <w:r w:rsidR="00C21257" w:rsidRPr="00EB11D3">
              <w:rPr>
                <w:rFonts w:eastAsia="Times New Roman"/>
                <w:szCs w:val="24"/>
              </w:rPr>
              <w:t>ndertakes operational service audit on time</w:t>
            </w:r>
          </w:p>
        </w:tc>
        <w:tc>
          <w:tcPr>
            <w:tcW w:w="228" w:type="pct"/>
            <w:tcBorders>
              <w:top w:val="single" w:sz="4" w:space="0" w:color="999999"/>
              <w:left w:val="single" w:sz="4" w:space="0" w:color="999999"/>
              <w:bottom w:val="single" w:sz="4" w:space="0" w:color="999999"/>
              <w:right w:val="single" w:sz="4" w:space="0" w:color="999999"/>
            </w:tcBorders>
          </w:tcPr>
          <w:p w14:paraId="6F5D4A9D" w14:textId="77777777" w:rsidR="00C21257" w:rsidRPr="00EB11D3" w:rsidRDefault="00C21257" w:rsidP="00052AD2">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69046E68" w14:textId="77777777" w:rsidR="00C21257" w:rsidRPr="00EB11D3" w:rsidRDefault="00C21257" w:rsidP="00052AD2">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6A0C71E8" w14:textId="77777777" w:rsidR="00C21257" w:rsidRPr="00EB11D3" w:rsidRDefault="00C21257" w:rsidP="00052AD2">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7A7AC139" w14:textId="77777777" w:rsidR="00C21257" w:rsidRPr="00EB11D3" w:rsidRDefault="00C21257" w:rsidP="00052AD2">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52538FC8" w14:textId="77777777" w:rsidR="00C21257" w:rsidRPr="00EB11D3" w:rsidRDefault="00C21257" w:rsidP="00052AD2">
            <w:pPr>
              <w:spacing w:after="0" w:line="240" w:lineRule="auto"/>
              <w:rPr>
                <w:rFonts w:eastAsia="Times New Roman"/>
                <w:szCs w:val="24"/>
              </w:rPr>
            </w:pPr>
          </w:p>
        </w:tc>
      </w:tr>
      <w:tr w:rsidR="0039483D" w:rsidRPr="00EB11D3" w14:paraId="149EAE5E" w14:textId="77777777" w:rsidTr="00580FDF">
        <w:trPr>
          <w:trHeight w:val="243"/>
        </w:trPr>
        <w:tc>
          <w:tcPr>
            <w:tcW w:w="239" w:type="pct"/>
            <w:tcBorders>
              <w:top w:val="single" w:sz="4" w:space="0" w:color="999999"/>
              <w:left w:val="single" w:sz="4" w:space="0" w:color="999999"/>
              <w:bottom w:val="single" w:sz="4" w:space="0" w:color="999999"/>
              <w:right w:val="single" w:sz="4" w:space="0" w:color="999999"/>
            </w:tcBorders>
            <w:hideMark/>
          </w:tcPr>
          <w:p w14:paraId="5BC316E4" w14:textId="77777777" w:rsidR="00C21257" w:rsidRPr="00EB11D3" w:rsidRDefault="00C21257" w:rsidP="002537CE">
            <w:pPr>
              <w:spacing w:after="0" w:line="240" w:lineRule="auto"/>
              <w:rPr>
                <w:rFonts w:eastAsia="Times New Roman"/>
                <w:szCs w:val="24"/>
              </w:rPr>
            </w:pPr>
            <w:r w:rsidRPr="00EB11D3">
              <w:rPr>
                <w:rFonts w:eastAsia="Times New Roman"/>
                <w:szCs w:val="24"/>
              </w:rPr>
              <w:t>6</w:t>
            </w:r>
          </w:p>
        </w:tc>
        <w:tc>
          <w:tcPr>
            <w:tcW w:w="3629" w:type="pct"/>
            <w:tcBorders>
              <w:top w:val="single" w:sz="4" w:space="0" w:color="999999"/>
              <w:left w:val="single" w:sz="4" w:space="0" w:color="999999"/>
              <w:bottom w:val="single" w:sz="4" w:space="0" w:color="999999"/>
              <w:right w:val="single" w:sz="4" w:space="0" w:color="999999"/>
            </w:tcBorders>
            <w:hideMark/>
          </w:tcPr>
          <w:p w14:paraId="665213C0" w14:textId="77777777" w:rsidR="00C21257" w:rsidRPr="00EB11D3" w:rsidRDefault="002537CE" w:rsidP="002537CE">
            <w:pPr>
              <w:spacing w:after="0" w:line="240" w:lineRule="auto"/>
              <w:rPr>
                <w:rFonts w:eastAsia="Times New Roman"/>
                <w:szCs w:val="24"/>
              </w:rPr>
            </w:pPr>
            <w:r w:rsidRPr="00EB11D3">
              <w:rPr>
                <w:rFonts w:eastAsia="Times New Roman"/>
                <w:szCs w:val="24"/>
              </w:rPr>
              <w:t>M</w:t>
            </w:r>
            <w:r w:rsidR="00C21257" w:rsidRPr="00EB11D3">
              <w:rPr>
                <w:rFonts w:eastAsia="Times New Roman"/>
                <w:szCs w:val="24"/>
              </w:rPr>
              <w:t>anagement problem solving strategies are highly informed by the professional standards.</w:t>
            </w:r>
          </w:p>
        </w:tc>
        <w:tc>
          <w:tcPr>
            <w:tcW w:w="228" w:type="pct"/>
            <w:tcBorders>
              <w:top w:val="single" w:sz="4" w:space="0" w:color="999999"/>
              <w:left w:val="single" w:sz="4" w:space="0" w:color="999999"/>
              <w:bottom w:val="single" w:sz="4" w:space="0" w:color="999999"/>
              <w:right w:val="single" w:sz="4" w:space="0" w:color="999999"/>
            </w:tcBorders>
          </w:tcPr>
          <w:p w14:paraId="75CC8E4E" w14:textId="77777777" w:rsidR="00C21257" w:rsidRPr="00EB11D3" w:rsidRDefault="00C21257" w:rsidP="002537CE">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437C3335" w14:textId="77777777" w:rsidR="00C21257" w:rsidRPr="00EB11D3" w:rsidRDefault="00C21257" w:rsidP="002537CE">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0EC54F40" w14:textId="77777777" w:rsidR="00C21257" w:rsidRPr="00EB11D3" w:rsidRDefault="00C21257" w:rsidP="002537CE">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427DF94E" w14:textId="77777777" w:rsidR="00C21257" w:rsidRPr="00EB11D3" w:rsidRDefault="00C21257" w:rsidP="002537CE">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75D201DF" w14:textId="77777777" w:rsidR="00C21257" w:rsidRPr="00EB11D3" w:rsidRDefault="00C21257" w:rsidP="002537CE">
            <w:pPr>
              <w:spacing w:after="0" w:line="240" w:lineRule="auto"/>
              <w:rPr>
                <w:rFonts w:eastAsia="Times New Roman"/>
                <w:szCs w:val="24"/>
              </w:rPr>
            </w:pPr>
          </w:p>
        </w:tc>
      </w:tr>
      <w:tr w:rsidR="00B60CD7" w:rsidRPr="00EB11D3" w14:paraId="4DC266C3" w14:textId="77777777" w:rsidTr="00580FDF">
        <w:trPr>
          <w:trHeight w:val="243"/>
        </w:trPr>
        <w:tc>
          <w:tcPr>
            <w:tcW w:w="239" w:type="pct"/>
            <w:tcBorders>
              <w:top w:val="single" w:sz="4" w:space="0" w:color="999999"/>
              <w:left w:val="single" w:sz="4" w:space="0" w:color="999999"/>
              <w:bottom w:val="single" w:sz="4" w:space="0" w:color="999999"/>
              <w:right w:val="single" w:sz="4" w:space="0" w:color="999999"/>
            </w:tcBorders>
            <w:hideMark/>
          </w:tcPr>
          <w:p w14:paraId="26940446" w14:textId="77777777" w:rsidR="00C21257" w:rsidRPr="00EB11D3" w:rsidRDefault="00C21257" w:rsidP="00052AD2">
            <w:pPr>
              <w:spacing w:after="0" w:line="240" w:lineRule="auto"/>
              <w:rPr>
                <w:rFonts w:eastAsia="Times New Roman"/>
                <w:szCs w:val="24"/>
              </w:rPr>
            </w:pPr>
            <w:r w:rsidRPr="00EB11D3">
              <w:rPr>
                <w:rFonts w:eastAsia="Times New Roman"/>
                <w:szCs w:val="24"/>
              </w:rPr>
              <w:t>7</w:t>
            </w:r>
          </w:p>
        </w:tc>
        <w:tc>
          <w:tcPr>
            <w:tcW w:w="3629" w:type="pct"/>
            <w:tcBorders>
              <w:top w:val="single" w:sz="4" w:space="0" w:color="999999"/>
              <w:left w:val="single" w:sz="4" w:space="0" w:color="999999"/>
              <w:bottom w:val="single" w:sz="4" w:space="0" w:color="999999"/>
              <w:right w:val="single" w:sz="4" w:space="0" w:color="999999"/>
            </w:tcBorders>
            <w:hideMark/>
          </w:tcPr>
          <w:p w14:paraId="1774A6C8" w14:textId="77777777" w:rsidR="00C21257" w:rsidRPr="00EB11D3" w:rsidRDefault="00C21257" w:rsidP="00052AD2">
            <w:pPr>
              <w:spacing w:after="0" w:line="240" w:lineRule="auto"/>
              <w:rPr>
                <w:rFonts w:eastAsia="Times New Roman"/>
                <w:szCs w:val="24"/>
              </w:rPr>
            </w:pPr>
            <w:r w:rsidRPr="00EB11D3">
              <w:rPr>
                <w:rFonts w:eastAsia="Times New Roman"/>
                <w:szCs w:val="24"/>
              </w:rPr>
              <w:t>The hospital offers appropriate opportunities to support personal professional growth</w:t>
            </w:r>
          </w:p>
        </w:tc>
        <w:tc>
          <w:tcPr>
            <w:tcW w:w="228" w:type="pct"/>
            <w:tcBorders>
              <w:top w:val="single" w:sz="4" w:space="0" w:color="999999"/>
              <w:left w:val="single" w:sz="4" w:space="0" w:color="999999"/>
              <w:bottom w:val="single" w:sz="4" w:space="0" w:color="999999"/>
              <w:right w:val="single" w:sz="4" w:space="0" w:color="999999"/>
            </w:tcBorders>
          </w:tcPr>
          <w:p w14:paraId="712F06B8" w14:textId="77777777" w:rsidR="00C21257" w:rsidRPr="00EB11D3" w:rsidRDefault="00C21257" w:rsidP="00052AD2">
            <w:pPr>
              <w:spacing w:after="0" w:line="240" w:lineRule="auto"/>
              <w:rPr>
                <w:rFonts w:eastAsia="Times New Roman"/>
                <w:szCs w:val="24"/>
              </w:rPr>
            </w:pPr>
          </w:p>
        </w:tc>
        <w:tc>
          <w:tcPr>
            <w:tcW w:w="227" w:type="pct"/>
            <w:tcBorders>
              <w:top w:val="single" w:sz="4" w:space="0" w:color="999999"/>
              <w:left w:val="single" w:sz="4" w:space="0" w:color="999999"/>
              <w:bottom w:val="single" w:sz="4" w:space="0" w:color="999999"/>
              <w:right w:val="single" w:sz="4" w:space="0" w:color="999999"/>
            </w:tcBorders>
          </w:tcPr>
          <w:p w14:paraId="3421A64C" w14:textId="77777777" w:rsidR="00C21257" w:rsidRPr="00EB11D3" w:rsidRDefault="00C21257" w:rsidP="00052AD2">
            <w:pPr>
              <w:spacing w:after="0" w:line="240" w:lineRule="auto"/>
              <w:rPr>
                <w:rFonts w:eastAsia="Times New Roman"/>
                <w:szCs w:val="24"/>
              </w:rPr>
            </w:pPr>
          </w:p>
        </w:tc>
        <w:tc>
          <w:tcPr>
            <w:tcW w:w="235" w:type="pct"/>
            <w:tcBorders>
              <w:top w:val="single" w:sz="4" w:space="0" w:color="999999"/>
              <w:left w:val="single" w:sz="4" w:space="0" w:color="999999"/>
              <w:bottom w:val="single" w:sz="4" w:space="0" w:color="999999"/>
              <w:right w:val="single" w:sz="4" w:space="0" w:color="999999"/>
            </w:tcBorders>
          </w:tcPr>
          <w:p w14:paraId="09F58934" w14:textId="77777777" w:rsidR="00C21257" w:rsidRPr="00EB11D3" w:rsidRDefault="00C21257" w:rsidP="00052AD2">
            <w:pPr>
              <w:spacing w:after="0" w:line="240" w:lineRule="auto"/>
              <w:rPr>
                <w:rFonts w:eastAsia="Times New Roman"/>
                <w:szCs w:val="24"/>
              </w:rPr>
            </w:pPr>
          </w:p>
        </w:tc>
        <w:tc>
          <w:tcPr>
            <w:tcW w:w="224" w:type="pct"/>
            <w:tcBorders>
              <w:top w:val="single" w:sz="4" w:space="0" w:color="999999"/>
              <w:left w:val="single" w:sz="4" w:space="0" w:color="999999"/>
              <w:bottom w:val="single" w:sz="4" w:space="0" w:color="999999"/>
              <w:right w:val="single" w:sz="4" w:space="0" w:color="999999"/>
            </w:tcBorders>
          </w:tcPr>
          <w:p w14:paraId="2B9D5055" w14:textId="77777777" w:rsidR="00C21257" w:rsidRPr="00EB11D3" w:rsidRDefault="00C21257" w:rsidP="00052AD2">
            <w:pPr>
              <w:spacing w:after="0" w:line="240" w:lineRule="auto"/>
              <w:rPr>
                <w:rFonts w:eastAsia="Times New Roman"/>
                <w:szCs w:val="24"/>
              </w:rPr>
            </w:pPr>
          </w:p>
        </w:tc>
        <w:tc>
          <w:tcPr>
            <w:tcW w:w="219" w:type="pct"/>
            <w:tcBorders>
              <w:top w:val="single" w:sz="4" w:space="0" w:color="999999"/>
              <w:left w:val="single" w:sz="4" w:space="0" w:color="999999"/>
              <w:bottom w:val="single" w:sz="4" w:space="0" w:color="999999"/>
              <w:right w:val="single" w:sz="4" w:space="0" w:color="999999"/>
            </w:tcBorders>
          </w:tcPr>
          <w:p w14:paraId="4D1F8872" w14:textId="77777777" w:rsidR="00C21257" w:rsidRPr="00EB11D3" w:rsidRDefault="00C21257" w:rsidP="00052AD2">
            <w:pPr>
              <w:spacing w:after="0" w:line="240" w:lineRule="auto"/>
              <w:rPr>
                <w:rFonts w:eastAsia="Times New Roman"/>
                <w:szCs w:val="24"/>
              </w:rPr>
            </w:pPr>
          </w:p>
        </w:tc>
      </w:tr>
    </w:tbl>
    <w:p w14:paraId="35ED2F84" w14:textId="77777777" w:rsidR="00C21257" w:rsidRPr="00EB11D3" w:rsidRDefault="00C21257" w:rsidP="00C21257">
      <w:pPr>
        <w:spacing w:after="0" w:line="360" w:lineRule="auto"/>
        <w:rPr>
          <w:rFonts w:eastAsia="Times New Roman"/>
          <w:szCs w:val="24"/>
        </w:rPr>
      </w:pPr>
    </w:p>
    <w:p w14:paraId="6744AB46" w14:textId="77777777" w:rsidR="00C21257" w:rsidRPr="00EB11D3" w:rsidRDefault="00C21257" w:rsidP="00B46BC4">
      <w:pPr>
        <w:spacing w:after="0" w:line="240" w:lineRule="auto"/>
        <w:jc w:val="left"/>
        <w:rPr>
          <w:rFonts w:eastAsia="Times New Roman"/>
          <w:b/>
          <w:bCs/>
          <w:szCs w:val="24"/>
          <w:lang w:val="en-GB"/>
        </w:rPr>
      </w:pPr>
      <w:r w:rsidRPr="00EB11D3">
        <w:rPr>
          <w:rFonts w:eastAsia="Times New Roman"/>
          <w:b/>
          <w:bCs/>
          <w:szCs w:val="24"/>
          <w:lang w:val="en-GB"/>
        </w:rPr>
        <w:t xml:space="preserve">SECTION E: ORGANISATIONAL PERFORMANCE  </w:t>
      </w:r>
    </w:p>
    <w:p w14:paraId="506B91D7" w14:textId="77777777" w:rsidR="004B7ED1" w:rsidRPr="00EB11D3" w:rsidRDefault="004B7ED1" w:rsidP="00052AD2">
      <w:pPr>
        <w:pStyle w:val="ListParagraph"/>
        <w:spacing w:after="0" w:line="360" w:lineRule="auto"/>
        <w:rPr>
          <w:rFonts w:eastAsia="Times New Roman"/>
          <w:szCs w:val="24"/>
        </w:rPr>
      </w:pPr>
    </w:p>
    <w:p w14:paraId="49C6D725" w14:textId="77777777" w:rsidR="00C21257" w:rsidRPr="00EB11D3" w:rsidRDefault="00C21257" w:rsidP="005741E2">
      <w:pPr>
        <w:pStyle w:val="ListParagraph"/>
        <w:numPr>
          <w:ilvl w:val="0"/>
          <w:numId w:val="2"/>
        </w:numPr>
        <w:spacing w:line="360" w:lineRule="auto"/>
        <w:rPr>
          <w:rFonts w:eastAsia="Times New Roman"/>
          <w:szCs w:val="24"/>
        </w:rPr>
      </w:pPr>
      <w:r w:rsidRPr="00EB11D3">
        <w:rPr>
          <w:rFonts w:eastAsia="Times New Roman"/>
          <w:szCs w:val="24"/>
        </w:rPr>
        <w:t xml:space="preserve">Please indicate the extent to which you agree with each of the following statements using a scale of </w:t>
      </w:r>
      <w:r w:rsidRPr="00EB11D3">
        <w:rPr>
          <w:rFonts w:eastAsia="Times New Roman"/>
          <w:b/>
          <w:szCs w:val="24"/>
        </w:rPr>
        <w:t xml:space="preserve">1=Strongly Disagree, </w:t>
      </w:r>
      <w:r w:rsidR="00D02CAC" w:rsidRPr="00EB11D3">
        <w:rPr>
          <w:rFonts w:eastAsia="Times New Roman"/>
          <w:b/>
          <w:szCs w:val="24"/>
        </w:rPr>
        <w:t>Disagree</w:t>
      </w:r>
      <w:r w:rsidRPr="00EB11D3">
        <w:rPr>
          <w:rFonts w:eastAsia="Times New Roman"/>
          <w:b/>
          <w:szCs w:val="24"/>
        </w:rPr>
        <w:t>=2, Neutral=3, Agree=4, Strongly Agree=5</w:t>
      </w:r>
      <w:r w:rsidRPr="00EB11D3">
        <w:rPr>
          <w:rFonts w:eastAsia="Times New Roman"/>
          <w:szCs w:val="24"/>
        </w:rPr>
        <w:t xml:space="preserve">, in relation to your </w:t>
      </w:r>
      <w:r w:rsidRPr="00EB11D3">
        <w:rPr>
          <w:rFonts w:eastAsia="Times New Roman"/>
          <w:bCs/>
          <w:szCs w:val="24"/>
        </w:rPr>
        <w:t xml:space="preserve">facility.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6"/>
        <w:gridCol w:w="7059"/>
        <w:gridCol w:w="417"/>
        <w:gridCol w:w="419"/>
        <w:gridCol w:w="381"/>
        <w:gridCol w:w="337"/>
        <w:gridCol w:w="381"/>
      </w:tblGrid>
      <w:tr w:rsidR="0039483D" w:rsidRPr="00EB11D3" w14:paraId="727CFB51" w14:textId="77777777" w:rsidTr="00D02CAC">
        <w:trPr>
          <w:trHeight w:val="287"/>
        </w:trPr>
        <w:tc>
          <w:tcPr>
            <w:tcW w:w="190" w:type="pct"/>
            <w:tcBorders>
              <w:top w:val="single" w:sz="4" w:space="0" w:color="auto"/>
              <w:left w:val="single" w:sz="4" w:space="0" w:color="auto"/>
              <w:bottom w:val="single" w:sz="4" w:space="0" w:color="auto"/>
              <w:right w:val="single" w:sz="4" w:space="0" w:color="auto"/>
            </w:tcBorders>
            <w:hideMark/>
          </w:tcPr>
          <w:p w14:paraId="6C3891D0" w14:textId="77777777" w:rsidR="00C21257" w:rsidRPr="00EB11D3" w:rsidRDefault="00C21257" w:rsidP="00052AD2">
            <w:pPr>
              <w:spacing w:after="0" w:line="240" w:lineRule="auto"/>
              <w:rPr>
                <w:rFonts w:eastAsia="Times New Roman"/>
                <w:b/>
                <w:bCs/>
                <w:szCs w:val="24"/>
              </w:rPr>
            </w:pPr>
          </w:p>
        </w:tc>
        <w:tc>
          <w:tcPr>
            <w:tcW w:w="3775" w:type="pct"/>
            <w:tcBorders>
              <w:top w:val="single" w:sz="4" w:space="0" w:color="auto"/>
              <w:left w:val="single" w:sz="4" w:space="0" w:color="auto"/>
              <w:bottom w:val="single" w:sz="4" w:space="0" w:color="auto"/>
              <w:right w:val="single" w:sz="4" w:space="0" w:color="auto"/>
            </w:tcBorders>
            <w:hideMark/>
          </w:tcPr>
          <w:p w14:paraId="513EBD91"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Statements</w:t>
            </w:r>
          </w:p>
        </w:tc>
        <w:tc>
          <w:tcPr>
            <w:tcW w:w="223" w:type="pct"/>
            <w:tcBorders>
              <w:top w:val="single" w:sz="4" w:space="0" w:color="auto"/>
              <w:left w:val="single" w:sz="4" w:space="0" w:color="auto"/>
              <w:bottom w:val="single" w:sz="4" w:space="0" w:color="auto"/>
              <w:right w:val="single" w:sz="4" w:space="0" w:color="auto"/>
            </w:tcBorders>
            <w:hideMark/>
          </w:tcPr>
          <w:p w14:paraId="6EFB37D1"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1</w:t>
            </w:r>
          </w:p>
        </w:tc>
        <w:tc>
          <w:tcPr>
            <w:tcW w:w="224" w:type="pct"/>
            <w:tcBorders>
              <w:top w:val="single" w:sz="4" w:space="0" w:color="auto"/>
              <w:left w:val="single" w:sz="4" w:space="0" w:color="auto"/>
              <w:bottom w:val="single" w:sz="4" w:space="0" w:color="auto"/>
              <w:right w:val="single" w:sz="4" w:space="0" w:color="auto"/>
            </w:tcBorders>
            <w:hideMark/>
          </w:tcPr>
          <w:p w14:paraId="36994C74"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2</w:t>
            </w:r>
          </w:p>
        </w:tc>
        <w:tc>
          <w:tcPr>
            <w:tcW w:w="204" w:type="pct"/>
            <w:tcBorders>
              <w:top w:val="single" w:sz="4" w:space="0" w:color="auto"/>
              <w:left w:val="single" w:sz="4" w:space="0" w:color="auto"/>
              <w:bottom w:val="single" w:sz="4" w:space="0" w:color="auto"/>
              <w:right w:val="single" w:sz="4" w:space="0" w:color="auto"/>
            </w:tcBorders>
            <w:hideMark/>
          </w:tcPr>
          <w:p w14:paraId="3216DDD3"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3</w:t>
            </w:r>
          </w:p>
        </w:tc>
        <w:tc>
          <w:tcPr>
            <w:tcW w:w="180" w:type="pct"/>
            <w:tcBorders>
              <w:top w:val="single" w:sz="4" w:space="0" w:color="auto"/>
              <w:left w:val="single" w:sz="4" w:space="0" w:color="auto"/>
              <w:bottom w:val="single" w:sz="4" w:space="0" w:color="auto"/>
              <w:right w:val="single" w:sz="4" w:space="0" w:color="auto"/>
            </w:tcBorders>
            <w:hideMark/>
          </w:tcPr>
          <w:p w14:paraId="3248BFC5"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4</w:t>
            </w:r>
          </w:p>
        </w:tc>
        <w:tc>
          <w:tcPr>
            <w:tcW w:w="204" w:type="pct"/>
            <w:tcBorders>
              <w:top w:val="single" w:sz="4" w:space="0" w:color="auto"/>
              <w:left w:val="single" w:sz="4" w:space="0" w:color="auto"/>
              <w:bottom w:val="single" w:sz="4" w:space="0" w:color="auto"/>
              <w:right w:val="single" w:sz="4" w:space="0" w:color="auto"/>
            </w:tcBorders>
            <w:hideMark/>
          </w:tcPr>
          <w:p w14:paraId="2BF1B36C"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5</w:t>
            </w:r>
          </w:p>
        </w:tc>
      </w:tr>
      <w:tr w:rsidR="0039483D" w:rsidRPr="00EB11D3" w14:paraId="787F5AB4" w14:textId="77777777" w:rsidTr="00D02CAC">
        <w:trPr>
          <w:trHeight w:val="287"/>
        </w:trPr>
        <w:tc>
          <w:tcPr>
            <w:tcW w:w="190" w:type="pct"/>
            <w:tcBorders>
              <w:top w:val="single" w:sz="4" w:space="0" w:color="auto"/>
              <w:left w:val="single" w:sz="4" w:space="0" w:color="auto"/>
              <w:bottom w:val="single" w:sz="4" w:space="0" w:color="auto"/>
              <w:right w:val="single" w:sz="4" w:space="0" w:color="auto"/>
            </w:tcBorders>
          </w:tcPr>
          <w:p w14:paraId="3FC23E66" w14:textId="77777777" w:rsidR="00C21257" w:rsidRPr="00EB11D3" w:rsidRDefault="00C21257" w:rsidP="00052AD2">
            <w:pPr>
              <w:spacing w:after="0" w:line="240" w:lineRule="auto"/>
              <w:rPr>
                <w:rFonts w:eastAsia="Times New Roman"/>
                <w:b/>
                <w:bCs/>
                <w:szCs w:val="24"/>
              </w:rPr>
            </w:pPr>
          </w:p>
        </w:tc>
        <w:tc>
          <w:tcPr>
            <w:tcW w:w="3775" w:type="pct"/>
            <w:tcBorders>
              <w:top w:val="single" w:sz="4" w:space="0" w:color="auto"/>
              <w:left w:val="single" w:sz="4" w:space="0" w:color="auto"/>
              <w:bottom w:val="single" w:sz="4" w:space="0" w:color="auto"/>
              <w:right w:val="single" w:sz="4" w:space="0" w:color="auto"/>
            </w:tcBorders>
            <w:hideMark/>
          </w:tcPr>
          <w:p w14:paraId="19E09F28"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 xml:space="preserve">Customer </w:t>
            </w:r>
            <w:r w:rsidR="00D73D79" w:rsidRPr="00EB11D3">
              <w:rPr>
                <w:rFonts w:eastAsia="Times New Roman"/>
                <w:b/>
                <w:bCs/>
                <w:szCs w:val="24"/>
              </w:rPr>
              <w:t>Satisfaction</w:t>
            </w:r>
          </w:p>
        </w:tc>
        <w:tc>
          <w:tcPr>
            <w:tcW w:w="223" w:type="pct"/>
            <w:tcBorders>
              <w:top w:val="single" w:sz="4" w:space="0" w:color="auto"/>
              <w:left w:val="single" w:sz="4" w:space="0" w:color="auto"/>
              <w:bottom w:val="single" w:sz="4" w:space="0" w:color="auto"/>
              <w:right w:val="single" w:sz="4" w:space="0" w:color="auto"/>
            </w:tcBorders>
          </w:tcPr>
          <w:p w14:paraId="59467BAD" w14:textId="77777777" w:rsidR="00C21257" w:rsidRPr="00EB11D3" w:rsidRDefault="00C21257" w:rsidP="00052AD2">
            <w:pPr>
              <w:spacing w:after="0" w:line="240" w:lineRule="auto"/>
              <w:rPr>
                <w:rFonts w:eastAsia="Times New Roman"/>
                <w:b/>
                <w:bCs/>
                <w:szCs w:val="24"/>
              </w:rPr>
            </w:pPr>
          </w:p>
        </w:tc>
        <w:tc>
          <w:tcPr>
            <w:tcW w:w="224" w:type="pct"/>
            <w:tcBorders>
              <w:top w:val="single" w:sz="4" w:space="0" w:color="auto"/>
              <w:left w:val="single" w:sz="4" w:space="0" w:color="auto"/>
              <w:bottom w:val="single" w:sz="4" w:space="0" w:color="auto"/>
              <w:right w:val="single" w:sz="4" w:space="0" w:color="auto"/>
            </w:tcBorders>
          </w:tcPr>
          <w:p w14:paraId="000373E5" w14:textId="77777777" w:rsidR="00C21257" w:rsidRPr="00EB11D3" w:rsidRDefault="00C21257" w:rsidP="00052AD2">
            <w:pPr>
              <w:spacing w:after="0" w:line="240" w:lineRule="auto"/>
              <w:rPr>
                <w:rFonts w:eastAsia="Times New Roman"/>
                <w:b/>
                <w:bCs/>
                <w:szCs w:val="24"/>
              </w:rPr>
            </w:pPr>
          </w:p>
        </w:tc>
        <w:tc>
          <w:tcPr>
            <w:tcW w:w="204" w:type="pct"/>
            <w:tcBorders>
              <w:top w:val="single" w:sz="4" w:space="0" w:color="auto"/>
              <w:left w:val="single" w:sz="4" w:space="0" w:color="auto"/>
              <w:bottom w:val="single" w:sz="4" w:space="0" w:color="auto"/>
              <w:right w:val="single" w:sz="4" w:space="0" w:color="auto"/>
            </w:tcBorders>
          </w:tcPr>
          <w:p w14:paraId="1F81B5B7" w14:textId="77777777" w:rsidR="00C21257" w:rsidRPr="00EB11D3" w:rsidRDefault="00C21257" w:rsidP="00052AD2">
            <w:pPr>
              <w:spacing w:after="0" w:line="240" w:lineRule="auto"/>
              <w:rPr>
                <w:rFonts w:eastAsia="Times New Roman"/>
                <w:b/>
                <w:bCs/>
                <w:szCs w:val="24"/>
              </w:rPr>
            </w:pPr>
          </w:p>
        </w:tc>
        <w:tc>
          <w:tcPr>
            <w:tcW w:w="180" w:type="pct"/>
            <w:tcBorders>
              <w:top w:val="single" w:sz="4" w:space="0" w:color="auto"/>
              <w:left w:val="single" w:sz="4" w:space="0" w:color="auto"/>
              <w:bottom w:val="single" w:sz="4" w:space="0" w:color="auto"/>
              <w:right w:val="single" w:sz="4" w:space="0" w:color="auto"/>
            </w:tcBorders>
          </w:tcPr>
          <w:p w14:paraId="4E24F6B0" w14:textId="77777777" w:rsidR="00C21257" w:rsidRPr="00EB11D3" w:rsidRDefault="00C21257" w:rsidP="00052AD2">
            <w:pPr>
              <w:spacing w:after="0" w:line="240" w:lineRule="auto"/>
              <w:rPr>
                <w:rFonts w:eastAsia="Times New Roman"/>
                <w:b/>
                <w:bCs/>
                <w:szCs w:val="24"/>
              </w:rPr>
            </w:pPr>
          </w:p>
        </w:tc>
        <w:tc>
          <w:tcPr>
            <w:tcW w:w="204" w:type="pct"/>
            <w:tcBorders>
              <w:top w:val="single" w:sz="4" w:space="0" w:color="auto"/>
              <w:left w:val="single" w:sz="4" w:space="0" w:color="auto"/>
              <w:bottom w:val="single" w:sz="4" w:space="0" w:color="auto"/>
              <w:right w:val="single" w:sz="4" w:space="0" w:color="auto"/>
            </w:tcBorders>
          </w:tcPr>
          <w:p w14:paraId="7B1890FE" w14:textId="77777777" w:rsidR="00C21257" w:rsidRPr="00EB11D3" w:rsidRDefault="00C21257" w:rsidP="00052AD2">
            <w:pPr>
              <w:spacing w:after="0" w:line="240" w:lineRule="auto"/>
              <w:rPr>
                <w:rFonts w:eastAsia="Times New Roman"/>
                <w:b/>
                <w:bCs/>
                <w:szCs w:val="24"/>
              </w:rPr>
            </w:pPr>
          </w:p>
        </w:tc>
      </w:tr>
      <w:tr w:rsidR="0039483D" w:rsidRPr="00EB11D3" w14:paraId="18ADBCF8" w14:textId="77777777" w:rsidTr="00D02CAC">
        <w:trPr>
          <w:trHeight w:val="287"/>
        </w:trPr>
        <w:tc>
          <w:tcPr>
            <w:tcW w:w="190" w:type="pct"/>
            <w:tcBorders>
              <w:top w:val="single" w:sz="4" w:space="0" w:color="auto"/>
              <w:left w:val="single" w:sz="4" w:space="0" w:color="auto"/>
              <w:bottom w:val="single" w:sz="4" w:space="0" w:color="auto"/>
              <w:right w:val="single" w:sz="4" w:space="0" w:color="auto"/>
            </w:tcBorders>
            <w:hideMark/>
          </w:tcPr>
          <w:p w14:paraId="48C7A3F3" w14:textId="77777777" w:rsidR="00C21257" w:rsidRPr="00EB11D3" w:rsidRDefault="00C21257" w:rsidP="00052AD2">
            <w:pPr>
              <w:spacing w:after="0" w:line="240" w:lineRule="auto"/>
              <w:rPr>
                <w:rFonts w:eastAsia="Times New Roman"/>
                <w:szCs w:val="24"/>
              </w:rPr>
            </w:pPr>
            <w:r w:rsidRPr="00EB11D3">
              <w:rPr>
                <w:rFonts w:eastAsia="Times New Roman"/>
                <w:szCs w:val="24"/>
              </w:rPr>
              <w:t>1</w:t>
            </w:r>
          </w:p>
        </w:tc>
        <w:tc>
          <w:tcPr>
            <w:tcW w:w="3775" w:type="pct"/>
            <w:tcBorders>
              <w:top w:val="single" w:sz="4" w:space="0" w:color="auto"/>
              <w:left w:val="single" w:sz="4" w:space="0" w:color="auto"/>
              <w:bottom w:val="single" w:sz="4" w:space="0" w:color="auto"/>
              <w:right w:val="single" w:sz="4" w:space="0" w:color="auto"/>
            </w:tcBorders>
            <w:hideMark/>
          </w:tcPr>
          <w:p w14:paraId="2DE98528" w14:textId="77777777" w:rsidR="00C21257" w:rsidRPr="00EB11D3" w:rsidRDefault="00C21257" w:rsidP="00052AD2">
            <w:pPr>
              <w:spacing w:after="0" w:line="240" w:lineRule="auto"/>
              <w:rPr>
                <w:rFonts w:eastAsia="Times New Roman"/>
                <w:b/>
                <w:bCs/>
                <w:szCs w:val="24"/>
              </w:rPr>
            </w:pPr>
            <w:r w:rsidRPr="00EB11D3">
              <w:rPr>
                <w:rFonts w:eastAsia="Times New Roman"/>
                <w:szCs w:val="24"/>
              </w:rPr>
              <w:t xml:space="preserve">The hospital has adequate medical infrastructure to offer quality </w:t>
            </w:r>
            <w:r w:rsidR="00D02CAC" w:rsidRPr="00EB11D3">
              <w:rPr>
                <w:rFonts w:eastAsia="Times New Roman"/>
                <w:szCs w:val="24"/>
              </w:rPr>
              <w:t xml:space="preserve">client </w:t>
            </w:r>
            <w:r w:rsidRPr="00EB11D3">
              <w:rPr>
                <w:rFonts w:eastAsia="Times New Roman"/>
                <w:szCs w:val="24"/>
              </w:rPr>
              <w:t xml:space="preserve">service </w:t>
            </w:r>
          </w:p>
        </w:tc>
        <w:tc>
          <w:tcPr>
            <w:tcW w:w="223" w:type="pct"/>
            <w:tcBorders>
              <w:top w:val="single" w:sz="4" w:space="0" w:color="auto"/>
              <w:left w:val="single" w:sz="4" w:space="0" w:color="auto"/>
              <w:bottom w:val="single" w:sz="4" w:space="0" w:color="auto"/>
              <w:right w:val="single" w:sz="4" w:space="0" w:color="auto"/>
            </w:tcBorders>
          </w:tcPr>
          <w:p w14:paraId="72A62E3D" w14:textId="77777777" w:rsidR="00C21257" w:rsidRPr="00EB11D3" w:rsidRDefault="00C21257" w:rsidP="00052AD2">
            <w:pPr>
              <w:spacing w:after="0" w:line="240" w:lineRule="auto"/>
              <w:rPr>
                <w:rFonts w:eastAsia="Times New Roman"/>
                <w:b/>
                <w:bCs/>
                <w:szCs w:val="24"/>
              </w:rPr>
            </w:pPr>
          </w:p>
        </w:tc>
        <w:tc>
          <w:tcPr>
            <w:tcW w:w="224" w:type="pct"/>
            <w:tcBorders>
              <w:top w:val="single" w:sz="4" w:space="0" w:color="auto"/>
              <w:left w:val="single" w:sz="4" w:space="0" w:color="auto"/>
              <w:bottom w:val="single" w:sz="4" w:space="0" w:color="auto"/>
              <w:right w:val="single" w:sz="4" w:space="0" w:color="auto"/>
            </w:tcBorders>
          </w:tcPr>
          <w:p w14:paraId="6C48CAC6" w14:textId="77777777" w:rsidR="00C21257" w:rsidRPr="00EB11D3" w:rsidRDefault="00C21257" w:rsidP="00052AD2">
            <w:pPr>
              <w:spacing w:after="0" w:line="240" w:lineRule="auto"/>
              <w:rPr>
                <w:rFonts w:eastAsia="Times New Roman"/>
                <w:b/>
                <w:bCs/>
                <w:szCs w:val="24"/>
              </w:rPr>
            </w:pPr>
          </w:p>
        </w:tc>
        <w:tc>
          <w:tcPr>
            <w:tcW w:w="204" w:type="pct"/>
            <w:tcBorders>
              <w:top w:val="single" w:sz="4" w:space="0" w:color="auto"/>
              <w:left w:val="single" w:sz="4" w:space="0" w:color="auto"/>
              <w:bottom w:val="single" w:sz="4" w:space="0" w:color="auto"/>
              <w:right w:val="single" w:sz="4" w:space="0" w:color="auto"/>
            </w:tcBorders>
          </w:tcPr>
          <w:p w14:paraId="3F980E6F" w14:textId="77777777" w:rsidR="00C21257" w:rsidRPr="00EB11D3" w:rsidRDefault="00C21257" w:rsidP="00052AD2">
            <w:pPr>
              <w:spacing w:after="0" w:line="240" w:lineRule="auto"/>
              <w:rPr>
                <w:rFonts w:eastAsia="Times New Roman"/>
                <w:b/>
                <w:bCs/>
                <w:szCs w:val="24"/>
              </w:rPr>
            </w:pPr>
          </w:p>
        </w:tc>
        <w:tc>
          <w:tcPr>
            <w:tcW w:w="180" w:type="pct"/>
            <w:tcBorders>
              <w:top w:val="single" w:sz="4" w:space="0" w:color="auto"/>
              <w:left w:val="single" w:sz="4" w:space="0" w:color="auto"/>
              <w:bottom w:val="single" w:sz="4" w:space="0" w:color="auto"/>
              <w:right w:val="single" w:sz="4" w:space="0" w:color="auto"/>
            </w:tcBorders>
          </w:tcPr>
          <w:p w14:paraId="476E7F95" w14:textId="77777777" w:rsidR="00C21257" w:rsidRPr="00EB11D3" w:rsidRDefault="00C21257" w:rsidP="00052AD2">
            <w:pPr>
              <w:spacing w:after="0" w:line="240" w:lineRule="auto"/>
              <w:rPr>
                <w:rFonts w:eastAsia="Times New Roman"/>
                <w:b/>
                <w:bCs/>
                <w:szCs w:val="24"/>
              </w:rPr>
            </w:pPr>
          </w:p>
        </w:tc>
        <w:tc>
          <w:tcPr>
            <w:tcW w:w="204" w:type="pct"/>
            <w:tcBorders>
              <w:top w:val="single" w:sz="4" w:space="0" w:color="auto"/>
              <w:left w:val="single" w:sz="4" w:space="0" w:color="auto"/>
              <w:bottom w:val="single" w:sz="4" w:space="0" w:color="auto"/>
              <w:right w:val="single" w:sz="4" w:space="0" w:color="auto"/>
            </w:tcBorders>
          </w:tcPr>
          <w:p w14:paraId="75214700" w14:textId="77777777" w:rsidR="00C21257" w:rsidRPr="00EB11D3" w:rsidRDefault="00C21257" w:rsidP="00052AD2">
            <w:pPr>
              <w:spacing w:after="0" w:line="240" w:lineRule="auto"/>
              <w:rPr>
                <w:rFonts w:eastAsia="Times New Roman"/>
                <w:b/>
                <w:bCs/>
                <w:szCs w:val="24"/>
              </w:rPr>
            </w:pPr>
          </w:p>
        </w:tc>
      </w:tr>
      <w:tr w:rsidR="0039483D" w:rsidRPr="00EB11D3" w14:paraId="3DFC8F77" w14:textId="77777777" w:rsidTr="00D02CAC">
        <w:trPr>
          <w:trHeight w:val="287"/>
        </w:trPr>
        <w:tc>
          <w:tcPr>
            <w:tcW w:w="190" w:type="pct"/>
            <w:tcBorders>
              <w:top w:val="single" w:sz="4" w:space="0" w:color="auto"/>
              <w:left w:val="single" w:sz="4" w:space="0" w:color="auto"/>
              <w:bottom w:val="single" w:sz="4" w:space="0" w:color="auto"/>
              <w:right w:val="single" w:sz="4" w:space="0" w:color="auto"/>
            </w:tcBorders>
            <w:hideMark/>
          </w:tcPr>
          <w:p w14:paraId="5C373435" w14:textId="77777777" w:rsidR="00C21257" w:rsidRPr="00EB11D3" w:rsidRDefault="00C21257" w:rsidP="00052AD2">
            <w:pPr>
              <w:spacing w:after="0" w:line="240" w:lineRule="auto"/>
              <w:rPr>
                <w:rFonts w:eastAsia="Times New Roman"/>
                <w:szCs w:val="24"/>
              </w:rPr>
            </w:pPr>
            <w:r w:rsidRPr="00EB11D3">
              <w:rPr>
                <w:rFonts w:eastAsia="Times New Roman"/>
                <w:szCs w:val="24"/>
              </w:rPr>
              <w:t>2</w:t>
            </w:r>
          </w:p>
        </w:tc>
        <w:tc>
          <w:tcPr>
            <w:tcW w:w="3775" w:type="pct"/>
            <w:tcBorders>
              <w:top w:val="single" w:sz="4" w:space="0" w:color="auto"/>
              <w:left w:val="single" w:sz="4" w:space="0" w:color="auto"/>
              <w:bottom w:val="single" w:sz="4" w:space="0" w:color="auto"/>
              <w:right w:val="single" w:sz="4" w:space="0" w:color="auto"/>
            </w:tcBorders>
            <w:hideMark/>
          </w:tcPr>
          <w:p w14:paraId="4CDAC559" w14:textId="77777777" w:rsidR="00C21257" w:rsidRPr="00EB11D3" w:rsidRDefault="00C21257" w:rsidP="00052AD2">
            <w:pPr>
              <w:spacing w:after="0" w:line="240" w:lineRule="auto"/>
              <w:rPr>
                <w:rFonts w:eastAsia="Times New Roman"/>
                <w:b/>
                <w:bCs/>
                <w:szCs w:val="24"/>
              </w:rPr>
            </w:pPr>
            <w:r w:rsidRPr="00EB11D3">
              <w:rPr>
                <w:rFonts w:eastAsia="Times New Roman"/>
                <w:szCs w:val="24"/>
              </w:rPr>
              <w:t>Clients are served timely upon arrival at the hospital</w:t>
            </w:r>
          </w:p>
        </w:tc>
        <w:tc>
          <w:tcPr>
            <w:tcW w:w="223" w:type="pct"/>
            <w:tcBorders>
              <w:top w:val="single" w:sz="4" w:space="0" w:color="auto"/>
              <w:left w:val="single" w:sz="4" w:space="0" w:color="auto"/>
              <w:bottom w:val="single" w:sz="4" w:space="0" w:color="auto"/>
              <w:right w:val="single" w:sz="4" w:space="0" w:color="auto"/>
            </w:tcBorders>
          </w:tcPr>
          <w:p w14:paraId="7FD1B6FA" w14:textId="77777777" w:rsidR="00C21257" w:rsidRPr="00EB11D3" w:rsidRDefault="00C21257" w:rsidP="00052AD2">
            <w:pPr>
              <w:spacing w:after="0" w:line="240" w:lineRule="auto"/>
              <w:rPr>
                <w:rFonts w:eastAsia="Times New Roman"/>
                <w:b/>
                <w:bCs/>
                <w:szCs w:val="24"/>
              </w:rPr>
            </w:pPr>
          </w:p>
        </w:tc>
        <w:tc>
          <w:tcPr>
            <w:tcW w:w="224" w:type="pct"/>
            <w:tcBorders>
              <w:top w:val="single" w:sz="4" w:space="0" w:color="auto"/>
              <w:left w:val="single" w:sz="4" w:space="0" w:color="auto"/>
              <w:bottom w:val="single" w:sz="4" w:space="0" w:color="auto"/>
              <w:right w:val="single" w:sz="4" w:space="0" w:color="auto"/>
            </w:tcBorders>
          </w:tcPr>
          <w:p w14:paraId="2B65983F" w14:textId="77777777" w:rsidR="00C21257" w:rsidRPr="00EB11D3" w:rsidRDefault="00C21257" w:rsidP="00052AD2">
            <w:pPr>
              <w:spacing w:after="0" w:line="240" w:lineRule="auto"/>
              <w:rPr>
                <w:rFonts w:eastAsia="Times New Roman"/>
                <w:b/>
                <w:bCs/>
                <w:szCs w:val="24"/>
              </w:rPr>
            </w:pPr>
          </w:p>
        </w:tc>
        <w:tc>
          <w:tcPr>
            <w:tcW w:w="204" w:type="pct"/>
            <w:tcBorders>
              <w:top w:val="single" w:sz="4" w:space="0" w:color="auto"/>
              <w:left w:val="single" w:sz="4" w:space="0" w:color="auto"/>
              <w:bottom w:val="single" w:sz="4" w:space="0" w:color="auto"/>
              <w:right w:val="single" w:sz="4" w:space="0" w:color="auto"/>
            </w:tcBorders>
          </w:tcPr>
          <w:p w14:paraId="738E734A" w14:textId="77777777" w:rsidR="00C21257" w:rsidRPr="00EB11D3" w:rsidRDefault="00C21257" w:rsidP="00052AD2">
            <w:pPr>
              <w:spacing w:after="0" w:line="240" w:lineRule="auto"/>
              <w:rPr>
                <w:rFonts w:eastAsia="Times New Roman"/>
                <w:b/>
                <w:bCs/>
                <w:szCs w:val="24"/>
              </w:rPr>
            </w:pPr>
          </w:p>
        </w:tc>
        <w:tc>
          <w:tcPr>
            <w:tcW w:w="180" w:type="pct"/>
            <w:tcBorders>
              <w:top w:val="single" w:sz="4" w:space="0" w:color="auto"/>
              <w:left w:val="single" w:sz="4" w:space="0" w:color="auto"/>
              <w:bottom w:val="single" w:sz="4" w:space="0" w:color="auto"/>
              <w:right w:val="single" w:sz="4" w:space="0" w:color="auto"/>
            </w:tcBorders>
          </w:tcPr>
          <w:p w14:paraId="3AE9C5E2" w14:textId="77777777" w:rsidR="00C21257" w:rsidRPr="00EB11D3" w:rsidRDefault="00C21257" w:rsidP="00052AD2">
            <w:pPr>
              <w:spacing w:after="0" w:line="240" w:lineRule="auto"/>
              <w:rPr>
                <w:rFonts w:eastAsia="Times New Roman"/>
                <w:b/>
                <w:bCs/>
                <w:szCs w:val="24"/>
              </w:rPr>
            </w:pPr>
          </w:p>
        </w:tc>
        <w:tc>
          <w:tcPr>
            <w:tcW w:w="204" w:type="pct"/>
            <w:tcBorders>
              <w:top w:val="single" w:sz="4" w:space="0" w:color="auto"/>
              <w:left w:val="single" w:sz="4" w:space="0" w:color="auto"/>
              <w:bottom w:val="single" w:sz="4" w:space="0" w:color="auto"/>
              <w:right w:val="single" w:sz="4" w:space="0" w:color="auto"/>
            </w:tcBorders>
          </w:tcPr>
          <w:p w14:paraId="35594D70" w14:textId="77777777" w:rsidR="00C21257" w:rsidRPr="00EB11D3" w:rsidRDefault="00C21257" w:rsidP="00052AD2">
            <w:pPr>
              <w:spacing w:after="0" w:line="240" w:lineRule="auto"/>
              <w:rPr>
                <w:rFonts w:eastAsia="Times New Roman"/>
                <w:b/>
                <w:bCs/>
                <w:szCs w:val="24"/>
              </w:rPr>
            </w:pPr>
          </w:p>
        </w:tc>
      </w:tr>
      <w:tr w:rsidR="0039483D" w:rsidRPr="00EB11D3" w14:paraId="25A4F6F4" w14:textId="77777777" w:rsidTr="00052AD2">
        <w:trPr>
          <w:trHeight w:val="341"/>
        </w:trPr>
        <w:tc>
          <w:tcPr>
            <w:tcW w:w="190" w:type="pct"/>
            <w:tcBorders>
              <w:top w:val="single" w:sz="4" w:space="0" w:color="auto"/>
              <w:left w:val="single" w:sz="4" w:space="0" w:color="auto"/>
              <w:bottom w:val="single" w:sz="4" w:space="0" w:color="auto"/>
              <w:right w:val="single" w:sz="4" w:space="0" w:color="auto"/>
            </w:tcBorders>
            <w:hideMark/>
          </w:tcPr>
          <w:p w14:paraId="1D18908A" w14:textId="77777777" w:rsidR="00C21257" w:rsidRPr="00EB11D3" w:rsidRDefault="00C21257" w:rsidP="00052AD2">
            <w:pPr>
              <w:spacing w:after="0" w:line="240" w:lineRule="auto"/>
              <w:rPr>
                <w:rFonts w:eastAsia="Times New Roman"/>
                <w:szCs w:val="24"/>
              </w:rPr>
            </w:pPr>
            <w:r w:rsidRPr="00EB11D3">
              <w:rPr>
                <w:rFonts w:eastAsia="Times New Roman"/>
                <w:szCs w:val="24"/>
              </w:rPr>
              <w:t>3</w:t>
            </w:r>
          </w:p>
        </w:tc>
        <w:tc>
          <w:tcPr>
            <w:tcW w:w="3775" w:type="pct"/>
            <w:tcBorders>
              <w:top w:val="single" w:sz="4" w:space="0" w:color="auto"/>
              <w:left w:val="single" w:sz="4" w:space="0" w:color="auto"/>
              <w:bottom w:val="single" w:sz="4" w:space="0" w:color="auto"/>
              <w:right w:val="single" w:sz="4" w:space="0" w:color="auto"/>
            </w:tcBorders>
            <w:hideMark/>
          </w:tcPr>
          <w:p w14:paraId="526DBC79" w14:textId="77777777" w:rsidR="00C21257" w:rsidRPr="00EB11D3" w:rsidRDefault="00C21257" w:rsidP="00052AD2">
            <w:pPr>
              <w:spacing w:after="0" w:line="240" w:lineRule="auto"/>
              <w:rPr>
                <w:rFonts w:eastAsia="Times New Roman"/>
                <w:szCs w:val="24"/>
              </w:rPr>
            </w:pPr>
            <w:r w:rsidRPr="00EB11D3">
              <w:rPr>
                <w:rFonts w:eastAsia="Times New Roman"/>
                <w:szCs w:val="24"/>
              </w:rPr>
              <w:t xml:space="preserve">The digitalised service </w:t>
            </w:r>
            <w:r w:rsidR="002537CE" w:rsidRPr="00EB11D3">
              <w:rPr>
                <w:rFonts w:eastAsia="Times New Roman"/>
                <w:szCs w:val="24"/>
              </w:rPr>
              <w:t>offers</w:t>
            </w:r>
            <w:r w:rsidRPr="00EB11D3">
              <w:rPr>
                <w:rFonts w:eastAsia="Times New Roman"/>
                <w:szCs w:val="24"/>
              </w:rPr>
              <w:t xml:space="preserve"> better client-service delivery</w:t>
            </w:r>
          </w:p>
        </w:tc>
        <w:tc>
          <w:tcPr>
            <w:tcW w:w="223" w:type="pct"/>
            <w:tcBorders>
              <w:top w:val="single" w:sz="4" w:space="0" w:color="auto"/>
              <w:left w:val="single" w:sz="4" w:space="0" w:color="auto"/>
              <w:bottom w:val="single" w:sz="4" w:space="0" w:color="auto"/>
              <w:right w:val="single" w:sz="4" w:space="0" w:color="auto"/>
            </w:tcBorders>
          </w:tcPr>
          <w:p w14:paraId="56E44C97" w14:textId="77777777" w:rsidR="00C21257" w:rsidRPr="00EB11D3" w:rsidRDefault="00C21257"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0F5B2682"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36E1010D" w14:textId="77777777" w:rsidR="00C21257" w:rsidRPr="00EB11D3" w:rsidRDefault="00C21257"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70F20F8F"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114BD7DD" w14:textId="77777777" w:rsidR="00C21257" w:rsidRPr="00EB11D3" w:rsidRDefault="00C21257" w:rsidP="00052AD2">
            <w:pPr>
              <w:spacing w:after="0" w:line="240" w:lineRule="auto"/>
              <w:rPr>
                <w:rFonts w:eastAsia="Times New Roman"/>
                <w:szCs w:val="24"/>
              </w:rPr>
            </w:pPr>
          </w:p>
        </w:tc>
      </w:tr>
      <w:tr w:rsidR="0039483D" w:rsidRPr="00EB11D3" w14:paraId="124001AA" w14:textId="77777777" w:rsidTr="00052AD2">
        <w:trPr>
          <w:trHeight w:val="260"/>
        </w:trPr>
        <w:tc>
          <w:tcPr>
            <w:tcW w:w="190" w:type="pct"/>
            <w:tcBorders>
              <w:top w:val="single" w:sz="4" w:space="0" w:color="auto"/>
              <w:left w:val="single" w:sz="4" w:space="0" w:color="auto"/>
              <w:bottom w:val="single" w:sz="4" w:space="0" w:color="auto"/>
              <w:right w:val="single" w:sz="4" w:space="0" w:color="auto"/>
            </w:tcBorders>
            <w:hideMark/>
          </w:tcPr>
          <w:p w14:paraId="44A2B4EC" w14:textId="77777777" w:rsidR="00C21257" w:rsidRPr="00EB11D3" w:rsidRDefault="00C21257" w:rsidP="00052AD2">
            <w:pPr>
              <w:spacing w:after="0" w:line="240" w:lineRule="auto"/>
              <w:rPr>
                <w:rFonts w:eastAsia="Times New Roman"/>
                <w:szCs w:val="24"/>
              </w:rPr>
            </w:pPr>
            <w:r w:rsidRPr="00EB11D3">
              <w:rPr>
                <w:rFonts w:eastAsia="Times New Roman"/>
                <w:szCs w:val="24"/>
              </w:rPr>
              <w:t>4</w:t>
            </w:r>
          </w:p>
        </w:tc>
        <w:tc>
          <w:tcPr>
            <w:tcW w:w="3775" w:type="pct"/>
            <w:tcBorders>
              <w:top w:val="single" w:sz="4" w:space="0" w:color="auto"/>
              <w:left w:val="single" w:sz="4" w:space="0" w:color="auto"/>
              <w:bottom w:val="single" w:sz="4" w:space="0" w:color="auto"/>
              <w:right w:val="single" w:sz="4" w:space="0" w:color="auto"/>
            </w:tcBorders>
            <w:hideMark/>
          </w:tcPr>
          <w:p w14:paraId="3103AA1C" w14:textId="77777777" w:rsidR="00C21257" w:rsidRPr="00EB11D3" w:rsidRDefault="00C21257" w:rsidP="00052AD2">
            <w:pPr>
              <w:spacing w:after="0" w:line="240" w:lineRule="auto"/>
              <w:rPr>
                <w:rFonts w:eastAsia="Times New Roman"/>
                <w:szCs w:val="24"/>
              </w:rPr>
            </w:pPr>
            <w:r w:rsidRPr="00EB11D3">
              <w:rPr>
                <w:rFonts w:eastAsia="Times New Roman"/>
                <w:szCs w:val="24"/>
              </w:rPr>
              <w:t xml:space="preserve">The hospital offers timely communication to the clients </w:t>
            </w:r>
          </w:p>
        </w:tc>
        <w:tc>
          <w:tcPr>
            <w:tcW w:w="223" w:type="pct"/>
            <w:tcBorders>
              <w:top w:val="single" w:sz="4" w:space="0" w:color="auto"/>
              <w:left w:val="single" w:sz="4" w:space="0" w:color="auto"/>
              <w:bottom w:val="single" w:sz="4" w:space="0" w:color="auto"/>
              <w:right w:val="single" w:sz="4" w:space="0" w:color="auto"/>
            </w:tcBorders>
          </w:tcPr>
          <w:p w14:paraId="74A1CEFB" w14:textId="77777777" w:rsidR="00C21257" w:rsidRPr="00EB11D3" w:rsidRDefault="00C21257"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7E8E7914"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3AC7E4E2" w14:textId="77777777" w:rsidR="00C21257" w:rsidRPr="00EB11D3" w:rsidRDefault="00C21257"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21A48C3E"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40A4EDB5" w14:textId="77777777" w:rsidR="00C21257" w:rsidRPr="00EB11D3" w:rsidRDefault="00C21257" w:rsidP="00052AD2">
            <w:pPr>
              <w:spacing w:after="0" w:line="240" w:lineRule="auto"/>
              <w:rPr>
                <w:rFonts w:eastAsia="Times New Roman"/>
                <w:szCs w:val="24"/>
              </w:rPr>
            </w:pPr>
          </w:p>
        </w:tc>
      </w:tr>
      <w:tr w:rsidR="0039483D" w:rsidRPr="00EB11D3" w14:paraId="54DBD7B5" w14:textId="77777777" w:rsidTr="00052AD2">
        <w:trPr>
          <w:trHeight w:val="332"/>
        </w:trPr>
        <w:tc>
          <w:tcPr>
            <w:tcW w:w="190" w:type="pct"/>
            <w:tcBorders>
              <w:top w:val="single" w:sz="4" w:space="0" w:color="auto"/>
              <w:left w:val="single" w:sz="4" w:space="0" w:color="auto"/>
              <w:bottom w:val="single" w:sz="4" w:space="0" w:color="auto"/>
              <w:right w:val="single" w:sz="4" w:space="0" w:color="auto"/>
            </w:tcBorders>
            <w:hideMark/>
          </w:tcPr>
          <w:p w14:paraId="3C8C801E" w14:textId="77777777" w:rsidR="00C21257" w:rsidRPr="00EB11D3" w:rsidRDefault="00656B0B" w:rsidP="00052AD2">
            <w:pPr>
              <w:spacing w:after="0" w:line="240" w:lineRule="auto"/>
              <w:rPr>
                <w:rFonts w:eastAsia="Times New Roman"/>
                <w:szCs w:val="24"/>
              </w:rPr>
            </w:pPr>
            <w:r w:rsidRPr="00EB11D3">
              <w:rPr>
                <w:rFonts w:eastAsia="Times New Roman"/>
                <w:szCs w:val="24"/>
              </w:rPr>
              <w:t>5</w:t>
            </w:r>
          </w:p>
        </w:tc>
        <w:tc>
          <w:tcPr>
            <w:tcW w:w="3775" w:type="pct"/>
            <w:tcBorders>
              <w:top w:val="single" w:sz="4" w:space="0" w:color="auto"/>
              <w:left w:val="single" w:sz="4" w:space="0" w:color="auto"/>
              <w:bottom w:val="single" w:sz="4" w:space="0" w:color="auto"/>
              <w:right w:val="single" w:sz="4" w:space="0" w:color="auto"/>
            </w:tcBorders>
            <w:hideMark/>
          </w:tcPr>
          <w:p w14:paraId="751BE2ED" w14:textId="77777777" w:rsidR="00C21257" w:rsidRPr="00EB11D3" w:rsidRDefault="00C21257" w:rsidP="00052AD2">
            <w:pPr>
              <w:spacing w:after="0" w:line="240" w:lineRule="auto"/>
              <w:rPr>
                <w:rFonts w:eastAsia="Times New Roman"/>
                <w:szCs w:val="24"/>
              </w:rPr>
            </w:pPr>
            <w:r w:rsidRPr="00EB11D3">
              <w:rPr>
                <w:rFonts w:eastAsia="Times New Roman"/>
                <w:szCs w:val="24"/>
              </w:rPr>
              <w:t xml:space="preserve">The hospital offers comprehensive high-quality service </w:t>
            </w:r>
          </w:p>
        </w:tc>
        <w:tc>
          <w:tcPr>
            <w:tcW w:w="223" w:type="pct"/>
            <w:tcBorders>
              <w:top w:val="single" w:sz="4" w:space="0" w:color="auto"/>
              <w:left w:val="single" w:sz="4" w:space="0" w:color="auto"/>
              <w:bottom w:val="single" w:sz="4" w:space="0" w:color="auto"/>
              <w:right w:val="single" w:sz="4" w:space="0" w:color="auto"/>
            </w:tcBorders>
          </w:tcPr>
          <w:p w14:paraId="49DD8ABE" w14:textId="77777777" w:rsidR="00C21257" w:rsidRPr="00EB11D3" w:rsidRDefault="00C21257"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53208366"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215DBADF" w14:textId="77777777" w:rsidR="00C21257" w:rsidRPr="00EB11D3" w:rsidRDefault="00C21257"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23D6B62F"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7F17F340" w14:textId="77777777" w:rsidR="00C21257" w:rsidRPr="00EB11D3" w:rsidRDefault="00C21257" w:rsidP="00052AD2">
            <w:pPr>
              <w:spacing w:after="0" w:line="240" w:lineRule="auto"/>
              <w:rPr>
                <w:rFonts w:eastAsia="Times New Roman"/>
                <w:szCs w:val="24"/>
              </w:rPr>
            </w:pPr>
          </w:p>
        </w:tc>
      </w:tr>
      <w:tr w:rsidR="0039483D" w:rsidRPr="00EB11D3" w14:paraId="5B04D863" w14:textId="77777777" w:rsidTr="00052AD2">
        <w:trPr>
          <w:trHeight w:val="332"/>
        </w:trPr>
        <w:tc>
          <w:tcPr>
            <w:tcW w:w="190" w:type="pct"/>
            <w:tcBorders>
              <w:top w:val="single" w:sz="4" w:space="0" w:color="auto"/>
              <w:left w:val="single" w:sz="4" w:space="0" w:color="auto"/>
              <w:bottom w:val="single" w:sz="4" w:space="0" w:color="auto"/>
              <w:right w:val="single" w:sz="4" w:space="0" w:color="auto"/>
            </w:tcBorders>
          </w:tcPr>
          <w:p w14:paraId="10EF2588" w14:textId="77777777" w:rsidR="00C21257" w:rsidRPr="00EB11D3" w:rsidRDefault="004B7ED1" w:rsidP="004B7ED1">
            <w:pPr>
              <w:spacing w:after="0" w:line="240" w:lineRule="auto"/>
              <w:rPr>
                <w:rFonts w:eastAsia="Times New Roman"/>
                <w:szCs w:val="24"/>
              </w:rPr>
            </w:pPr>
            <w:r w:rsidRPr="00EB11D3">
              <w:rPr>
                <w:rFonts w:eastAsia="Times New Roman"/>
                <w:szCs w:val="24"/>
              </w:rPr>
              <w:t>6</w:t>
            </w:r>
          </w:p>
        </w:tc>
        <w:tc>
          <w:tcPr>
            <w:tcW w:w="3775" w:type="pct"/>
            <w:tcBorders>
              <w:top w:val="single" w:sz="4" w:space="0" w:color="auto"/>
              <w:left w:val="single" w:sz="4" w:space="0" w:color="auto"/>
              <w:bottom w:val="single" w:sz="4" w:space="0" w:color="auto"/>
              <w:right w:val="single" w:sz="4" w:space="0" w:color="auto"/>
            </w:tcBorders>
            <w:hideMark/>
          </w:tcPr>
          <w:p w14:paraId="417F7FAA" w14:textId="77777777" w:rsidR="00C21257" w:rsidRPr="00EB11D3" w:rsidRDefault="00C21257" w:rsidP="004B7ED1">
            <w:pPr>
              <w:spacing w:after="0" w:line="240" w:lineRule="auto"/>
              <w:rPr>
                <w:rFonts w:eastAsia="Times New Roman"/>
                <w:szCs w:val="24"/>
              </w:rPr>
            </w:pPr>
            <w:r w:rsidRPr="00EB11D3">
              <w:rPr>
                <w:rFonts w:eastAsia="Times New Roman"/>
                <w:szCs w:val="24"/>
              </w:rPr>
              <w:t xml:space="preserve">Client satisfaction enhances hospital comparative advantage  </w:t>
            </w:r>
          </w:p>
        </w:tc>
        <w:tc>
          <w:tcPr>
            <w:tcW w:w="223" w:type="pct"/>
            <w:tcBorders>
              <w:top w:val="single" w:sz="4" w:space="0" w:color="auto"/>
              <w:left w:val="single" w:sz="4" w:space="0" w:color="auto"/>
              <w:bottom w:val="single" w:sz="4" w:space="0" w:color="auto"/>
              <w:right w:val="single" w:sz="4" w:space="0" w:color="auto"/>
            </w:tcBorders>
          </w:tcPr>
          <w:p w14:paraId="53516B82" w14:textId="77777777" w:rsidR="00C21257" w:rsidRPr="00EB11D3" w:rsidRDefault="00C21257" w:rsidP="004B7ED1">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75963064" w14:textId="77777777" w:rsidR="00C21257" w:rsidRPr="00EB11D3" w:rsidRDefault="00C21257" w:rsidP="004B7ED1">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1DCB6830" w14:textId="77777777" w:rsidR="00C21257" w:rsidRPr="00EB11D3" w:rsidRDefault="00C21257" w:rsidP="004B7ED1">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1F68B6A8" w14:textId="77777777" w:rsidR="00C21257" w:rsidRPr="00EB11D3" w:rsidRDefault="00C21257" w:rsidP="004B7ED1">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0F340DDF" w14:textId="77777777" w:rsidR="00C21257" w:rsidRPr="00EB11D3" w:rsidRDefault="00C21257" w:rsidP="004B7ED1">
            <w:pPr>
              <w:spacing w:after="0" w:line="240" w:lineRule="auto"/>
              <w:rPr>
                <w:rFonts w:eastAsia="Times New Roman"/>
                <w:szCs w:val="24"/>
              </w:rPr>
            </w:pPr>
          </w:p>
        </w:tc>
      </w:tr>
      <w:tr w:rsidR="0039483D" w:rsidRPr="00EB11D3" w14:paraId="73B7879C" w14:textId="77777777" w:rsidTr="00D02CAC">
        <w:trPr>
          <w:trHeight w:val="563"/>
        </w:trPr>
        <w:tc>
          <w:tcPr>
            <w:tcW w:w="190" w:type="pct"/>
            <w:tcBorders>
              <w:top w:val="single" w:sz="4" w:space="0" w:color="auto"/>
              <w:left w:val="single" w:sz="4" w:space="0" w:color="auto"/>
              <w:bottom w:val="single" w:sz="4" w:space="0" w:color="auto"/>
              <w:right w:val="single" w:sz="4" w:space="0" w:color="auto"/>
            </w:tcBorders>
          </w:tcPr>
          <w:p w14:paraId="63EE2687" w14:textId="77777777" w:rsidR="00C21257" w:rsidRPr="00EB11D3" w:rsidRDefault="004B7ED1" w:rsidP="00052AD2">
            <w:pPr>
              <w:spacing w:after="0" w:line="240" w:lineRule="auto"/>
              <w:rPr>
                <w:rFonts w:eastAsia="Times New Roman"/>
                <w:szCs w:val="24"/>
              </w:rPr>
            </w:pPr>
            <w:r w:rsidRPr="00EB11D3">
              <w:rPr>
                <w:rFonts w:eastAsia="Times New Roman"/>
                <w:szCs w:val="24"/>
              </w:rPr>
              <w:t>7</w:t>
            </w:r>
          </w:p>
        </w:tc>
        <w:tc>
          <w:tcPr>
            <w:tcW w:w="3775" w:type="pct"/>
            <w:tcBorders>
              <w:top w:val="single" w:sz="4" w:space="0" w:color="auto"/>
              <w:left w:val="single" w:sz="4" w:space="0" w:color="auto"/>
              <w:bottom w:val="single" w:sz="4" w:space="0" w:color="auto"/>
              <w:right w:val="single" w:sz="4" w:space="0" w:color="auto"/>
            </w:tcBorders>
            <w:hideMark/>
          </w:tcPr>
          <w:p w14:paraId="4248FDB5" w14:textId="77777777" w:rsidR="00C21257" w:rsidRPr="00EB11D3" w:rsidRDefault="00C21257" w:rsidP="00052AD2">
            <w:pPr>
              <w:spacing w:after="0" w:line="240" w:lineRule="auto"/>
              <w:rPr>
                <w:rFonts w:eastAsia="Times New Roman"/>
                <w:szCs w:val="24"/>
              </w:rPr>
            </w:pPr>
            <w:r w:rsidRPr="00EB11D3">
              <w:rPr>
                <w:rFonts w:eastAsia="Times New Roman"/>
                <w:szCs w:val="24"/>
              </w:rPr>
              <w:t xml:space="preserve">The hospital customer feedback provide basis </w:t>
            </w:r>
            <w:r w:rsidR="002537CE" w:rsidRPr="00EB11D3">
              <w:rPr>
                <w:rFonts w:eastAsia="Times New Roman"/>
                <w:szCs w:val="24"/>
              </w:rPr>
              <w:t>of improving</w:t>
            </w:r>
            <w:r w:rsidRPr="00EB11D3">
              <w:rPr>
                <w:rFonts w:eastAsia="Times New Roman"/>
                <w:szCs w:val="24"/>
              </w:rPr>
              <w:t xml:space="preserve"> service quality</w:t>
            </w:r>
          </w:p>
        </w:tc>
        <w:tc>
          <w:tcPr>
            <w:tcW w:w="223" w:type="pct"/>
            <w:tcBorders>
              <w:top w:val="single" w:sz="4" w:space="0" w:color="auto"/>
              <w:left w:val="single" w:sz="4" w:space="0" w:color="auto"/>
              <w:bottom w:val="single" w:sz="4" w:space="0" w:color="auto"/>
              <w:right w:val="single" w:sz="4" w:space="0" w:color="auto"/>
            </w:tcBorders>
          </w:tcPr>
          <w:p w14:paraId="0539DB7B" w14:textId="77777777" w:rsidR="00C21257" w:rsidRPr="00EB11D3" w:rsidRDefault="00C21257"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17A59F2E"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47D8629B" w14:textId="77777777" w:rsidR="00C21257" w:rsidRPr="00EB11D3" w:rsidRDefault="00C21257"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534BA54E"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181188BD" w14:textId="77777777" w:rsidR="00C21257" w:rsidRPr="00EB11D3" w:rsidRDefault="00C21257" w:rsidP="00052AD2">
            <w:pPr>
              <w:spacing w:after="0" w:line="240" w:lineRule="auto"/>
              <w:rPr>
                <w:rFonts w:eastAsia="Times New Roman"/>
                <w:szCs w:val="24"/>
              </w:rPr>
            </w:pPr>
          </w:p>
        </w:tc>
      </w:tr>
      <w:tr w:rsidR="0039483D" w:rsidRPr="00EB11D3" w14:paraId="5BE0C3B2" w14:textId="77777777" w:rsidTr="00D02CAC">
        <w:trPr>
          <w:trHeight w:val="229"/>
        </w:trPr>
        <w:tc>
          <w:tcPr>
            <w:tcW w:w="190" w:type="pct"/>
            <w:tcBorders>
              <w:top w:val="single" w:sz="4" w:space="0" w:color="auto"/>
              <w:left w:val="single" w:sz="4" w:space="0" w:color="auto"/>
              <w:bottom w:val="single" w:sz="4" w:space="0" w:color="auto"/>
              <w:right w:val="single" w:sz="4" w:space="0" w:color="auto"/>
            </w:tcBorders>
          </w:tcPr>
          <w:p w14:paraId="62DA5A6A" w14:textId="77777777" w:rsidR="00C21257" w:rsidRPr="00EB11D3" w:rsidRDefault="00C21257" w:rsidP="00052AD2">
            <w:pPr>
              <w:spacing w:after="0" w:line="240" w:lineRule="auto"/>
              <w:rPr>
                <w:rFonts w:eastAsia="Times New Roman"/>
                <w:szCs w:val="24"/>
              </w:rPr>
            </w:pPr>
          </w:p>
        </w:tc>
        <w:tc>
          <w:tcPr>
            <w:tcW w:w="3775" w:type="pct"/>
            <w:tcBorders>
              <w:top w:val="single" w:sz="4" w:space="0" w:color="auto"/>
              <w:left w:val="single" w:sz="4" w:space="0" w:color="auto"/>
              <w:bottom w:val="single" w:sz="4" w:space="0" w:color="auto"/>
              <w:right w:val="single" w:sz="4" w:space="0" w:color="auto"/>
            </w:tcBorders>
          </w:tcPr>
          <w:p w14:paraId="6DCB802D" w14:textId="77777777" w:rsidR="00C21257" w:rsidRPr="00EB11D3" w:rsidRDefault="00C21257" w:rsidP="00052AD2">
            <w:pPr>
              <w:spacing w:after="0" w:line="240" w:lineRule="auto"/>
              <w:rPr>
                <w:rFonts w:eastAsia="Times New Roman"/>
                <w:szCs w:val="24"/>
              </w:rPr>
            </w:pPr>
          </w:p>
        </w:tc>
        <w:tc>
          <w:tcPr>
            <w:tcW w:w="223" w:type="pct"/>
            <w:tcBorders>
              <w:top w:val="single" w:sz="4" w:space="0" w:color="auto"/>
              <w:left w:val="single" w:sz="4" w:space="0" w:color="auto"/>
              <w:bottom w:val="single" w:sz="4" w:space="0" w:color="auto"/>
              <w:right w:val="single" w:sz="4" w:space="0" w:color="auto"/>
            </w:tcBorders>
          </w:tcPr>
          <w:p w14:paraId="33013F3A" w14:textId="77777777" w:rsidR="00C21257" w:rsidRPr="00EB11D3" w:rsidRDefault="00C21257"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51E357BB"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19A97B99" w14:textId="77777777" w:rsidR="00C21257" w:rsidRPr="00EB11D3" w:rsidRDefault="00C21257"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15F76E2F"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504AAD22" w14:textId="77777777" w:rsidR="00C21257" w:rsidRPr="00EB11D3" w:rsidRDefault="00C21257" w:rsidP="00052AD2">
            <w:pPr>
              <w:spacing w:after="0" w:line="240" w:lineRule="auto"/>
              <w:rPr>
                <w:rFonts w:eastAsia="Times New Roman"/>
                <w:szCs w:val="24"/>
              </w:rPr>
            </w:pPr>
          </w:p>
        </w:tc>
      </w:tr>
      <w:tr w:rsidR="0039483D" w:rsidRPr="00EB11D3" w14:paraId="709B2275" w14:textId="77777777" w:rsidTr="00D02CAC">
        <w:trPr>
          <w:trHeight w:val="282"/>
        </w:trPr>
        <w:tc>
          <w:tcPr>
            <w:tcW w:w="190" w:type="pct"/>
            <w:tcBorders>
              <w:top w:val="single" w:sz="4" w:space="0" w:color="auto"/>
              <w:left w:val="single" w:sz="4" w:space="0" w:color="auto"/>
              <w:bottom w:val="single" w:sz="4" w:space="0" w:color="auto"/>
              <w:right w:val="single" w:sz="4" w:space="0" w:color="auto"/>
            </w:tcBorders>
          </w:tcPr>
          <w:p w14:paraId="58C07567" w14:textId="77777777" w:rsidR="00C21257" w:rsidRPr="00EB11D3" w:rsidRDefault="00C21257" w:rsidP="00052AD2">
            <w:pPr>
              <w:spacing w:after="0" w:line="240" w:lineRule="auto"/>
              <w:rPr>
                <w:rFonts w:eastAsia="Times New Roman"/>
                <w:szCs w:val="24"/>
              </w:rPr>
            </w:pPr>
          </w:p>
        </w:tc>
        <w:tc>
          <w:tcPr>
            <w:tcW w:w="3775" w:type="pct"/>
            <w:tcBorders>
              <w:top w:val="single" w:sz="4" w:space="0" w:color="auto"/>
              <w:left w:val="single" w:sz="4" w:space="0" w:color="auto"/>
              <w:bottom w:val="single" w:sz="4" w:space="0" w:color="auto"/>
              <w:right w:val="single" w:sz="4" w:space="0" w:color="auto"/>
            </w:tcBorders>
            <w:hideMark/>
          </w:tcPr>
          <w:p w14:paraId="6A64E647"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Efficiency</w:t>
            </w:r>
          </w:p>
        </w:tc>
        <w:tc>
          <w:tcPr>
            <w:tcW w:w="223" w:type="pct"/>
            <w:tcBorders>
              <w:top w:val="single" w:sz="4" w:space="0" w:color="auto"/>
              <w:left w:val="single" w:sz="4" w:space="0" w:color="auto"/>
              <w:bottom w:val="single" w:sz="4" w:space="0" w:color="auto"/>
              <w:right w:val="single" w:sz="4" w:space="0" w:color="auto"/>
            </w:tcBorders>
          </w:tcPr>
          <w:p w14:paraId="3BE32748" w14:textId="77777777" w:rsidR="00C21257" w:rsidRPr="00EB11D3" w:rsidRDefault="00C21257"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1466C7CE"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460BEAB9" w14:textId="77777777" w:rsidR="00C21257" w:rsidRPr="00EB11D3" w:rsidRDefault="00C21257"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5238A096"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61756B1D" w14:textId="77777777" w:rsidR="00C21257" w:rsidRPr="00EB11D3" w:rsidRDefault="00C21257" w:rsidP="00052AD2">
            <w:pPr>
              <w:spacing w:after="0" w:line="240" w:lineRule="auto"/>
              <w:rPr>
                <w:rFonts w:eastAsia="Times New Roman"/>
                <w:szCs w:val="24"/>
              </w:rPr>
            </w:pPr>
          </w:p>
        </w:tc>
      </w:tr>
      <w:tr w:rsidR="0039483D" w:rsidRPr="00EB11D3" w14:paraId="76A2ABE7" w14:textId="77777777" w:rsidTr="00D02CAC">
        <w:trPr>
          <w:trHeight w:val="259"/>
        </w:trPr>
        <w:tc>
          <w:tcPr>
            <w:tcW w:w="190" w:type="pct"/>
            <w:tcBorders>
              <w:top w:val="single" w:sz="4" w:space="0" w:color="auto"/>
              <w:left w:val="single" w:sz="4" w:space="0" w:color="auto"/>
              <w:bottom w:val="single" w:sz="4" w:space="0" w:color="auto"/>
              <w:right w:val="single" w:sz="4" w:space="0" w:color="auto"/>
            </w:tcBorders>
            <w:hideMark/>
          </w:tcPr>
          <w:p w14:paraId="0A85C410" w14:textId="77777777" w:rsidR="00C21257" w:rsidRPr="00EB11D3" w:rsidRDefault="00C21257" w:rsidP="00052AD2">
            <w:pPr>
              <w:spacing w:after="0" w:line="240" w:lineRule="auto"/>
              <w:rPr>
                <w:rFonts w:eastAsia="Times New Roman"/>
                <w:szCs w:val="24"/>
              </w:rPr>
            </w:pPr>
            <w:r w:rsidRPr="00EB11D3">
              <w:rPr>
                <w:rFonts w:eastAsia="Times New Roman"/>
                <w:szCs w:val="24"/>
              </w:rPr>
              <w:t>1</w:t>
            </w:r>
          </w:p>
        </w:tc>
        <w:tc>
          <w:tcPr>
            <w:tcW w:w="3775" w:type="pct"/>
            <w:tcBorders>
              <w:top w:val="single" w:sz="4" w:space="0" w:color="auto"/>
              <w:left w:val="single" w:sz="4" w:space="0" w:color="auto"/>
              <w:bottom w:val="single" w:sz="4" w:space="0" w:color="auto"/>
              <w:right w:val="single" w:sz="4" w:space="0" w:color="auto"/>
            </w:tcBorders>
            <w:hideMark/>
          </w:tcPr>
          <w:p w14:paraId="48BF6052" w14:textId="77777777" w:rsidR="00C21257" w:rsidRPr="00EB11D3" w:rsidRDefault="00C21257" w:rsidP="00052AD2">
            <w:pPr>
              <w:spacing w:after="0" w:line="240" w:lineRule="auto"/>
              <w:rPr>
                <w:rFonts w:eastAsia="Times New Roman"/>
                <w:szCs w:val="24"/>
              </w:rPr>
            </w:pPr>
            <w:r w:rsidRPr="00EB11D3">
              <w:rPr>
                <w:rFonts w:eastAsia="Times New Roman"/>
                <w:szCs w:val="24"/>
              </w:rPr>
              <w:t xml:space="preserve">The hospital regularly </w:t>
            </w:r>
            <w:r w:rsidR="002537CE" w:rsidRPr="00EB11D3">
              <w:rPr>
                <w:rFonts w:eastAsia="Times New Roman"/>
                <w:szCs w:val="24"/>
              </w:rPr>
              <w:t>evaluates barriers</w:t>
            </w:r>
            <w:r w:rsidRPr="00EB11D3">
              <w:rPr>
                <w:rFonts w:eastAsia="Times New Roman"/>
                <w:szCs w:val="24"/>
              </w:rPr>
              <w:t xml:space="preserve"> to performance  </w:t>
            </w:r>
          </w:p>
        </w:tc>
        <w:tc>
          <w:tcPr>
            <w:tcW w:w="223" w:type="pct"/>
            <w:tcBorders>
              <w:top w:val="single" w:sz="4" w:space="0" w:color="auto"/>
              <w:left w:val="single" w:sz="4" w:space="0" w:color="auto"/>
              <w:bottom w:val="single" w:sz="4" w:space="0" w:color="auto"/>
              <w:right w:val="single" w:sz="4" w:space="0" w:color="auto"/>
            </w:tcBorders>
          </w:tcPr>
          <w:p w14:paraId="70DF00B4" w14:textId="77777777" w:rsidR="00C21257" w:rsidRPr="00EB11D3" w:rsidRDefault="00C21257"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362AEE34"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280121A0" w14:textId="77777777" w:rsidR="00C21257" w:rsidRPr="00EB11D3" w:rsidRDefault="00C21257"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4E73BDB5"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4941A6A4" w14:textId="77777777" w:rsidR="00C21257" w:rsidRPr="00EB11D3" w:rsidRDefault="00C21257" w:rsidP="00052AD2">
            <w:pPr>
              <w:spacing w:after="0" w:line="240" w:lineRule="auto"/>
              <w:rPr>
                <w:rFonts w:eastAsia="Times New Roman"/>
                <w:szCs w:val="24"/>
              </w:rPr>
            </w:pPr>
          </w:p>
        </w:tc>
      </w:tr>
      <w:tr w:rsidR="0039483D" w:rsidRPr="00EB11D3" w14:paraId="3DAEDAB9" w14:textId="77777777" w:rsidTr="00D02CAC">
        <w:trPr>
          <w:trHeight w:val="355"/>
        </w:trPr>
        <w:tc>
          <w:tcPr>
            <w:tcW w:w="190" w:type="pct"/>
            <w:tcBorders>
              <w:top w:val="single" w:sz="4" w:space="0" w:color="auto"/>
              <w:left w:val="single" w:sz="4" w:space="0" w:color="auto"/>
              <w:bottom w:val="single" w:sz="4" w:space="0" w:color="auto"/>
              <w:right w:val="single" w:sz="4" w:space="0" w:color="auto"/>
            </w:tcBorders>
            <w:hideMark/>
          </w:tcPr>
          <w:p w14:paraId="59A9C450" w14:textId="77777777" w:rsidR="00C21257" w:rsidRPr="00EB11D3" w:rsidRDefault="00C21257" w:rsidP="00052AD2">
            <w:pPr>
              <w:spacing w:after="0" w:line="240" w:lineRule="auto"/>
              <w:rPr>
                <w:rFonts w:eastAsia="Times New Roman"/>
                <w:szCs w:val="24"/>
              </w:rPr>
            </w:pPr>
            <w:r w:rsidRPr="00EB11D3">
              <w:rPr>
                <w:rFonts w:eastAsia="Times New Roman"/>
                <w:szCs w:val="24"/>
              </w:rPr>
              <w:t>2</w:t>
            </w:r>
          </w:p>
        </w:tc>
        <w:tc>
          <w:tcPr>
            <w:tcW w:w="3775" w:type="pct"/>
            <w:tcBorders>
              <w:top w:val="single" w:sz="4" w:space="0" w:color="auto"/>
              <w:left w:val="single" w:sz="4" w:space="0" w:color="auto"/>
              <w:bottom w:val="single" w:sz="4" w:space="0" w:color="auto"/>
              <w:right w:val="single" w:sz="4" w:space="0" w:color="auto"/>
            </w:tcBorders>
            <w:hideMark/>
          </w:tcPr>
          <w:p w14:paraId="60DD1397" w14:textId="77777777" w:rsidR="00C21257" w:rsidRPr="00EB11D3" w:rsidRDefault="00C21257" w:rsidP="00052AD2">
            <w:pPr>
              <w:spacing w:after="0" w:line="240" w:lineRule="auto"/>
              <w:rPr>
                <w:rFonts w:eastAsia="Times New Roman"/>
                <w:szCs w:val="24"/>
              </w:rPr>
            </w:pPr>
            <w:r w:rsidRPr="00EB11D3">
              <w:rPr>
                <w:rFonts w:eastAsia="Times New Roman"/>
                <w:szCs w:val="24"/>
              </w:rPr>
              <w:t xml:space="preserve">The hospital </w:t>
            </w:r>
            <w:r w:rsidR="002537CE" w:rsidRPr="00EB11D3">
              <w:rPr>
                <w:rFonts w:eastAsia="Times New Roman"/>
                <w:szCs w:val="24"/>
              </w:rPr>
              <w:t>strives</w:t>
            </w:r>
            <w:r w:rsidRPr="00EB11D3">
              <w:rPr>
                <w:rFonts w:eastAsia="Times New Roman"/>
                <w:szCs w:val="24"/>
              </w:rPr>
              <w:t xml:space="preserve"> to meet customers’ needs </w:t>
            </w:r>
          </w:p>
        </w:tc>
        <w:tc>
          <w:tcPr>
            <w:tcW w:w="223" w:type="pct"/>
            <w:tcBorders>
              <w:top w:val="single" w:sz="4" w:space="0" w:color="auto"/>
              <w:left w:val="single" w:sz="4" w:space="0" w:color="auto"/>
              <w:bottom w:val="single" w:sz="4" w:space="0" w:color="auto"/>
              <w:right w:val="single" w:sz="4" w:space="0" w:color="auto"/>
            </w:tcBorders>
          </w:tcPr>
          <w:p w14:paraId="1C458297" w14:textId="77777777" w:rsidR="00C21257" w:rsidRPr="00EB11D3" w:rsidRDefault="00C21257"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31AFA290"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39FC41A2" w14:textId="77777777" w:rsidR="00C21257" w:rsidRPr="00EB11D3" w:rsidRDefault="00C21257"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1D6EBD18"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3C590202" w14:textId="77777777" w:rsidR="00C21257" w:rsidRPr="00EB11D3" w:rsidRDefault="00C21257" w:rsidP="00052AD2">
            <w:pPr>
              <w:spacing w:after="0" w:line="240" w:lineRule="auto"/>
              <w:rPr>
                <w:rFonts w:eastAsia="Times New Roman"/>
                <w:szCs w:val="24"/>
              </w:rPr>
            </w:pPr>
          </w:p>
        </w:tc>
      </w:tr>
      <w:tr w:rsidR="0039483D" w:rsidRPr="00EB11D3" w14:paraId="4401964B" w14:textId="77777777" w:rsidTr="00D02CAC">
        <w:trPr>
          <w:trHeight w:val="355"/>
        </w:trPr>
        <w:tc>
          <w:tcPr>
            <w:tcW w:w="190" w:type="pct"/>
            <w:tcBorders>
              <w:top w:val="single" w:sz="4" w:space="0" w:color="auto"/>
              <w:left w:val="single" w:sz="4" w:space="0" w:color="auto"/>
              <w:bottom w:val="single" w:sz="4" w:space="0" w:color="auto"/>
              <w:right w:val="single" w:sz="4" w:space="0" w:color="auto"/>
            </w:tcBorders>
            <w:hideMark/>
          </w:tcPr>
          <w:p w14:paraId="7809B66F" w14:textId="77777777" w:rsidR="00C21257" w:rsidRPr="00EB11D3" w:rsidRDefault="00C21257" w:rsidP="00052AD2">
            <w:pPr>
              <w:spacing w:after="0" w:line="240" w:lineRule="auto"/>
              <w:rPr>
                <w:rFonts w:eastAsia="Times New Roman"/>
                <w:szCs w:val="24"/>
              </w:rPr>
            </w:pPr>
            <w:r w:rsidRPr="00EB11D3">
              <w:rPr>
                <w:rFonts w:eastAsia="Times New Roman"/>
                <w:szCs w:val="24"/>
              </w:rPr>
              <w:t>3</w:t>
            </w:r>
          </w:p>
        </w:tc>
        <w:tc>
          <w:tcPr>
            <w:tcW w:w="3775" w:type="pct"/>
            <w:tcBorders>
              <w:top w:val="single" w:sz="4" w:space="0" w:color="auto"/>
              <w:left w:val="single" w:sz="4" w:space="0" w:color="auto"/>
              <w:bottom w:val="single" w:sz="4" w:space="0" w:color="auto"/>
              <w:right w:val="single" w:sz="4" w:space="0" w:color="auto"/>
            </w:tcBorders>
            <w:hideMark/>
          </w:tcPr>
          <w:p w14:paraId="27A8A840" w14:textId="77777777" w:rsidR="00C21257" w:rsidRPr="00EB11D3" w:rsidRDefault="00C21257" w:rsidP="00052AD2">
            <w:pPr>
              <w:spacing w:after="0" w:line="240" w:lineRule="auto"/>
              <w:rPr>
                <w:rFonts w:eastAsia="Times New Roman"/>
                <w:szCs w:val="24"/>
              </w:rPr>
            </w:pPr>
            <w:r w:rsidRPr="00EB11D3">
              <w:rPr>
                <w:rFonts w:eastAsia="Times New Roman"/>
                <w:szCs w:val="24"/>
              </w:rPr>
              <w:t>The hospital leadership align hospital strategy with customer expectation</w:t>
            </w:r>
          </w:p>
        </w:tc>
        <w:tc>
          <w:tcPr>
            <w:tcW w:w="223" w:type="pct"/>
            <w:tcBorders>
              <w:top w:val="single" w:sz="4" w:space="0" w:color="auto"/>
              <w:left w:val="single" w:sz="4" w:space="0" w:color="auto"/>
              <w:bottom w:val="single" w:sz="4" w:space="0" w:color="auto"/>
              <w:right w:val="single" w:sz="4" w:space="0" w:color="auto"/>
            </w:tcBorders>
          </w:tcPr>
          <w:p w14:paraId="0C4B76B2" w14:textId="77777777" w:rsidR="00C21257" w:rsidRPr="00EB11D3" w:rsidRDefault="00C21257"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46153D2A"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37D85E6F" w14:textId="77777777" w:rsidR="00C21257" w:rsidRPr="00EB11D3" w:rsidRDefault="00C21257"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02AB8A91"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09EF7FAC" w14:textId="77777777" w:rsidR="00C21257" w:rsidRPr="00EB11D3" w:rsidRDefault="00C21257" w:rsidP="00052AD2">
            <w:pPr>
              <w:spacing w:after="0" w:line="240" w:lineRule="auto"/>
              <w:rPr>
                <w:rFonts w:eastAsia="Times New Roman"/>
                <w:szCs w:val="24"/>
              </w:rPr>
            </w:pPr>
          </w:p>
        </w:tc>
      </w:tr>
      <w:tr w:rsidR="0039483D" w:rsidRPr="00EB11D3" w14:paraId="037EF72D" w14:textId="77777777" w:rsidTr="00D02CAC">
        <w:trPr>
          <w:trHeight w:val="355"/>
        </w:trPr>
        <w:tc>
          <w:tcPr>
            <w:tcW w:w="190" w:type="pct"/>
            <w:tcBorders>
              <w:top w:val="single" w:sz="4" w:space="0" w:color="auto"/>
              <w:left w:val="single" w:sz="4" w:space="0" w:color="auto"/>
              <w:bottom w:val="single" w:sz="4" w:space="0" w:color="auto"/>
              <w:right w:val="single" w:sz="4" w:space="0" w:color="auto"/>
            </w:tcBorders>
            <w:hideMark/>
          </w:tcPr>
          <w:p w14:paraId="0BEF9D8C" w14:textId="77777777" w:rsidR="00C21257" w:rsidRPr="00EB11D3" w:rsidRDefault="00C21257" w:rsidP="00052AD2">
            <w:pPr>
              <w:spacing w:after="0" w:line="240" w:lineRule="auto"/>
              <w:rPr>
                <w:rFonts w:eastAsia="Times New Roman"/>
                <w:szCs w:val="24"/>
              </w:rPr>
            </w:pPr>
            <w:r w:rsidRPr="00EB11D3">
              <w:rPr>
                <w:rFonts w:eastAsia="Times New Roman"/>
                <w:szCs w:val="24"/>
              </w:rPr>
              <w:t>4</w:t>
            </w:r>
          </w:p>
        </w:tc>
        <w:tc>
          <w:tcPr>
            <w:tcW w:w="3775" w:type="pct"/>
            <w:tcBorders>
              <w:top w:val="single" w:sz="4" w:space="0" w:color="auto"/>
              <w:left w:val="single" w:sz="4" w:space="0" w:color="auto"/>
              <w:bottom w:val="single" w:sz="4" w:space="0" w:color="auto"/>
              <w:right w:val="single" w:sz="4" w:space="0" w:color="auto"/>
            </w:tcBorders>
            <w:hideMark/>
          </w:tcPr>
          <w:p w14:paraId="027BB40B" w14:textId="77777777" w:rsidR="00C21257" w:rsidRPr="00EB11D3" w:rsidRDefault="00C21257" w:rsidP="00052AD2">
            <w:pPr>
              <w:spacing w:after="0" w:line="240" w:lineRule="auto"/>
              <w:rPr>
                <w:rFonts w:eastAsia="Times New Roman"/>
                <w:szCs w:val="24"/>
              </w:rPr>
            </w:pPr>
            <w:r w:rsidRPr="00EB11D3">
              <w:rPr>
                <w:rFonts w:eastAsia="Times New Roman"/>
                <w:szCs w:val="24"/>
              </w:rPr>
              <w:t>The hospital streamlines its process to maximize available resources.</w:t>
            </w:r>
          </w:p>
        </w:tc>
        <w:tc>
          <w:tcPr>
            <w:tcW w:w="223" w:type="pct"/>
            <w:tcBorders>
              <w:top w:val="single" w:sz="4" w:space="0" w:color="auto"/>
              <w:left w:val="single" w:sz="4" w:space="0" w:color="auto"/>
              <w:bottom w:val="single" w:sz="4" w:space="0" w:color="auto"/>
              <w:right w:val="single" w:sz="4" w:space="0" w:color="auto"/>
            </w:tcBorders>
          </w:tcPr>
          <w:p w14:paraId="5EB6B59A" w14:textId="77777777" w:rsidR="00C21257" w:rsidRPr="00EB11D3" w:rsidRDefault="00C21257"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2261CA36"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1C974E5D" w14:textId="77777777" w:rsidR="00C21257" w:rsidRPr="00EB11D3" w:rsidRDefault="00C21257"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73A609F8"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43D9542C" w14:textId="77777777" w:rsidR="00C21257" w:rsidRPr="00EB11D3" w:rsidRDefault="00C21257" w:rsidP="00052AD2">
            <w:pPr>
              <w:spacing w:after="0" w:line="240" w:lineRule="auto"/>
              <w:rPr>
                <w:rFonts w:eastAsia="Times New Roman"/>
                <w:szCs w:val="24"/>
              </w:rPr>
            </w:pPr>
          </w:p>
        </w:tc>
      </w:tr>
      <w:tr w:rsidR="0039483D" w:rsidRPr="00EB11D3" w14:paraId="7A308E7B" w14:textId="77777777" w:rsidTr="00D02CAC">
        <w:trPr>
          <w:trHeight w:val="355"/>
        </w:trPr>
        <w:tc>
          <w:tcPr>
            <w:tcW w:w="190" w:type="pct"/>
            <w:tcBorders>
              <w:top w:val="single" w:sz="4" w:space="0" w:color="auto"/>
              <w:left w:val="single" w:sz="4" w:space="0" w:color="auto"/>
              <w:bottom w:val="single" w:sz="4" w:space="0" w:color="auto"/>
              <w:right w:val="single" w:sz="4" w:space="0" w:color="auto"/>
            </w:tcBorders>
            <w:hideMark/>
          </w:tcPr>
          <w:p w14:paraId="38DD2EFF" w14:textId="77777777" w:rsidR="00C21257" w:rsidRPr="00EB11D3" w:rsidRDefault="00C21257" w:rsidP="00052AD2">
            <w:pPr>
              <w:spacing w:after="0" w:line="240" w:lineRule="auto"/>
              <w:rPr>
                <w:rFonts w:eastAsia="Times New Roman"/>
                <w:szCs w:val="24"/>
              </w:rPr>
            </w:pPr>
            <w:r w:rsidRPr="00EB11D3">
              <w:rPr>
                <w:rFonts w:eastAsia="Times New Roman"/>
                <w:szCs w:val="24"/>
              </w:rPr>
              <w:t>5</w:t>
            </w:r>
          </w:p>
        </w:tc>
        <w:tc>
          <w:tcPr>
            <w:tcW w:w="3775" w:type="pct"/>
            <w:tcBorders>
              <w:top w:val="single" w:sz="4" w:space="0" w:color="auto"/>
              <w:left w:val="single" w:sz="4" w:space="0" w:color="auto"/>
              <w:bottom w:val="single" w:sz="4" w:space="0" w:color="auto"/>
              <w:right w:val="single" w:sz="4" w:space="0" w:color="auto"/>
            </w:tcBorders>
            <w:hideMark/>
          </w:tcPr>
          <w:p w14:paraId="1860C894" w14:textId="77777777" w:rsidR="00C21257" w:rsidRPr="00EB11D3" w:rsidRDefault="00C21257" w:rsidP="00052AD2">
            <w:pPr>
              <w:spacing w:after="0" w:line="240" w:lineRule="auto"/>
              <w:rPr>
                <w:rFonts w:eastAsia="Times New Roman"/>
                <w:szCs w:val="24"/>
              </w:rPr>
            </w:pPr>
            <w:r w:rsidRPr="00EB11D3">
              <w:rPr>
                <w:rFonts w:eastAsia="Times New Roman"/>
                <w:szCs w:val="24"/>
              </w:rPr>
              <w:t>The hospital ensures optimal allocation of scarce resources.</w:t>
            </w:r>
          </w:p>
        </w:tc>
        <w:tc>
          <w:tcPr>
            <w:tcW w:w="223" w:type="pct"/>
            <w:tcBorders>
              <w:top w:val="single" w:sz="4" w:space="0" w:color="auto"/>
              <w:left w:val="single" w:sz="4" w:space="0" w:color="auto"/>
              <w:bottom w:val="single" w:sz="4" w:space="0" w:color="auto"/>
              <w:right w:val="single" w:sz="4" w:space="0" w:color="auto"/>
            </w:tcBorders>
          </w:tcPr>
          <w:p w14:paraId="53FB845F" w14:textId="77777777" w:rsidR="00C21257" w:rsidRPr="00EB11D3" w:rsidRDefault="00C21257"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73120999"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160731AA" w14:textId="77777777" w:rsidR="00C21257" w:rsidRPr="00EB11D3" w:rsidRDefault="00C21257"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2D08FCA2"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4CD09D54" w14:textId="77777777" w:rsidR="00C21257" w:rsidRPr="00EB11D3" w:rsidRDefault="00C21257" w:rsidP="00052AD2">
            <w:pPr>
              <w:spacing w:after="0" w:line="240" w:lineRule="auto"/>
              <w:rPr>
                <w:rFonts w:eastAsia="Times New Roman"/>
                <w:szCs w:val="24"/>
              </w:rPr>
            </w:pPr>
          </w:p>
        </w:tc>
      </w:tr>
      <w:tr w:rsidR="0039483D" w:rsidRPr="00EB11D3" w14:paraId="38E6E184" w14:textId="77777777" w:rsidTr="00052AD2">
        <w:trPr>
          <w:trHeight w:val="323"/>
        </w:trPr>
        <w:tc>
          <w:tcPr>
            <w:tcW w:w="190" w:type="pct"/>
            <w:tcBorders>
              <w:top w:val="single" w:sz="4" w:space="0" w:color="auto"/>
              <w:left w:val="single" w:sz="4" w:space="0" w:color="auto"/>
              <w:bottom w:val="single" w:sz="4" w:space="0" w:color="auto"/>
              <w:right w:val="single" w:sz="4" w:space="0" w:color="auto"/>
            </w:tcBorders>
            <w:hideMark/>
          </w:tcPr>
          <w:p w14:paraId="33D70543" w14:textId="77777777" w:rsidR="00C21257" w:rsidRPr="00EB11D3" w:rsidRDefault="00C21257" w:rsidP="00052AD2">
            <w:pPr>
              <w:spacing w:after="0" w:line="240" w:lineRule="auto"/>
              <w:rPr>
                <w:rFonts w:eastAsia="Times New Roman"/>
                <w:szCs w:val="24"/>
              </w:rPr>
            </w:pPr>
            <w:r w:rsidRPr="00EB11D3">
              <w:rPr>
                <w:rFonts w:eastAsia="Times New Roman"/>
                <w:szCs w:val="24"/>
              </w:rPr>
              <w:t>6</w:t>
            </w:r>
          </w:p>
        </w:tc>
        <w:tc>
          <w:tcPr>
            <w:tcW w:w="3775" w:type="pct"/>
            <w:tcBorders>
              <w:top w:val="single" w:sz="4" w:space="0" w:color="auto"/>
              <w:left w:val="single" w:sz="4" w:space="0" w:color="auto"/>
              <w:bottom w:val="single" w:sz="4" w:space="0" w:color="auto"/>
              <w:right w:val="single" w:sz="4" w:space="0" w:color="auto"/>
            </w:tcBorders>
            <w:hideMark/>
          </w:tcPr>
          <w:p w14:paraId="5AF1A97D" w14:textId="77777777" w:rsidR="00C21257" w:rsidRPr="00EB11D3" w:rsidRDefault="00C21257" w:rsidP="00052AD2">
            <w:pPr>
              <w:spacing w:after="0" w:line="240" w:lineRule="auto"/>
              <w:rPr>
                <w:rFonts w:eastAsia="Times New Roman"/>
                <w:szCs w:val="24"/>
              </w:rPr>
            </w:pPr>
            <w:r w:rsidRPr="00EB11D3">
              <w:rPr>
                <w:rFonts w:eastAsia="Times New Roman"/>
                <w:szCs w:val="24"/>
              </w:rPr>
              <w:t xml:space="preserve">Strategic alignment with hospital objectives enhances performance.  </w:t>
            </w:r>
          </w:p>
        </w:tc>
        <w:tc>
          <w:tcPr>
            <w:tcW w:w="223" w:type="pct"/>
            <w:tcBorders>
              <w:top w:val="single" w:sz="4" w:space="0" w:color="auto"/>
              <w:left w:val="single" w:sz="4" w:space="0" w:color="auto"/>
              <w:bottom w:val="single" w:sz="4" w:space="0" w:color="auto"/>
              <w:right w:val="single" w:sz="4" w:space="0" w:color="auto"/>
            </w:tcBorders>
          </w:tcPr>
          <w:p w14:paraId="04000B90" w14:textId="77777777" w:rsidR="00C21257" w:rsidRPr="00EB11D3" w:rsidRDefault="00C21257"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10C83D0D"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6CDAD5DD" w14:textId="77777777" w:rsidR="00C21257" w:rsidRPr="00EB11D3" w:rsidRDefault="00C21257"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224B7DB1"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4521B343" w14:textId="77777777" w:rsidR="00C21257" w:rsidRPr="00EB11D3" w:rsidRDefault="00C21257" w:rsidP="00052AD2">
            <w:pPr>
              <w:spacing w:after="0" w:line="240" w:lineRule="auto"/>
              <w:rPr>
                <w:rFonts w:eastAsia="Times New Roman"/>
                <w:szCs w:val="24"/>
              </w:rPr>
            </w:pPr>
          </w:p>
        </w:tc>
      </w:tr>
      <w:tr w:rsidR="0039483D" w:rsidRPr="00EB11D3" w14:paraId="0A281A54" w14:textId="77777777" w:rsidTr="00D02CAC">
        <w:trPr>
          <w:trHeight w:val="563"/>
        </w:trPr>
        <w:tc>
          <w:tcPr>
            <w:tcW w:w="190" w:type="pct"/>
            <w:tcBorders>
              <w:top w:val="single" w:sz="4" w:space="0" w:color="auto"/>
              <w:left w:val="single" w:sz="4" w:space="0" w:color="auto"/>
              <w:bottom w:val="single" w:sz="4" w:space="0" w:color="auto"/>
              <w:right w:val="single" w:sz="4" w:space="0" w:color="auto"/>
            </w:tcBorders>
            <w:hideMark/>
          </w:tcPr>
          <w:p w14:paraId="0C664612" w14:textId="77777777" w:rsidR="00C21257" w:rsidRPr="00EB11D3" w:rsidRDefault="00C21257" w:rsidP="00052AD2">
            <w:pPr>
              <w:spacing w:after="0" w:line="240" w:lineRule="auto"/>
              <w:rPr>
                <w:rFonts w:eastAsia="Times New Roman"/>
                <w:szCs w:val="24"/>
              </w:rPr>
            </w:pPr>
            <w:r w:rsidRPr="00EB11D3">
              <w:rPr>
                <w:rFonts w:eastAsia="Times New Roman"/>
                <w:szCs w:val="24"/>
              </w:rPr>
              <w:t>7</w:t>
            </w:r>
          </w:p>
        </w:tc>
        <w:tc>
          <w:tcPr>
            <w:tcW w:w="3775" w:type="pct"/>
            <w:tcBorders>
              <w:top w:val="single" w:sz="4" w:space="0" w:color="auto"/>
              <w:left w:val="single" w:sz="4" w:space="0" w:color="auto"/>
              <w:bottom w:val="single" w:sz="4" w:space="0" w:color="auto"/>
              <w:right w:val="single" w:sz="4" w:space="0" w:color="auto"/>
            </w:tcBorders>
            <w:hideMark/>
          </w:tcPr>
          <w:p w14:paraId="4A9ACE18" w14:textId="77777777" w:rsidR="00C21257" w:rsidRPr="00EB11D3" w:rsidRDefault="00C21257" w:rsidP="00052AD2">
            <w:pPr>
              <w:spacing w:after="0" w:line="240" w:lineRule="auto"/>
              <w:rPr>
                <w:rFonts w:eastAsia="Times New Roman"/>
                <w:szCs w:val="24"/>
              </w:rPr>
            </w:pPr>
            <w:r w:rsidRPr="00EB11D3">
              <w:rPr>
                <w:rFonts w:eastAsia="Times New Roman"/>
                <w:szCs w:val="24"/>
              </w:rPr>
              <w:t>There is increased utilisation of clinical technologies to enhance quality service delivery</w:t>
            </w:r>
          </w:p>
        </w:tc>
        <w:tc>
          <w:tcPr>
            <w:tcW w:w="223" w:type="pct"/>
            <w:tcBorders>
              <w:top w:val="single" w:sz="4" w:space="0" w:color="auto"/>
              <w:left w:val="single" w:sz="4" w:space="0" w:color="auto"/>
              <w:bottom w:val="single" w:sz="4" w:space="0" w:color="auto"/>
              <w:right w:val="single" w:sz="4" w:space="0" w:color="auto"/>
            </w:tcBorders>
          </w:tcPr>
          <w:p w14:paraId="2FE15958" w14:textId="77777777" w:rsidR="00C21257" w:rsidRPr="00EB11D3" w:rsidRDefault="00C21257"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732D4AA6"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2B95BFA9" w14:textId="77777777" w:rsidR="00C21257" w:rsidRPr="00EB11D3" w:rsidRDefault="00C21257"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2AE68BE4"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699166F8" w14:textId="77777777" w:rsidR="00C21257" w:rsidRPr="00EB11D3" w:rsidRDefault="00C21257" w:rsidP="00052AD2">
            <w:pPr>
              <w:spacing w:after="0" w:line="240" w:lineRule="auto"/>
              <w:rPr>
                <w:rFonts w:eastAsia="Times New Roman"/>
                <w:szCs w:val="24"/>
              </w:rPr>
            </w:pPr>
          </w:p>
        </w:tc>
      </w:tr>
      <w:tr w:rsidR="0039483D" w:rsidRPr="00EB11D3" w14:paraId="761B3D16" w14:textId="77777777" w:rsidTr="00D02CAC">
        <w:trPr>
          <w:trHeight w:val="143"/>
        </w:trPr>
        <w:tc>
          <w:tcPr>
            <w:tcW w:w="190" w:type="pct"/>
            <w:tcBorders>
              <w:top w:val="single" w:sz="4" w:space="0" w:color="auto"/>
              <w:left w:val="single" w:sz="4" w:space="0" w:color="auto"/>
              <w:bottom w:val="single" w:sz="4" w:space="0" w:color="auto"/>
              <w:right w:val="single" w:sz="4" w:space="0" w:color="auto"/>
            </w:tcBorders>
          </w:tcPr>
          <w:p w14:paraId="3F86C103" w14:textId="77777777" w:rsidR="00C21257" w:rsidRPr="00EB11D3" w:rsidRDefault="00C21257" w:rsidP="00052AD2">
            <w:pPr>
              <w:spacing w:after="0" w:line="240" w:lineRule="auto"/>
              <w:rPr>
                <w:rFonts w:eastAsia="Times New Roman"/>
                <w:szCs w:val="24"/>
              </w:rPr>
            </w:pPr>
          </w:p>
        </w:tc>
        <w:tc>
          <w:tcPr>
            <w:tcW w:w="3775" w:type="pct"/>
            <w:tcBorders>
              <w:top w:val="single" w:sz="4" w:space="0" w:color="auto"/>
              <w:left w:val="single" w:sz="4" w:space="0" w:color="auto"/>
              <w:bottom w:val="single" w:sz="4" w:space="0" w:color="auto"/>
              <w:right w:val="single" w:sz="4" w:space="0" w:color="auto"/>
            </w:tcBorders>
          </w:tcPr>
          <w:p w14:paraId="2FA76848" w14:textId="77777777" w:rsidR="00C21257" w:rsidRPr="00EB11D3" w:rsidRDefault="00C21257" w:rsidP="00052AD2">
            <w:pPr>
              <w:spacing w:after="0" w:line="240" w:lineRule="auto"/>
              <w:rPr>
                <w:rFonts w:eastAsia="Times New Roman"/>
                <w:szCs w:val="24"/>
              </w:rPr>
            </w:pPr>
          </w:p>
        </w:tc>
        <w:tc>
          <w:tcPr>
            <w:tcW w:w="223" w:type="pct"/>
            <w:tcBorders>
              <w:top w:val="single" w:sz="4" w:space="0" w:color="auto"/>
              <w:left w:val="single" w:sz="4" w:space="0" w:color="auto"/>
              <w:bottom w:val="single" w:sz="4" w:space="0" w:color="auto"/>
              <w:right w:val="single" w:sz="4" w:space="0" w:color="auto"/>
            </w:tcBorders>
          </w:tcPr>
          <w:p w14:paraId="445863FA" w14:textId="77777777" w:rsidR="00C21257" w:rsidRPr="00EB11D3" w:rsidRDefault="00C21257"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0E005526"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3DCF58CA" w14:textId="77777777" w:rsidR="00C21257" w:rsidRPr="00EB11D3" w:rsidRDefault="00C21257"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568E09E2"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221E0E67" w14:textId="77777777" w:rsidR="00C21257" w:rsidRPr="00EB11D3" w:rsidRDefault="00C21257" w:rsidP="00052AD2">
            <w:pPr>
              <w:spacing w:after="0" w:line="240" w:lineRule="auto"/>
              <w:rPr>
                <w:rFonts w:eastAsia="Times New Roman"/>
                <w:szCs w:val="24"/>
              </w:rPr>
            </w:pPr>
          </w:p>
        </w:tc>
      </w:tr>
      <w:tr w:rsidR="0039483D" w:rsidRPr="00EB11D3" w14:paraId="041A0920" w14:textId="77777777" w:rsidTr="00D02CAC">
        <w:trPr>
          <w:trHeight w:val="361"/>
        </w:trPr>
        <w:tc>
          <w:tcPr>
            <w:tcW w:w="190" w:type="pct"/>
            <w:tcBorders>
              <w:top w:val="single" w:sz="4" w:space="0" w:color="auto"/>
              <w:left w:val="single" w:sz="4" w:space="0" w:color="auto"/>
              <w:bottom w:val="single" w:sz="4" w:space="0" w:color="auto"/>
              <w:right w:val="single" w:sz="4" w:space="0" w:color="auto"/>
            </w:tcBorders>
          </w:tcPr>
          <w:p w14:paraId="0E0373A0" w14:textId="77777777" w:rsidR="00C21257" w:rsidRPr="00EB11D3" w:rsidRDefault="00C21257" w:rsidP="00052AD2">
            <w:pPr>
              <w:spacing w:after="0" w:line="240" w:lineRule="auto"/>
              <w:rPr>
                <w:rFonts w:eastAsia="Times New Roman"/>
                <w:szCs w:val="24"/>
              </w:rPr>
            </w:pPr>
          </w:p>
        </w:tc>
        <w:tc>
          <w:tcPr>
            <w:tcW w:w="3775" w:type="pct"/>
            <w:tcBorders>
              <w:top w:val="single" w:sz="4" w:space="0" w:color="auto"/>
              <w:left w:val="single" w:sz="4" w:space="0" w:color="auto"/>
              <w:bottom w:val="single" w:sz="4" w:space="0" w:color="auto"/>
              <w:right w:val="single" w:sz="4" w:space="0" w:color="auto"/>
            </w:tcBorders>
            <w:hideMark/>
          </w:tcPr>
          <w:p w14:paraId="3577738D" w14:textId="77777777" w:rsidR="00C21257" w:rsidRPr="00EB11D3" w:rsidRDefault="00C21257" w:rsidP="00052AD2">
            <w:pPr>
              <w:spacing w:after="0" w:line="240" w:lineRule="auto"/>
              <w:rPr>
                <w:rFonts w:eastAsia="Times New Roman"/>
                <w:b/>
                <w:bCs/>
                <w:szCs w:val="24"/>
              </w:rPr>
            </w:pPr>
            <w:r w:rsidRPr="00EB11D3">
              <w:rPr>
                <w:rFonts w:eastAsia="Times New Roman"/>
                <w:b/>
                <w:bCs/>
                <w:szCs w:val="24"/>
              </w:rPr>
              <w:t>Productivity</w:t>
            </w:r>
          </w:p>
        </w:tc>
        <w:tc>
          <w:tcPr>
            <w:tcW w:w="223" w:type="pct"/>
            <w:tcBorders>
              <w:top w:val="single" w:sz="4" w:space="0" w:color="auto"/>
              <w:left w:val="single" w:sz="4" w:space="0" w:color="auto"/>
              <w:bottom w:val="single" w:sz="4" w:space="0" w:color="auto"/>
              <w:right w:val="single" w:sz="4" w:space="0" w:color="auto"/>
            </w:tcBorders>
          </w:tcPr>
          <w:p w14:paraId="4298CB6E" w14:textId="77777777" w:rsidR="00C21257" w:rsidRPr="00EB11D3" w:rsidRDefault="00C21257"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7AC10151"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595C6FC5" w14:textId="77777777" w:rsidR="00C21257" w:rsidRPr="00EB11D3" w:rsidRDefault="00C21257"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4A38AF42"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7BA856E2" w14:textId="77777777" w:rsidR="00C21257" w:rsidRPr="00EB11D3" w:rsidRDefault="00C21257" w:rsidP="00052AD2">
            <w:pPr>
              <w:spacing w:after="0" w:line="240" w:lineRule="auto"/>
              <w:rPr>
                <w:rFonts w:eastAsia="Times New Roman"/>
                <w:szCs w:val="24"/>
              </w:rPr>
            </w:pPr>
          </w:p>
        </w:tc>
      </w:tr>
      <w:tr w:rsidR="0039483D" w:rsidRPr="00EB11D3" w14:paraId="41A05929" w14:textId="77777777" w:rsidTr="00D02CAC">
        <w:trPr>
          <w:trHeight w:val="265"/>
        </w:trPr>
        <w:tc>
          <w:tcPr>
            <w:tcW w:w="190" w:type="pct"/>
            <w:tcBorders>
              <w:top w:val="single" w:sz="4" w:space="0" w:color="auto"/>
              <w:left w:val="single" w:sz="4" w:space="0" w:color="auto"/>
              <w:bottom w:val="single" w:sz="4" w:space="0" w:color="auto"/>
              <w:right w:val="single" w:sz="4" w:space="0" w:color="auto"/>
            </w:tcBorders>
            <w:hideMark/>
          </w:tcPr>
          <w:p w14:paraId="75DCCF30" w14:textId="77777777" w:rsidR="00C21257" w:rsidRPr="00EB11D3" w:rsidRDefault="00C21257" w:rsidP="00052AD2">
            <w:pPr>
              <w:spacing w:after="0" w:line="240" w:lineRule="auto"/>
              <w:rPr>
                <w:rFonts w:eastAsia="Times New Roman"/>
                <w:szCs w:val="24"/>
              </w:rPr>
            </w:pPr>
            <w:r w:rsidRPr="00EB11D3">
              <w:rPr>
                <w:rFonts w:eastAsia="Times New Roman"/>
                <w:szCs w:val="24"/>
              </w:rPr>
              <w:t>1</w:t>
            </w:r>
          </w:p>
        </w:tc>
        <w:tc>
          <w:tcPr>
            <w:tcW w:w="3775" w:type="pct"/>
            <w:tcBorders>
              <w:top w:val="single" w:sz="4" w:space="0" w:color="auto"/>
              <w:left w:val="single" w:sz="4" w:space="0" w:color="auto"/>
              <w:bottom w:val="single" w:sz="4" w:space="0" w:color="auto"/>
              <w:right w:val="single" w:sz="4" w:space="0" w:color="auto"/>
            </w:tcBorders>
            <w:hideMark/>
          </w:tcPr>
          <w:p w14:paraId="330557FA" w14:textId="77777777" w:rsidR="00C21257" w:rsidRPr="00EB11D3" w:rsidRDefault="00C21257" w:rsidP="00052AD2">
            <w:pPr>
              <w:spacing w:after="0" w:line="240" w:lineRule="auto"/>
              <w:rPr>
                <w:rFonts w:eastAsia="Times New Roman"/>
                <w:b/>
                <w:bCs/>
                <w:szCs w:val="24"/>
              </w:rPr>
            </w:pPr>
            <w:r w:rsidRPr="00EB11D3">
              <w:rPr>
                <w:rFonts w:eastAsia="Times New Roman"/>
                <w:szCs w:val="24"/>
              </w:rPr>
              <w:t>The hospital undertakes staff performance assessment review to assess individual performance.</w:t>
            </w:r>
            <w:r w:rsidRPr="00EB11D3">
              <w:rPr>
                <w:rFonts w:eastAsia="Times New Roman"/>
                <w:b/>
                <w:bCs/>
                <w:szCs w:val="24"/>
              </w:rPr>
              <w:tab/>
            </w:r>
          </w:p>
        </w:tc>
        <w:tc>
          <w:tcPr>
            <w:tcW w:w="223" w:type="pct"/>
            <w:tcBorders>
              <w:top w:val="single" w:sz="4" w:space="0" w:color="auto"/>
              <w:left w:val="single" w:sz="4" w:space="0" w:color="auto"/>
              <w:bottom w:val="single" w:sz="4" w:space="0" w:color="auto"/>
              <w:right w:val="single" w:sz="4" w:space="0" w:color="auto"/>
            </w:tcBorders>
          </w:tcPr>
          <w:p w14:paraId="6F0CEF1A" w14:textId="77777777" w:rsidR="00C21257" w:rsidRPr="00EB11D3" w:rsidRDefault="00C21257"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5E3DBE1E"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01B3608A" w14:textId="77777777" w:rsidR="00C21257" w:rsidRPr="00EB11D3" w:rsidRDefault="00C21257"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598B473A"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4F3865A5" w14:textId="77777777" w:rsidR="00C21257" w:rsidRPr="00EB11D3" w:rsidRDefault="00C21257" w:rsidP="00052AD2">
            <w:pPr>
              <w:spacing w:after="0" w:line="240" w:lineRule="auto"/>
              <w:rPr>
                <w:rFonts w:eastAsia="Times New Roman"/>
                <w:szCs w:val="24"/>
              </w:rPr>
            </w:pPr>
          </w:p>
        </w:tc>
      </w:tr>
      <w:tr w:rsidR="0039483D" w:rsidRPr="00EB11D3" w14:paraId="721AEF36" w14:textId="77777777" w:rsidTr="00D02CAC">
        <w:trPr>
          <w:trHeight w:val="251"/>
        </w:trPr>
        <w:tc>
          <w:tcPr>
            <w:tcW w:w="190" w:type="pct"/>
            <w:tcBorders>
              <w:top w:val="single" w:sz="4" w:space="0" w:color="auto"/>
              <w:left w:val="single" w:sz="4" w:space="0" w:color="auto"/>
              <w:bottom w:val="single" w:sz="4" w:space="0" w:color="auto"/>
              <w:right w:val="single" w:sz="4" w:space="0" w:color="auto"/>
            </w:tcBorders>
            <w:hideMark/>
          </w:tcPr>
          <w:p w14:paraId="3F895B27" w14:textId="77777777" w:rsidR="00C21257" w:rsidRPr="00EB11D3" w:rsidRDefault="00C21257" w:rsidP="00052AD2">
            <w:pPr>
              <w:spacing w:after="0" w:line="240" w:lineRule="auto"/>
              <w:rPr>
                <w:rFonts w:eastAsia="Times New Roman"/>
                <w:szCs w:val="24"/>
              </w:rPr>
            </w:pPr>
            <w:r w:rsidRPr="00EB11D3">
              <w:rPr>
                <w:rFonts w:eastAsia="Times New Roman"/>
                <w:szCs w:val="24"/>
              </w:rPr>
              <w:t>2</w:t>
            </w:r>
          </w:p>
        </w:tc>
        <w:tc>
          <w:tcPr>
            <w:tcW w:w="3775" w:type="pct"/>
            <w:tcBorders>
              <w:top w:val="single" w:sz="4" w:space="0" w:color="auto"/>
              <w:left w:val="single" w:sz="4" w:space="0" w:color="auto"/>
              <w:bottom w:val="single" w:sz="4" w:space="0" w:color="auto"/>
              <w:right w:val="single" w:sz="4" w:space="0" w:color="auto"/>
            </w:tcBorders>
            <w:hideMark/>
          </w:tcPr>
          <w:p w14:paraId="137AB82B" w14:textId="77777777" w:rsidR="00C21257" w:rsidRPr="00EB11D3" w:rsidRDefault="00C21257" w:rsidP="00052AD2">
            <w:pPr>
              <w:spacing w:after="0" w:line="240" w:lineRule="auto"/>
              <w:rPr>
                <w:rFonts w:eastAsia="Times New Roman"/>
                <w:szCs w:val="24"/>
              </w:rPr>
            </w:pPr>
            <w:r w:rsidRPr="00EB11D3">
              <w:rPr>
                <w:rFonts w:eastAsia="Times New Roman"/>
                <w:szCs w:val="24"/>
              </w:rPr>
              <w:t>The hospital has performance rewards mechanism in place.</w:t>
            </w:r>
          </w:p>
        </w:tc>
        <w:tc>
          <w:tcPr>
            <w:tcW w:w="223" w:type="pct"/>
            <w:tcBorders>
              <w:top w:val="single" w:sz="4" w:space="0" w:color="auto"/>
              <w:left w:val="single" w:sz="4" w:space="0" w:color="auto"/>
              <w:bottom w:val="single" w:sz="4" w:space="0" w:color="auto"/>
              <w:right w:val="single" w:sz="4" w:space="0" w:color="auto"/>
            </w:tcBorders>
          </w:tcPr>
          <w:p w14:paraId="65F80AA8" w14:textId="77777777" w:rsidR="00C21257" w:rsidRPr="00EB11D3" w:rsidRDefault="00C21257"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77BDC258"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45D598B6" w14:textId="77777777" w:rsidR="00C21257" w:rsidRPr="00EB11D3" w:rsidRDefault="00C21257"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2E5069CA"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5DF744E5" w14:textId="77777777" w:rsidR="00C21257" w:rsidRPr="00EB11D3" w:rsidRDefault="00C21257" w:rsidP="00052AD2">
            <w:pPr>
              <w:spacing w:after="0" w:line="240" w:lineRule="auto"/>
              <w:rPr>
                <w:rFonts w:eastAsia="Times New Roman"/>
                <w:szCs w:val="24"/>
              </w:rPr>
            </w:pPr>
          </w:p>
        </w:tc>
      </w:tr>
      <w:tr w:rsidR="0039483D" w:rsidRPr="00EB11D3" w14:paraId="6D4C8CA8" w14:textId="77777777" w:rsidTr="00D02CAC">
        <w:trPr>
          <w:trHeight w:val="251"/>
        </w:trPr>
        <w:tc>
          <w:tcPr>
            <w:tcW w:w="190" w:type="pct"/>
            <w:tcBorders>
              <w:top w:val="single" w:sz="4" w:space="0" w:color="auto"/>
              <w:left w:val="single" w:sz="4" w:space="0" w:color="auto"/>
              <w:bottom w:val="single" w:sz="4" w:space="0" w:color="auto"/>
              <w:right w:val="single" w:sz="4" w:space="0" w:color="auto"/>
            </w:tcBorders>
          </w:tcPr>
          <w:p w14:paraId="0E57EBA6" w14:textId="77777777" w:rsidR="00CC4A7D" w:rsidRPr="00EB11D3" w:rsidRDefault="001D279B" w:rsidP="00052AD2">
            <w:pPr>
              <w:spacing w:after="0" w:line="240" w:lineRule="auto"/>
              <w:rPr>
                <w:rFonts w:eastAsia="Times New Roman"/>
                <w:szCs w:val="24"/>
              </w:rPr>
            </w:pPr>
            <w:r w:rsidRPr="00EB11D3">
              <w:rPr>
                <w:rFonts w:eastAsia="Times New Roman"/>
                <w:szCs w:val="24"/>
              </w:rPr>
              <w:t>3</w:t>
            </w:r>
          </w:p>
        </w:tc>
        <w:tc>
          <w:tcPr>
            <w:tcW w:w="3775" w:type="pct"/>
            <w:tcBorders>
              <w:top w:val="single" w:sz="4" w:space="0" w:color="auto"/>
              <w:left w:val="single" w:sz="4" w:space="0" w:color="auto"/>
              <w:bottom w:val="single" w:sz="4" w:space="0" w:color="auto"/>
              <w:right w:val="single" w:sz="4" w:space="0" w:color="auto"/>
            </w:tcBorders>
          </w:tcPr>
          <w:p w14:paraId="5DF7EA89" w14:textId="77777777" w:rsidR="00CC4A7D" w:rsidRPr="00EB11D3" w:rsidRDefault="001D279B" w:rsidP="00052AD2">
            <w:pPr>
              <w:spacing w:after="0" w:line="240" w:lineRule="auto"/>
              <w:rPr>
                <w:rFonts w:eastAsia="Times New Roman"/>
                <w:szCs w:val="24"/>
              </w:rPr>
            </w:pPr>
            <w:r w:rsidRPr="00EB11D3">
              <w:rPr>
                <w:rFonts w:eastAsia="Times New Roman"/>
                <w:szCs w:val="24"/>
              </w:rPr>
              <w:t xml:space="preserve">The hospital staff have clear target to measure their productivity </w:t>
            </w:r>
          </w:p>
        </w:tc>
        <w:tc>
          <w:tcPr>
            <w:tcW w:w="223" w:type="pct"/>
            <w:tcBorders>
              <w:top w:val="single" w:sz="4" w:space="0" w:color="auto"/>
              <w:left w:val="single" w:sz="4" w:space="0" w:color="auto"/>
              <w:bottom w:val="single" w:sz="4" w:space="0" w:color="auto"/>
              <w:right w:val="single" w:sz="4" w:space="0" w:color="auto"/>
            </w:tcBorders>
          </w:tcPr>
          <w:p w14:paraId="0AED828F" w14:textId="77777777" w:rsidR="00CC4A7D" w:rsidRPr="00EB11D3" w:rsidRDefault="00CC4A7D"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54B653EE" w14:textId="77777777" w:rsidR="00CC4A7D" w:rsidRPr="00EB11D3" w:rsidRDefault="00CC4A7D"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71BEC333" w14:textId="77777777" w:rsidR="00CC4A7D" w:rsidRPr="00EB11D3" w:rsidRDefault="00CC4A7D"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3E537164" w14:textId="77777777" w:rsidR="00CC4A7D" w:rsidRPr="00EB11D3" w:rsidRDefault="00CC4A7D"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2231D888" w14:textId="77777777" w:rsidR="00CC4A7D" w:rsidRPr="00EB11D3" w:rsidRDefault="00CC4A7D" w:rsidP="00052AD2">
            <w:pPr>
              <w:spacing w:after="0" w:line="240" w:lineRule="auto"/>
              <w:rPr>
                <w:rFonts w:eastAsia="Times New Roman"/>
                <w:szCs w:val="24"/>
              </w:rPr>
            </w:pPr>
          </w:p>
        </w:tc>
      </w:tr>
      <w:tr w:rsidR="0039483D" w:rsidRPr="00EB11D3" w14:paraId="4FEA6D85" w14:textId="77777777" w:rsidTr="00D02CAC">
        <w:trPr>
          <w:trHeight w:val="251"/>
        </w:trPr>
        <w:tc>
          <w:tcPr>
            <w:tcW w:w="190" w:type="pct"/>
            <w:tcBorders>
              <w:top w:val="single" w:sz="4" w:space="0" w:color="auto"/>
              <w:left w:val="single" w:sz="4" w:space="0" w:color="auto"/>
              <w:bottom w:val="single" w:sz="4" w:space="0" w:color="auto"/>
              <w:right w:val="single" w:sz="4" w:space="0" w:color="auto"/>
            </w:tcBorders>
          </w:tcPr>
          <w:p w14:paraId="2CBCEC2A" w14:textId="77777777" w:rsidR="001D279B" w:rsidRPr="00EB11D3" w:rsidRDefault="001D279B" w:rsidP="00052AD2">
            <w:pPr>
              <w:spacing w:after="0" w:line="240" w:lineRule="auto"/>
              <w:rPr>
                <w:rFonts w:eastAsia="Times New Roman"/>
                <w:szCs w:val="24"/>
              </w:rPr>
            </w:pPr>
            <w:r w:rsidRPr="00EB11D3">
              <w:rPr>
                <w:rFonts w:eastAsia="Times New Roman"/>
                <w:szCs w:val="24"/>
              </w:rPr>
              <w:t>4</w:t>
            </w:r>
          </w:p>
        </w:tc>
        <w:tc>
          <w:tcPr>
            <w:tcW w:w="3775" w:type="pct"/>
            <w:tcBorders>
              <w:top w:val="single" w:sz="4" w:space="0" w:color="auto"/>
              <w:left w:val="single" w:sz="4" w:space="0" w:color="auto"/>
              <w:bottom w:val="single" w:sz="4" w:space="0" w:color="auto"/>
              <w:right w:val="single" w:sz="4" w:space="0" w:color="auto"/>
            </w:tcBorders>
          </w:tcPr>
          <w:p w14:paraId="66BCC6B8" w14:textId="77777777" w:rsidR="001D279B" w:rsidRPr="00EB11D3" w:rsidRDefault="000D1015" w:rsidP="00052AD2">
            <w:pPr>
              <w:spacing w:after="0" w:line="240" w:lineRule="auto"/>
              <w:rPr>
                <w:rFonts w:eastAsia="Times New Roman"/>
                <w:szCs w:val="24"/>
              </w:rPr>
            </w:pPr>
            <w:r w:rsidRPr="00EB11D3">
              <w:rPr>
                <w:rFonts w:eastAsia="Times New Roman"/>
                <w:szCs w:val="24"/>
              </w:rPr>
              <w:t>The hospital uses profit as a measure of asset productivity.</w:t>
            </w:r>
          </w:p>
        </w:tc>
        <w:tc>
          <w:tcPr>
            <w:tcW w:w="223" w:type="pct"/>
            <w:tcBorders>
              <w:top w:val="single" w:sz="4" w:space="0" w:color="auto"/>
              <w:left w:val="single" w:sz="4" w:space="0" w:color="auto"/>
              <w:bottom w:val="single" w:sz="4" w:space="0" w:color="auto"/>
              <w:right w:val="single" w:sz="4" w:space="0" w:color="auto"/>
            </w:tcBorders>
          </w:tcPr>
          <w:p w14:paraId="73207B46" w14:textId="77777777" w:rsidR="001D279B" w:rsidRPr="00EB11D3" w:rsidRDefault="001D279B"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402624FD" w14:textId="77777777" w:rsidR="001D279B" w:rsidRPr="00EB11D3" w:rsidRDefault="001D279B"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1265E1CB" w14:textId="77777777" w:rsidR="001D279B" w:rsidRPr="00EB11D3" w:rsidRDefault="001D279B"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6993E117" w14:textId="77777777" w:rsidR="001D279B" w:rsidRPr="00EB11D3" w:rsidRDefault="001D279B"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692F1FF8" w14:textId="77777777" w:rsidR="001D279B" w:rsidRPr="00EB11D3" w:rsidRDefault="001D279B" w:rsidP="00052AD2">
            <w:pPr>
              <w:spacing w:after="0" w:line="240" w:lineRule="auto"/>
              <w:rPr>
                <w:rFonts w:eastAsia="Times New Roman"/>
                <w:szCs w:val="24"/>
              </w:rPr>
            </w:pPr>
          </w:p>
        </w:tc>
      </w:tr>
      <w:tr w:rsidR="0039483D" w:rsidRPr="00EB11D3" w14:paraId="7FD809DA" w14:textId="77777777" w:rsidTr="00D02CAC">
        <w:trPr>
          <w:trHeight w:val="251"/>
        </w:trPr>
        <w:tc>
          <w:tcPr>
            <w:tcW w:w="190" w:type="pct"/>
            <w:tcBorders>
              <w:top w:val="single" w:sz="4" w:space="0" w:color="auto"/>
              <w:left w:val="single" w:sz="4" w:space="0" w:color="auto"/>
              <w:bottom w:val="single" w:sz="4" w:space="0" w:color="auto"/>
              <w:right w:val="single" w:sz="4" w:space="0" w:color="auto"/>
            </w:tcBorders>
          </w:tcPr>
          <w:p w14:paraId="6F786DE4" w14:textId="77777777" w:rsidR="00CC4A7D" w:rsidRPr="00EB11D3" w:rsidRDefault="000D1015" w:rsidP="00052AD2">
            <w:pPr>
              <w:spacing w:after="0" w:line="240" w:lineRule="auto"/>
              <w:rPr>
                <w:rFonts w:eastAsia="Times New Roman"/>
                <w:szCs w:val="24"/>
              </w:rPr>
            </w:pPr>
            <w:r w:rsidRPr="00EB11D3">
              <w:rPr>
                <w:rFonts w:eastAsia="Times New Roman"/>
                <w:szCs w:val="24"/>
              </w:rPr>
              <w:t>5</w:t>
            </w:r>
          </w:p>
        </w:tc>
        <w:tc>
          <w:tcPr>
            <w:tcW w:w="3775" w:type="pct"/>
            <w:tcBorders>
              <w:top w:val="single" w:sz="4" w:space="0" w:color="auto"/>
              <w:left w:val="single" w:sz="4" w:space="0" w:color="auto"/>
              <w:bottom w:val="single" w:sz="4" w:space="0" w:color="auto"/>
              <w:right w:val="single" w:sz="4" w:space="0" w:color="auto"/>
            </w:tcBorders>
          </w:tcPr>
          <w:p w14:paraId="7A1CB737" w14:textId="77777777" w:rsidR="00CC4A7D" w:rsidRPr="00EB11D3" w:rsidRDefault="000D1015" w:rsidP="00052AD2">
            <w:pPr>
              <w:spacing w:after="0" w:line="240" w:lineRule="auto"/>
              <w:rPr>
                <w:rFonts w:eastAsia="Times New Roman"/>
                <w:szCs w:val="24"/>
              </w:rPr>
            </w:pPr>
            <w:r w:rsidRPr="00EB11D3">
              <w:rPr>
                <w:rFonts w:eastAsia="Times New Roman"/>
                <w:szCs w:val="24"/>
              </w:rPr>
              <w:t xml:space="preserve">The hospital has time measurement approaches to measure </w:t>
            </w:r>
            <w:r w:rsidR="007867FE" w:rsidRPr="00EB11D3">
              <w:rPr>
                <w:rFonts w:eastAsia="Times New Roman"/>
                <w:szCs w:val="24"/>
              </w:rPr>
              <w:t>productivity of its employees.</w:t>
            </w:r>
            <w:r w:rsidRPr="00EB11D3">
              <w:rPr>
                <w:rFonts w:eastAsia="Times New Roman"/>
                <w:szCs w:val="24"/>
              </w:rPr>
              <w:t xml:space="preserve"> </w:t>
            </w:r>
          </w:p>
        </w:tc>
        <w:tc>
          <w:tcPr>
            <w:tcW w:w="223" w:type="pct"/>
            <w:tcBorders>
              <w:top w:val="single" w:sz="4" w:space="0" w:color="auto"/>
              <w:left w:val="single" w:sz="4" w:space="0" w:color="auto"/>
              <w:bottom w:val="single" w:sz="4" w:space="0" w:color="auto"/>
              <w:right w:val="single" w:sz="4" w:space="0" w:color="auto"/>
            </w:tcBorders>
          </w:tcPr>
          <w:p w14:paraId="3AADAEB2" w14:textId="77777777" w:rsidR="00CC4A7D" w:rsidRPr="00EB11D3" w:rsidRDefault="00CC4A7D"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3413A3ED" w14:textId="77777777" w:rsidR="00CC4A7D" w:rsidRPr="00EB11D3" w:rsidRDefault="00CC4A7D"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70849CF4" w14:textId="77777777" w:rsidR="00CC4A7D" w:rsidRPr="00EB11D3" w:rsidRDefault="00CC4A7D"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2A861F06" w14:textId="77777777" w:rsidR="00CC4A7D" w:rsidRPr="00EB11D3" w:rsidRDefault="00CC4A7D"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7660EFAF" w14:textId="77777777" w:rsidR="00CC4A7D" w:rsidRPr="00EB11D3" w:rsidRDefault="00CC4A7D" w:rsidP="00052AD2">
            <w:pPr>
              <w:spacing w:after="0" w:line="240" w:lineRule="auto"/>
              <w:rPr>
                <w:rFonts w:eastAsia="Times New Roman"/>
                <w:szCs w:val="24"/>
              </w:rPr>
            </w:pPr>
          </w:p>
        </w:tc>
      </w:tr>
      <w:tr w:rsidR="0039483D" w:rsidRPr="00EB11D3" w14:paraId="60622DB5" w14:textId="77777777" w:rsidTr="00D02CAC">
        <w:trPr>
          <w:trHeight w:val="298"/>
        </w:trPr>
        <w:tc>
          <w:tcPr>
            <w:tcW w:w="190" w:type="pct"/>
            <w:tcBorders>
              <w:top w:val="single" w:sz="4" w:space="0" w:color="auto"/>
              <w:left w:val="single" w:sz="4" w:space="0" w:color="auto"/>
              <w:bottom w:val="single" w:sz="4" w:space="0" w:color="auto"/>
              <w:right w:val="single" w:sz="4" w:space="0" w:color="auto"/>
            </w:tcBorders>
            <w:hideMark/>
          </w:tcPr>
          <w:p w14:paraId="1DFEE503" w14:textId="77777777" w:rsidR="00C21257" w:rsidRPr="00EB11D3" w:rsidRDefault="00C21257" w:rsidP="00052AD2">
            <w:pPr>
              <w:spacing w:after="0" w:line="240" w:lineRule="auto"/>
              <w:rPr>
                <w:rFonts w:eastAsia="Times New Roman"/>
                <w:szCs w:val="24"/>
              </w:rPr>
            </w:pPr>
            <w:r w:rsidRPr="00EB11D3">
              <w:rPr>
                <w:rFonts w:eastAsia="Times New Roman"/>
                <w:szCs w:val="24"/>
              </w:rPr>
              <w:t>6</w:t>
            </w:r>
          </w:p>
        </w:tc>
        <w:tc>
          <w:tcPr>
            <w:tcW w:w="3775" w:type="pct"/>
            <w:tcBorders>
              <w:top w:val="single" w:sz="4" w:space="0" w:color="auto"/>
              <w:left w:val="single" w:sz="4" w:space="0" w:color="auto"/>
              <w:bottom w:val="single" w:sz="4" w:space="0" w:color="auto"/>
              <w:right w:val="single" w:sz="4" w:space="0" w:color="auto"/>
            </w:tcBorders>
            <w:hideMark/>
          </w:tcPr>
          <w:p w14:paraId="56A45E75" w14:textId="77777777" w:rsidR="00C21257" w:rsidRPr="00EB11D3" w:rsidRDefault="00C21257" w:rsidP="00052AD2">
            <w:pPr>
              <w:spacing w:after="0" w:line="240" w:lineRule="auto"/>
              <w:rPr>
                <w:rFonts w:eastAsia="Times New Roman"/>
                <w:szCs w:val="24"/>
              </w:rPr>
            </w:pPr>
            <w:r w:rsidRPr="00EB11D3">
              <w:rPr>
                <w:rFonts w:eastAsia="Times New Roman"/>
                <w:szCs w:val="24"/>
              </w:rPr>
              <w:t>The hospital prepares annual budgets that guide spending</w:t>
            </w:r>
          </w:p>
        </w:tc>
        <w:tc>
          <w:tcPr>
            <w:tcW w:w="223" w:type="pct"/>
            <w:tcBorders>
              <w:top w:val="single" w:sz="4" w:space="0" w:color="auto"/>
              <w:left w:val="single" w:sz="4" w:space="0" w:color="auto"/>
              <w:bottom w:val="single" w:sz="4" w:space="0" w:color="auto"/>
              <w:right w:val="single" w:sz="4" w:space="0" w:color="auto"/>
            </w:tcBorders>
          </w:tcPr>
          <w:p w14:paraId="7AC89B72" w14:textId="77777777" w:rsidR="00C21257" w:rsidRPr="00EB11D3" w:rsidRDefault="00C21257"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7D0068A9"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13BC0C2A" w14:textId="77777777" w:rsidR="00C21257" w:rsidRPr="00EB11D3" w:rsidRDefault="00C21257"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302B68F9"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0C66D766" w14:textId="77777777" w:rsidR="00C21257" w:rsidRPr="00EB11D3" w:rsidRDefault="00C21257" w:rsidP="00052AD2">
            <w:pPr>
              <w:spacing w:after="0" w:line="240" w:lineRule="auto"/>
              <w:rPr>
                <w:rFonts w:eastAsia="Times New Roman"/>
                <w:szCs w:val="24"/>
              </w:rPr>
            </w:pPr>
          </w:p>
        </w:tc>
      </w:tr>
      <w:tr w:rsidR="0039483D" w:rsidRPr="00EB11D3" w14:paraId="24945551" w14:textId="77777777" w:rsidTr="00D02CAC">
        <w:trPr>
          <w:trHeight w:val="528"/>
        </w:trPr>
        <w:tc>
          <w:tcPr>
            <w:tcW w:w="190" w:type="pct"/>
            <w:tcBorders>
              <w:top w:val="single" w:sz="4" w:space="0" w:color="auto"/>
              <w:left w:val="single" w:sz="4" w:space="0" w:color="auto"/>
              <w:bottom w:val="single" w:sz="4" w:space="0" w:color="auto"/>
              <w:right w:val="single" w:sz="4" w:space="0" w:color="auto"/>
            </w:tcBorders>
            <w:hideMark/>
          </w:tcPr>
          <w:p w14:paraId="318067CD" w14:textId="77777777" w:rsidR="00C21257" w:rsidRPr="00EB11D3" w:rsidRDefault="00C21257" w:rsidP="00052AD2">
            <w:pPr>
              <w:spacing w:after="0" w:line="240" w:lineRule="auto"/>
              <w:rPr>
                <w:rFonts w:eastAsia="Times New Roman"/>
                <w:szCs w:val="24"/>
              </w:rPr>
            </w:pPr>
            <w:r w:rsidRPr="00EB11D3">
              <w:rPr>
                <w:rFonts w:eastAsia="Times New Roman"/>
                <w:szCs w:val="24"/>
              </w:rPr>
              <w:t>7</w:t>
            </w:r>
          </w:p>
        </w:tc>
        <w:tc>
          <w:tcPr>
            <w:tcW w:w="3775" w:type="pct"/>
            <w:tcBorders>
              <w:top w:val="single" w:sz="4" w:space="0" w:color="auto"/>
              <w:left w:val="single" w:sz="4" w:space="0" w:color="auto"/>
              <w:bottom w:val="single" w:sz="4" w:space="0" w:color="auto"/>
              <w:right w:val="single" w:sz="4" w:space="0" w:color="auto"/>
            </w:tcBorders>
            <w:hideMark/>
          </w:tcPr>
          <w:p w14:paraId="261ADE4B" w14:textId="77777777" w:rsidR="00C21257" w:rsidRPr="00EB11D3" w:rsidRDefault="00C21257" w:rsidP="00052AD2">
            <w:pPr>
              <w:spacing w:after="0" w:line="240" w:lineRule="auto"/>
              <w:rPr>
                <w:rFonts w:eastAsia="Times New Roman"/>
                <w:szCs w:val="24"/>
              </w:rPr>
            </w:pPr>
            <w:r w:rsidRPr="00EB11D3">
              <w:rPr>
                <w:rFonts w:eastAsia="Times New Roman"/>
                <w:szCs w:val="24"/>
              </w:rPr>
              <w:t>The performance feedback data informs set priorities in the next working phase</w:t>
            </w:r>
          </w:p>
        </w:tc>
        <w:tc>
          <w:tcPr>
            <w:tcW w:w="223" w:type="pct"/>
            <w:tcBorders>
              <w:top w:val="single" w:sz="4" w:space="0" w:color="auto"/>
              <w:left w:val="single" w:sz="4" w:space="0" w:color="auto"/>
              <w:bottom w:val="single" w:sz="4" w:space="0" w:color="auto"/>
              <w:right w:val="single" w:sz="4" w:space="0" w:color="auto"/>
            </w:tcBorders>
          </w:tcPr>
          <w:p w14:paraId="6FCEAD46" w14:textId="77777777" w:rsidR="00C21257" w:rsidRPr="00EB11D3" w:rsidRDefault="00C21257"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66DA41F3"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5E20FA4A" w14:textId="77777777" w:rsidR="00C21257" w:rsidRPr="00EB11D3" w:rsidRDefault="00C21257"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322EE21E"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4BA56EB1" w14:textId="77777777" w:rsidR="00C21257" w:rsidRPr="00EB11D3" w:rsidRDefault="00C21257" w:rsidP="00052AD2">
            <w:pPr>
              <w:spacing w:after="0" w:line="240" w:lineRule="auto"/>
              <w:rPr>
                <w:rFonts w:eastAsia="Times New Roman"/>
                <w:szCs w:val="24"/>
              </w:rPr>
            </w:pPr>
          </w:p>
        </w:tc>
      </w:tr>
      <w:tr w:rsidR="0039483D" w:rsidRPr="00EB11D3" w14:paraId="5A89715D" w14:textId="77777777" w:rsidTr="00D02CAC">
        <w:trPr>
          <w:trHeight w:val="258"/>
        </w:trPr>
        <w:tc>
          <w:tcPr>
            <w:tcW w:w="190" w:type="pct"/>
            <w:tcBorders>
              <w:top w:val="single" w:sz="4" w:space="0" w:color="auto"/>
              <w:left w:val="single" w:sz="4" w:space="0" w:color="auto"/>
              <w:bottom w:val="single" w:sz="4" w:space="0" w:color="auto"/>
              <w:right w:val="single" w:sz="4" w:space="0" w:color="auto"/>
            </w:tcBorders>
          </w:tcPr>
          <w:p w14:paraId="6999D62C" w14:textId="77777777" w:rsidR="00C21257" w:rsidRPr="00EB11D3" w:rsidRDefault="00C21257" w:rsidP="00052AD2">
            <w:pPr>
              <w:spacing w:after="0" w:line="240" w:lineRule="auto"/>
              <w:rPr>
                <w:rFonts w:eastAsia="Times New Roman"/>
                <w:b/>
                <w:bCs/>
                <w:szCs w:val="24"/>
              </w:rPr>
            </w:pPr>
          </w:p>
        </w:tc>
        <w:tc>
          <w:tcPr>
            <w:tcW w:w="3775" w:type="pct"/>
            <w:tcBorders>
              <w:top w:val="single" w:sz="4" w:space="0" w:color="auto"/>
              <w:left w:val="single" w:sz="4" w:space="0" w:color="auto"/>
              <w:bottom w:val="single" w:sz="4" w:space="0" w:color="auto"/>
              <w:right w:val="single" w:sz="4" w:space="0" w:color="auto"/>
            </w:tcBorders>
            <w:hideMark/>
          </w:tcPr>
          <w:p w14:paraId="4DBA3657" w14:textId="77777777" w:rsidR="00C21257" w:rsidRPr="00EB11D3" w:rsidRDefault="008E6822" w:rsidP="00052AD2">
            <w:pPr>
              <w:spacing w:after="0" w:line="240" w:lineRule="auto"/>
              <w:rPr>
                <w:rFonts w:eastAsia="Times New Roman"/>
                <w:b/>
                <w:bCs/>
                <w:szCs w:val="24"/>
              </w:rPr>
            </w:pPr>
            <w:r w:rsidRPr="00EB11D3">
              <w:rPr>
                <w:rFonts w:eastAsia="Times New Roman"/>
                <w:b/>
                <w:bCs/>
                <w:szCs w:val="24"/>
              </w:rPr>
              <w:t>Effectiveness</w:t>
            </w:r>
          </w:p>
        </w:tc>
        <w:tc>
          <w:tcPr>
            <w:tcW w:w="223" w:type="pct"/>
            <w:tcBorders>
              <w:top w:val="single" w:sz="4" w:space="0" w:color="auto"/>
              <w:left w:val="single" w:sz="4" w:space="0" w:color="auto"/>
              <w:bottom w:val="single" w:sz="4" w:space="0" w:color="auto"/>
              <w:right w:val="single" w:sz="4" w:space="0" w:color="auto"/>
            </w:tcBorders>
          </w:tcPr>
          <w:p w14:paraId="7BC39812" w14:textId="77777777" w:rsidR="00C21257" w:rsidRPr="00EB11D3" w:rsidRDefault="00C21257"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19ADDD08"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3E05445D" w14:textId="77777777" w:rsidR="00C21257" w:rsidRPr="00EB11D3" w:rsidRDefault="00C21257"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6B1C700F"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3D03EC35" w14:textId="77777777" w:rsidR="00C21257" w:rsidRPr="00EB11D3" w:rsidRDefault="00C21257" w:rsidP="00052AD2">
            <w:pPr>
              <w:spacing w:after="0" w:line="240" w:lineRule="auto"/>
              <w:rPr>
                <w:rFonts w:eastAsia="Times New Roman"/>
                <w:szCs w:val="24"/>
              </w:rPr>
            </w:pPr>
          </w:p>
        </w:tc>
      </w:tr>
      <w:tr w:rsidR="0039483D" w:rsidRPr="00EB11D3" w14:paraId="2EA0A926" w14:textId="77777777" w:rsidTr="00D02CAC">
        <w:trPr>
          <w:trHeight w:val="273"/>
        </w:trPr>
        <w:tc>
          <w:tcPr>
            <w:tcW w:w="190" w:type="pct"/>
            <w:tcBorders>
              <w:top w:val="single" w:sz="4" w:space="0" w:color="auto"/>
              <w:left w:val="single" w:sz="4" w:space="0" w:color="auto"/>
              <w:bottom w:val="single" w:sz="4" w:space="0" w:color="auto"/>
              <w:right w:val="single" w:sz="4" w:space="0" w:color="auto"/>
            </w:tcBorders>
          </w:tcPr>
          <w:p w14:paraId="65CEDAE5" w14:textId="77777777" w:rsidR="007867FE" w:rsidRPr="00EB11D3" w:rsidRDefault="007867FE" w:rsidP="00052AD2">
            <w:pPr>
              <w:spacing w:after="0" w:line="240" w:lineRule="auto"/>
              <w:rPr>
                <w:rFonts w:eastAsia="Times New Roman"/>
                <w:szCs w:val="24"/>
              </w:rPr>
            </w:pPr>
            <w:r w:rsidRPr="00EB11D3">
              <w:rPr>
                <w:rFonts w:eastAsia="Times New Roman"/>
                <w:szCs w:val="24"/>
              </w:rPr>
              <w:t>1</w:t>
            </w:r>
          </w:p>
        </w:tc>
        <w:tc>
          <w:tcPr>
            <w:tcW w:w="3775" w:type="pct"/>
            <w:tcBorders>
              <w:top w:val="single" w:sz="4" w:space="0" w:color="auto"/>
              <w:left w:val="single" w:sz="4" w:space="0" w:color="auto"/>
              <w:bottom w:val="single" w:sz="4" w:space="0" w:color="auto"/>
              <w:right w:val="single" w:sz="4" w:space="0" w:color="auto"/>
            </w:tcBorders>
          </w:tcPr>
          <w:p w14:paraId="4BB0626D" w14:textId="77777777" w:rsidR="007867FE" w:rsidRPr="00EB11D3" w:rsidRDefault="007867FE" w:rsidP="00052AD2">
            <w:pPr>
              <w:spacing w:after="0" w:line="240" w:lineRule="auto"/>
              <w:rPr>
                <w:rFonts w:eastAsia="Times New Roman"/>
                <w:szCs w:val="24"/>
              </w:rPr>
            </w:pPr>
            <w:r w:rsidRPr="00EB11D3">
              <w:rPr>
                <w:rFonts w:eastAsia="Times New Roman"/>
                <w:szCs w:val="24"/>
              </w:rPr>
              <w:t xml:space="preserve">The hospital has clear objective -focused approach as means of measuring performance effectiveness </w:t>
            </w:r>
          </w:p>
        </w:tc>
        <w:tc>
          <w:tcPr>
            <w:tcW w:w="223" w:type="pct"/>
            <w:tcBorders>
              <w:top w:val="single" w:sz="4" w:space="0" w:color="auto"/>
              <w:left w:val="single" w:sz="4" w:space="0" w:color="auto"/>
              <w:bottom w:val="single" w:sz="4" w:space="0" w:color="auto"/>
              <w:right w:val="single" w:sz="4" w:space="0" w:color="auto"/>
            </w:tcBorders>
          </w:tcPr>
          <w:p w14:paraId="48BCC444" w14:textId="77777777" w:rsidR="007867FE" w:rsidRPr="00EB11D3" w:rsidRDefault="007867FE"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0CC24849" w14:textId="77777777" w:rsidR="007867FE" w:rsidRPr="00EB11D3" w:rsidRDefault="007867FE"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145BDB5C" w14:textId="77777777" w:rsidR="007867FE" w:rsidRPr="00EB11D3" w:rsidRDefault="007867FE"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22FB0CCD" w14:textId="77777777" w:rsidR="007867FE" w:rsidRPr="00EB11D3" w:rsidRDefault="007867FE"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1426C6AD" w14:textId="77777777" w:rsidR="007867FE" w:rsidRPr="00EB11D3" w:rsidRDefault="007867FE" w:rsidP="00052AD2">
            <w:pPr>
              <w:spacing w:after="0" w:line="240" w:lineRule="auto"/>
              <w:rPr>
                <w:rFonts w:eastAsia="Times New Roman"/>
                <w:szCs w:val="24"/>
              </w:rPr>
            </w:pPr>
          </w:p>
        </w:tc>
      </w:tr>
      <w:tr w:rsidR="0039483D" w:rsidRPr="00EB11D3" w14:paraId="48CE80F9" w14:textId="77777777" w:rsidTr="00D02CAC">
        <w:trPr>
          <w:trHeight w:val="273"/>
        </w:trPr>
        <w:tc>
          <w:tcPr>
            <w:tcW w:w="190" w:type="pct"/>
            <w:tcBorders>
              <w:top w:val="single" w:sz="4" w:space="0" w:color="auto"/>
              <w:left w:val="single" w:sz="4" w:space="0" w:color="auto"/>
              <w:bottom w:val="single" w:sz="4" w:space="0" w:color="auto"/>
              <w:right w:val="single" w:sz="4" w:space="0" w:color="auto"/>
            </w:tcBorders>
          </w:tcPr>
          <w:p w14:paraId="6485E986" w14:textId="77777777" w:rsidR="007867FE" w:rsidRPr="00EB11D3" w:rsidRDefault="007867FE" w:rsidP="00052AD2">
            <w:pPr>
              <w:spacing w:after="0" w:line="240" w:lineRule="auto"/>
              <w:rPr>
                <w:rFonts w:eastAsia="Times New Roman"/>
                <w:szCs w:val="24"/>
              </w:rPr>
            </w:pPr>
            <w:r w:rsidRPr="00EB11D3">
              <w:rPr>
                <w:rFonts w:eastAsia="Times New Roman"/>
                <w:szCs w:val="24"/>
              </w:rPr>
              <w:t>2</w:t>
            </w:r>
          </w:p>
        </w:tc>
        <w:tc>
          <w:tcPr>
            <w:tcW w:w="3775" w:type="pct"/>
            <w:tcBorders>
              <w:top w:val="single" w:sz="4" w:space="0" w:color="auto"/>
              <w:left w:val="single" w:sz="4" w:space="0" w:color="auto"/>
              <w:bottom w:val="single" w:sz="4" w:space="0" w:color="auto"/>
              <w:right w:val="single" w:sz="4" w:space="0" w:color="auto"/>
            </w:tcBorders>
          </w:tcPr>
          <w:p w14:paraId="005CA7E7" w14:textId="77777777" w:rsidR="007867FE" w:rsidRPr="00EB11D3" w:rsidRDefault="00202CFB" w:rsidP="00052AD2">
            <w:pPr>
              <w:spacing w:after="0" w:line="240" w:lineRule="auto"/>
              <w:rPr>
                <w:rFonts w:eastAsia="Times New Roman"/>
                <w:szCs w:val="24"/>
              </w:rPr>
            </w:pPr>
            <w:r w:rsidRPr="00EB11D3">
              <w:rPr>
                <w:rFonts w:eastAsia="Times New Roman"/>
                <w:szCs w:val="24"/>
              </w:rPr>
              <w:t xml:space="preserve">The hospital adopts rating scale approach to maintain consistency </w:t>
            </w:r>
          </w:p>
        </w:tc>
        <w:tc>
          <w:tcPr>
            <w:tcW w:w="223" w:type="pct"/>
            <w:tcBorders>
              <w:top w:val="single" w:sz="4" w:space="0" w:color="auto"/>
              <w:left w:val="single" w:sz="4" w:space="0" w:color="auto"/>
              <w:bottom w:val="single" w:sz="4" w:space="0" w:color="auto"/>
              <w:right w:val="single" w:sz="4" w:space="0" w:color="auto"/>
            </w:tcBorders>
          </w:tcPr>
          <w:p w14:paraId="7DA203CF" w14:textId="77777777" w:rsidR="007867FE" w:rsidRPr="00EB11D3" w:rsidRDefault="007867FE"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4B791390" w14:textId="77777777" w:rsidR="007867FE" w:rsidRPr="00EB11D3" w:rsidRDefault="007867FE"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7EF04AA8" w14:textId="77777777" w:rsidR="007867FE" w:rsidRPr="00EB11D3" w:rsidRDefault="007867FE"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636D1CF2" w14:textId="77777777" w:rsidR="007867FE" w:rsidRPr="00EB11D3" w:rsidRDefault="007867FE"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6BFC4ACD" w14:textId="77777777" w:rsidR="007867FE" w:rsidRPr="00EB11D3" w:rsidRDefault="007867FE" w:rsidP="00052AD2">
            <w:pPr>
              <w:spacing w:after="0" w:line="240" w:lineRule="auto"/>
              <w:rPr>
                <w:rFonts w:eastAsia="Times New Roman"/>
                <w:szCs w:val="24"/>
              </w:rPr>
            </w:pPr>
          </w:p>
        </w:tc>
      </w:tr>
      <w:tr w:rsidR="0039483D" w:rsidRPr="00EB11D3" w14:paraId="1F291EA6" w14:textId="77777777" w:rsidTr="00D02CAC">
        <w:trPr>
          <w:trHeight w:val="273"/>
        </w:trPr>
        <w:tc>
          <w:tcPr>
            <w:tcW w:w="190" w:type="pct"/>
            <w:tcBorders>
              <w:top w:val="single" w:sz="4" w:space="0" w:color="auto"/>
              <w:left w:val="single" w:sz="4" w:space="0" w:color="auto"/>
              <w:bottom w:val="single" w:sz="4" w:space="0" w:color="auto"/>
              <w:right w:val="single" w:sz="4" w:space="0" w:color="auto"/>
            </w:tcBorders>
          </w:tcPr>
          <w:p w14:paraId="3536BCE1" w14:textId="77777777" w:rsidR="007867FE" w:rsidRPr="00EB11D3" w:rsidRDefault="00202CFB" w:rsidP="00052AD2">
            <w:pPr>
              <w:spacing w:after="0" w:line="240" w:lineRule="auto"/>
              <w:rPr>
                <w:rFonts w:eastAsia="Times New Roman"/>
                <w:szCs w:val="24"/>
              </w:rPr>
            </w:pPr>
            <w:r w:rsidRPr="00EB11D3">
              <w:rPr>
                <w:rFonts w:eastAsia="Times New Roman"/>
                <w:szCs w:val="24"/>
              </w:rPr>
              <w:t>3</w:t>
            </w:r>
          </w:p>
        </w:tc>
        <w:tc>
          <w:tcPr>
            <w:tcW w:w="3775" w:type="pct"/>
            <w:tcBorders>
              <w:top w:val="single" w:sz="4" w:space="0" w:color="auto"/>
              <w:left w:val="single" w:sz="4" w:space="0" w:color="auto"/>
              <w:bottom w:val="single" w:sz="4" w:space="0" w:color="auto"/>
              <w:right w:val="single" w:sz="4" w:space="0" w:color="auto"/>
            </w:tcBorders>
          </w:tcPr>
          <w:p w14:paraId="0FF8D736" w14:textId="77777777" w:rsidR="007867FE" w:rsidRPr="00EB11D3" w:rsidRDefault="00202CFB" w:rsidP="00052AD2">
            <w:pPr>
              <w:spacing w:after="0" w:line="240" w:lineRule="auto"/>
              <w:rPr>
                <w:rFonts w:eastAsia="Times New Roman"/>
                <w:szCs w:val="24"/>
              </w:rPr>
            </w:pPr>
            <w:r w:rsidRPr="00EB11D3">
              <w:rPr>
                <w:rFonts w:eastAsia="Times New Roman"/>
                <w:szCs w:val="24"/>
              </w:rPr>
              <w:t>The hospital conduct employee satisfaction evaluations as a crucial measure of their effectiveness</w:t>
            </w:r>
          </w:p>
        </w:tc>
        <w:tc>
          <w:tcPr>
            <w:tcW w:w="223" w:type="pct"/>
            <w:tcBorders>
              <w:top w:val="single" w:sz="4" w:space="0" w:color="auto"/>
              <w:left w:val="single" w:sz="4" w:space="0" w:color="auto"/>
              <w:bottom w:val="single" w:sz="4" w:space="0" w:color="auto"/>
              <w:right w:val="single" w:sz="4" w:space="0" w:color="auto"/>
            </w:tcBorders>
          </w:tcPr>
          <w:p w14:paraId="5864F36E" w14:textId="77777777" w:rsidR="007867FE" w:rsidRPr="00EB11D3" w:rsidRDefault="007867FE"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33DBA15F" w14:textId="77777777" w:rsidR="007867FE" w:rsidRPr="00EB11D3" w:rsidRDefault="007867FE"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0BCA8E42" w14:textId="77777777" w:rsidR="007867FE" w:rsidRPr="00EB11D3" w:rsidRDefault="007867FE"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74C03E29" w14:textId="77777777" w:rsidR="007867FE" w:rsidRPr="00EB11D3" w:rsidRDefault="007867FE"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0E1D8FFA" w14:textId="77777777" w:rsidR="007867FE" w:rsidRPr="00EB11D3" w:rsidRDefault="007867FE" w:rsidP="00052AD2">
            <w:pPr>
              <w:spacing w:after="0" w:line="240" w:lineRule="auto"/>
              <w:rPr>
                <w:rFonts w:eastAsia="Times New Roman"/>
                <w:szCs w:val="24"/>
              </w:rPr>
            </w:pPr>
          </w:p>
        </w:tc>
      </w:tr>
      <w:tr w:rsidR="0039483D" w:rsidRPr="00EB11D3" w14:paraId="091E856D" w14:textId="77777777" w:rsidTr="00D02CAC">
        <w:trPr>
          <w:trHeight w:val="273"/>
        </w:trPr>
        <w:tc>
          <w:tcPr>
            <w:tcW w:w="190" w:type="pct"/>
            <w:tcBorders>
              <w:top w:val="single" w:sz="4" w:space="0" w:color="auto"/>
              <w:left w:val="single" w:sz="4" w:space="0" w:color="auto"/>
              <w:bottom w:val="single" w:sz="4" w:space="0" w:color="auto"/>
              <w:right w:val="single" w:sz="4" w:space="0" w:color="auto"/>
            </w:tcBorders>
          </w:tcPr>
          <w:p w14:paraId="07897BF5" w14:textId="77777777" w:rsidR="007867FE" w:rsidRPr="00EB11D3" w:rsidRDefault="00202CFB" w:rsidP="00052AD2">
            <w:pPr>
              <w:spacing w:after="0" w:line="240" w:lineRule="auto"/>
              <w:rPr>
                <w:rFonts w:eastAsia="Times New Roman"/>
                <w:szCs w:val="24"/>
              </w:rPr>
            </w:pPr>
            <w:r w:rsidRPr="00EB11D3">
              <w:rPr>
                <w:rFonts w:eastAsia="Times New Roman"/>
                <w:szCs w:val="24"/>
              </w:rPr>
              <w:t>4</w:t>
            </w:r>
          </w:p>
        </w:tc>
        <w:tc>
          <w:tcPr>
            <w:tcW w:w="3775" w:type="pct"/>
            <w:tcBorders>
              <w:top w:val="single" w:sz="4" w:space="0" w:color="auto"/>
              <w:left w:val="single" w:sz="4" w:space="0" w:color="auto"/>
              <w:bottom w:val="single" w:sz="4" w:space="0" w:color="auto"/>
              <w:right w:val="single" w:sz="4" w:space="0" w:color="auto"/>
            </w:tcBorders>
          </w:tcPr>
          <w:p w14:paraId="40651B94" w14:textId="77777777" w:rsidR="007867FE" w:rsidRPr="00EB11D3" w:rsidRDefault="00202CFB" w:rsidP="00052AD2">
            <w:pPr>
              <w:spacing w:after="0" w:line="240" w:lineRule="auto"/>
              <w:rPr>
                <w:rFonts w:eastAsia="Times New Roman"/>
                <w:szCs w:val="24"/>
              </w:rPr>
            </w:pPr>
            <w:r w:rsidRPr="00EB11D3">
              <w:rPr>
                <w:rFonts w:eastAsia="Times New Roman"/>
                <w:szCs w:val="24"/>
              </w:rPr>
              <w:t xml:space="preserve">There is sufficient measures or application to track hospital activities stage of implementation </w:t>
            </w:r>
          </w:p>
        </w:tc>
        <w:tc>
          <w:tcPr>
            <w:tcW w:w="223" w:type="pct"/>
            <w:tcBorders>
              <w:top w:val="single" w:sz="4" w:space="0" w:color="auto"/>
              <w:left w:val="single" w:sz="4" w:space="0" w:color="auto"/>
              <w:bottom w:val="single" w:sz="4" w:space="0" w:color="auto"/>
              <w:right w:val="single" w:sz="4" w:space="0" w:color="auto"/>
            </w:tcBorders>
          </w:tcPr>
          <w:p w14:paraId="01DFD1BD" w14:textId="77777777" w:rsidR="007867FE" w:rsidRPr="00EB11D3" w:rsidRDefault="007867FE"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027DF264" w14:textId="77777777" w:rsidR="007867FE" w:rsidRPr="00EB11D3" w:rsidRDefault="007867FE"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34C898AF" w14:textId="77777777" w:rsidR="007867FE" w:rsidRPr="00EB11D3" w:rsidRDefault="007867FE"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0E963E73" w14:textId="77777777" w:rsidR="007867FE" w:rsidRPr="00EB11D3" w:rsidRDefault="007867FE"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34E67B8C" w14:textId="77777777" w:rsidR="007867FE" w:rsidRPr="00EB11D3" w:rsidRDefault="007867FE" w:rsidP="00052AD2">
            <w:pPr>
              <w:spacing w:after="0" w:line="240" w:lineRule="auto"/>
              <w:rPr>
                <w:rFonts w:eastAsia="Times New Roman"/>
                <w:szCs w:val="24"/>
              </w:rPr>
            </w:pPr>
          </w:p>
        </w:tc>
      </w:tr>
      <w:tr w:rsidR="0039483D" w:rsidRPr="00EB11D3" w14:paraId="0FEE456D" w14:textId="77777777" w:rsidTr="00D02CAC">
        <w:trPr>
          <w:trHeight w:val="277"/>
        </w:trPr>
        <w:tc>
          <w:tcPr>
            <w:tcW w:w="190" w:type="pct"/>
            <w:tcBorders>
              <w:top w:val="single" w:sz="4" w:space="0" w:color="auto"/>
              <w:left w:val="single" w:sz="4" w:space="0" w:color="auto"/>
              <w:bottom w:val="single" w:sz="4" w:space="0" w:color="auto"/>
              <w:right w:val="single" w:sz="4" w:space="0" w:color="auto"/>
            </w:tcBorders>
            <w:hideMark/>
          </w:tcPr>
          <w:p w14:paraId="72F158B9" w14:textId="77777777" w:rsidR="00C21257" w:rsidRPr="00EB11D3" w:rsidRDefault="00D02CAC" w:rsidP="00D02CAC">
            <w:pPr>
              <w:spacing w:after="0" w:line="240" w:lineRule="auto"/>
              <w:rPr>
                <w:rFonts w:eastAsia="Times New Roman"/>
                <w:szCs w:val="24"/>
              </w:rPr>
            </w:pPr>
            <w:r w:rsidRPr="00EB11D3">
              <w:rPr>
                <w:rFonts w:eastAsia="Times New Roman"/>
                <w:szCs w:val="24"/>
              </w:rPr>
              <w:t>5</w:t>
            </w:r>
          </w:p>
        </w:tc>
        <w:tc>
          <w:tcPr>
            <w:tcW w:w="3775" w:type="pct"/>
            <w:tcBorders>
              <w:top w:val="single" w:sz="4" w:space="0" w:color="auto"/>
              <w:left w:val="single" w:sz="4" w:space="0" w:color="auto"/>
              <w:bottom w:val="single" w:sz="4" w:space="0" w:color="auto"/>
              <w:right w:val="single" w:sz="4" w:space="0" w:color="auto"/>
            </w:tcBorders>
            <w:hideMark/>
          </w:tcPr>
          <w:p w14:paraId="2FE59EE7" w14:textId="77777777" w:rsidR="00C21257" w:rsidRPr="00EB11D3" w:rsidRDefault="005B2A4F" w:rsidP="00D02CAC">
            <w:pPr>
              <w:spacing w:after="0" w:line="240" w:lineRule="auto"/>
              <w:rPr>
                <w:rFonts w:eastAsia="Times New Roman"/>
                <w:szCs w:val="24"/>
              </w:rPr>
            </w:pPr>
            <w:r w:rsidRPr="00EB11D3">
              <w:rPr>
                <w:rFonts w:eastAsia="Times New Roman"/>
                <w:szCs w:val="24"/>
              </w:rPr>
              <w:t>There is a sufficient number of experienced personnel at the hospital to provide excellent care.</w:t>
            </w:r>
          </w:p>
        </w:tc>
        <w:tc>
          <w:tcPr>
            <w:tcW w:w="223" w:type="pct"/>
            <w:tcBorders>
              <w:top w:val="single" w:sz="4" w:space="0" w:color="auto"/>
              <w:left w:val="single" w:sz="4" w:space="0" w:color="auto"/>
              <w:bottom w:val="single" w:sz="4" w:space="0" w:color="auto"/>
              <w:right w:val="single" w:sz="4" w:space="0" w:color="auto"/>
            </w:tcBorders>
          </w:tcPr>
          <w:p w14:paraId="170DDAC3" w14:textId="77777777" w:rsidR="00C21257" w:rsidRPr="00EB11D3" w:rsidRDefault="00C21257" w:rsidP="00D02CAC">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098E3253" w14:textId="77777777" w:rsidR="00C21257" w:rsidRPr="00EB11D3" w:rsidRDefault="00C21257" w:rsidP="00D02CAC">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2F2D5892" w14:textId="77777777" w:rsidR="00C21257" w:rsidRPr="00EB11D3" w:rsidRDefault="00C21257" w:rsidP="00D02CAC">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79AB9846" w14:textId="77777777" w:rsidR="00C21257" w:rsidRPr="00EB11D3" w:rsidRDefault="00C21257" w:rsidP="00D02CAC">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46FDC152" w14:textId="77777777" w:rsidR="00C21257" w:rsidRPr="00EB11D3" w:rsidRDefault="00C21257" w:rsidP="00D02CAC">
            <w:pPr>
              <w:spacing w:after="0" w:line="240" w:lineRule="auto"/>
              <w:rPr>
                <w:rFonts w:eastAsia="Times New Roman"/>
                <w:szCs w:val="24"/>
              </w:rPr>
            </w:pPr>
          </w:p>
        </w:tc>
      </w:tr>
      <w:tr w:rsidR="0039483D" w:rsidRPr="00EB11D3" w14:paraId="0AE80505" w14:textId="77777777" w:rsidTr="00D02CAC">
        <w:trPr>
          <w:trHeight w:val="277"/>
        </w:trPr>
        <w:tc>
          <w:tcPr>
            <w:tcW w:w="190" w:type="pct"/>
            <w:tcBorders>
              <w:top w:val="single" w:sz="4" w:space="0" w:color="auto"/>
              <w:left w:val="single" w:sz="4" w:space="0" w:color="auto"/>
              <w:bottom w:val="single" w:sz="4" w:space="0" w:color="auto"/>
              <w:right w:val="single" w:sz="4" w:space="0" w:color="auto"/>
            </w:tcBorders>
            <w:hideMark/>
          </w:tcPr>
          <w:p w14:paraId="42EA29E2" w14:textId="77777777" w:rsidR="00C21257" w:rsidRPr="00EB11D3" w:rsidRDefault="00D02CAC" w:rsidP="00052AD2">
            <w:pPr>
              <w:spacing w:after="0" w:line="240" w:lineRule="auto"/>
              <w:rPr>
                <w:rFonts w:eastAsia="Times New Roman"/>
                <w:szCs w:val="24"/>
              </w:rPr>
            </w:pPr>
            <w:r w:rsidRPr="00EB11D3">
              <w:rPr>
                <w:rFonts w:eastAsia="Times New Roman"/>
                <w:szCs w:val="24"/>
              </w:rPr>
              <w:t>6</w:t>
            </w:r>
          </w:p>
        </w:tc>
        <w:tc>
          <w:tcPr>
            <w:tcW w:w="3775" w:type="pct"/>
            <w:tcBorders>
              <w:top w:val="single" w:sz="4" w:space="0" w:color="auto"/>
              <w:left w:val="single" w:sz="4" w:space="0" w:color="auto"/>
              <w:bottom w:val="single" w:sz="4" w:space="0" w:color="auto"/>
              <w:right w:val="single" w:sz="4" w:space="0" w:color="auto"/>
            </w:tcBorders>
            <w:hideMark/>
          </w:tcPr>
          <w:p w14:paraId="2C55A14A" w14:textId="77777777" w:rsidR="00C21257" w:rsidRPr="00EB11D3" w:rsidRDefault="002B41C3" w:rsidP="00052AD2">
            <w:pPr>
              <w:spacing w:after="0" w:line="240" w:lineRule="auto"/>
              <w:rPr>
                <w:rFonts w:eastAsia="Times New Roman"/>
                <w:szCs w:val="24"/>
              </w:rPr>
            </w:pPr>
            <w:r w:rsidRPr="00EB11D3">
              <w:rPr>
                <w:rFonts w:eastAsia="Times New Roman"/>
                <w:szCs w:val="24"/>
              </w:rPr>
              <w:t xml:space="preserve">Feedback is integrated into the employees' improvement plans </w:t>
            </w:r>
          </w:p>
        </w:tc>
        <w:tc>
          <w:tcPr>
            <w:tcW w:w="223" w:type="pct"/>
            <w:tcBorders>
              <w:top w:val="single" w:sz="4" w:space="0" w:color="auto"/>
              <w:left w:val="single" w:sz="4" w:space="0" w:color="auto"/>
              <w:bottom w:val="single" w:sz="4" w:space="0" w:color="auto"/>
              <w:right w:val="single" w:sz="4" w:space="0" w:color="auto"/>
            </w:tcBorders>
          </w:tcPr>
          <w:p w14:paraId="6C1953B8" w14:textId="77777777" w:rsidR="00C21257" w:rsidRPr="00EB11D3" w:rsidRDefault="00C21257"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22ADB0C2"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7C62C024" w14:textId="77777777" w:rsidR="00C21257" w:rsidRPr="00EB11D3" w:rsidRDefault="00C21257"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737211B9"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7A1ECE94" w14:textId="77777777" w:rsidR="00C21257" w:rsidRPr="00EB11D3" w:rsidRDefault="00C21257" w:rsidP="00052AD2">
            <w:pPr>
              <w:spacing w:after="0" w:line="240" w:lineRule="auto"/>
              <w:rPr>
                <w:rFonts w:eastAsia="Times New Roman"/>
                <w:szCs w:val="24"/>
              </w:rPr>
            </w:pPr>
          </w:p>
        </w:tc>
      </w:tr>
      <w:tr w:rsidR="00D02CAC" w:rsidRPr="00EB11D3" w14:paraId="377C65C6" w14:textId="77777777" w:rsidTr="00D02CAC">
        <w:trPr>
          <w:trHeight w:val="277"/>
        </w:trPr>
        <w:tc>
          <w:tcPr>
            <w:tcW w:w="190" w:type="pct"/>
            <w:tcBorders>
              <w:top w:val="single" w:sz="4" w:space="0" w:color="auto"/>
              <w:left w:val="single" w:sz="4" w:space="0" w:color="auto"/>
              <w:bottom w:val="single" w:sz="4" w:space="0" w:color="auto"/>
              <w:right w:val="single" w:sz="4" w:space="0" w:color="auto"/>
            </w:tcBorders>
            <w:hideMark/>
          </w:tcPr>
          <w:p w14:paraId="02155109" w14:textId="77777777" w:rsidR="00C21257" w:rsidRPr="00EB11D3" w:rsidRDefault="00D02CAC" w:rsidP="00052AD2">
            <w:pPr>
              <w:spacing w:after="0" w:line="240" w:lineRule="auto"/>
              <w:rPr>
                <w:rFonts w:eastAsia="Times New Roman"/>
                <w:szCs w:val="24"/>
              </w:rPr>
            </w:pPr>
            <w:r w:rsidRPr="00EB11D3">
              <w:rPr>
                <w:rFonts w:eastAsia="Times New Roman"/>
                <w:szCs w:val="24"/>
              </w:rPr>
              <w:t>7</w:t>
            </w:r>
          </w:p>
        </w:tc>
        <w:tc>
          <w:tcPr>
            <w:tcW w:w="3775" w:type="pct"/>
            <w:tcBorders>
              <w:top w:val="single" w:sz="4" w:space="0" w:color="auto"/>
              <w:left w:val="single" w:sz="4" w:space="0" w:color="auto"/>
              <w:bottom w:val="single" w:sz="4" w:space="0" w:color="auto"/>
              <w:right w:val="single" w:sz="4" w:space="0" w:color="auto"/>
            </w:tcBorders>
            <w:hideMark/>
          </w:tcPr>
          <w:p w14:paraId="06D26CF0" w14:textId="77777777" w:rsidR="00C21257" w:rsidRPr="00EB11D3" w:rsidRDefault="00C21257" w:rsidP="00052AD2">
            <w:pPr>
              <w:spacing w:after="0" w:line="240" w:lineRule="auto"/>
              <w:rPr>
                <w:rFonts w:eastAsia="Times New Roman"/>
                <w:szCs w:val="24"/>
              </w:rPr>
            </w:pPr>
            <w:r w:rsidRPr="00EB11D3">
              <w:rPr>
                <w:rFonts w:eastAsia="Times New Roman"/>
                <w:szCs w:val="24"/>
              </w:rPr>
              <w:t xml:space="preserve">The hospital has increased number of services offered to better </w:t>
            </w:r>
            <w:r w:rsidR="00D73D79" w:rsidRPr="00EB11D3">
              <w:rPr>
                <w:rFonts w:eastAsia="Times New Roman"/>
                <w:szCs w:val="24"/>
              </w:rPr>
              <w:t xml:space="preserve">clients’ </w:t>
            </w:r>
            <w:r w:rsidRPr="00EB11D3">
              <w:rPr>
                <w:rFonts w:eastAsia="Times New Roman"/>
                <w:szCs w:val="24"/>
              </w:rPr>
              <w:t>needs</w:t>
            </w:r>
          </w:p>
        </w:tc>
        <w:tc>
          <w:tcPr>
            <w:tcW w:w="223" w:type="pct"/>
            <w:tcBorders>
              <w:top w:val="single" w:sz="4" w:space="0" w:color="auto"/>
              <w:left w:val="single" w:sz="4" w:space="0" w:color="auto"/>
              <w:bottom w:val="single" w:sz="4" w:space="0" w:color="auto"/>
              <w:right w:val="single" w:sz="4" w:space="0" w:color="auto"/>
            </w:tcBorders>
          </w:tcPr>
          <w:p w14:paraId="51A9DC2D" w14:textId="77777777" w:rsidR="00C21257" w:rsidRPr="00EB11D3" w:rsidRDefault="00C21257" w:rsidP="00052AD2">
            <w:pPr>
              <w:spacing w:after="0" w:line="240" w:lineRule="auto"/>
              <w:rPr>
                <w:rFonts w:eastAsia="Times New Roman"/>
                <w:szCs w:val="24"/>
              </w:rPr>
            </w:pPr>
          </w:p>
        </w:tc>
        <w:tc>
          <w:tcPr>
            <w:tcW w:w="224" w:type="pct"/>
            <w:tcBorders>
              <w:top w:val="single" w:sz="4" w:space="0" w:color="auto"/>
              <w:left w:val="single" w:sz="4" w:space="0" w:color="auto"/>
              <w:bottom w:val="single" w:sz="4" w:space="0" w:color="auto"/>
              <w:right w:val="single" w:sz="4" w:space="0" w:color="auto"/>
            </w:tcBorders>
          </w:tcPr>
          <w:p w14:paraId="7C708287"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034C5DF2" w14:textId="77777777" w:rsidR="00C21257" w:rsidRPr="00EB11D3" w:rsidRDefault="00C21257" w:rsidP="00052AD2">
            <w:pPr>
              <w:spacing w:after="0" w:line="240" w:lineRule="auto"/>
              <w:rPr>
                <w:rFonts w:eastAsia="Times New Roman"/>
                <w:szCs w:val="24"/>
              </w:rPr>
            </w:pPr>
          </w:p>
        </w:tc>
        <w:tc>
          <w:tcPr>
            <w:tcW w:w="180" w:type="pct"/>
            <w:tcBorders>
              <w:top w:val="single" w:sz="4" w:space="0" w:color="auto"/>
              <w:left w:val="single" w:sz="4" w:space="0" w:color="auto"/>
              <w:bottom w:val="single" w:sz="4" w:space="0" w:color="auto"/>
              <w:right w:val="single" w:sz="4" w:space="0" w:color="auto"/>
            </w:tcBorders>
          </w:tcPr>
          <w:p w14:paraId="23BCCBC8" w14:textId="77777777" w:rsidR="00C21257" w:rsidRPr="00EB11D3" w:rsidRDefault="00C21257" w:rsidP="00052AD2">
            <w:pPr>
              <w:spacing w:after="0" w:line="240" w:lineRule="auto"/>
              <w:rPr>
                <w:rFonts w:eastAsia="Times New Roman"/>
                <w:szCs w:val="24"/>
              </w:rPr>
            </w:pPr>
          </w:p>
        </w:tc>
        <w:tc>
          <w:tcPr>
            <w:tcW w:w="204" w:type="pct"/>
            <w:tcBorders>
              <w:top w:val="single" w:sz="4" w:space="0" w:color="auto"/>
              <w:left w:val="single" w:sz="4" w:space="0" w:color="auto"/>
              <w:bottom w:val="single" w:sz="4" w:space="0" w:color="auto"/>
              <w:right w:val="single" w:sz="4" w:space="0" w:color="auto"/>
            </w:tcBorders>
          </w:tcPr>
          <w:p w14:paraId="1CE27A59" w14:textId="77777777" w:rsidR="00C21257" w:rsidRPr="00EB11D3" w:rsidRDefault="00C21257" w:rsidP="00052AD2">
            <w:pPr>
              <w:spacing w:after="0" w:line="240" w:lineRule="auto"/>
              <w:rPr>
                <w:rFonts w:eastAsia="Times New Roman"/>
                <w:szCs w:val="24"/>
              </w:rPr>
            </w:pPr>
          </w:p>
        </w:tc>
      </w:tr>
    </w:tbl>
    <w:p w14:paraId="3A5934AC" w14:textId="77777777" w:rsidR="00C21257" w:rsidRPr="00EB11D3" w:rsidRDefault="00C21257" w:rsidP="00C21257">
      <w:pPr>
        <w:spacing w:after="0" w:line="360" w:lineRule="auto"/>
        <w:rPr>
          <w:rFonts w:eastAsia="Times New Roman"/>
          <w:szCs w:val="24"/>
        </w:rPr>
      </w:pPr>
    </w:p>
    <w:p w14:paraId="0B4678DD" w14:textId="77777777" w:rsidR="00DC0D7C" w:rsidRPr="00EB11D3" w:rsidRDefault="00C21257" w:rsidP="00D74B92">
      <w:pPr>
        <w:pStyle w:val="Heading1"/>
        <w:spacing w:line="360" w:lineRule="auto"/>
      </w:pPr>
      <w:bookmarkStart w:id="1202" w:name="_Toc13588684"/>
      <w:bookmarkStart w:id="1203" w:name="_Toc135938321"/>
      <w:r w:rsidRPr="00EB11D3">
        <w:rPr>
          <w:rFonts w:eastAsia="Times New Roman"/>
        </w:rPr>
        <w:br w:type="page"/>
      </w:r>
      <w:bookmarkStart w:id="1204" w:name="_Toc32059488"/>
      <w:bookmarkStart w:id="1205" w:name="_Toc135938323"/>
      <w:bookmarkStart w:id="1206" w:name="_Toc177387917"/>
      <w:bookmarkEnd w:id="1202"/>
      <w:bookmarkEnd w:id="1203"/>
      <w:r w:rsidR="00D74B92" w:rsidRPr="00EB11D3">
        <w:t>Appendix V: List of Faith-</w:t>
      </w:r>
      <w:r w:rsidR="00CF1C42">
        <w:t>B</w:t>
      </w:r>
      <w:r w:rsidR="00D74B92" w:rsidRPr="00EB11D3">
        <w:t>ased Hospitals</w:t>
      </w:r>
      <w:bookmarkEnd w:id="1204"/>
      <w:bookmarkEnd w:id="1205"/>
      <w:bookmarkEnd w:id="120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4"/>
        <w:gridCol w:w="2477"/>
        <w:gridCol w:w="1269"/>
        <w:gridCol w:w="1237"/>
        <w:gridCol w:w="1889"/>
        <w:gridCol w:w="1914"/>
      </w:tblGrid>
      <w:tr w:rsidR="0039483D" w:rsidRPr="00EB11D3" w14:paraId="21B04BFB" w14:textId="77777777" w:rsidTr="007A43C6">
        <w:trPr>
          <w:trHeight w:val="300"/>
        </w:trPr>
        <w:tc>
          <w:tcPr>
            <w:tcW w:w="564" w:type="dxa"/>
            <w:shd w:val="clear" w:color="auto" w:fill="auto"/>
            <w:noWrap/>
          </w:tcPr>
          <w:p w14:paraId="2997699D" w14:textId="77777777" w:rsidR="00DC0D7C" w:rsidRPr="00EB11D3" w:rsidRDefault="00212BDF" w:rsidP="005D01F9">
            <w:pPr>
              <w:spacing w:after="0" w:line="240" w:lineRule="auto"/>
              <w:jc w:val="center"/>
              <w:rPr>
                <w:rFonts w:eastAsia="Calibri"/>
                <w:b/>
                <w:bCs/>
                <w:sz w:val="22"/>
                <w:lang w:val="zh-CN"/>
              </w:rPr>
            </w:pPr>
            <w:r w:rsidRPr="00EB11D3">
              <w:rPr>
                <w:rFonts w:eastAsia="Calibri"/>
                <w:b/>
                <w:bCs/>
                <w:sz w:val="22"/>
                <w:lang w:val="zh-CN"/>
              </w:rPr>
              <w:t>N0.</w:t>
            </w:r>
          </w:p>
        </w:tc>
        <w:tc>
          <w:tcPr>
            <w:tcW w:w="2477" w:type="dxa"/>
            <w:shd w:val="clear" w:color="auto" w:fill="auto"/>
            <w:noWrap/>
          </w:tcPr>
          <w:p w14:paraId="30BB6FC6" w14:textId="77777777" w:rsidR="00DC0D7C" w:rsidRPr="00EB11D3" w:rsidRDefault="00212BDF" w:rsidP="005D01F9">
            <w:pPr>
              <w:spacing w:after="0" w:line="240" w:lineRule="auto"/>
              <w:jc w:val="center"/>
              <w:rPr>
                <w:rFonts w:eastAsia="Calibri"/>
                <w:b/>
                <w:bCs/>
                <w:sz w:val="22"/>
                <w:lang w:val="zh-CN"/>
              </w:rPr>
            </w:pPr>
            <w:r w:rsidRPr="00EB11D3">
              <w:rPr>
                <w:rFonts w:eastAsia="Calibri"/>
                <w:b/>
                <w:bCs/>
                <w:sz w:val="22"/>
                <w:lang w:val="zh-CN"/>
              </w:rPr>
              <w:t>Facility</w:t>
            </w:r>
          </w:p>
        </w:tc>
        <w:tc>
          <w:tcPr>
            <w:tcW w:w="1269" w:type="dxa"/>
            <w:shd w:val="clear" w:color="auto" w:fill="auto"/>
            <w:noWrap/>
          </w:tcPr>
          <w:p w14:paraId="21BBBA33" w14:textId="77777777" w:rsidR="00DC0D7C" w:rsidRPr="00EB11D3" w:rsidRDefault="00212BDF" w:rsidP="005D01F9">
            <w:pPr>
              <w:spacing w:after="0" w:line="240" w:lineRule="auto"/>
              <w:jc w:val="center"/>
              <w:rPr>
                <w:rFonts w:eastAsia="Calibri"/>
                <w:b/>
                <w:bCs/>
                <w:sz w:val="22"/>
                <w:lang w:val="zh-CN"/>
              </w:rPr>
            </w:pPr>
            <w:r w:rsidRPr="00EB11D3">
              <w:rPr>
                <w:rFonts w:eastAsia="Calibri"/>
                <w:b/>
                <w:bCs/>
                <w:sz w:val="22"/>
                <w:lang w:val="zh-CN"/>
              </w:rPr>
              <w:t>Level</w:t>
            </w:r>
          </w:p>
        </w:tc>
        <w:tc>
          <w:tcPr>
            <w:tcW w:w="1237" w:type="dxa"/>
            <w:shd w:val="clear" w:color="auto" w:fill="auto"/>
            <w:noWrap/>
          </w:tcPr>
          <w:p w14:paraId="39E30401" w14:textId="77777777" w:rsidR="00DC0D7C" w:rsidRPr="00EB11D3" w:rsidRDefault="00212BDF" w:rsidP="005D01F9">
            <w:pPr>
              <w:spacing w:after="0" w:line="240" w:lineRule="auto"/>
              <w:jc w:val="center"/>
              <w:rPr>
                <w:rFonts w:eastAsia="Calibri"/>
                <w:b/>
                <w:bCs/>
                <w:sz w:val="22"/>
                <w:lang w:val="zh-CN"/>
              </w:rPr>
            </w:pPr>
            <w:r w:rsidRPr="00EB11D3">
              <w:rPr>
                <w:rFonts w:eastAsia="Calibri"/>
                <w:b/>
                <w:bCs/>
                <w:sz w:val="22"/>
                <w:lang w:val="zh-CN"/>
              </w:rPr>
              <w:t>County</w:t>
            </w:r>
          </w:p>
        </w:tc>
        <w:tc>
          <w:tcPr>
            <w:tcW w:w="1889" w:type="dxa"/>
            <w:shd w:val="clear" w:color="auto" w:fill="auto"/>
            <w:noWrap/>
          </w:tcPr>
          <w:p w14:paraId="551D6D28" w14:textId="77777777" w:rsidR="00DC0D7C" w:rsidRPr="00EB11D3" w:rsidRDefault="00212BDF" w:rsidP="005D01F9">
            <w:pPr>
              <w:spacing w:after="0" w:line="240" w:lineRule="auto"/>
              <w:jc w:val="center"/>
              <w:rPr>
                <w:rFonts w:eastAsia="Calibri"/>
                <w:b/>
                <w:bCs/>
                <w:sz w:val="22"/>
                <w:lang w:val="zh-CN"/>
              </w:rPr>
            </w:pPr>
            <w:r w:rsidRPr="00EB11D3">
              <w:rPr>
                <w:rFonts w:eastAsia="Calibri"/>
                <w:b/>
                <w:bCs/>
                <w:sz w:val="22"/>
                <w:lang w:val="zh-CN"/>
              </w:rPr>
              <w:t>Sub-County</w:t>
            </w:r>
          </w:p>
        </w:tc>
        <w:tc>
          <w:tcPr>
            <w:tcW w:w="1914" w:type="dxa"/>
            <w:shd w:val="clear" w:color="auto" w:fill="auto"/>
            <w:noWrap/>
          </w:tcPr>
          <w:p w14:paraId="64F18CB8" w14:textId="77777777" w:rsidR="00DC0D7C" w:rsidRPr="00EB11D3" w:rsidRDefault="00212BDF" w:rsidP="005D01F9">
            <w:pPr>
              <w:spacing w:after="0" w:line="240" w:lineRule="auto"/>
              <w:jc w:val="center"/>
              <w:rPr>
                <w:rFonts w:eastAsia="Calibri"/>
                <w:b/>
                <w:bCs/>
                <w:sz w:val="22"/>
                <w:lang w:val="zh-CN"/>
              </w:rPr>
            </w:pPr>
            <w:r w:rsidRPr="00EB11D3">
              <w:rPr>
                <w:rFonts w:eastAsia="Calibri"/>
                <w:b/>
                <w:bCs/>
                <w:sz w:val="22"/>
                <w:lang w:val="zh-CN"/>
              </w:rPr>
              <w:t>Ward</w:t>
            </w:r>
          </w:p>
        </w:tc>
      </w:tr>
      <w:tr w:rsidR="0039483D" w:rsidRPr="00EB11D3" w14:paraId="4905DD61" w14:textId="77777777" w:rsidTr="007A43C6">
        <w:trPr>
          <w:trHeight w:val="300"/>
        </w:trPr>
        <w:tc>
          <w:tcPr>
            <w:tcW w:w="564" w:type="dxa"/>
            <w:shd w:val="clear" w:color="auto" w:fill="auto"/>
            <w:noWrap/>
          </w:tcPr>
          <w:p w14:paraId="035FAD8F" w14:textId="77777777" w:rsidR="00DC0D7C" w:rsidRPr="00EB11D3" w:rsidRDefault="00212BDF">
            <w:pPr>
              <w:spacing w:after="0" w:line="240" w:lineRule="auto"/>
              <w:jc w:val="left"/>
              <w:rPr>
                <w:rFonts w:eastAsia="Calibri"/>
                <w:sz w:val="22"/>
              </w:rPr>
            </w:pPr>
            <w:r w:rsidRPr="00EB11D3">
              <w:rPr>
                <w:rFonts w:eastAsia="Calibri"/>
                <w:sz w:val="22"/>
              </w:rPr>
              <w:t>1</w:t>
            </w:r>
          </w:p>
        </w:tc>
        <w:tc>
          <w:tcPr>
            <w:tcW w:w="2477" w:type="dxa"/>
            <w:shd w:val="clear" w:color="auto" w:fill="auto"/>
            <w:noWrap/>
          </w:tcPr>
          <w:p w14:paraId="08920478"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Living Room International</w:t>
            </w:r>
          </w:p>
        </w:tc>
        <w:tc>
          <w:tcPr>
            <w:tcW w:w="1269" w:type="dxa"/>
            <w:shd w:val="clear" w:color="auto" w:fill="auto"/>
            <w:noWrap/>
          </w:tcPr>
          <w:p w14:paraId="64C227F0"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078312CF"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Uasin Gishu</w:t>
            </w:r>
          </w:p>
        </w:tc>
        <w:tc>
          <w:tcPr>
            <w:tcW w:w="1889" w:type="dxa"/>
            <w:shd w:val="clear" w:color="auto" w:fill="auto"/>
            <w:noWrap/>
          </w:tcPr>
          <w:p w14:paraId="4A7542E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Ainabkoi</w:t>
            </w:r>
          </w:p>
        </w:tc>
        <w:tc>
          <w:tcPr>
            <w:tcW w:w="1914" w:type="dxa"/>
            <w:shd w:val="clear" w:color="auto" w:fill="auto"/>
            <w:noWrap/>
          </w:tcPr>
          <w:p w14:paraId="0F94582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 xml:space="preserve">Kapsoya </w:t>
            </w:r>
          </w:p>
        </w:tc>
      </w:tr>
      <w:tr w:rsidR="0039483D" w:rsidRPr="00EB11D3" w14:paraId="34B453D9" w14:textId="77777777" w:rsidTr="007A43C6">
        <w:trPr>
          <w:trHeight w:val="300"/>
        </w:trPr>
        <w:tc>
          <w:tcPr>
            <w:tcW w:w="564" w:type="dxa"/>
            <w:shd w:val="clear" w:color="auto" w:fill="auto"/>
            <w:noWrap/>
          </w:tcPr>
          <w:p w14:paraId="010AA197" w14:textId="77777777" w:rsidR="00DC0D7C" w:rsidRPr="00EB11D3" w:rsidRDefault="00212BDF">
            <w:pPr>
              <w:spacing w:after="0" w:line="240" w:lineRule="auto"/>
              <w:jc w:val="left"/>
              <w:rPr>
                <w:rFonts w:eastAsia="Calibri"/>
                <w:sz w:val="22"/>
              </w:rPr>
            </w:pPr>
            <w:r w:rsidRPr="00EB11D3">
              <w:rPr>
                <w:rFonts w:eastAsia="Calibri"/>
                <w:sz w:val="22"/>
              </w:rPr>
              <w:t>2</w:t>
            </w:r>
          </w:p>
        </w:tc>
        <w:tc>
          <w:tcPr>
            <w:tcW w:w="2477" w:type="dxa"/>
            <w:shd w:val="clear" w:color="auto" w:fill="auto"/>
            <w:noWrap/>
          </w:tcPr>
          <w:p w14:paraId="0FE5DF0C"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Nairobi Adventist Hospital</w:t>
            </w:r>
          </w:p>
        </w:tc>
        <w:tc>
          <w:tcPr>
            <w:tcW w:w="1269" w:type="dxa"/>
            <w:shd w:val="clear" w:color="auto" w:fill="auto"/>
            <w:noWrap/>
          </w:tcPr>
          <w:p w14:paraId="00AA83E4"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2892671B"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Nairobi</w:t>
            </w:r>
          </w:p>
        </w:tc>
        <w:tc>
          <w:tcPr>
            <w:tcW w:w="1889" w:type="dxa"/>
            <w:shd w:val="clear" w:color="auto" w:fill="auto"/>
            <w:noWrap/>
          </w:tcPr>
          <w:p w14:paraId="138A4B85"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Westlands</w:t>
            </w:r>
          </w:p>
        </w:tc>
        <w:tc>
          <w:tcPr>
            <w:tcW w:w="1914" w:type="dxa"/>
            <w:shd w:val="clear" w:color="auto" w:fill="auto"/>
            <w:noWrap/>
          </w:tcPr>
          <w:p w14:paraId="3B7FE65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 xml:space="preserve">Karura </w:t>
            </w:r>
          </w:p>
        </w:tc>
      </w:tr>
      <w:tr w:rsidR="0039483D" w:rsidRPr="00EB11D3" w14:paraId="058FD923" w14:textId="77777777" w:rsidTr="007A43C6">
        <w:trPr>
          <w:trHeight w:val="300"/>
        </w:trPr>
        <w:tc>
          <w:tcPr>
            <w:tcW w:w="564" w:type="dxa"/>
            <w:shd w:val="clear" w:color="auto" w:fill="auto"/>
            <w:noWrap/>
          </w:tcPr>
          <w:p w14:paraId="0501872C" w14:textId="77777777" w:rsidR="00DC0D7C" w:rsidRPr="00EB11D3" w:rsidRDefault="00212BDF">
            <w:pPr>
              <w:spacing w:after="0" w:line="240" w:lineRule="auto"/>
              <w:jc w:val="left"/>
              <w:rPr>
                <w:rFonts w:eastAsia="Calibri"/>
                <w:sz w:val="22"/>
              </w:rPr>
            </w:pPr>
            <w:r w:rsidRPr="00EB11D3">
              <w:rPr>
                <w:rFonts w:eastAsia="Calibri"/>
                <w:sz w:val="22"/>
              </w:rPr>
              <w:t>3</w:t>
            </w:r>
          </w:p>
        </w:tc>
        <w:tc>
          <w:tcPr>
            <w:tcW w:w="2477" w:type="dxa"/>
            <w:shd w:val="clear" w:color="auto" w:fill="auto"/>
            <w:noWrap/>
          </w:tcPr>
          <w:p w14:paraId="26AB669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ACK Emmanuel Mission Hospital</w:t>
            </w:r>
          </w:p>
        </w:tc>
        <w:tc>
          <w:tcPr>
            <w:tcW w:w="1269" w:type="dxa"/>
            <w:shd w:val="clear" w:color="auto" w:fill="auto"/>
            <w:noWrap/>
          </w:tcPr>
          <w:p w14:paraId="188AC2BD"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1E5D7C04"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Kiambu</w:t>
            </w:r>
          </w:p>
        </w:tc>
        <w:tc>
          <w:tcPr>
            <w:tcW w:w="1889" w:type="dxa"/>
            <w:shd w:val="clear" w:color="auto" w:fill="auto"/>
            <w:noWrap/>
          </w:tcPr>
          <w:p w14:paraId="036B778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Kikuyu</w:t>
            </w:r>
          </w:p>
        </w:tc>
        <w:tc>
          <w:tcPr>
            <w:tcW w:w="1914" w:type="dxa"/>
            <w:shd w:val="clear" w:color="auto" w:fill="auto"/>
            <w:noWrap/>
          </w:tcPr>
          <w:p w14:paraId="4CD43F5E"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Kikuyu</w:t>
            </w:r>
          </w:p>
        </w:tc>
      </w:tr>
      <w:tr w:rsidR="0039483D" w:rsidRPr="00EB11D3" w14:paraId="45FECA39" w14:textId="77777777" w:rsidTr="007A43C6">
        <w:trPr>
          <w:trHeight w:val="300"/>
        </w:trPr>
        <w:tc>
          <w:tcPr>
            <w:tcW w:w="564" w:type="dxa"/>
            <w:shd w:val="clear" w:color="auto" w:fill="auto"/>
            <w:noWrap/>
          </w:tcPr>
          <w:p w14:paraId="7A89BAF9" w14:textId="77777777" w:rsidR="00DC0D7C" w:rsidRPr="00EB11D3" w:rsidRDefault="00212BDF">
            <w:pPr>
              <w:spacing w:after="0" w:line="240" w:lineRule="auto"/>
              <w:jc w:val="left"/>
              <w:rPr>
                <w:rFonts w:eastAsia="Calibri"/>
                <w:sz w:val="22"/>
              </w:rPr>
            </w:pPr>
            <w:r w:rsidRPr="00EB11D3">
              <w:rPr>
                <w:rFonts w:eastAsia="Calibri"/>
                <w:sz w:val="22"/>
              </w:rPr>
              <w:t>4</w:t>
            </w:r>
          </w:p>
        </w:tc>
        <w:tc>
          <w:tcPr>
            <w:tcW w:w="2477" w:type="dxa"/>
            <w:shd w:val="clear" w:color="auto" w:fill="auto"/>
            <w:noWrap/>
          </w:tcPr>
          <w:p w14:paraId="10D6E98E"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Tenwek Hospital Annex-Bomet</w:t>
            </w:r>
          </w:p>
        </w:tc>
        <w:tc>
          <w:tcPr>
            <w:tcW w:w="1269" w:type="dxa"/>
            <w:shd w:val="clear" w:color="auto" w:fill="auto"/>
            <w:noWrap/>
          </w:tcPr>
          <w:p w14:paraId="1FCAB33F"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3E4B366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Bomet </w:t>
            </w:r>
          </w:p>
        </w:tc>
        <w:tc>
          <w:tcPr>
            <w:tcW w:w="1889" w:type="dxa"/>
            <w:shd w:val="clear" w:color="auto" w:fill="auto"/>
            <w:noWrap/>
          </w:tcPr>
          <w:p w14:paraId="6671ED7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Chepalungu</w:t>
            </w:r>
          </w:p>
        </w:tc>
        <w:tc>
          <w:tcPr>
            <w:tcW w:w="1914" w:type="dxa"/>
            <w:shd w:val="clear" w:color="auto" w:fill="auto"/>
            <w:noWrap/>
          </w:tcPr>
          <w:p w14:paraId="3BAF0FD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Nyangores</w:t>
            </w:r>
          </w:p>
        </w:tc>
      </w:tr>
      <w:tr w:rsidR="0039483D" w:rsidRPr="00EB11D3" w14:paraId="005576E3" w14:textId="77777777" w:rsidTr="007A43C6">
        <w:trPr>
          <w:trHeight w:val="300"/>
        </w:trPr>
        <w:tc>
          <w:tcPr>
            <w:tcW w:w="564" w:type="dxa"/>
            <w:shd w:val="clear" w:color="auto" w:fill="auto"/>
            <w:noWrap/>
          </w:tcPr>
          <w:p w14:paraId="5AA0CBDD" w14:textId="77777777" w:rsidR="00DC0D7C" w:rsidRPr="00EB11D3" w:rsidRDefault="00212BDF">
            <w:pPr>
              <w:spacing w:after="0" w:line="240" w:lineRule="auto"/>
              <w:jc w:val="left"/>
              <w:rPr>
                <w:rFonts w:eastAsia="Calibri"/>
                <w:sz w:val="22"/>
              </w:rPr>
            </w:pPr>
            <w:r w:rsidRPr="00EB11D3">
              <w:rPr>
                <w:rFonts w:eastAsia="Calibri"/>
                <w:sz w:val="22"/>
              </w:rPr>
              <w:t>5</w:t>
            </w:r>
          </w:p>
        </w:tc>
        <w:tc>
          <w:tcPr>
            <w:tcW w:w="2477" w:type="dxa"/>
            <w:shd w:val="clear" w:color="auto" w:fill="auto"/>
            <w:noWrap/>
          </w:tcPr>
          <w:p w14:paraId="65B9D159"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Jesse Kay Children Hospital</w:t>
            </w:r>
          </w:p>
        </w:tc>
        <w:tc>
          <w:tcPr>
            <w:tcW w:w="1269" w:type="dxa"/>
            <w:shd w:val="clear" w:color="auto" w:fill="auto"/>
            <w:noWrap/>
          </w:tcPr>
          <w:p w14:paraId="24A12B09"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55FCBABB"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Nairobi</w:t>
            </w:r>
          </w:p>
        </w:tc>
        <w:tc>
          <w:tcPr>
            <w:tcW w:w="1889" w:type="dxa"/>
            <w:shd w:val="clear" w:color="auto" w:fill="auto"/>
            <w:noWrap/>
          </w:tcPr>
          <w:p w14:paraId="5B94763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Roysambu </w:t>
            </w:r>
          </w:p>
        </w:tc>
        <w:tc>
          <w:tcPr>
            <w:tcW w:w="1914" w:type="dxa"/>
            <w:shd w:val="clear" w:color="auto" w:fill="auto"/>
            <w:noWrap/>
          </w:tcPr>
          <w:p w14:paraId="698722F8"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Roysambu </w:t>
            </w:r>
          </w:p>
        </w:tc>
      </w:tr>
      <w:tr w:rsidR="0039483D" w:rsidRPr="00EB11D3" w14:paraId="1375F920" w14:textId="77777777" w:rsidTr="007A43C6">
        <w:trPr>
          <w:trHeight w:val="300"/>
        </w:trPr>
        <w:tc>
          <w:tcPr>
            <w:tcW w:w="564" w:type="dxa"/>
            <w:shd w:val="clear" w:color="auto" w:fill="auto"/>
            <w:noWrap/>
          </w:tcPr>
          <w:p w14:paraId="69BEA06E" w14:textId="77777777" w:rsidR="00DC0D7C" w:rsidRPr="00EB11D3" w:rsidRDefault="00212BDF">
            <w:pPr>
              <w:spacing w:after="0" w:line="240" w:lineRule="auto"/>
              <w:jc w:val="left"/>
              <w:rPr>
                <w:rFonts w:eastAsia="Calibri"/>
                <w:sz w:val="22"/>
              </w:rPr>
            </w:pPr>
            <w:r w:rsidRPr="00EB11D3">
              <w:rPr>
                <w:rFonts w:eastAsia="Calibri"/>
                <w:sz w:val="22"/>
              </w:rPr>
              <w:t>6</w:t>
            </w:r>
          </w:p>
        </w:tc>
        <w:tc>
          <w:tcPr>
            <w:tcW w:w="2477" w:type="dxa"/>
            <w:shd w:val="clear" w:color="auto" w:fill="auto"/>
            <w:noWrap/>
          </w:tcPr>
          <w:p w14:paraId="511D7E1E"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 xml:space="preserve">Kingdom </w:t>
            </w:r>
            <w:r w:rsidR="0038019E" w:rsidRPr="00EB11D3">
              <w:rPr>
                <w:rFonts w:eastAsia="Calibri"/>
                <w:sz w:val="22"/>
                <w:lang w:val="zh-CN"/>
              </w:rPr>
              <w:t>Faith-based</w:t>
            </w:r>
            <w:r w:rsidRPr="00EB11D3">
              <w:rPr>
                <w:rFonts w:eastAsia="Calibri"/>
                <w:sz w:val="22"/>
                <w:lang w:val="zh-CN"/>
              </w:rPr>
              <w:t xml:space="preserve"> Hospital</w:t>
            </w:r>
          </w:p>
        </w:tc>
        <w:tc>
          <w:tcPr>
            <w:tcW w:w="1269" w:type="dxa"/>
            <w:shd w:val="clear" w:color="auto" w:fill="auto"/>
            <w:noWrap/>
          </w:tcPr>
          <w:p w14:paraId="737C2B2C"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7D9134DC"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Bungoma</w:t>
            </w:r>
          </w:p>
        </w:tc>
        <w:tc>
          <w:tcPr>
            <w:tcW w:w="1889" w:type="dxa"/>
            <w:shd w:val="clear" w:color="auto" w:fill="auto"/>
            <w:noWrap/>
          </w:tcPr>
          <w:p w14:paraId="46A5E21E"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Webuye West</w:t>
            </w:r>
          </w:p>
        </w:tc>
        <w:tc>
          <w:tcPr>
            <w:tcW w:w="1914" w:type="dxa"/>
            <w:shd w:val="clear" w:color="auto" w:fill="auto"/>
            <w:noWrap/>
          </w:tcPr>
          <w:p w14:paraId="64E07F0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Matulo </w:t>
            </w:r>
          </w:p>
        </w:tc>
      </w:tr>
      <w:tr w:rsidR="0039483D" w:rsidRPr="00EB11D3" w14:paraId="223D7C14" w14:textId="77777777" w:rsidTr="007A43C6">
        <w:trPr>
          <w:trHeight w:val="300"/>
        </w:trPr>
        <w:tc>
          <w:tcPr>
            <w:tcW w:w="564" w:type="dxa"/>
            <w:shd w:val="clear" w:color="auto" w:fill="auto"/>
            <w:noWrap/>
          </w:tcPr>
          <w:p w14:paraId="2FE30257" w14:textId="77777777" w:rsidR="00DC0D7C" w:rsidRPr="00EB11D3" w:rsidRDefault="00212BDF">
            <w:pPr>
              <w:spacing w:after="0" w:line="240" w:lineRule="auto"/>
              <w:jc w:val="left"/>
              <w:rPr>
                <w:rFonts w:eastAsia="Calibri"/>
                <w:sz w:val="22"/>
              </w:rPr>
            </w:pPr>
            <w:r w:rsidRPr="00EB11D3">
              <w:rPr>
                <w:rFonts w:eastAsia="Calibri"/>
                <w:sz w:val="22"/>
              </w:rPr>
              <w:t>7</w:t>
            </w:r>
          </w:p>
        </w:tc>
        <w:tc>
          <w:tcPr>
            <w:tcW w:w="2477" w:type="dxa"/>
            <w:shd w:val="clear" w:color="auto" w:fill="auto"/>
            <w:noWrap/>
          </w:tcPr>
          <w:p w14:paraId="32DD828C"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Better Living Hospital</w:t>
            </w:r>
          </w:p>
        </w:tc>
        <w:tc>
          <w:tcPr>
            <w:tcW w:w="1269" w:type="dxa"/>
            <w:shd w:val="clear" w:color="auto" w:fill="auto"/>
            <w:noWrap/>
          </w:tcPr>
          <w:p w14:paraId="76E5FE83"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7061D6A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Nairobi</w:t>
            </w:r>
          </w:p>
        </w:tc>
        <w:tc>
          <w:tcPr>
            <w:tcW w:w="1889" w:type="dxa"/>
            <w:shd w:val="clear" w:color="auto" w:fill="auto"/>
            <w:noWrap/>
          </w:tcPr>
          <w:p w14:paraId="7473E608"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Dagoretti North</w:t>
            </w:r>
          </w:p>
        </w:tc>
        <w:tc>
          <w:tcPr>
            <w:tcW w:w="1914" w:type="dxa"/>
            <w:shd w:val="clear" w:color="auto" w:fill="auto"/>
            <w:noWrap/>
          </w:tcPr>
          <w:p w14:paraId="1D4CB16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Kilimani </w:t>
            </w:r>
          </w:p>
        </w:tc>
      </w:tr>
      <w:tr w:rsidR="0039483D" w:rsidRPr="00EB11D3" w14:paraId="73D70269" w14:textId="77777777" w:rsidTr="007A43C6">
        <w:trPr>
          <w:trHeight w:val="300"/>
        </w:trPr>
        <w:tc>
          <w:tcPr>
            <w:tcW w:w="564" w:type="dxa"/>
            <w:shd w:val="clear" w:color="auto" w:fill="auto"/>
            <w:noWrap/>
          </w:tcPr>
          <w:p w14:paraId="2BCDDAB1" w14:textId="77777777" w:rsidR="00DC0D7C" w:rsidRPr="00EB11D3" w:rsidRDefault="00212BDF">
            <w:pPr>
              <w:spacing w:after="0" w:line="240" w:lineRule="auto"/>
              <w:jc w:val="left"/>
              <w:rPr>
                <w:rFonts w:eastAsia="Calibri"/>
                <w:sz w:val="22"/>
              </w:rPr>
            </w:pPr>
            <w:r w:rsidRPr="00EB11D3">
              <w:rPr>
                <w:rFonts w:eastAsia="Calibri"/>
                <w:sz w:val="22"/>
              </w:rPr>
              <w:t>8</w:t>
            </w:r>
          </w:p>
        </w:tc>
        <w:tc>
          <w:tcPr>
            <w:tcW w:w="2477" w:type="dxa"/>
            <w:shd w:val="clear" w:color="auto" w:fill="auto"/>
            <w:noWrap/>
          </w:tcPr>
          <w:p w14:paraId="134B807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Mercy Mission Hospital</w:t>
            </w:r>
          </w:p>
        </w:tc>
        <w:tc>
          <w:tcPr>
            <w:tcW w:w="1269" w:type="dxa"/>
            <w:shd w:val="clear" w:color="auto" w:fill="auto"/>
            <w:noWrap/>
          </w:tcPr>
          <w:p w14:paraId="528BDF45"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5B0140F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Nakuru</w:t>
            </w:r>
          </w:p>
        </w:tc>
        <w:tc>
          <w:tcPr>
            <w:tcW w:w="1889" w:type="dxa"/>
            <w:shd w:val="clear" w:color="auto" w:fill="auto"/>
            <w:noWrap/>
          </w:tcPr>
          <w:p w14:paraId="5A25467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Nakuru East</w:t>
            </w:r>
          </w:p>
        </w:tc>
        <w:tc>
          <w:tcPr>
            <w:tcW w:w="1914" w:type="dxa"/>
            <w:shd w:val="clear" w:color="auto" w:fill="auto"/>
            <w:noWrap/>
          </w:tcPr>
          <w:p w14:paraId="630C8F0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Biashara</w:t>
            </w:r>
          </w:p>
        </w:tc>
      </w:tr>
      <w:tr w:rsidR="0039483D" w:rsidRPr="00EB11D3" w14:paraId="6B738EF7" w14:textId="77777777" w:rsidTr="007A43C6">
        <w:trPr>
          <w:trHeight w:val="300"/>
        </w:trPr>
        <w:tc>
          <w:tcPr>
            <w:tcW w:w="564" w:type="dxa"/>
            <w:shd w:val="clear" w:color="auto" w:fill="auto"/>
            <w:noWrap/>
          </w:tcPr>
          <w:p w14:paraId="1A846950" w14:textId="77777777" w:rsidR="00DC0D7C" w:rsidRPr="00EB11D3" w:rsidRDefault="00212BDF">
            <w:pPr>
              <w:spacing w:after="0" w:line="240" w:lineRule="auto"/>
              <w:jc w:val="left"/>
              <w:rPr>
                <w:rFonts w:eastAsia="Calibri"/>
                <w:sz w:val="22"/>
              </w:rPr>
            </w:pPr>
            <w:r w:rsidRPr="00EB11D3">
              <w:rPr>
                <w:rFonts w:eastAsia="Calibri"/>
                <w:sz w:val="22"/>
              </w:rPr>
              <w:t>9</w:t>
            </w:r>
          </w:p>
        </w:tc>
        <w:tc>
          <w:tcPr>
            <w:tcW w:w="2477" w:type="dxa"/>
            <w:shd w:val="clear" w:color="auto" w:fill="auto"/>
            <w:noWrap/>
          </w:tcPr>
          <w:p w14:paraId="64C8DC94"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Consolata Maternity and Children's Hospital</w:t>
            </w:r>
          </w:p>
        </w:tc>
        <w:tc>
          <w:tcPr>
            <w:tcW w:w="1269" w:type="dxa"/>
            <w:shd w:val="clear" w:color="auto" w:fill="auto"/>
            <w:noWrap/>
          </w:tcPr>
          <w:p w14:paraId="08C314A7"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3EFBF9F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Laikipia</w:t>
            </w:r>
          </w:p>
        </w:tc>
        <w:tc>
          <w:tcPr>
            <w:tcW w:w="1889" w:type="dxa"/>
            <w:shd w:val="clear" w:color="auto" w:fill="auto"/>
            <w:noWrap/>
          </w:tcPr>
          <w:p w14:paraId="63B0AA5B"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 xml:space="preserve"> Laikipia East</w:t>
            </w:r>
          </w:p>
        </w:tc>
        <w:tc>
          <w:tcPr>
            <w:tcW w:w="1914" w:type="dxa"/>
            <w:shd w:val="clear" w:color="auto" w:fill="auto"/>
            <w:noWrap/>
          </w:tcPr>
          <w:p w14:paraId="0B843F0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Nanyuki</w:t>
            </w:r>
          </w:p>
        </w:tc>
      </w:tr>
      <w:tr w:rsidR="0039483D" w:rsidRPr="00EB11D3" w14:paraId="725E7192" w14:textId="77777777" w:rsidTr="007A43C6">
        <w:trPr>
          <w:trHeight w:val="300"/>
        </w:trPr>
        <w:tc>
          <w:tcPr>
            <w:tcW w:w="564" w:type="dxa"/>
            <w:shd w:val="clear" w:color="auto" w:fill="auto"/>
            <w:noWrap/>
          </w:tcPr>
          <w:p w14:paraId="4B40913E" w14:textId="77777777" w:rsidR="00DC0D7C" w:rsidRPr="00EB11D3" w:rsidRDefault="00212BDF">
            <w:pPr>
              <w:spacing w:after="0" w:line="240" w:lineRule="auto"/>
              <w:jc w:val="left"/>
              <w:rPr>
                <w:rFonts w:eastAsia="Calibri"/>
                <w:sz w:val="22"/>
              </w:rPr>
            </w:pPr>
            <w:r w:rsidRPr="00EB11D3">
              <w:rPr>
                <w:rFonts w:eastAsia="Calibri"/>
                <w:sz w:val="22"/>
                <w:lang w:val="zh-CN"/>
              </w:rPr>
              <w:t>1</w:t>
            </w:r>
            <w:r w:rsidRPr="00EB11D3">
              <w:rPr>
                <w:rFonts w:eastAsia="Calibri"/>
                <w:sz w:val="22"/>
              </w:rPr>
              <w:t>0</w:t>
            </w:r>
          </w:p>
        </w:tc>
        <w:tc>
          <w:tcPr>
            <w:tcW w:w="2477" w:type="dxa"/>
            <w:shd w:val="clear" w:color="auto" w:fill="auto"/>
            <w:noWrap/>
          </w:tcPr>
          <w:p w14:paraId="0710C694"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St Catherine Ichuni Mission</w:t>
            </w:r>
          </w:p>
        </w:tc>
        <w:tc>
          <w:tcPr>
            <w:tcW w:w="1269" w:type="dxa"/>
            <w:shd w:val="clear" w:color="auto" w:fill="auto"/>
            <w:noWrap/>
          </w:tcPr>
          <w:p w14:paraId="299EC115"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4A6207A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Kisii </w:t>
            </w:r>
          </w:p>
        </w:tc>
        <w:tc>
          <w:tcPr>
            <w:tcW w:w="1889" w:type="dxa"/>
            <w:shd w:val="clear" w:color="auto" w:fill="auto"/>
            <w:noWrap/>
          </w:tcPr>
          <w:p w14:paraId="2DCBDD38"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Nyaribari Masaba</w:t>
            </w:r>
          </w:p>
        </w:tc>
        <w:tc>
          <w:tcPr>
            <w:tcW w:w="1914" w:type="dxa"/>
            <w:shd w:val="clear" w:color="auto" w:fill="auto"/>
            <w:noWrap/>
          </w:tcPr>
          <w:p w14:paraId="00F2817E"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Ichuni</w:t>
            </w:r>
          </w:p>
        </w:tc>
      </w:tr>
      <w:tr w:rsidR="0039483D" w:rsidRPr="00EB11D3" w14:paraId="6282351B" w14:textId="77777777" w:rsidTr="007A43C6">
        <w:trPr>
          <w:trHeight w:val="300"/>
        </w:trPr>
        <w:tc>
          <w:tcPr>
            <w:tcW w:w="564" w:type="dxa"/>
            <w:shd w:val="clear" w:color="auto" w:fill="auto"/>
            <w:noWrap/>
          </w:tcPr>
          <w:p w14:paraId="2C37F417" w14:textId="77777777" w:rsidR="00DC0D7C" w:rsidRPr="00EB11D3" w:rsidRDefault="00212BDF">
            <w:pPr>
              <w:spacing w:after="0" w:line="240" w:lineRule="auto"/>
              <w:jc w:val="left"/>
              <w:rPr>
                <w:rFonts w:eastAsia="Calibri"/>
                <w:sz w:val="22"/>
              </w:rPr>
            </w:pPr>
            <w:r w:rsidRPr="00EB11D3">
              <w:rPr>
                <w:rFonts w:eastAsia="Calibri"/>
                <w:sz w:val="22"/>
                <w:lang w:val="zh-CN"/>
              </w:rPr>
              <w:t>1</w:t>
            </w:r>
            <w:r w:rsidRPr="00EB11D3">
              <w:rPr>
                <w:rFonts w:eastAsia="Calibri"/>
                <w:sz w:val="22"/>
              </w:rPr>
              <w:t>1</w:t>
            </w:r>
          </w:p>
        </w:tc>
        <w:tc>
          <w:tcPr>
            <w:tcW w:w="2477" w:type="dxa"/>
            <w:shd w:val="clear" w:color="auto" w:fill="auto"/>
            <w:noWrap/>
          </w:tcPr>
          <w:p w14:paraId="799BD39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LeseruTrinity Mission Hospital</w:t>
            </w:r>
          </w:p>
        </w:tc>
        <w:tc>
          <w:tcPr>
            <w:tcW w:w="1269" w:type="dxa"/>
            <w:shd w:val="clear" w:color="auto" w:fill="auto"/>
            <w:noWrap/>
          </w:tcPr>
          <w:p w14:paraId="6A10713C"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13D50BE7"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Uasin Gishu</w:t>
            </w:r>
          </w:p>
        </w:tc>
        <w:tc>
          <w:tcPr>
            <w:tcW w:w="1889" w:type="dxa"/>
            <w:shd w:val="clear" w:color="auto" w:fill="auto"/>
            <w:noWrap/>
          </w:tcPr>
          <w:p w14:paraId="6F364F1E"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Turbo</w:t>
            </w:r>
          </w:p>
        </w:tc>
        <w:tc>
          <w:tcPr>
            <w:tcW w:w="1914" w:type="dxa"/>
            <w:shd w:val="clear" w:color="auto" w:fill="auto"/>
            <w:noWrap/>
          </w:tcPr>
          <w:p w14:paraId="1186269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Kamagut </w:t>
            </w:r>
          </w:p>
        </w:tc>
      </w:tr>
      <w:tr w:rsidR="0039483D" w:rsidRPr="00EB11D3" w14:paraId="61EDA6D5" w14:textId="77777777" w:rsidTr="007A43C6">
        <w:trPr>
          <w:trHeight w:val="300"/>
        </w:trPr>
        <w:tc>
          <w:tcPr>
            <w:tcW w:w="564" w:type="dxa"/>
            <w:shd w:val="clear" w:color="auto" w:fill="auto"/>
            <w:noWrap/>
          </w:tcPr>
          <w:p w14:paraId="383C41FF" w14:textId="77777777" w:rsidR="00DC0D7C" w:rsidRPr="00EB11D3" w:rsidRDefault="00212BDF">
            <w:pPr>
              <w:spacing w:after="0" w:line="240" w:lineRule="auto"/>
              <w:jc w:val="left"/>
              <w:rPr>
                <w:rFonts w:eastAsia="Calibri"/>
                <w:sz w:val="22"/>
              </w:rPr>
            </w:pPr>
            <w:r w:rsidRPr="00EB11D3">
              <w:rPr>
                <w:rFonts w:eastAsia="Calibri"/>
                <w:sz w:val="22"/>
                <w:lang w:val="zh-CN"/>
              </w:rPr>
              <w:t>1</w:t>
            </w:r>
            <w:r w:rsidRPr="00EB11D3">
              <w:rPr>
                <w:rFonts w:eastAsia="Calibri"/>
                <w:sz w:val="22"/>
              </w:rPr>
              <w:t>2</w:t>
            </w:r>
          </w:p>
        </w:tc>
        <w:tc>
          <w:tcPr>
            <w:tcW w:w="2477" w:type="dxa"/>
            <w:shd w:val="clear" w:color="auto" w:fill="auto"/>
            <w:noWrap/>
          </w:tcPr>
          <w:p w14:paraId="7ABCB0C5"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Holy family catholic hospital githunguri</w:t>
            </w:r>
          </w:p>
        </w:tc>
        <w:tc>
          <w:tcPr>
            <w:tcW w:w="1269" w:type="dxa"/>
            <w:shd w:val="clear" w:color="auto" w:fill="auto"/>
            <w:noWrap/>
          </w:tcPr>
          <w:p w14:paraId="33D66D4E"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442C06DA"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Kiambu</w:t>
            </w:r>
          </w:p>
        </w:tc>
        <w:tc>
          <w:tcPr>
            <w:tcW w:w="1889" w:type="dxa"/>
            <w:shd w:val="clear" w:color="auto" w:fill="auto"/>
            <w:noWrap/>
          </w:tcPr>
          <w:p w14:paraId="680FB7E7"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Githunguri</w:t>
            </w:r>
          </w:p>
        </w:tc>
        <w:tc>
          <w:tcPr>
            <w:tcW w:w="1914" w:type="dxa"/>
            <w:shd w:val="clear" w:color="auto" w:fill="auto"/>
            <w:noWrap/>
          </w:tcPr>
          <w:p w14:paraId="3E0F0989"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Githunguri</w:t>
            </w:r>
          </w:p>
        </w:tc>
      </w:tr>
      <w:tr w:rsidR="0039483D" w:rsidRPr="00EB11D3" w14:paraId="640802F8" w14:textId="77777777" w:rsidTr="007A43C6">
        <w:trPr>
          <w:trHeight w:val="300"/>
        </w:trPr>
        <w:tc>
          <w:tcPr>
            <w:tcW w:w="564" w:type="dxa"/>
            <w:shd w:val="clear" w:color="auto" w:fill="auto"/>
            <w:noWrap/>
          </w:tcPr>
          <w:p w14:paraId="75261FF4" w14:textId="77777777" w:rsidR="00DC0D7C" w:rsidRPr="00EB11D3" w:rsidRDefault="00212BDF">
            <w:pPr>
              <w:spacing w:after="0" w:line="240" w:lineRule="auto"/>
              <w:jc w:val="left"/>
              <w:rPr>
                <w:rFonts w:eastAsia="Calibri"/>
                <w:sz w:val="22"/>
              </w:rPr>
            </w:pPr>
            <w:r w:rsidRPr="00EB11D3">
              <w:rPr>
                <w:rFonts w:eastAsia="Calibri"/>
                <w:sz w:val="22"/>
                <w:lang w:val="zh-CN"/>
              </w:rPr>
              <w:t>1</w:t>
            </w:r>
            <w:r w:rsidRPr="00EB11D3">
              <w:rPr>
                <w:rFonts w:eastAsia="Calibri"/>
                <w:sz w:val="22"/>
              </w:rPr>
              <w:t>3</w:t>
            </w:r>
          </w:p>
        </w:tc>
        <w:tc>
          <w:tcPr>
            <w:tcW w:w="2477" w:type="dxa"/>
            <w:shd w:val="clear" w:color="auto" w:fill="auto"/>
            <w:noWrap/>
          </w:tcPr>
          <w:p w14:paraId="52A4C708"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Matercare Maternity Hospital</w:t>
            </w:r>
          </w:p>
        </w:tc>
        <w:tc>
          <w:tcPr>
            <w:tcW w:w="1269" w:type="dxa"/>
            <w:shd w:val="clear" w:color="auto" w:fill="auto"/>
            <w:noWrap/>
          </w:tcPr>
          <w:p w14:paraId="16744D42"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06C49E2B"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Isiolo</w:t>
            </w:r>
          </w:p>
        </w:tc>
        <w:tc>
          <w:tcPr>
            <w:tcW w:w="1889" w:type="dxa"/>
            <w:shd w:val="clear" w:color="auto" w:fill="auto"/>
            <w:noWrap/>
          </w:tcPr>
          <w:p w14:paraId="3FF48C25"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Isiolo</w:t>
            </w:r>
          </w:p>
        </w:tc>
        <w:tc>
          <w:tcPr>
            <w:tcW w:w="1914" w:type="dxa"/>
            <w:shd w:val="clear" w:color="auto" w:fill="auto"/>
            <w:noWrap/>
          </w:tcPr>
          <w:p w14:paraId="23B14DF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Bulla Pesa</w:t>
            </w:r>
          </w:p>
        </w:tc>
      </w:tr>
      <w:tr w:rsidR="0039483D" w:rsidRPr="00EB11D3" w14:paraId="726762D2" w14:textId="77777777" w:rsidTr="007A43C6">
        <w:trPr>
          <w:trHeight w:val="300"/>
        </w:trPr>
        <w:tc>
          <w:tcPr>
            <w:tcW w:w="564" w:type="dxa"/>
            <w:shd w:val="clear" w:color="auto" w:fill="auto"/>
            <w:noWrap/>
          </w:tcPr>
          <w:p w14:paraId="2266DDEE" w14:textId="77777777" w:rsidR="00DC0D7C" w:rsidRPr="00EB11D3" w:rsidRDefault="00212BDF">
            <w:pPr>
              <w:spacing w:after="0" w:line="240" w:lineRule="auto"/>
              <w:jc w:val="left"/>
              <w:rPr>
                <w:rFonts w:eastAsia="Calibri"/>
                <w:sz w:val="22"/>
              </w:rPr>
            </w:pPr>
            <w:r w:rsidRPr="00EB11D3">
              <w:rPr>
                <w:rFonts w:eastAsia="Calibri"/>
                <w:sz w:val="22"/>
                <w:lang w:val="zh-CN"/>
              </w:rPr>
              <w:t>1</w:t>
            </w:r>
            <w:r w:rsidRPr="00EB11D3">
              <w:rPr>
                <w:rFonts w:eastAsia="Calibri"/>
                <w:sz w:val="22"/>
              </w:rPr>
              <w:t>4</w:t>
            </w:r>
          </w:p>
        </w:tc>
        <w:tc>
          <w:tcPr>
            <w:tcW w:w="2477" w:type="dxa"/>
            <w:shd w:val="clear" w:color="auto" w:fill="auto"/>
            <w:noWrap/>
          </w:tcPr>
          <w:p w14:paraId="5F5CB44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Mutuati Catholic Hospital</w:t>
            </w:r>
          </w:p>
        </w:tc>
        <w:tc>
          <w:tcPr>
            <w:tcW w:w="1269" w:type="dxa"/>
            <w:shd w:val="clear" w:color="auto" w:fill="auto"/>
            <w:noWrap/>
          </w:tcPr>
          <w:p w14:paraId="027CBFD8"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06D86FDA"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Meru </w:t>
            </w:r>
          </w:p>
        </w:tc>
        <w:tc>
          <w:tcPr>
            <w:tcW w:w="1889" w:type="dxa"/>
            <w:shd w:val="clear" w:color="auto" w:fill="auto"/>
            <w:noWrap/>
          </w:tcPr>
          <w:p w14:paraId="3847C26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Igembe North</w:t>
            </w:r>
          </w:p>
        </w:tc>
        <w:tc>
          <w:tcPr>
            <w:tcW w:w="1914" w:type="dxa"/>
            <w:shd w:val="clear" w:color="auto" w:fill="auto"/>
            <w:noWrap/>
          </w:tcPr>
          <w:p w14:paraId="33F8FF5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Amwathi</w:t>
            </w:r>
          </w:p>
        </w:tc>
      </w:tr>
      <w:tr w:rsidR="0039483D" w:rsidRPr="00EB11D3" w14:paraId="4333984A" w14:textId="77777777" w:rsidTr="007A43C6">
        <w:trPr>
          <w:trHeight w:val="300"/>
        </w:trPr>
        <w:tc>
          <w:tcPr>
            <w:tcW w:w="564" w:type="dxa"/>
            <w:shd w:val="clear" w:color="auto" w:fill="auto"/>
            <w:noWrap/>
          </w:tcPr>
          <w:p w14:paraId="03470C6D" w14:textId="77777777" w:rsidR="00DC0D7C" w:rsidRPr="00EB11D3" w:rsidRDefault="00212BDF">
            <w:pPr>
              <w:spacing w:after="0" w:line="240" w:lineRule="auto"/>
              <w:jc w:val="left"/>
              <w:rPr>
                <w:rFonts w:eastAsia="Calibri"/>
                <w:sz w:val="22"/>
              </w:rPr>
            </w:pPr>
            <w:r w:rsidRPr="00EB11D3">
              <w:rPr>
                <w:rFonts w:eastAsia="Calibri"/>
                <w:sz w:val="22"/>
              </w:rPr>
              <w:t>15</w:t>
            </w:r>
          </w:p>
        </w:tc>
        <w:tc>
          <w:tcPr>
            <w:tcW w:w="2477" w:type="dxa"/>
            <w:shd w:val="clear" w:color="auto" w:fill="auto"/>
            <w:noWrap/>
          </w:tcPr>
          <w:p w14:paraId="57B467EB"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Ruaraka Uhai Neema Hospital</w:t>
            </w:r>
          </w:p>
        </w:tc>
        <w:tc>
          <w:tcPr>
            <w:tcW w:w="1269" w:type="dxa"/>
            <w:shd w:val="clear" w:color="auto" w:fill="auto"/>
            <w:noWrap/>
          </w:tcPr>
          <w:p w14:paraId="3F0396AA"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07B7BEA5"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Nairobi </w:t>
            </w:r>
          </w:p>
        </w:tc>
        <w:tc>
          <w:tcPr>
            <w:tcW w:w="1889" w:type="dxa"/>
            <w:shd w:val="clear" w:color="auto" w:fill="auto"/>
            <w:noWrap/>
          </w:tcPr>
          <w:p w14:paraId="2F196CFA"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Ruaraka</w:t>
            </w:r>
          </w:p>
        </w:tc>
        <w:tc>
          <w:tcPr>
            <w:tcW w:w="1914" w:type="dxa"/>
            <w:shd w:val="clear" w:color="auto" w:fill="auto"/>
            <w:noWrap/>
          </w:tcPr>
          <w:p w14:paraId="7D766CA9"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Babandogo </w:t>
            </w:r>
          </w:p>
        </w:tc>
      </w:tr>
      <w:tr w:rsidR="0039483D" w:rsidRPr="00EB11D3" w14:paraId="122A4732" w14:textId="77777777" w:rsidTr="007A43C6">
        <w:trPr>
          <w:trHeight w:val="300"/>
        </w:trPr>
        <w:tc>
          <w:tcPr>
            <w:tcW w:w="564" w:type="dxa"/>
            <w:shd w:val="clear" w:color="auto" w:fill="auto"/>
            <w:noWrap/>
          </w:tcPr>
          <w:p w14:paraId="2D662354" w14:textId="77777777" w:rsidR="00DC0D7C" w:rsidRPr="00EB11D3" w:rsidRDefault="00212BDF">
            <w:pPr>
              <w:spacing w:after="0" w:line="240" w:lineRule="auto"/>
              <w:jc w:val="left"/>
              <w:rPr>
                <w:rFonts w:eastAsia="Calibri"/>
                <w:sz w:val="22"/>
              </w:rPr>
            </w:pPr>
            <w:r w:rsidRPr="00EB11D3">
              <w:rPr>
                <w:rFonts w:eastAsia="Calibri"/>
                <w:sz w:val="22"/>
              </w:rPr>
              <w:t>16</w:t>
            </w:r>
          </w:p>
        </w:tc>
        <w:tc>
          <w:tcPr>
            <w:tcW w:w="2477" w:type="dxa"/>
            <w:shd w:val="clear" w:color="auto" w:fill="auto"/>
            <w:noWrap/>
          </w:tcPr>
          <w:p w14:paraId="42661C3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Kalimoni Hospital (Ruiru)</w:t>
            </w:r>
          </w:p>
        </w:tc>
        <w:tc>
          <w:tcPr>
            <w:tcW w:w="1269" w:type="dxa"/>
            <w:shd w:val="clear" w:color="auto" w:fill="auto"/>
            <w:noWrap/>
          </w:tcPr>
          <w:p w14:paraId="62545300"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5801009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Kiambu</w:t>
            </w:r>
          </w:p>
        </w:tc>
        <w:tc>
          <w:tcPr>
            <w:tcW w:w="1889" w:type="dxa"/>
            <w:shd w:val="clear" w:color="auto" w:fill="auto"/>
            <w:noWrap/>
          </w:tcPr>
          <w:p w14:paraId="39816A2A"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Ruiru</w:t>
            </w:r>
          </w:p>
        </w:tc>
        <w:tc>
          <w:tcPr>
            <w:tcW w:w="1914" w:type="dxa"/>
            <w:shd w:val="clear" w:color="auto" w:fill="auto"/>
            <w:noWrap/>
          </w:tcPr>
          <w:p w14:paraId="34D2B30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Biashara</w:t>
            </w:r>
          </w:p>
        </w:tc>
      </w:tr>
      <w:tr w:rsidR="0039483D" w:rsidRPr="00EB11D3" w14:paraId="2A87845F" w14:textId="77777777" w:rsidTr="007A43C6">
        <w:trPr>
          <w:trHeight w:val="300"/>
        </w:trPr>
        <w:tc>
          <w:tcPr>
            <w:tcW w:w="564" w:type="dxa"/>
            <w:shd w:val="clear" w:color="auto" w:fill="auto"/>
            <w:noWrap/>
          </w:tcPr>
          <w:p w14:paraId="7AF9F91D" w14:textId="77777777" w:rsidR="00DC0D7C" w:rsidRPr="00EB11D3" w:rsidRDefault="00212BDF">
            <w:pPr>
              <w:spacing w:after="0" w:line="240" w:lineRule="auto"/>
              <w:jc w:val="left"/>
              <w:rPr>
                <w:rFonts w:eastAsia="Calibri"/>
                <w:sz w:val="22"/>
              </w:rPr>
            </w:pPr>
            <w:r w:rsidRPr="00EB11D3">
              <w:rPr>
                <w:rFonts w:eastAsia="Calibri"/>
                <w:sz w:val="22"/>
              </w:rPr>
              <w:t>17</w:t>
            </w:r>
          </w:p>
        </w:tc>
        <w:tc>
          <w:tcPr>
            <w:tcW w:w="2477" w:type="dxa"/>
            <w:shd w:val="clear" w:color="auto" w:fill="auto"/>
            <w:noWrap/>
          </w:tcPr>
          <w:p w14:paraId="62D6D754"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Neema Hospital (Ruiru)</w:t>
            </w:r>
          </w:p>
        </w:tc>
        <w:tc>
          <w:tcPr>
            <w:tcW w:w="1269" w:type="dxa"/>
            <w:shd w:val="clear" w:color="auto" w:fill="auto"/>
            <w:noWrap/>
          </w:tcPr>
          <w:p w14:paraId="670F8CDA"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5A9B7125"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Kiambu</w:t>
            </w:r>
          </w:p>
        </w:tc>
        <w:tc>
          <w:tcPr>
            <w:tcW w:w="1889" w:type="dxa"/>
            <w:shd w:val="clear" w:color="auto" w:fill="auto"/>
            <w:noWrap/>
          </w:tcPr>
          <w:p w14:paraId="18506C24"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Ruiru</w:t>
            </w:r>
          </w:p>
        </w:tc>
        <w:tc>
          <w:tcPr>
            <w:tcW w:w="1914" w:type="dxa"/>
            <w:shd w:val="clear" w:color="auto" w:fill="auto"/>
            <w:noWrap/>
          </w:tcPr>
          <w:p w14:paraId="6051506E"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Kahawa/Sukari</w:t>
            </w:r>
          </w:p>
        </w:tc>
      </w:tr>
      <w:tr w:rsidR="0039483D" w:rsidRPr="00EB11D3" w14:paraId="7BF162D8" w14:textId="77777777" w:rsidTr="007A43C6">
        <w:trPr>
          <w:trHeight w:val="300"/>
        </w:trPr>
        <w:tc>
          <w:tcPr>
            <w:tcW w:w="564" w:type="dxa"/>
            <w:shd w:val="clear" w:color="auto" w:fill="auto"/>
            <w:noWrap/>
          </w:tcPr>
          <w:p w14:paraId="2BEE0662" w14:textId="77777777" w:rsidR="00DC0D7C" w:rsidRPr="00EB11D3" w:rsidRDefault="00212BDF">
            <w:pPr>
              <w:spacing w:after="0" w:line="240" w:lineRule="auto"/>
              <w:jc w:val="left"/>
              <w:rPr>
                <w:rFonts w:eastAsia="Calibri"/>
                <w:sz w:val="22"/>
              </w:rPr>
            </w:pPr>
            <w:r w:rsidRPr="00EB11D3">
              <w:rPr>
                <w:rFonts w:eastAsia="Calibri"/>
                <w:sz w:val="22"/>
              </w:rPr>
              <w:t>18</w:t>
            </w:r>
          </w:p>
        </w:tc>
        <w:tc>
          <w:tcPr>
            <w:tcW w:w="2477" w:type="dxa"/>
            <w:shd w:val="clear" w:color="auto" w:fill="auto"/>
            <w:noWrap/>
          </w:tcPr>
          <w:p w14:paraId="65779738"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The Mater Hospital Buruburu</w:t>
            </w:r>
          </w:p>
        </w:tc>
        <w:tc>
          <w:tcPr>
            <w:tcW w:w="1269" w:type="dxa"/>
            <w:shd w:val="clear" w:color="auto" w:fill="auto"/>
            <w:noWrap/>
          </w:tcPr>
          <w:p w14:paraId="37F13355"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3B4B249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Nairobi</w:t>
            </w:r>
          </w:p>
        </w:tc>
        <w:tc>
          <w:tcPr>
            <w:tcW w:w="1889" w:type="dxa"/>
            <w:shd w:val="clear" w:color="auto" w:fill="auto"/>
            <w:noWrap/>
          </w:tcPr>
          <w:p w14:paraId="4CC8619E"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Makadara</w:t>
            </w:r>
          </w:p>
        </w:tc>
        <w:tc>
          <w:tcPr>
            <w:tcW w:w="1914" w:type="dxa"/>
            <w:shd w:val="clear" w:color="auto" w:fill="auto"/>
            <w:noWrap/>
          </w:tcPr>
          <w:p w14:paraId="3E55C849"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Harambee </w:t>
            </w:r>
          </w:p>
        </w:tc>
      </w:tr>
      <w:tr w:rsidR="0039483D" w:rsidRPr="00EB11D3" w14:paraId="0E633A26" w14:textId="77777777" w:rsidTr="007A43C6">
        <w:trPr>
          <w:trHeight w:val="300"/>
        </w:trPr>
        <w:tc>
          <w:tcPr>
            <w:tcW w:w="564" w:type="dxa"/>
            <w:shd w:val="clear" w:color="auto" w:fill="auto"/>
            <w:noWrap/>
          </w:tcPr>
          <w:p w14:paraId="7669FFDC" w14:textId="77777777" w:rsidR="00DC0D7C" w:rsidRPr="00EB11D3" w:rsidRDefault="00212BDF">
            <w:pPr>
              <w:spacing w:after="0" w:line="240" w:lineRule="auto"/>
              <w:jc w:val="left"/>
              <w:rPr>
                <w:rFonts w:eastAsia="Calibri"/>
                <w:sz w:val="22"/>
              </w:rPr>
            </w:pPr>
            <w:r w:rsidRPr="00EB11D3">
              <w:rPr>
                <w:rFonts w:eastAsia="Calibri"/>
                <w:sz w:val="22"/>
              </w:rPr>
              <w:t>19</w:t>
            </w:r>
          </w:p>
        </w:tc>
        <w:tc>
          <w:tcPr>
            <w:tcW w:w="2477" w:type="dxa"/>
            <w:shd w:val="clear" w:color="auto" w:fill="auto"/>
            <w:noWrap/>
          </w:tcPr>
          <w:p w14:paraId="5B89A3D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Nazareth Hospital (Ruiru)</w:t>
            </w:r>
          </w:p>
        </w:tc>
        <w:tc>
          <w:tcPr>
            <w:tcW w:w="1269" w:type="dxa"/>
            <w:shd w:val="clear" w:color="auto" w:fill="auto"/>
            <w:noWrap/>
          </w:tcPr>
          <w:p w14:paraId="4A5E5D5F"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2130D43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Kiambu</w:t>
            </w:r>
          </w:p>
        </w:tc>
        <w:tc>
          <w:tcPr>
            <w:tcW w:w="1889" w:type="dxa"/>
            <w:shd w:val="clear" w:color="auto" w:fill="auto"/>
            <w:noWrap/>
          </w:tcPr>
          <w:p w14:paraId="694904A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Ruiru</w:t>
            </w:r>
          </w:p>
        </w:tc>
        <w:tc>
          <w:tcPr>
            <w:tcW w:w="1914" w:type="dxa"/>
            <w:shd w:val="clear" w:color="auto" w:fill="auto"/>
            <w:noWrap/>
          </w:tcPr>
          <w:p w14:paraId="3143BAD5"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Biashara </w:t>
            </w:r>
          </w:p>
        </w:tc>
      </w:tr>
      <w:tr w:rsidR="00A63A93" w:rsidRPr="00EB11D3" w14:paraId="6853D01B" w14:textId="77777777" w:rsidTr="007A43C6">
        <w:trPr>
          <w:trHeight w:val="300"/>
        </w:trPr>
        <w:tc>
          <w:tcPr>
            <w:tcW w:w="564" w:type="dxa"/>
            <w:shd w:val="clear" w:color="auto" w:fill="auto"/>
            <w:noWrap/>
          </w:tcPr>
          <w:p w14:paraId="0FBA8333" w14:textId="77777777" w:rsidR="00A63A93" w:rsidRPr="00EB11D3" w:rsidRDefault="00A63A93" w:rsidP="00A63A93">
            <w:pPr>
              <w:spacing w:after="0" w:line="240" w:lineRule="auto"/>
              <w:jc w:val="left"/>
              <w:rPr>
                <w:rFonts w:eastAsia="Calibri"/>
                <w:sz w:val="22"/>
              </w:rPr>
            </w:pPr>
            <w:r w:rsidRPr="00EB11D3">
              <w:rPr>
                <w:rFonts w:eastAsia="Calibri"/>
                <w:sz w:val="22"/>
                <w:lang w:val="zh-CN"/>
              </w:rPr>
              <w:t>2</w:t>
            </w:r>
            <w:r w:rsidRPr="00EB11D3">
              <w:rPr>
                <w:rFonts w:eastAsia="Calibri"/>
                <w:sz w:val="22"/>
              </w:rPr>
              <w:t>0</w:t>
            </w:r>
          </w:p>
        </w:tc>
        <w:tc>
          <w:tcPr>
            <w:tcW w:w="2477" w:type="dxa"/>
            <w:shd w:val="clear" w:color="auto" w:fill="auto"/>
            <w:noWrap/>
          </w:tcPr>
          <w:p w14:paraId="0147E245" w14:textId="77777777" w:rsidR="00A63A93" w:rsidRPr="00EB11D3" w:rsidRDefault="00A63A93" w:rsidP="00A63A93">
            <w:pPr>
              <w:spacing w:after="0" w:line="240" w:lineRule="auto"/>
              <w:jc w:val="left"/>
              <w:rPr>
                <w:rFonts w:eastAsia="Calibri"/>
                <w:sz w:val="22"/>
                <w:lang w:val="zh-CN"/>
              </w:rPr>
            </w:pPr>
            <w:r w:rsidRPr="00EB11D3">
              <w:t>AGC Lions Ngoswani Hospital</w:t>
            </w:r>
          </w:p>
        </w:tc>
        <w:tc>
          <w:tcPr>
            <w:tcW w:w="1269" w:type="dxa"/>
            <w:shd w:val="clear" w:color="auto" w:fill="auto"/>
            <w:noWrap/>
          </w:tcPr>
          <w:p w14:paraId="3DC02105" w14:textId="77777777" w:rsidR="00A63A93" w:rsidRPr="00EB11D3" w:rsidRDefault="00A63A93" w:rsidP="00A63A93">
            <w:pPr>
              <w:spacing w:after="0" w:line="240" w:lineRule="auto"/>
              <w:jc w:val="center"/>
              <w:rPr>
                <w:rFonts w:eastAsia="Calibri"/>
                <w:sz w:val="22"/>
                <w:lang w:val="zh-CN"/>
              </w:rPr>
            </w:pPr>
            <w:r w:rsidRPr="00EB11D3">
              <w:t>4</w:t>
            </w:r>
          </w:p>
        </w:tc>
        <w:tc>
          <w:tcPr>
            <w:tcW w:w="1237" w:type="dxa"/>
            <w:shd w:val="clear" w:color="auto" w:fill="auto"/>
            <w:noWrap/>
          </w:tcPr>
          <w:p w14:paraId="0EBFA040" w14:textId="77777777" w:rsidR="00A63A93" w:rsidRPr="00EB11D3" w:rsidRDefault="00A63A93" w:rsidP="00A63A93">
            <w:pPr>
              <w:spacing w:after="0" w:line="240" w:lineRule="auto"/>
              <w:jc w:val="left"/>
              <w:rPr>
                <w:rFonts w:eastAsia="Calibri"/>
                <w:sz w:val="22"/>
                <w:lang w:val="zh-CN"/>
              </w:rPr>
            </w:pPr>
            <w:r w:rsidRPr="00EB11D3">
              <w:t>Narok</w:t>
            </w:r>
          </w:p>
        </w:tc>
        <w:tc>
          <w:tcPr>
            <w:tcW w:w="1889" w:type="dxa"/>
            <w:shd w:val="clear" w:color="auto" w:fill="auto"/>
            <w:noWrap/>
          </w:tcPr>
          <w:p w14:paraId="6873779C" w14:textId="77777777" w:rsidR="00A63A93" w:rsidRPr="00EB11D3" w:rsidRDefault="00A63A93" w:rsidP="00A63A93">
            <w:pPr>
              <w:spacing w:after="0" w:line="240" w:lineRule="auto"/>
              <w:jc w:val="left"/>
              <w:rPr>
                <w:rFonts w:eastAsia="Calibri"/>
                <w:sz w:val="22"/>
                <w:lang w:val="zh-CN"/>
              </w:rPr>
            </w:pPr>
            <w:r w:rsidRPr="00EB11D3">
              <w:t>Narok  West</w:t>
            </w:r>
          </w:p>
        </w:tc>
        <w:tc>
          <w:tcPr>
            <w:tcW w:w="1914" w:type="dxa"/>
            <w:shd w:val="clear" w:color="auto" w:fill="auto"/>
            <w:noWrap/>
          </w:tcPr>
          <w:p w14:paraId="30C09D00" w14:textId="77777777" w:rsidR="00A63A93" w:rsidRPr="00EB11D3" w:rsidRDefault="00A63A93" w:rsidP="00A63A93">
            <w:pPr>
              <w:spacing w:after="0" w:line="240" w:lineRule="auto"/>
              <w:jc w:val="left"/>
              <w:rPr>
                <w:rFonts w:eastAsia="Calibri"/>
                <w:sz w:val="22"/>
                <w:lang w:val="zh-CN"/>
              </w:rPr>
            </w:pPr>
            <w:r w:rsidRPr="00EB11D3">
              <w:t>Siana</w:t>
            </w:r>
          </w:p>
        </w:tc>
      </w:tr>
      <w:tr w:rsidR="0039483D" w:rsidRPr="00EB11D3" w14:paraId="62F081D5" w14:textId="77777777" w:rsidTr="007A43C6">
        <w:trPr>
          <w:trHeight w:val="300"/>
        </w:trPr>
        <w:tc>
          <w:tcPr>
            <w:tcW w:w="564" w:type="dxa"/>
            <w:shd w:val="clear" w:color="auto" w:fill="auto"/>
            <w:noWrap/>
          </w:tcPr>
          <w:p w14:paraId="7263841B" w14:textId="77777777" w:rsidR="00DC0D7C" w:rsidRPr="00EB11D3" w:rsidRDefault="00212BDF">
            <w:pPr>
              <w:spacing w:after="0" w:line="240" w:lineRule="auto"/>
              <w:jc w:val="left"/>
              <w:rPr>
                <w:rFonts w:eastAsia="Calibri"/>
                <w:sz w:val="22"/>
              </w:rPr>
            </w:pPr>
            <w:r w:rsidRPr="00EB11D3">
              <w:rPr>
                <w:rFonts w:eastAsia="Calibri"/>
                <w:sz w:val="22"/>
                <w:lang w:val="zh-CN"/>
              </w:rPr>
              <w:t>2</w:t>
            </w:r>
            <w:r w:rsidRPr="00EB11D3">
              <w:rPr>
                <w:rFonts w:eastAsia="Calibri"/>
                <w:sz w:val="22"/>
              </w:rPr>
              <w:t>1</w:t>
            </w:r>
          </w:p>
        </w:tc>
        <w:tc>
          <w:tcPr>
            <w:tcW w:w="2477" w:type="dxa"/>
            <w:shd w:val="clear" w:color="auto" w:fill="auto"/>
            <w:noWrap/>
          </w:tcPr>
          <w:p w14:paraId="6ECFFA04"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Jumuia Hospital Huruma</w:t>
            </w:r>
          </w:p>
        </w:tc>
        <w:tc>
          <w:tcPr>
            <w:tcW w:w="1269" w:type="dxa"/>
            <w:shd w:val="clear" w:color="auto" w:fill="auto"/>
            <w:noWrap/>
          </w:tcPr>
          <w:p w14:paraId="3BB74F2F"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02658EE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Nairobi </w:t>
            </w:r>
          </w:p>
        </w:tc>
        <w:tc>
          <w:tcPr>
            <w:tcW w:w="1889" w:type="dxa"/>
            <w:shd w:val="clear" w:color="auto" w:fill="auto"/>
            <w:noWrap/>
          </w:tcPr>
          <w:p w14:paraId="0D28CD34"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Mathare</w:t>
            </w:r>
          </w:p>
        </w:tc>
        <w:tc>
          <w:tcPr>
            <w:tcW w:w="1914" w:type="dxa"/>
            <w:shd w:val="clear" w:color="auto" w:fill="auto"/>
            <w:noWrap/>
          </w:tcPr>
          <w:p w14:paraId="7154F2B8"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Kiamaiko</w:t>
            </w:r>
          </w:p>
        </w:tc>
      </w:tr>
      <w:tr w:rsidR="00A63A93" w:rsidRPr="00EB11D3" w14:paraId="77B760F2" w14:textId="77777777" w:rsidTr="007A43C6">
        <w:trPr>
          <w:trHeight w:val="300"/>
        </w:trPr>
        <w:tc>
          <w:tcPr>
            <w:tcW w:w="564" w:type="dxa"/>
            <w:shd w:val="clear" w:color="auto" w:fill="auto"/>
            <w:noWrap/>
          </w:tcPr>
          <w:p w14:paraId="3FB1A2D1" w14:textId="77777777" w:rsidR="00A63A93" w:rsidRPr="00EB11D3" w:rsidRDefault="00A63A93" w:rsidP="00A63A93">
            <w:pPr>
              <w:spacing w:after="0" w:line="240" w:lineRule="auto"/>
              <w:jc w:val="left"/>
              <w:rPr>
                <w:rFonts w:eastAsia="Calibri"/>
                <w:sz w:val="22"/>
              </w:rPr>
            </w:pPr>
            <w:r w:rsidRPr="00EB11D3">
              <w:rPr>
                <w:rFonts w:eastAsia="Calibri"/>
                <w:sz w:val="22"/>
              </w:rPr>
              <w:t>22</w:t>
            </w:r>
          </w:p>
        </w:tc>
        <w:tc>
          <w:tcPr>
            <w:tcW w:w="2477" w:type="dxa"/>
            <w:shd w:val="clear" w:color="auto" w:fill="auto"/>
            <w:noWrap/>
          </w:tcPr>
          <w:p w14:paraId="1CC00EFC" w14:textId="77777777" w:rsidR="00A63A93" w:rsidRPr="00EB11D3" w:rsidRDefault="00A63A93" w:rsidP="00A63A93">
            <w:pPr>
              <w:spacing w:after="0" w:line="240" w:lineRule="auto"/>
              <w:jc w:val="left"/>
              <w:rPr>
                <w:rFonts w:eastAsia="Calibri"/>
                <w:sz w:val="22"/>
                <w:lang w:val="zh-CN"/>
              </w:rPr>
            </w:pPr>
            <w:r w:rsidRPr="00EB11D3">
              <w:t>Royal Victory Hospital</w:t>
            </w:r>
          </w:p>
        </w:tc>
        <w:tc>
          <w:tcPr>
            <w:tcW w:w="1269" w:type="dxa"/>
            <w:shd w:val="clear" w:color="auto" w:fill="auto"/>
            <w:noWrap/>
          </w:tcPr>
          <w:p w14:paraId="0F0B91F9" w14:textId="77777777" w:rsidR="00A63A93" w:rsidRPr="00EB11D3" w:rsidRDefault="00A63A93" w:rsidP="00A63A93">
            <w:pPr>
              <w:spacing w:after="0" w:line="240" w:lineRule="auto"/>
              <w:jc w:val="center"/>
              <w:rPr>
                <w:rFonts w:eastAsia="Calibri"/>
                <w:sz w:val="22"/>
                <w:lang w:val="zh-CN"/>
              </w:rPr>
            </w:pPr>
            <w:r w:rsidRPr="00EB11D3">
              <w:t>4</w:t>
            </w:r>
          </w:p>
        </w:tc>
        <w:tc>
          <w:tcPr>
            <w:tcW w:w="1237" w:type="dxa"/>
            <w:shd w:val="clear" w:color="auto" w:fill="auto"/>
            <w:noWrap/>
          </w:tcPr>
          <w:p w14:paraId="49EBA851" w14:textId="77777777" w:rsidR="00A63A93" w:rsidRPr="00EB11D3" w:rsidRDefault="00A63A93" w:rsidP="00A63A93">
            <w:pPr>
              <w:spacing w:after="0" w:line="240" w:lineRule="auto"/>
              <w:jc w:val="left"/>
              <w:rPr>
                <w:rFonts w:eastAsia="Calibri"/>
                <w:sz w:val="22"/>
                <w:lang w:val="zh-CN"/>
              </w:rPr>
            </w:pPr>
            <w:r w:rsidRPr="00EB11D3">
              <w:t>Nairobi</w:t>
            </w:r>
          </w:p>
        </w:tc>
        <w:tc>
          <w:tcPr>
            <w:tcW w:w="1889" w:type="dxa"/>
            <w:shd w:val="clear" w:color="auto" w:fill="auto"/>
            <w:noWrap/>
          </w:tcPr>
          <w:p w14:paraId="70A5015E" w14:textId="77777777" w:rsidR="00A63A93" w:rsidRPr="00EB11D3" w:rsidRDefault="00A63A93" w:rsidP="00A63A93">
            <w:pPr>
              <w:spacing w:after="0" w:line="240" w:lineRule="auto"/>
              <w:jc w:val="left"/>
              <w:rPr>
                <w:rFonts w:eastAsia="Calibri"/>
                <w:sz w:val="22"/>
                <w:lang w:val="zh-CN"/>
              </w:rPr>
            </w:pPr>
            <w:r w:rsidRPr="00EB11D3">
              <w:t>Ruaraka</w:t>
            </w:r>
          </w:p>
        </w:tc>
        <w:tc>
          <w:tcPr>
            <w:tcW w:w="1914" w:type="dxa"/>
            <w:shd w:val="clear" w:color="auto" w:fill="auto"/>
            <w:noWrap/>
          </w:tcPr>
          <w:p w14:paraId="05325A1B" w14:textId="77777777" w:rsidR="00A63A93" w:rsidRPr="00EB11D3" w:rsidRDefault="00A63A93" w:rsidP="00A63A93">
            <w:pPr>
              <w:spacing w:after="0" w:line="240" w:lineRule="auto"/>
              <w:jc w:val="left"/>
              <w:rPr>
                <w:rFonts w:eastAsia="Calibri"/>
                <w:sz w:val="22"/>
                <w:lang w:val="zh-CN"/>
              </w:rPr>
            </w:pPr>
            <w:r w:rsidRPr="00EB11D3">
              <w:t>Mathare</w:t>
            </w:r>
          </w:p>
        </w:tc>
      </w:tr>
      <w:tr w:rsidR="0039483D" w:rsidRPr="00EB11D3" w14:paraId="205F280D" w14:textId="77777777" w:rsidTr="007A43C6">
        <w:trPr>
          <w:trHeight w:val="300"/>
        </w:trPr>
        <w:tc>
          <w:tcPr>
            <w:tcW w:w="564" w:type="dxa"/>
            <w:shd w:val="clear" w:color="auto" w:fill="auto"/>
            <w:noWrap/>
          </w:tcPr>
          <w:p w14:paraId="510F2B62" w14:textId="77777777" w:rsidR="00DC0D7C" w:rsidRPr="00EB11D3" w:rsidRDefault="00212BDF">
            <w:pPr>
              <w:spacing w:after="0" w:line="240" w:lineRule="auto"/>
              <w:jc w:val="left"/>
              <w:rPr>
                <w:rFonts w:eastAsia="Calibri"/>
                <w:sz w:val="22"/>
              </w:rPr>
            </w:pPr>
            <w:r w:rsidRPr="00EB11D3">
              <w:rPr>
                <w:rFonts w:eastAsia="Calibri"/>
                <w:sz w:val="22"/>
                <w:lang w:val="zh-CN"/>
              </w:rPr>
              <w:t>2</w:t>
            </w:r>
            <w:r w:rsidRPr="00EB11D3">
              <w:rPr>
                <w:rFonts w:eastAsia="Calibri"/>
                <w:sz w:val="22"/>
              </w:rPr>
              <w:t>3</w:t>
            </w:r>
          </w:p>
        </w:tc>
        <w:tc>
          <w:tcPr>
            <w:tcW w:w="2477" w:type="dxa"/>
            <w:shd w:val="clear" w:color="auto" w:fill="auto"/>
            <w:noWrap/>
          </w:tcPr>
          <w:p w14:paraId="4E00380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Immaculate Heart Hospital Kereita</w:t>
            </w:r>
          </w:p>
        </w:tc>
        <w:tc>
          <w:tcPr>
            <w:tcW w:w="1269" w:type="dxa"/>
            <w:shd w:val="clear" w:color="auto" w:fill="auto"/>
            <w:noWrap/>
          </w:tcPr>
          <w:p w14:paraId="79722DD2"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2C54C3DB"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Kiambu</w:t>
            </w:r>
          </w:p>
        </w:tc>
        <w:tc>
          <w:tcPr>
            <w:tcW w:w="1889" w:type="dxa"/>
            <w:shd w:val="clear" w:color="auto" w:fill="auto"/>
            <w:noWrap/>
          </w:tcPr>
          <w:p w14:paraId="4AEA780F"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Lari</w:t>
            </w:r>
          </w:p>
        </w:tc>
        <w:tc>
          <w:tcPr>
            <w:tcW w:w="1914" w:type="dxa"/>
            <w:shd w:val="clear" w:color="auto" w:fill="auto"/>
            <w:noWrap/>
          </w:tcPr>
          <w:p w14:paraId="200CA69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Kijabe</w:t>
            </w:r>
          </w:p>
        </w:tc>
      </w:tr>
      <w:tr w:rsidR="0039483D" w:rsidRPr="00EB11D3" w14:paraId="4F132E3E" w14:textId="77777777" w:rsidTr="007A43C6">
        <w:trPr>
          <w:trHeight w:val="300"/>
        </w:trPr>
        <w:tc>
          <w:tcPr>
            <w:tcW w:w="564" w:type="dxa"/>
            <w:shd w:val="clear" w:color="auto" w:fill="auto"/>
            <w:noWrap/>
          </w:tcPr>
          <w:p w14:paraId="7D903B9B" w14:textId="77777777" w:rsidR="00DC0D7C" w:rsidRPr="00EB11D3" w:rsidRDefault="00212BDF">
            <w:pPr>
              <w:spacing w:after="0" w:line="240" w:lineRule="auto"/>
              <w:jc w:val="left"/>
              <w:rPr>
                <w:rFonts w:eastAsia="Calibri"/>
                <w:sz w:val="22"/>
              </w:rPr>
            </w:pPr>
            <w:r w:rsidRPr="00EB11D3">
              <w:rPr>
                <w:rFonts w:eastAsia="Calibri"/>
                <w:sz w:val="22"/>
                <w:lang w:val="zh-CN"/>
              </w:rPr>
              <w:t>2</w:t>
            </w:r>
            <w:r w:rsidRPr="00EB11D3">
              <w:rPr>
                <w:rFonts w:eastAsia="Calibri"/>
                <w:sz w:val="22"/>
              </w:rPr>
              <w:t>4</w:t>
            </w:r>
          </w:p>
        </w:tc>
        <w:tc>
          <w:tcPr>
            <w:tcW w:w="2477" w:type="dxa"/>
            <w:shd w:val="clear" w:color="auto" w:fill="auto"/>
            <w:noWrap/>
          </w:tcPr>
          <w:p w14:paraId="214BB50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Kalimoni Mission Hospital (Juja)</w:t>
            </w:r>
          </w:p>
        </w:tc>
        <w:tc>
          <w:tcPr>
            <w:tcW w:w="1269" w:type="dxa"/>
            <w:shd w:val="clear" w:color="auto" w:fill="auto"/>
            <w:noWrap/>
          </w:tcPr>
          <w:p w14:paraId="706D846B"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347DEEC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Kiambu</w:t>
            </w:r>
          </w:p>
        </w:tc>
        <w:tc>
          <w:tcPr>
            <w:tcW w:w="1889" w:type="dxa"/>
            <w:shd w:val="clear" w:color="auto" w:fill="auto"/>
            <w:noWrap/>
          </w:tcPr>
          <w:p w14:paraId="5E3D8C4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Juja</w:t>
            </w:r>
          </w:p>
        </w:tc>
        <w:tc>
          <w:tcPr>
            <w:tcW w:w="1914" w:type="dxa"/>
            <w:shd w:val="clear" w:color="auto" w:fill="auto"/>
            <w:noWrap/>
          </w:tcPr>
          <w:p w14:paraId="7A3B46AC"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Kalimoni </w:t>
            </w:r>
          </w:p>
        </w:tc>
      </w:tr>
      <w:tr w:rsidR="0039483D" w:rsidRPr="00EB11D3" w14:paraId="0F96789D" w14:textId="77777777" w:rsidTr="007A43C6">
        <w:trPr>
          <w:trHeight w:val="300"/>
        </w:trPr>
        <w:tc>
          <w:tcPr>
            <w:tcW w:w="564" w:type="dxa"/>
            <w:shd w:val="clear" w:color="auto" w:fill="auto"/>
            <w:noWrap/>
          </w:tcPr>
          <w:p w14:paraId="2DE1E0CF" w14:textId="77777777" w:rsidR="00DC0D7C" w:rsidRPr="00EB11D3" w:rsidRDefault="00212BDF">
            <w:pPr>
              <w:spacing w:after="0" w:line="240" w:lineRule="auto"/>
              <w:jc w:val="left"/>
              <w:rPr>
                <w:rFonts w:eastAsia="Calibri"/>
                <w:sz w:val="22"/>
              </w:rPr>
            </w:pPr>
            <w:r w:rsidRPr="00EB11D3">
              <w:rPr>
                <w:rFonts w:eastAsia="Calibri"/>
                <w:sz w:val="22"/>
              </w:rPr>
              <w:t>25</w:t>
            </w:r>
          </w:p>
        </w:tc>
        <w:tc>
          <w:tcPr>
            <w:tcW w:w="2477" w:type="dxa"/>
            <w:shd w:val="clear" w:color="auto" w:fill="auto"/>
            <w:noWrap/>
          </w:tcPr>
          <w:p w14:paraId="4D7A285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Kiria-Ini Mission Hospital</w:t>
            </w:r>
          </w:p>
        </w:tc>
        <w:tc>
          <w:tcPr>
            <w:tcW w:w="1269" w:type="dxa"/>
            <w:shd w:val="clear" w:color="auto" w:fill="auto"/>
            <w:noWrap/>
          </w:tcPr>
          <w:p w14:paraId="626A3B7D"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207918DB"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Muranga</w:t>
            </w:r>
          </w:p>
        </w:tc>
        <w:tc>
          <w:tcPr>
            <w:tcW w:w="1889" w:type="dxa"/>
            <w:shd w:val="clear" w:color="auto" w:fill="auto"/>
            <w:noWrap/>
          </w:tcPr>
          <w:p w14:paraId="60BB595B"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Mathioya</w:t>
            </w:r>
          </w:p>
        </w:tc>
        <w:tc>
          <w:tcPr>
            <w:tcW w:w="1914" w:type="dxa"/>
            <w:shd w:val="clear" w:color="auto" w:fill="auto"/>
            <w:noWrap/>
          </w:tcPr>
          <w:p w14:paraId="0E5FE30F"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Kiru</w:t>
            </w:r>
          </w:p>
        </w:tc>
      </w:tr>
      <w:tr w:rsidR="0039483D" w:rsidRPr="00EB11D3" w14:paraId="6F7765C6" w14:textId="77777777" w:rsidTr="007A43C6">
        <w:trPr>
          <w:trHeight w:val="300"/>
        </w:trPr>
        <w:tc>
          <w:tcPr>
            <w:tcW w:w="564" w:type="dxa"/>
            <w:shd w:val="clear" w:color="auto" w:fill="auto"/>
            <w:noWrap/>
          </w:tcPr>
          <w:p w14:paraId="1A9DE16D" w14:textId="77777777" w:rsidR="00DC0D7C" w:rsidRPr="00EB11D3" w:rsidRDefault="00212BDF">
            <w:pPr>
              <w:spacing w:after="0" w:line="240" w:lineRule="auto"/>
              <w:jc w:val="left"/>
              <w:rPr>
                <w:rFonts w:eastAsia="Calibri"/>
                <w:sz w:val="22"/>
              </w:rPr>
            </w:pPr>
            <w:r w:rsidRPr="00EB11D3">
              <w:rPr>
                <w:rFonts w:eastAsia="Calibri"/>
                <w:sz w:val="22"/>
              </w:rPr>
              <w:t>26</w:t>
            </w:r>
          </w:p>
        </w:tc>
        <w:tc>
          <w:tcPr>
            <w:tcW w:w="2477" w:type="dxa"/>
            <w:shd w:val="clear" w:color="auto" w:fill="auto"/>
            <w:noWrap/>
          </w:tcPr>
          <w:p w14:paraId="35DDC387" w14:textId="77777777" w:rsidR="00DC0D7C" w:rsidRPr="00EB11D3" w:rsidRDefault="00212BDF">
            <w:pPr>
              <w:spacing w:after="0" w:line="240" w:lineRule="auto"/>
              <w:jc w:val="left"/>
              <w:rPr>
                <w:rFonts w:eastAsia="Calibri"/>
                <w:sz w:val="22"/>
              </w:rPr>
            </w:pPr>
            <w:r w:rsidRPr="00EB11D3">
              <w:rPr>
                <w:rFonts w:eastAsia="Calibri"/>
                <w:sz w:val="22"/>
                <w:lang w:val="zh-CN"/>
              </w:rPr>
              <w:t>Mwea Mission (Our Lady of Lourdes) Hospital</w:t>
            </w:r>
          </w:p>
        </w:tc>
        <w:tc>
          <w:tcPr>
            <w:tcW w:w="1269" w:type="dxa"/>
            <w:shd w:val="clear" w:color="auto" w:fill="auto"/>
            <w:noWrap/>
          </w:tcPr>
          <w:p w14:paraId="17A2DCF9"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5E04088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Kirinyaga</w:t>
            </w:r>
          </w:p>
        </w:tc>
        <w:tc>
          <w:tcPr>
            <w:tcW w:w="1889" w:type="dxa"/>
            <w:shd w:val="clear" w:color="auto" w:fill="auto"/>
            <w:noWrap/>
          </w:tcPr>
          <w:p w14:paraId="5BC74B1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Kirinyaga</w:t>
            </w:r>
          </w:p>
        </w:tc>
        <w:tc>
          <w:tcPr>
            <w:tcW w:w="1914" w:type="dxa"/>
            <w:shd w:val="clear" w:color="auto" w:fill="auto"/>
            <w:noWrap/>
          </w:tcPr>
          <w:p w14:paraId="07980EAB"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Thiba</w:t>
            </w:r>
          </w:p>
        </w:tc>
      </w:tr>
      <w:tr w:rsidR="0039483D" w:rsidRPr="00EB11D3" w14:paraId="7A18DDDB" w14:textId="77777777" w:rsidTr="007A43C6">
        <w:trPr>
          <w:trHeight w:val="300"/>
        </w:trPr>
        <w:tc>
          <w:tcPr>
            <w:tcW w:w="564" w:type="dxa"/>
            <w:shd w:val="clear" w:color="auto" w:fill="auto"/>
            <w:noWrap/>
          </w:tcPr>
          <w:p w14:paraId="52884AD9" w14:textId="77777777" w:rsidR="00DC0D7C" w:rsidRPr="00EB11D3" w:rsidRDefault="00212BDF">
            <w:pPr>
              <w:spacing w:after="0" w:line="240" w:lineRule="auto"/>
              <w:jc w:val="left"/>
              <w:rPr>
                <w:rFonts w:eastAsia="Calibri"/>
                <w:sz w:val="22"/>
              </w:rPr>
            </w:pPr>
            <w:r w:rsidRPr="00EB11D3">
              <w:rPr>
                <w:rFonts w:eastAsia="Calibri"/>
                <w:sz w:val="22"/>
              </w:rPr>
              <w:t>27</w:t>
            </w:r>
          </w:p>
        </w:tc>
        <w:tc>
          <w:tcPr>
            <w:tcW w:w="2477" w:type="dxa"/>
            <w:shd w:val="clear" w:color="auto" w:fill="auto"/>
            <w:noWrap/>
          </w:tcPr>
          <w:p w14:paraId="51AC52A7"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Mewa Hospital</w:t>
            </w:r>
          </w:p>
        </w:tc>
        <w:tc>
          <w:tcPr>
            <w:tcW w:w="1269" w:type="dxa"/>
            <w:shd w:val="clear" w:color="auto" w:fill="auto"/>
            <w:noWrap/>
          </w:tcPr>
          <w:p w14:paraId="5AEBB91E"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202995AF"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Mombasa</w:t>
            </w:r>
          </w:p>
        </w:tc>
        <w:tc>
          <w:tcPr>
            <w:tcW w:w="1889" w:type="dxa"/>
            <w:shd w:val="clear" w:color="auto" w:fill="auto"/>
            <w:noWrap/>
          </w:tcPr>
          <w:p w14:paraId="76600F9F"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Mvita</w:t>
            </w:r>
          </w:p>
        </w:tc>
        <w:tc>
          <w:tcPr>
            <w:tcW w:w="1914" w:type="dxa"/>
            <w:shd w:val="clear" w:color="auto" w:fill="auto"/>
            <w:noWrap/>
          </w:tcPr>
          <w:p w14:paraId="5E4437A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Majengo </w:t>
            </w:r>
          </w:p>
        </w:tc>
      </w:tr>
      <w:tr w:rsidR="0039483D" w:rsidRPr="00EB11D3" w14:paraId="48C35BEE" w14:textId="77777777" w:rsidTr="007A43C6">
        <w:trPr>
          <w:trHeight w:val="300"/>
        </w:trPr>
        <w:tc>
          <w:tcPr>
            <w:tcW w:w="564" w:type="dxa"/>
            <w:shd w:val="clear" w:color="auto" w:fill="auto"/>
            <w:noWrap/>
          </w:tcPr>
          <w:p w14:paraId="27041DFC" w14:textId="77777777" w:rsidR="00DC0D7C" w:rsidRPr="00EB11D3" w:rsidRDefault="00212BDF">
            <w:pPr>
              <w:spacing w:after="0" w:line="240" w:lineRule="auto"/>
              <w:jc w:val="left"/>
              <w:rPr>
                <w:rFonts w:eastAsia="Calibri"/>
                <w:sz w:val="22"/>
              </w:rPr>
            </w:pPr>
            <w:r w:rsidRPr="00EB11D3">
              <w:rPr>
                <w:rFonts w:eastAsia="Calibri"/>
                <w:sz w:val="22"/>
              </w:rPr>
              <w:t>28</w:t>
            </w:r>
          </w:p>
        </w:tc>
        <w:tc>
          <w:tcPr>
            <w:tcW w:w="2477" w:type="dxa"/>
            <w:shd w:val="clear" w:color="auto" w:fill="auto"/>
            <w:noWrap/>
          </w:tcPr>
          <w:p w14:paraId="63FF16F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Sayyida Fatimah Hospital</w:t>
            </w:r>
          </w:p>
        </w:tc>
        <w:tc>
          <w:tcPr>
            <w:tcW w:w="1269" w:type="dxa"/>
            <w:shd w:val="clear" w:color="auto" w:fill="auto"/>
            <w:noWrap/>
          </w:tcPr>
          <w:p w14:paraId="4C205047"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0EB4922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Mombasa</w:t>
            </w:r>
          </w:p>
        </w:tc>
        <w:tc>
          <w:tcPr>
            <w:tcW w:w="1889" w:type="dxa"/>
            <w:shd w:val="clear" w:color="auto" w:fill="auto"/>
            <w:noWrap/>
          </w:tcPr>
          <w:p w14:paraId="4056C9C4"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Nyali</w:t>
            </w:r>
          </w:p>
        </w:tc>
        <w:tc>
          <w:tcPr>
            <w:tcW w:w="1914" w:type="dxa"/>
            <w:shd w:val="clear" w:color="auto" w:fill="auto"/>
            <w:noWrap/>
          </w:tcPr>
          <w:p w14:paraId="5C872C8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Frere Town </w:t>
            </w:r>
          </w:p>
        </w:tc>
      </w:tr>
      <w:tr w:rsidR="0039483D" w:rsidRPr="00EB11D3" w14:paraId="60A754DA" w14:textId="77777777" w:rsidTr="007A43C6">
        <w:trPr>
          <w:trHeight w:val="300"/>
        </w:trPr>
        <w:tc>
          <w:tcPr>
            <w:tcW w:w="564" w:type="dxa"/>
            <w:shd w:val="clear" w:color="auto" w:fill="auto"/>
            <w:noWrap/>
          </w:tcPr>
          <w:p w14:paraId="09AA9819" w14:textId="77777777" w:rsidR="00DC0D7C" w:rsidRPr="00EB11D3" w:rsidRDefault="00212BDF">
            <w:pPr>
              <w:spacing w:after="0" w:line="240" w:lineRule="auto"/>
              <w:jc w:val="left"/>
              <w:rPr>
                <w:rFonts w:eastAsia="Calibri"/>
                <w:sz w:val="22"/>
              </w:rPr>
            </w:pPr>
            <w:r w:rsidRPr="00EB11D3">
              <w:rPr>
                <w:rFonts w:eastAsia="Calibri"/>
                <w:sz w:val="22"/>
              </w:rPr>
              <w:t>29</w:t>
            </w:r>
          </w:p>
        </w:tc>
        <w:tc>
          <w:tcPr>
            <w:tcW w:w="2477" w:type="dxa"/>
            <w:shd w:val="clear" w:color="auto" w:fill="auto"/>
            <w:noWrap/>
          </w:tcPr>
          <w:p w14:paraId="7099BA5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St Luke's (ACK) Nursing home Kaloleni</w:t>
            </w:r>
          </w:p>
        </w:tc>
        <w:tc>
          <w:tcPr>
            <w:tcW w:w="1269" w:type="dxa"/>
            <w:shd w:val="clear" w:color="auto" w:fill="auto"/>
            <w:noWrap/>
          </w:tcPr>
          <w:p w14:paraId="548F8655"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21215129"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Kilifi </w:t>
            </w:r>
          </w:p>
        </w:tc>
        <w:tc>
          <w:tcPr>
            <w:tcW w:w="1889" w:type="dxa"/>
            <w:shd w:val="clear" w:color="auto" w:fill="auto"/>
            <w:noWrap/>
          </w:tcPr>
          <w:p w14:paraId="1633430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Kaloleni</w:t>
            </w:r>
          </w:p>
        </w:tc>
        <w:tc>
          <w:tcPr>
            <w:tcW w:w="1914" w:type="dxa"/>
            <w:shd w:val="clear" w:color="auto" w:fill="auto"/>
            <w:noWrap/>
          </w:tcPr>
          <w:p w14:paraId="47A0033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Kaloleni</w:t>
            </w:r>
          </w:p>
        </w:tc>
      </w:tr>
      <w:tr w:rsidR="0039483D" w:rsidRPr="00EB11D3" w14:paraId="480ED953" w14:textId="77777777" w:rsidTr="007A43C6">
        <w:trPr>
          <w:trHeight w:val="300"/>
        </w:trPr>
        <w:tc>
          <w:tcPr>
            <w:tcW w:w="564" w:type="dxa"/>
            <w:shd w:val="clear" w:color="auto" w:fill="auto"/>
            <w:noWrap/>
          </w:tcPr>
          <w:p w14:paraId="0E6F182C" w14:textId="77777777" w:rsidR="00DC0D7C" w:rsidRPr="00EB11D3" w:rsidRDefault="00212BDF">
            <w:pPr>
              <w:spacing w:after="0" w:line="240" w:lineRule="auto"/>
              <w:jc w:val="left"/>
              <w:rPr>
                <w:rFonts w:eastAsia="Calibri"/>
                <w:sz w:val="22"/>
              </w:rPr>
            </w:pPr>
            <w:r w:rsidRPr="00EB11D3">
              <w:rPr>
                <w:rFonts w:eastAsia="Calibri"/>
                <w:sz w:val="22"/>
                <w:lang w:val="zh-CN"/>
              </w:rPr>
              <w:t>3</w:t>
            </w:r>
            <w:r w:rsidRPr="00EB11D3">
              <w:rPr>
                <w:rFonts w:eastAsia="Calibri"/>
                <w:sz w:val="22"/>
              </w:rPr>
              <w:t>0</w:t>
            </w:r>
          </w:p>
        </w:tc>
        <w:tc>
          <w:tcPr>
            <w:tcW w:w="2477" w:type="dxa"/>
            <w:shd w:val="clear" w:color="auto" w:fill="auto"/>
            <w:noWrap/>
          </w:tcPr>
          <w:p w14:paraId="56FF15D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Tawfiq Muslim Hospital</w:t>
            </w:r>
          </w:p>
        </w:tc>
        <w:tc>
          <w:tcPr>
            <w:tcW w:w="1269" w:type="dxa"/>
            <w:shd w:val="clear" w:color="auto" w:fill="auto"/>
            <w:noWrap/>
          </w:tcPr>
          <w:p w14:paraId="12F4D7DB"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5609B9BC"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Kilifi </w:t>
            </w:r>
          </w:p>
        </w:tc>
        <w:tc>
          <w:tcPr>
            <w:tcW w:w="1889" w:type="dxa"/>
            <w:shd w:val="clear" w:color="auto" w:fill="auto"/>
            <w:noWrap/>
          </w:tcPr>
          <w:p w14:paraId="4E273E95"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Malindi</w:t>
            </w:r>
          </w:p>
        </w:tc>
        <w:tc>
          <w:tcPr>
            <w:tcW w:w="1914" w:type="dxa"/>
            <w:shd w:val="clear" w:color="auto" w:fill="auto"/>
            <w:noWrap/>
          </w:tcPr>
          <w:p w14:paraId="5298B97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Malindi Town</w:t>
            </w:r>
          </w:p>
        </w:tc>
      </w:tr>
      <w:tr w:rsidR="0039483D" w:rsidRPr="00EB11D3" w14:paraId="4A439201" w14:textId="77777777" w:rsidTr="007A43C6">
        <w:trPr>
          <w:trHeight w:val="300"/>
        </w:trPr>
        <w:tc>
          <w:tcPr>
            <w:tcW w:w="564" w:type="dxa"/>
            <w:shd w:val="clear" w:color="auto" w:fill="auto"/>
            <w:noWrap/>
          </w:tcPr>
          <w:p w14:paraId="7CB4249C" w14:textId="77777777" w:rsidR="00DC0D7C" w:rsidRPr="00EB11D3" w:rsidRDefault="00212BDF">
            <w:pPr>
              <w:spacing w:after="0" w:line="240" w:lineRule="auto"/>
              <w:jc w:val="left"/>
              <w:rPr>
                <w:rFonts w:eastAsia="Calibri"/>
                <w:sz w:val="22"/>
              </w:rPr>
            </w:pPr>
            <w:r w:rsidRPr="00EB11D3">
              <w:rPr>
                <w:rFonts w:eastAsia="Calibri"/>
                <w:sz w:val="22"/>
                <w:lang w:val="zh-CN"/>
              </w:rPr>
              <w:t>3</w:t>
            </w:r>
            <w:r w:rsidRPr="00EB11D3">
              <w:rPr>
                <w:rFonts w:eastAsia="Calibri"/>
                <w:sz w:val="22"/>
              </w:rPr>
              <w:t>1</w:t>
            </w:r>
          </w:p>
        </w:tc>
        <w:tc>
          <w:tcPr>
            <w:tcW w:w="2477" w:type="dxa"/>
            <w:shd w:val="clear" w:color="auto" w:fill="auto"/>
            <w:noWrap/>
          </w:tcPr>
          <w:p w14:paraId="25ED5E3F"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Bishop Kioko Catholic Hospital</w:t>
            </w:r>
          </w:p>
        </w:tc>
        <w:tc>
          <w:tcPr>
            <w:tcW w:w="1269" w:type="dxa"/>
            <w:shd w:val="clear" w:color="auto" w:fill="auto"/>
            <w:noWrap/>
          </w:tcPr>
          <w:p w14:paraId="1E456E2E"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68A0A5A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Machakos </w:t>
            </w:r>
          </w:p>
        </w:tc>
        <w:tc>
          <w:tcPr>
            <w:tcW w:w="1889" w:type="dxa"/>
            <w:shd w:val="clear" w:color="auto" w:fill="auto"/>
            <w:noWrap/>
          </w:tcPr>
          <w:p w14:paraId="75FF50A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Machakos </w:t>
            </w:r>
          </w:p>
        </w:tc>
        <w:tc>
          <w:tcPr>
            <w:tcW w:w="1914" w:type="dxa"/>
            <w:shd w:val="clear" w:color="auto" w:fill="auto"/>
            <w:noWrap/>
          </w:tcPr>
          <w:p w14:paraId="5EC5185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Machakos Central</w:t>
            </w:r>
          </w:p>
        </w:tc>
      </w:tr>
      <w:tr w:rsidR="0039483D" w:rsidRPr="00EB11D3" w14:paraId="46036956" w14:textId="77777777" w:rsidTr="007A43C6">
        <w:trPr>
          <w:trHeight w:val="300"/>
        </w:trPr>
        <w:tc>
          <w:tcPr>
            <w:tcW w:w="564" w:type="dxa"/>
            <w:shd w:val="clear" w:color="auto" w:fill="auto"/>
            <w:noWrap/>
          </w:tcPr>
          <w:p w14:paraId="1D450662" w14:textId="77777777" w:rsidR="00DC0D7C" w:rsidRPr="00EB11D3" w:rsidRDefault="00212BDF">
            <w:pPr>
              <w:spacing w:after="0" w:line="240" w:lineRule="auto"/>
              <w:jc w:val="left"/>
              <w:rPr>
                <w:rFonts w:eastAsia="Calibri"/>
                <w:sz w:val="22"/>
              </w:rPr>
            </w:pPr>
            <w:r w:rsidRPr="00EB11D3">
              <w:rPr>
                <w:rFonts w:eastAsia="Calibri"/>
                <w:sz w:val="22"/>
                <w:lang w:val="zh-CN"/>
              </w:rPr>
              <w:t>3</w:t>
            </w:r>
            <w:r w:rsidRPr="00EB11D3">
              <w:rPr>
                <w:rFonts w:eastAsia="Calibri"/>
                <w:sz w:val="22"/>
              </w:rPr>
              <w:t>2</w:t>
            </w:r>
          </w:p>
        </w:tc>
        <w:tc>
          <w:tcPr>
            <w:tcW w:w="2477" w:type="dxa"/>
            <w:shd w:val="clear" w:color="auto" w:fill="auto"/>
            <w:noWrap/>
          </w:tcPr>
          <w:p w14:paraId="7C12A528"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Consolata Mission Hospital</w:t>
            </w:r>
          </w:p>
        </w:tc>
        <w:tc>
          <w:tcPr>
            <w:tcW w:w="1269" w:type="dxa"/>
            <w:shd w:val="clear" w:color="auto" w:fill="auto"/>
            <w:noWrap/>
          </w:tcPr>
          <w:p w14:paraId="7256DB46"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09271447"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Meru </w:t>
            </w:r>
          </w:p>
        </w:tc>
        <w:tc>
          <w:tcPr>
            <w:tcW w:w="1889" w:type="dxa"/>
            <w:shd w:val="clear" w:color="auto" w:fill="auto"/>
            <w:noWrap/>
          </w:tcPr>
          <w:p w14:paraId="3B41A768"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Imenti South</w:t>
            </w:r>
          </w:p>
        </w:tc>
        <w:tc>
          <w:tcPr>
            <w:tcW w:w="1914" w:type="dxa"/>
            <w:shd w:val="clear" w:color="auto" w:fill="auto"/>
            <w:noWrap/>
          </w:tcPr>
          <w:p w14:paraId="60C022C9"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Nkuene</w:t>
            </w:r>
          </w:p>
        </w:tc>
      </w:tr>
      <w:tr w:rsidR="0039483D" w:rsidRPr="00EB11D3" w14:paraId="3F268262" w14:textId="77777777" w:rsidTr="007A43C6">
        <w:trPr>
          <w:trHeight w:val="300"/>
        </w:trPr>
        <w:tc>
          <w:tcPr>
            <w:tcW w:w="564" w:type="dxa"/>
            <w:shd w:val="clear" w:color="auto" w:fill="auto"/>
            <w:noWrap/>
          </w:tcPr>
          <w:p w14:paraId="0BECECCD" w14:textId="77777777" w:rsidR="00DC0D7C" w:rsidRPr="00EB11D3" w:rsidRDefault="00212BDF">
            <w:pPr>
              <w:spacing w:after="0" w:line="240" w:lineRule="auto"/>
              <w:jc w:val="left"/>
              <w:rPr>
                <w:rFonts w:eastAsia="Calibri"/>
                <w:sz w:val="22"/>
              </w:rPr>
            </w:pPr>
            <w:r w:rsidRPr="00EB11D3">
              <w:rPr>
                <w:rFonts w:eastAsia="Calibri"/>
                <w:sz w:val="22"/>
                <w:lang w:val="zh-CN"/>
              </w:rPr>
              <w:t>3</w:t>
            </w:r>
            <w:r w:rsidRPr="00EB11D3">
              <w:rPr>
                <w:rFonts w:eastAsia="Calibri"/>
                <w:sz w:val="22"/>
              </w:rPr>
              <w:t>3</w:t>
            </w:r>
          </w:p>
        </w:tc>
        <w:tc>
          <w:tcPr>
            <w:tcW w:w="2477" w:type="dxa"/>
            <w:shd w:val="clear" w:color="auto" w:fill="auto"/>
            <w:noWrap/>
          </w:tcPr>
          <w:p w14:paraId="1B451ECF"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Ortum Mission Hospital</w:t>
            </w:r>
          </w:p>
        </w:tc>
        <w:tc>
          <w:tcPr>
            <w:tcW w:w="1269" w:type="dxa"/>
            <w:shd w:val="clear" w:color="auto" w:fill="auto"/>
            <w:noWrap/>
          </w:tcPr>
          <w:p w14:paraId="45BBB6BA"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4D5DDB0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West Pokot</w:t>
            </w:r>
          </w:p>
        </w:tc>
        <w:tc>
          <w:tcPr>
            <w:tcW w:w="1889" w:type="dxa"/>
            <w:shd w:val="clear" w:color="auto" w:fill="auto"/>
            <w:noWrap/>
          </w:tcPr>
          <w:p w14:paraId="24A7A29C"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Pokot South</w:t>
            </w:r>
          </w:p>
        </w:tc>
        <w:tc>
          <w:tcPr>
            <w:tcW w:w="1914" w:type="dxa"/>
            <w:shd w:val="clear" w:color="auto" w:fill="auto"/>
            <w:noWrap/>
          </w:tcPr>
          <w:p w14:paraId="4E160E1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Batei</w:t>
            </w:r>
          </w:p>
        </w:tc>
      </w:tr>
      <w:tr w:rsidR="0039483D" w:rsidRPr="00EB11D3" w14:paraId="7A920032" w14:textId="77777777" w:rsidTr="007A43C6">
        <w:trPr>
          <w:trHeight w:val="300"/>
        </w:trPr>
        <w:tc>
          <w:tcPr>
            <w:tcW w:w="564" w:type="dxa"/>
            <w:shd w:val="clear" w:color="auto" w:fill="auto"/>
            <w:noWrap/>
          </w:tcPr>
          <w:p w14:paraId="4364CC22" w14:textId="77777777" w:rsidR="00DC0D7C" w:rsidRPr="00EB11D3" w:rsidRDefault="00212BDF">
            <w:pPr>
              <w:spacing w:after="0" w:line="240" w:lineRule="auto"/>
              <w:jc w:val="left"/>
              <w:rPr>
                <w:rFonts w:eastAsia="Calibri"/>
                <w:sz w:val="22"/>
              </w:rPr>
            </w:pPr>
            <w:r w:rsidRPr="00EB11D3">
              <w:rPr>
                <w:rFonts w:eastAsia="Calibri"/>
                <w:sz w:val="22"/>
                <w:lang w:val="zh-CN"/>
              </w:rPr>
              <w:t>3</w:t>
            </w:r>
            <w:r w:rsidRPr="00EB11D3">
              <w:rPr>
                <w:rFonts w:eastAsia="Calibri"/>
                <w:sz w:val="22"/>
              </w:rPr>
              <w:t>4</w:t>
            </w:r>
          </w:p>
        </w:tc>
        <w:tc>
          <w:tcPr>
            <w:tcW w:w="2477" w:type="dxa"/>
            <w:shd w:val="clear" w:color="auto" w:fill="auto"/>
            <w:noWrap/>
          </w:tcPr>
          <w:p w14:paraId="0CF808B9"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Catholic Hospital Laisamis</w:t>
            </w:r>
          </w:p>
        </w:tc>
        <w:tc>
          <w:tcPr>
            <w:tcW w:w="1269" w:type="dxa"/>
            <w:shd w:val="clear" w:color="auto" w:fill="auto"/>
            <w:noWrap/>
          </w:tcPr>
          <w:p w14:paraId="227368EA"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408CAC54"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Marsabit</w:t>
            </w:r>
          </w:p>
        </w:tc>
        <w:tc>
          <w:tcPr>
            <w:tcW w:w="1889" w:type="dxa"/>
            <w:shd w:val="clear" w:color="auto" w:fill="auto"/>
            <w:noWrap/>
          </w:tcPr>
          <w:p w14:paraId="6FBBEBC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Laisamis </w:t>
            </w:r>
          </w:p>
        </w:tc>
        <w:tc>
          <w:tcPr>
            <w:tcW w:w="1914" w:type="dxa"/>
            <w:shd w:val="clear" w:color="auto" w:fill="auto"/>
            <w:noWrap/>
          </w:tcPr>
          <w:p w14:paraId="175031C5"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Laisamis </w:t>
            </w:r>
          </w:p>
        </w:tc>
      </w:tr>
      <w:tr w:rsidR="00A63A93" w:rsidRPr="00EB11D3" w14:paraId="4996AA94" w14:textId="77777777" w:rsidTr="007A43C6">
        <w:trPr>
          <w:trHeight w:val="300"/>
        </w:trPr>
        <w:tc>
          <w:tcPr>
            <w:tcW w:w="564" w:type="dxa"/>
            <w:shd w:val="clear" w:color="auto" w:fill="auto"/>
            <w:noWrap/>
          </w:tcPr>
          <w:p w14:paraId="4E1E6FC1" w14:textId="77777777" w:rsidR="00A63A93" w:rsidRPr="00EB11D3" w:rsidRDefault="00A63A93" w:rsidP="00A63A93">
            <w:pPr>
              <w:spacing w:after="0" w:line="240" w:lineRule="auto"/>
              <w:jc w:val="left"/>
              <w:rPr>
                <w:rFonts w:eastAsia="Calibri"/>
                <w:sz w:val="22"/>
              </w:rPr>
            </w:pPr>
            <w:r w:rsidRPr="00EB11D3">
              <w:rPr>
                <w:rFonts w:eastAsia="Calibri"/>
                <w:sz w:val="22"/>
              </w:rPr>
              <w:t>35</w:t>
            </w:r>
          </w:p>
        </w:tc>
        <w:tc>
          <w:tcPr>
            <w:tcW w:w="2477" w:type="dxa"/>
            <w:shd w:val="clear" w:color="auto" w:fill="auto"/>
            <w:noWrap/>
          </w:tcPr>
          <w:p w14:paraId="00B2270B" w14:textId="77777777" w:rsidR="00A63A93" w:rsidRPr="00EB11D3" w:rsidRDefault="00A63A93" w:rsidP="00A63A93">
            <w:pPr>
              <w:spacing w:after="0" w:line="240" w:lineRule="auto"/>
              <w:jc w:val="left"/>
              <w:rPr>
                <w:rFonts w:eastAsia="Calibri"/>
                <w:sz w:val="22"/>
                <w:lang w:val="zh-CN"/>
              </w:rPr>
            </w:pPr>
            <w:r w:rsidRPr="00EB11D3">
              <w:t>PAG (K) Mission Hospital Goibei</w:t>
            </w:r>
          </w:p>
        </w:tc>
        <w:tc>
          <w:tcPr>
            <w:tcW w:w="1269" w:type="dxa"/>
            <w:shd w:val="clear" w:color="auto" w:fill="auto"/>
            <w:noWrap/>
          </w:tcPr>
          <w:p w14:paraId="4D908200" w14:textId="77777777" w:rsidR="00A63A93" w:rsidRPr="00EB11D3" w:rsidRDefault="00A63A93" w:rsidP="00A63A93">
            <w:pPr>
              <w:spacing w:after="0" w:line="240" w:lineRule="auto"/>
              <w:jc w:val="center"/>
              <w:rPr>
                <w:rFonts w:eastAsia="Calibri"/>
                <w:sz w:val="22"/>
                <w:lang w:val="zh-CN"/>
              </w:rPr>
            </w:pPr>
            <w:r w:rsidRPr="00EB11D3">
              <w:t>4</w:t>
            </w:r>
          </w:p>
        </w:tc>
        <w:tc>
          <w:tcPr>
            <w:tcW w:w="1237" w:type="dxa"/>
            <w:shd w:val="clear" w:color="auto" w:fill="auto"/>
            <w:noWrap/>
          </w:tcPr>
          <w:p w14:paraId="3BD80BE6" w14:textId="77777777" w:rsidR="00A63A93" w:rsidRPr="00EB11D3" w:rsidRDefault="00A63A93" w:rsidP="00A63A93">
            <w:pPr>
              <w:spacing w:after="0" w:line="240" w:lineRule="auto"/>
              <w:jc w:val="left"/>
              <w:rPr>
                <w:rFonts w:eastAsia="Calibri"/>
                <w:sz w:val="22"/>
                <w:lang w:val="zh-CN"/>
              </w:rPr>
            </w:pPr>
            <w:r w:rsidRPr="00EB11D3">
              <w:t>Vihiga</w:t>
            </w:r>
          </w:p>
        </w:tc>
        <w:tc>
          <w:tcPr>
            <w:tcW w:w="1889" w:type="dxa"/>
            <w:shd w:val="clear" w:color="auto" w:fill="auto"/>
            <w:noWrap/>
          </w:tcPr>
          <w:p w14:paraId="6A4D49F3" w14:textId="77777777" w:rsidR="00A63A93" w:rsidRPr="00EB11D3" w:rsidRDefault="00A63A93" w:rsidP="00A63A93">
            <w:pPr>
              <w:spacing w:after="0" w:line="240" w:lineRule="auto"/>
              <w:jc w:val="left"/>
              <w:rPr>
                <w:rFonts w:eastAsia="Calibri"/>
                <w:sz w:val="22"/>
                <w:lang w:val="zh-CN"/>
              </w:rPr>
            </w:pPr>
            <w:r w:rsidRPr="00EB11D3">
              <w:t xml:space="preserve">Hamisi </w:t>
            </w:r>
          </w:p>
        </w:tc>
        <w:tc>
          <w:tcPr>
            <w:tcW w:w="1914" w:type="dxa"/>
            <w:shd w:val="clear" w:color="auto" w:fill="auto"/>
            <w:noWrap/>
          </w:tcPr>
          <w:p w14:paraId="321ACF7D" w14:textId="77777777" w:rsidR="00A63A93" w:rsidRPr="00EB11D3" w:rsidRDefault="00A63A93" w:rsidP="00A63A93">
            <w:pPr>
              <w:spacing w:after="0" w:line="240" w:lineRule="auto"/>
              <w:jc w:val="left"/>
              <w:rPr>
                <w:rFonts w:eastAsia="Calibri"/>
                <w:sz w:val="22"/>
                <w:lang w:val="zh-CN"/>
              </w:rPr>
            </w:pPr>
            <w:r w:rsidRPr="00EB11D3">
              <w:t>Banja</w:t>
            </w:r>
          </w:p>
        </w:tc>
      </w:tr>
      <w:tr w:rsidR="0039483D" w:rsidRPr="00EB11D3" w14:paraId="6666E8F2" w14:textId="77777777" w:rsidTr="007A43C6">
        <w:trPr>
          <w:trHeight w:val="300"/>
        </w:trPr>
        <w:tc>
          <w:tcPr>
            <w:tcW w:w="564" w:type="dxa"/>
            <w:shd w:val="clear" w:color="auto" w:fill="auto"/>
            <w:noWrap/>
          </w:tcPr>
          <w:p w14:paraId="341AC423" w14:textId="77777777" w:rsidR="00DC0D7C" w:rsidRPr="00EB11D3" w:rsidRDefault="00212BDF">
            <w:pPr>
              <w:spacing w:after="0" w:line="240" w:lineRule="auto"/>
              <w:jc w:val="left"/>
              <w:rPr>
                <w:rFonts w:eastAsia="Calibri"/>
                <w:sz w:val="22"/>
              </w:rPr>
            </w:pPr>
            <w:r w:rsidRPr="00EB11D3">
              <w:rPr>
                <w:rFonts w:eastAsia="Calibri"/>
                <w:sz w:val="22"/>
              </w:rPr>
              <w:t>36</w:t>
            </w:r>
          </w:p>
        </w:tc>
        <w:tc>
          <w:tcPr>
            <w:tcW w:w="2477" w:type="dxa"/>
            <w:shd w:val="clear" w:color="auto" w:fill="auto"/>
            <w:noWrap/>
          </w:tcPr>
          <w:p w14:paraId="01E33A6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Jamaa Mission Hospital</w:t>
            </w:r>
          </w:p>
        </w:tc>
        <w:tc>
          <w:tcPr>
            <w:tcW w:w="1269" w:type="dxa"/>
            <w:shd w:val="clear" w:color="auto" w:fill="auto"/>
            <w:noWrap/>
          </w:tcPr>
          <w:p w14:paraId="0545148F"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463264D4"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Nairobi</w:t>
            </w:r>
          </w:p>
        </w:tc>
        <w:tc>
          <w:tcPr>
            <w:tcW w:w="1889" w:type="dxa"/>
            <w:shd w:val="clear" w:color="auto" w:fill="auto"/>
            <w:noWrap/>
          </w:tcPr>
          <w:p w14:paraId="1652F04E"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Makadara</w:t>
            </w:r>
          </w:p>
        </w:tc>
        <w:tc>
          <w:tcPr>
            <w:tcW w:w="1914" w:type="dxa"/>
            <w:shd w:val="clear" w:color="auto" w:fill="auto"/>
            <w:noWrap/>
          </w:tcPr>
          <w:p w14:paraId="06D9A3A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Harambee </w:t>
            </w:r>
          </w:p>
        </w:tc>
      </w:tr>
      <w:tr w:rsidR="0039483D" w:rsidRPr="00EB11D3" w14:paraId="7979A193" w14:textId="77777777" w:rsidTr="007A43C6">
        <w:trPr>
          <w:trHeight w:val="300"/>
        </w:trPr>
        <w:tc>
          <w:tcPr>
            <w:tcW w:w="564" w:type="dxa"/>
            <w:shd w:val="clear" w:color="auto" w:fill="auto"/>
            <w:noWrap/>
          </w:tcPr>
          <w:p w14:paraId="1503721F" w14:textId="77777777" w:rsidR="00DC0D7C" w:rsidRPr="00EB11D3" w:rsidRDefault="00212BDF">
            <w:pPr>
              <w:spacing w:after="0" w:line="240" w:lineRule="auto"/>
              <w:jc w:val="left"/>
              <w:rPr>
                <w:rFonts w:eastAsia="Calibri"/>
                <w:sz w:val="22"/>
              </w:rPr>
            </w:pPr>
            <w:r w:rsidRPr="00EB11D3">
              <w:rPr>
                <w:rFonts w:eastAsia="Calibri"/>
                <w:sz w:val="22"/>
              </w:rPr>
              <w:t>37</w:t>
            </w:r>
          </w:p>
        </w:tc>
        <w:tc>
          <w:tcPr>
            <w:tcW w:w="2477" w:type="dxa"/>
            <w:shd w:val="clear" w:color="auto" w:fill="auto"/>
            <w:noWrap/>
          </w:tcPr>
          <w:p w14:paraId="403DB97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Kendu Adventist Hospital</w:t>
            </w:r>
          </w:p>
        </w:tc>
        <w:tc>
          <w:tcPr>
            <w:tcW w:w="1269" w:type="dxa"/>
            <w:shd w:val="clear" w:color="auto" w:fill="auto"/>
            <w:noWrap/>
          </w:tcPr>
          <w:p w14:paraId="1B002E5F"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70FFB1D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Homa Bay</w:t>
            </w:r>
          </w:p>
        </w:tc>
        <w:tc>
          <w:tcPr>
            <w:tcW w:w="1889" w:type="dxa"/>
            <w:shd w:val="clear" w:color="auto" w:fill="auto"/>
            <w:noWrap/>
          </w:tcPr>
          <w:p w14:paraId="1C55D827"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Karachuonyo</w:t>
            </w:r>
          </w:p>
        </w:tc>
        <w:tc>
          <w:tcPr>
            <w:tcW w:w="1914" w:type="dxa"/>
            <w:shd w:val="clear" w:color="auto" w:fill="auto"/>
            <w:noWrap/>
          </w:tcPr>
          <w:p w14:paraId="2452043F"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Kendu Bay Town </w:t>
            </w:r>
          </w:p>
        </w:tc>
      </w:tr>
      <w:tr w:rsidR="0039483D" w:rsidRPr="00EB11D3" w14:paraId="435CB87C" w14:textId="77777777" w:rsidTr="007A43C6">
        <w:trPr>
          <w:trHeight w:val="300"/>
        </w:trPr>
        <w:tc>
          <w:tcPr>
            <w:tcW w:w="564" w:type="dxa"/>
            <w:shd w:val="clear" w:color="auto" w:fill="auto"/>
            <w:noWrap/>
          </w:tcPr>
          <w:p w14:paraId="4A38898D" w14:textId="77777777" w:rsidR="00DC0D7C" w:rsidRPr="00EB11D3" w:rsidRDefault="00212BDF">
            <w:pPr>
              <w:spacing w:after="0" w:line="240" w:lineRule="auto"/>
              <w:jc w:val="left"/>
              <w:rPr>
                <w:rFonts w:eastAsia="Calibri"/>
                <w:sz w:val="22"/>
              </w:rPr>
            </w:pPr>
            <w:r w:rsidRPr="00EB11D3">
              <w:rPr>
                <w:rFonts w:eastAsia="Calibri"/>
                <w:sz w:val="22"/>
              </w:rPr>
              <w:t>38</w:t>
            </w:r>
          </w:p>
        </w:tc>
        <w:tc>
          <w:tcPr>
            <w:tcW w:w="2477" w:type="dxa"/>
            <w:shd w:val="clear" w:color="auto" w:fill="auto"/>
            <w:noWrap/>
          </w:tcPr>
          <w:p w14:paraId="7601B784"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Maseno Mission Hospital</w:t>
            </w:r>
          </w:p>
        </w:tc>
        <w:tc>
          <w:tcPr>
            <w:tcW w:w="1269" w:type="dxa"/>
            <w:shd w:val="clear" w:color="auto" w:fill="auto"/>
            <w:noWrap/>
          </w:tcPr>
          <w:p w14:paraId="3AEA463A"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489501E7"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Kisumu </w:t>
            </w:r>
          </w:p>
        </w:tc>
        <w:tc>
          <w:tcPr>
            <w:tcW w:w="1889" w:type="dxa"/>
            <w:shd w:val="clear" w:color="auto" w:fill="auto"/>
            <w:noWrap/>
          </w:tcPr>
          <w:p w14:paraId="1776C4C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Kisumu West</w:t>
            </w:r>
          </w:p>
        </w:tc>
        <w:tc>
          <w:tcPr>
            <w:tcW w:w="1914" w:type="dxa"/>
            <w:shd w:val="clear" w:color="auto" w:fill="auto"/>
            <w:noWrap/>
          </w:tcPr>
          <w:p w14:paraId="4268A3B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North West Kisumu</w:t>
            </w:r>
          </w:p>
        </w:tc>
      </w:tr>
      <w:tr w:rsidR="0039483D" w:rsidRPr="00EB11D3" w14:paraId="436C4624" w14:textId="77777777" w:rsidTr="007A43C6">
        <w:trPr>
          <w:trHeight w:val="300"/>
        </w:trPr>
        <w:tc>
          <w:tcPr>
            <w:tcW w:w="564" w:type="dxa"/>
            <w:shd w:val="clear" w:color="auto" w:fill="auto"/>
            <w:noWrap/>
          </w:tcPr>
          <w:p w14:paraId="571E3833" w14:textId="77777777" w:rsidR="00DC0D7C" w:rsidRPr="00EB11D3" w:rsidRDefault="00212BDF">
            <w:pPr>
              <w:spacing w:after="0" w:line="240" w:lineRule="auto"/>
              <w:jc w:val="left"/>
              <w:rPr>
                <w:rFonts w:eastAsia="Calibri"/>
                <w:sz w:val="22"/>
              </w:rPr>
            </w:pPr>
            <w:r w:rsidRPr="00EB11D3">
              <w:rPr>
                <w:rFonts w:eastAsia="Calibri"/>
                <w:sz w:val="22"/>
              </w:rPr>
              <w:t>39</w:t>
            </w:r>
          </w:p>
        </w:tc>
        <w:tc>
          <w:tcPr>
            <w:tcW w:w="2477" w:type="dxa"/>
            <w:shd w:val="clear" w:color="auto" w:fill="auto"/>
            <w:noWrap/>
          </w:tcPr>
          <w:p w14:paraId="3D5EDD7C"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Matata Nursing Hospital</w:t>
            </w:r>
          </w:p>
        </w:tc>
        <w:tc>
          <w:tcPr>
            <w:tcW w:w="1269" w:type="dxa"/>
            <w:shd w:val="clear" w:color="auto" w:fill="auto"/>
            <w:noWrap/>
          </w:tcPr>
          <w:p w14:paraId="7B63B988"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3BD18E4B"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Homa Bay </w:t>
            </w:r>
          </w:p>
        </w:tc>
        <w:tc>
          <w:tcPr>
            <w:tcW w:w="1889" w:type="dxa"/>
            <w:shd w:val="clear" w:color="auto" w:fill="auto"/>
            <w:noWrap/>
          </w:tcPr>
          <w:p w14:paraId="714C9EB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Rachuonyo South</w:t>
            </w:r>
          </w:p>
        </w:tc>
        <w:tc>
          <w:tcPr>
            <w:tcW w:w="1914" w:type="dxa"/>
            <w:shd w:val="clear" w:color="auto" w:fill="auto"/>
            <w:noWrap/>
          </w:tcPr>
          <w:p w14:paraId="23710F7F"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West Kamagak </w:t>
            </w:r>
          </w:p>
        </w:tc>
      </w:tr>
      <w:tr w:rsidR="0039483D" w:rsidRPr="00EB11D3" w14:paraId="3732F708" w14:textId="77777777" w:rsidTr="007A43C6">
        <w:trPr>
          <w:trHeight w:val="300"/>
        </w:trPr>
        <w:tc>
          <w:tcPr>
            <w:tcW w:w="564" w:type="dxa"/>
            <w:shd w:val="clear" w:color="auto" w:fill="auto"/>
            <w:noWrap/>
          </w:tcPr>
          <w:p w14:paraId="2BCBA61A" w14:textId="77777777" w:rsidR="00DC0D7C" w:rsidRPr="00EB11D3" w:rsidRDefault="00212BDF">
            <w:pPr>
              <w:spacing w:after="0" w:line="240" w:lineRule="auto"/>
              <w:jc w:val="left"/>
              <w:rPr>
                <w:rFonts w:eastAsia="Calibri"/>
                <w:sz w:val="22"/>
              </w:rPr>
            </w:pPr>
            <w:r w:rsidRPr="00EB11D3">
              <w:rPr>
                <w:rFonts w:eastAsia="Calibri"/>
                <w:sz w:val="22"/>
                <w:lang w:val="zh-CN"/>
              </w:rPr>
              <w:t>4</w:t>
            </w:r>
            <w:r w:rsidRPr="00EB11D3">
              <w:rPr>
                <w:rFonts w:eastAsia="Calibri"/>
                <w:sz w:val="22"/>
              </w:rPr>
              <w:t>0</w:t>
            </w:r>
          </w:p>
        </w:tc>
        <w:tc>
          <w:tcPr>
            <w:tcW w:w="2477" w:type="dxa"/>
            <w:shd w:val="clear" w:color="auto" w:fill="auto"/>
            <w:noWrap/>
          </w:tcPr>
          <w:p w14:paraId="3EAFF0D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Nyanchwa Hospital</w:t>
            </w:r>
          </w:p>
        </w:tc>
        <w:tc>
          <w:tcPr>
            <w:tcW w:w="1269" w:type="dxa"/>
            <w:shd w:val="clear" w:color="auto" w:fill="auto"/>
            <w:noWrap/>
          </w:tcPr>
          <w:p w14:paraId="7EB62C55"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2DCFB1B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Kisii </w:t>
            </w:r>
          </w:p>
        </w:tc>
        <w:tc>
          <w:tcPr>
            <w:tcW w:w="1889" w:type="dxa"/>
            <w:shd w:val="clear" w:color="auto" w:fill="auto"/>
            <w:noWrap/>
          </w:tcPr>
          <w:p w14:paraId="13E2790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Nyaribari</w:t>
            </w:r>
          </w:p>
        </w:tc>
        <w:tc>
          <w:tcPr>
            <w:tcW w:w="1914" w:type="dxa"/>
            <w:shd w:val="clear" w:color="auto" w:fill="auto"/>
            <w:noWrap/>
          </w:tcPr>
          <w:p w14:paraId="724AB5F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Kisii Central</w:t>
            </w:r>
          </w:p>
        </w:tc>
      </w:tr>
      <w:tr w:rsidR="0039483D" w:rsidRPr="00EB11D3" w14:paraId="58459D7A" w14:textId="77777777" w:rsidTr="007A43C6">
        <w:trPr>
          <w:trHeight w:val="300"/>
        </w:trPr>
        <w:tc>
          <w:tcPr>
            <w:tcW w:w="564" w:type="dxa"/>
            <w:shd w:val="clear" w:color="auto" w:fill="auto"/>
            <w:noWrap/>
          </w:tcPr>
          <w:p w14:paraId="393BB9F6" w14:textId="77777777" w:rsidR="00DC0D7C" w:rsidRPr="00EB11D3" w:rsidRDefault="00212BDF">
            <w:pPr>
              <w:spacing w:after="0" w:line="240" w:lineRule="auto"/>
              <w:jc w:val="left"/>
              <w:rPr>
                <w:rFonts w:eastAsia="Calibri"/>
                <w:sz w:val="22"/>
              </w:rPr>
            </w:pPr>
            <w:r w:rsidRPr="00EB11D3">
              <w:rPr>
                <w:rFonts w:eastAsia="Calibri"/>
                <w:sz w:val="22"/>
                <w:lang w:val="zh-CN"/>
              </w:rPr>
              <w:t>4</w:t>
            </w:r>
            <w:r w:rsidRPr="00EB11D3">
              <w:rPr>
                <w:rFonts w:eastAsia="Calibri"/>
                <w:sz w:val="22"/>
              </w:rPr>
              <w:t>1</w:t>
            </w:r>
          </w:p>
        </w:tc>
        <w:tc>
          <w:tcPr>
            <w:tcW w:w="2477" w:type="dxa"/>
            <w:shd w:val="clear" w:color="auto" w:fill="auto"/>
            <w:noWrap/>
          </w:tcPr>
          <w:p w14:paraId="4359D3DB"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Omorembe Sub County Hospital</w:t>
            </w:r>
          </w:p>
        </w:tc>
        <w:tc>
          <w:tcPr>
            <w:tcW w:w="1269" w:type="dxa"/>
            <w:shd w:val="clear" w:color="auto" w:fill="auto"/>
            <w:noWrap/>
          </w:tcPr>
          <w:p w14:paraId="682148F4"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5FF8B505"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Kisii </w:t>
            </w:r>
          </w:p>
        </w:tc>
        <w:tc>
          <w:tcPr>
            <w:tcW w:w="1889" w:type="dxa"/>
            <w:shd w:val="clear" w:color="auto" w:fill="auto"/>
            <w:noWrap/>
          </w:tcPr>
          <w:p w14:paraId="63456EBC"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Bomachoge Chache</w:t>
            </w:r>
          </w:p>
        </w:tc>
        <w:tc>
          <w:tcPr>
            <w:tcW w:w="1914" w:type="dxa"/>
            <w:shd w:val="clear" w:color="auto" w:fill="auto"/>
            <w:noWrap/>
          </w:tcPr>
          <w:p w14:paraId="79B60E0A"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Bosoti/Sengera </w:t>
            </w:r>
          </w:p>
        </w:tc>
      </w:tr>
      <w:tr w:rsidR="0039483D" w:rsidRPr="00EB11D3" w14:paraId="19BA5686" w14:textId="77777777" w:rsidTr="007A43C6">
        <w:trPr>
          <w:trHeight w:val="300"/>
        </w:trPr>
        <w:tc>
          <w:tcPr>
            <w:tcW w:w="564" w:type="dxa"/>
            <w:shd w:val="clear" w:color="auto" w:fill="auto"/>
            <w:noWrap/>
          </w:tcPr>
          <w:p w14:paraId="01B7374D" w14:textId="77777777" w:rsidR="00DC0D7C" w:rsidRPr="00EB11D3" w:rsidRDefault="00212BDF">
            <w:pPr>
              <w:spacing w:after="0" w:line="240" w:lineRule="auto"/>
              <w:jc w:val="left"/>
              <w:rPr>
                <w:rFonts w:eastAsia="Calibri"/>
                <w:sz w:val="22"/>
              </w:rPr>
            </w:pPr>
            <w:r w:rsidRPr="00EB11D3">
              <w:rPr>
                <w:rFonts w:eastAsia="Calibri"/>
                <w:sz w:val="22"/>
                <w:lang w:val="zh-CN"/>
              </w:rPr>
              <w:t>4</w:t>
            </w:r>
            <w:r w:rsidRPr="00EB11D3">
              <w:rPr>
                <w:rFonts w:eastAsia="Calibri"/>
                <w:sz w:val="22"/>
              </w:rPr>
              <w:t>2</w:t>
            </w:r>
          </w:p>
        </w:tc>
        <w:tc>
          <w:tcPr>
            <w:tcW w:w="2477" w:type="dxa"/>
            <w:shd w:val="clear" w:color="auto" w:fill="auto"/>
            <w:noWrap/>
          </w:tcPr>
          <w:p w14:paraId="6CD1409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Our Lady of Lourdes Rangala Mission Hospital</w:t>
            </w:r>
          </w:p>
        </w:tc>
        <w:tc>
          <w:tcPr>
            <w:tcW w:w="1269" w:type="dxa"/>
            <w:shd w:val="clear" w:color="auto" w:fill="auto"/>
            <w:noWrap/>
          </w:tcPr>
          <w:p w14:paraId="32A8B75B"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0D8EF34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Siaya</w:t>
            </w:r>
          </w:p>
        </w:tc>
        <w:tc>
          <w:tcPr>
            <w:tcW w:w="1889" w:type="dxa"/>
            <w:shd w:val="clear" w:color="auto" w:fill="auto"/>
            <w:noWrap/>
          </w:tcPr>
          <w:p w14:paraId="4016CC3F"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Ugunja</w:t>
            </w:r>
          </w:p>
        </w:tc>
        <w:tc>
          <w:tcPr>
            <w:tcW w:w="1914" w:type="dxa"/>
            <w:shd w:val="clear" w:color="auto" w:fill="auto"/>
            <w:noWrap/>
          </w:tcPr>
          <w:p w14:paraId="45A6593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Sidindi </w:t>
            </w:r>
          </w:p>
        </w:tc>
      </w:tr>
      <w:tr w:rsidR="0039483D" w:rsidRPr="00EB11D3" w14:paraId="3DB6BBCB" w14:textId="77777777" w:rsidTr="007A43C6">
        <w:trPr>
          <w:trHeight w:val="300"/>
        </w:trPr>
        <w:tc>
          <w:tcPr>
            <w:tcW w:w="564" w:type="dxa"/>
            <w:shd w:val="clear" w:color="auto" w:fill="auto"/>
            <w:noWrap/>
          </w:tcPr>
          <w:p w14:paraId="1C961299" w14:textId="77777777" w:rsidR="00DC0D7C" w:rsidRPr="00EB11D3" w:rsidRDefault="00212BDF">
            <w:pPr>
              <w:spacing w:after="0" w:line="240" w:lineRule="auto"/>
              <w:jc w:val="left"/>
              <w:rPr>
                <w:rFonts w:eastAsia="Calibri"/>
                <w:sz w:val="22"/>
              </w:rPr>
            </w:pPr>
            <w:r w:rsidRPr="00EB11D3">
              <w:rPr>
                <w:rFonts w:eastAsia="Calibri"/>
                <w:sz w:val="22"/>
                <w:lang w:val="zh-CN"/>
              </w:rPr>
              <w:t>4</w:t>
            </w:r>
            <w:r w:rsidRPr="00EB11D3">
              <w:rPr>
                <w:rFonts w:eastAsia="Calibri"/>
                <w:sz w:val="22"/>
              </w:rPr>
              <w:t>3</w:t>
            </w:r>
          </w:p>
        </w:tc>
        <w:tc>
          <w:tcPr>
            <w:tcW w:w="2477" w:type="dxa"/>
            <w:shd w:val="clear" w:color="auto" w:fill="auto"/>
            <w:noWrap/>
          </w:tcPr>
          <w:p w14:paraId="445428BC"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St Camillus Mission Hospital</w:t>
            </w:r>
          </w:p>
        </w:tc>
        <w:tc>
          <w:tcPr>
            <w:tcW w:w="1269" w:type="dxa"/>
            <w:shd w:val="clear" w:color="auto" w:fill="auto"/>
            <w:noWrap/>
          </w:tcPr>
          <w:p w14:paraId="6BAB9421"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305E9C0B"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Migori</w:t>
            </w:r>
          </w:p>
        </w:tc>
        <w:tc>
          <w:tcPr>
            <w:tcW w:w="1889" w:type="dxa"/>
            <w:shd w:val="clear" w:color="auto" w:fill="auto"/>
            <w:noWrap/>
          </w:tcPr>
          <w:p w14:paraId="3895149C"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Nyatike</w:t>
            </w:r>
          </w:p>
        </w:tc>
        <w:tc>
          <w:tcPr>
            <w:tcW w:w="1914" w:type="dxa"/>
            <w:shd w:val="clear" w:color="auto" w:fill="auto"/>
            <w:noWrap/>
          </w:tcPr>
          <w:p w14:paraId="4A446A8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Kachien'g</w:t>
            </w:r>
          </w:p>
        </w:tc>
      </w:tr>
      <w:tr w:rsidR="0039483D" w:rsidRPr="00EB11D3" w14:paraId="5D8430CA" w14:textId="77777777" w:rsidTr="007A43C6">
        <w:trPr>
          <w:trHeight w:val="300"/>
        </w:trPr>
        <w:tc>
          <w:tcPr>
            <w:tcW w:w="564" w:type="dxa"/>
            <w:shd w:val="clear" w:color="auto" w:fill="auto"/>
            <w:noWrap/>
          </w:tcPr>
          <w:p w14:paraId="264F27ED" w14:textId="77777777" w:rsidR="00DC0D7C" w:rsidRPr="00EB11D3" w:rsidRDefault="00212BDF">
            <w:pPr>
              <w:spacing w:after="0" w:line="240" w:lineRule="auto"/>
              <w:jc w:val="left"/>
              <w:rPr>
                <w:rFonts w:eastAsia="Calibri"/>
                <w:sz w:val="22"/>
              </w:rPr>
            </w:pPr>
            <w:r w:rsidRPr="00EB11D3">
              <w:rPr>
                <w:rFonts w:eastAsia="Calibri"/>
                <w:sz w:val="22"/>
                <w:lang w:val="zh-CN"/>
              </w:rPr>
              <w:t>4</w:t>
            </w:r>
            <w:r w:rsidRPr="00EB11D3">
              <w:rPr>
                <w:rFonts w:eastAsia="Calibri"/>
                <w:sz w:val="22"/>
              </w:rPr>
              <w:t>4</w:t>
            </w:r>
          </w:p>
        </w:tc>
        <w:tc>
          <w:tcPr>
            <w:tcW w:w="2477" w:type="dxa"/>
            <w:shd w:val="clear" w:color="auto" w:fill="auto"/>
            <w:noWrap/>
          </w:tcPr>
          <w:p w14:paraId="45BB6605"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St Monica Hospital</w:t>
            </w:r>
          </w:p>
        </w:tc>
        <w:tc>
          <w:tcPr>
            <w:tcW w:w="1269" w:type="dxa"/>
            <w:shd w:val="clear" w:color="auto" w:fill="auto"/>
            <w:noWrap/>
          </w:tcPr>
          <w:p w14:paraId="4145AD20"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290F8044"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Kisumu</w:t>
            </w:r>
          </w:p>
        </w:tc>
        <w:tc>
          <w:tcPr>
            <w:tcW w:w="1889" w:type="dxa"/>
            <w:shd w:val="clear" w:color="auto" w:fill="auto"/>
            <w:noWrap/>
          </w:tcPr>
          <w:p w14:paraId="52B869CC"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Kisumu East</w:t>
            </w:r>
          </w:p>
        </w:tc>
        <w:tc>
          <w:tcPr>
            <w:tcW w:w="1914" w:type="dxa"/>
            <w:shd w:val="clear" w:color="auto" w:fill="auto"/>
            <w:noWrap/>
          </w:tcPr>
          <w:p w14:paraId="07BFA0B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Kajulu</w:t>
            </w:r>
          </w:p>
        </w:tc>
      </w:tr>
      <w:tr w:rsidR="0039483D" w:rsidRPr="00EB11D3" w14:paraId="3D8176CB" w14:textId="77777777" w:rsidTr="007A43C6">
        <w:trPr>
          <w:trHeight w:val="300"/>
        </w:trPr>
        <w:tc>
          <w:tcPr>
            <w:tcW w:w="564" w:type="dxa"/>
            <w:shd w:val="clear" w:color="auto" w:fill="auto"/>
            <w:noWrap/>
          </w:tcPr>
          <w:p w14:paraId="33509FB5" w14:textId="77777777" w:rsidR="00DC0D7C" w:rsidRPr="00EB11D3" w:rsidRDefault="00212BDF">
            <w:pPr>
              <w:spacing w:after="0" w:line="240" w:lineRule="auto"/>
              <w:jc w:val="left"/>
              <w:rPr>
                <w:rFonts w:eastAsia="Calibri"/>
                <w:sz w:val="22"/>
              </w:rPr>
            </w:pPr>
            <w:r w:rsidRPr="00EB11D3">
              <w:rPr>
                <w:rFonts w:eastAsia="Calibri"/>
                <w:sz w:val="22"/>
              </w:rPr>
              <w:t>45</w:t>
            </w:r>
          </w:p>
        </w:tc>
        <w:tc>
          <w:tcPr>
            <w:tcW w:w="2477" w:type="dxa"/>
            <w:shd w:val="clear" w:color="auto" w:fill="auto"/>
            <w:noWrap/>
          </w:tcPr>
          <w:p w14:paraId="370BB2EE"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Kakuma Mission Hospital</w:t>
            </w:r>
          </w:p>
        </w:tc>
        <w:tc>
          <w:tcPr>
            <w:tcW w:w="1269" w:type="dxa"/>
            <w:shd w:val="clear" w:color="auto" w:fill="auto"/>
            <w:noWrap/>
          </w:tcPr>
          <w:p w14:paraId="56DC1593"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54347C5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Turkana</w:t>
            </w:r>
          </w:p>
        </w:tc>
        <w:tc>
          <w:tcPr>
            <w:tcW w:w="1889" w:type="dxa"/>
            <w:shd w:val="clear" w:color="auto" w:fill="auto"/>
            <w:noWrap/>
          </w:tcPr>
          <w:p w14:paraId="7C924069"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Turkana West</w:t>
            </w:r>
          </w:p>
        </w:tc>
        <w:tc>
          <w:tcPr>
            <w:tcW w:w="1914" w:type="dxa"/>
            <w:shd w:val="clear" w:color="auto" w:fill="auto"/>
            <w:noWrap/>
          </w:tcPr>
          <w:p w14:paraId="11BDE83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Kakuma </w:t>
            </w:r>
          </w:p>
        </w:tc>
      </w:tr>
      <w:tr w:rsidR="0039483D" w:rsidRPr="00EB11D3" w14:paraId="4BC518DB" w14:textId="77777777" w:rsidTr="007A43C6">
        <w:trPr>
          <w:trHeight w:val="300"/>
        </w:trPr>
        <w:tc>
          <w:tcPr>
            <w:tcW w:w="564" w:type="dxa"/>
            <w:shd w:val="clear" w:color="auto" w:fill="auto"/>
            <w:noWrap/>
          </w:tcPr>
          <w:p w14:paraId="2AB71F2A" w14:textId="77777777" w:rsidR="00DC0D7C" w:rsidRPr="00EB11D3" w:rsidRDefault="00212BDF">
            <w:pPr>
              <w:spacing w:after="0" w:line="240" w:lineRule="auto"/>
              <w:jc w:val="left"/>
              <w:rPr>
                <w:rFonts w:eastAsia="Calibri"/>
                <w:sz w:val="22"/>
              </w:rPr>
            </w:pPr>
            <w:r w:rsidRPr="00EB11D3">
              <w:rPr>
                <w:rFonts w:eastAsia="Calibri"/>
                <w:sz w:val="22"/>
              </w:rPr>
              <w:t>46</w:t>
            </w:r>
          </w:p>
        </w:tc>
        <w:tc>
          <w:tcPr>
            <w:tcW w:w="2477" w:type="dxa"/>
            <w:shd w:val="clear" w:color="auto" w:fill="auto"/>
            <w:noWrap/>
          </w:tcPr>
          <w:p w14:paraId="4E336ACB"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Kaplong Hospital</w:t>
            </w:r>
          </w:p>
        </w:tc>
        <w:tc>
          <w:tcPr>
            <w:tcW w:w="1269" w:type="dxa"/>
            <w:shd w:val="clear" w:color="auto" w:fill="auto"/>
            <w:noWrap/>
          </w:tcPr>
          <w:p w14:paraId="2594D41A"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5999A19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Bomet </w:t>
            </w:r>
          </w:p>
        </w:tc>
        <w:tc>
          <w:tcPr>
            <w:tcW w:w="1889" w:type="dxa"/>
            <w:shd w:val="clear" w:color="auto" w:fill="auto"/>
            <w:noWrap/>
          </w:tcPr>
          <w:p w14:paraId="75D8136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Sotik</w:t>
            </w:r>
          </w:p>
        </w:tc>
        <w:tc>
          <w:tcPr>
            <w:tcW w:w="1914" w:type="dxa"/>
            <w:shd w:val="clear" w:color="auto" w:fill="auto"/>
            <w:noWrap/>
          </w:tcPr>
          <w:p w14:paraId="7D6CA36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Chemagel</w:t>
            </w:r>
          </w:p>
        </w:tc>
      </w:tr>
      <w:tr w:rsidR="0039483D" w:rsidRPr="00EB11D3" w14:paraId="114CA718" w14:textId="77777777" w:rsidTr="007A43C6">
        <w:trPr>
          <w:trHeight w:val="251"/>
        </w:trPr>
        <w:tc>
          <w:tcPr>
            <w:tcW w:w="564" w:type="dxa"/>
            <w:shd w:val="clear" w:color="auto" w:fill="auto"/>
            <w:noWrap/>
          </w:tcPr>
          <w:p w14:paraId="63576831" w14:textId="77777777" w:rsidR="00DC0D7C" w:rsidRPr="00EB11D3" w:rsidRDefault="00212BDF">
            <w:pPr>
              <w:spacing w:after="0" w:line="240" w:lineRule="auto"/>
              <w:jc w:val="left"/>
              <w:rPr>
                <w:rFonts w:eastAsia="Calibri"/>
                <w:sz w:val="22"/>
              </w:rPr>
            </w:pPr>
            <w:r w:rsidRPr="00EB11D3">
              <w:rPr>
                <w:rFonts w:eastAsia="Calibri"/>
                <w:sz w:val="22"/>
              </w:rPr>
              <w:t>47</w:t>
            </w:r>
          </w:p>
        </w:tc>
        <w:tc>
          <w:tcPr>
            <w:tcW w:w="2477" w:type="dxa"/>
            <w:shd w:val="clear" w:color="auto" w:fill="auto"/>
            <w:noWrap/>
          </w:tcPr>
          <w:p w14:paraId="2B450974"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Plateau Hospital</w:t>
            </w:r>
          </w:p>
        </w:tc>
        <w:tc>
          <w:tcPr>
            <w:tcW w:w="1269" w:type="dxa"/>
            <w:shd w:val="clear" w:color="auto" w:fill="auto"/>
            <w:noWrap/>
          </w:tcPr>
          <w:p w14:paraId="12885EF7"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14AFE99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Uasin Gishu</w:t>
            </w:r>
          </w:p>
        </w:tc>
        <w:tc>
          <w:tcPr>
            <w:tcW w:w="1889" w:type="dxa"/>
            <w:shd w:val="clear" w:color="auto" w:fill="auto"/>
            <w:noWrap/>
          </w:tcPr>
          <w:p w14:paraId="3BA0569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Ainabkoi</w:t>
            </w:r>
          </w:p>
        </w:tc>
        <w:tc>
          <w:tcPr>
            <w:tcW w:w="1914" w:type="dxa"/>
            <w:shd w:val="clear" w:color="auto" w:fill="auto"/>
            <w:noWrap/>
          </w:tcPr>
          <w:p w14:paraId="11269C7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Kaptagat </w:t>
            </w:r>
          </w:p>
        </w:tc>
      </w:tr>
      <w:tr w:rsidR="0039483D" w:rsidRPr="00EB11D3" w14:paraId="464EB297" w14:textId="77777777" w:rsidTr="007A43C6">
        <w:trPr>
          <w:trHeight w:val="300"/>
        </w:trPr>
        <w:tc>
          <w:tcPr>
            <w:tcW w:w="564" w:type="dxa"/>
            <w:shd w:val="clear" w:color="auto" w:fill="auto"/>
            <w:noWrap/>
          </w:tcPr>
          <w:p w14:paraId="44B309DA" w14:textId="77777777" w:rsidR="00DC0D7C" w:rsidRPr="00EB11D3" w:rsidRDefault="00212BDF">
            <w:pPr>
              <w:spacing w:after="0" w:line="240" w:lineRule="auto"/>
              <w:jc w:val="left"/>
              <w:rPr>
                <w:rFonts w:eastAsia="Calibri"/>
                <w:sz w:val="22"/>
              </w:rPr>
            </w:pPr>
            <w:r w:rsidRPr="00EB11D3">
              <w:rPr>
                <w:rFonts w:eastAsia="Calibri"/>
                <w:sz w:val="22"/>
              </w:rPr>
              <w:t>48</w:t>
            </w:r>
          </w:p>
        </w:tc>
        <w:tc>
          <w:tcPr>
            <w:tcW w:w="2477" w:type="dxa"/>
            <w:shd w:val="clear" w:color="auto" w:fill="auto"/>
            <w:noWrap/>
          </w:tcPr>
          <w:p w14:paraId="238DCAA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St Joseph Hospital</w:t>
            </w:r>
          </w:p>
        </w:tc>
        <w:tc>
          <w:tcPr>
            <w:tcW w:w="1269" w:type="dxa"/>
            <w:shd w:val="clear" w:color="auto" w:fill="auto"/>
            <w:noWrap/>
          </w:tcPr>
          <w:p w14:paraId="11A38BE9"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4A3B221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Narok </w:t>
            </w:r>
          </w:p>
        </w:tc>
        <w:tc>
          <w:tcPr>
            <w:tcW w:w="1889" w:type="dxa"/>
            <w:shd w:val="clear" w:color="auto" w:fill="auto"/>
            <w:noWrap/>
          </w:tcPr>
          <w:p w14:paraId="5996B76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Transmara West</w:t>
            </w:r>
          </w:p>
        </w:tc>
        <w:tc>
          <w:tcPr>
            <w:tcW w:w="1914" w:type="dxa"/>
            <w:shd w:val="clear" w:color="auto" w:fill="auto"/>
            <w:noWrap/>
          </w:tcPr>
          <w:p w14:paraId="06069A0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Shankoe </w:t>
            </w:r>
          </w:p>
        </w:tc>
      </w:tr>
      <w:tr w:rsidR="0039483D" w:rsidRPr="00EB11D3" w14:paraId="7A2B9BF4" w14:textId="77777777" w:rsidTr="007A43C6">
        <w:trPr>
          <w:trHeight w:val="300"/>
        </w:trPr>
        <w:tc>
          <w:tcPr>
            <w:tcW w:w="564" w:type="dxa"/>
            <w:shd w:val="clear" w:color="auto" w:fill="auto"/>
            <w:noWrap/>
          </w:tcPr>
          <w:p w14:paraId="5426145C" w14:textId="77777777" w:rsidR="00DC0D7C" w:rsidRPr="00EB11D3" w:rsidRDefault="00212BDF">
            <w:pPr>
              <w:spacing w:after="0" w:line="240" w:lineRule="auto"/>
              <w:jc w:val="left"/>
              <w:rPr>
                <w:rFonts w:eastAsia="Calibri"/>
                <w:sz w:val="22"/>
              </w:rPr>
            </w:pPr>
            <w:r w:rsidRPr="00EB11D3">
              <w:rPr>
                <w:rFonts w:eastAsia="Calibri"/>
                <w:sz w:val="22"/>
              </w:rPr>
              <w:t>49</w:t>
            </w:r>
          </w:p>
        </w:tc>
        <w:tc>
          <w:tcPr>
            <w:tcW w:w="2477" w:type="dxa"/>
            <w:shd w:val="clear" w:color="auto" w:fill="auto"/>
            <w:noWrap/>
          </w:tcPr>
          <w:p w14:paraId="53E7EE87"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Immaculate Heart of Mary Hospital</w:t>
            </w:r>
          </w:p>
        </w:tc>
        <w:tc>
          <w:tcPr>
            <w:tcW w:w="1269" w:type="dxa"/>
            <w:shd w:val="clear" w:color="auto" w:fill="auto"/>
            <w:noWrap/>
          </w:tcPr>
          <w:p w14:paraId="03B69A79"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0F50B6E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Kiambu </w:t>
            </w:r>
          </w:p>
        </w:tc>
        <w:tc>
          <w:tcPr>
            <w:tcW w:w="1889" w:type="dxa"/>
            <w:shd w:val="clear" w:color="auto" w:fill="auto"/>
            <w:noWrap/>
          </w:tcPr>
          <w:p w14:paraId="26847B94"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Thika Town</w:t>
            </w:r>
          </w:p>
        </w:tc>
        <w:tc>
          <w:tcPr>
            <w:tcW w:w="1914" w:type="dxa"/>
            <w:shd w:val="clear" w:color="auto" w:fill="auto"/>
            <w:noWrap/>
          </w:tcPr>
          <w:p w14:paraId="4385AC3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Gatuanyaga</w:t>
            </w:r>
          </w:p>
        </w:tc>
      </w:tr>
      <w:tr w:rsidR="0039483D" w:rsidRPr="00EB11D3" w14:paraId="44487560" w14:textId="77777777" w:rsidTr="007A43C6">
        <w:trPr>
          <w:trHeight w:val="300"/>
        </w:trPr>
        <w:tc>
          <w:tcPr>
            <w:tcW w:w="564" w:type="dxa"/>
            <w:shd w:val="clear" w:color="auto" w:fill="auto"/>
            <w:noWrap/>
          </w:tcPr>
          <w:p w14:paraId="760ADCC5" w14:textId="77777777" w:rsidR="00DC0D7C" w:rsidRPr="00EB11D3" w:rsidRDefault="00212BDF">
            <w:pPr>
              <w:spacing w:after="0" w:line="240" w:lineRule="auto"/>
              <w:jc w:val="left"/>
              <w:rPr>
                <w:rFonts w:eastAsia="Calibri"/>
                <w:sz w:val="22"/>
              </w:rPr>
            </w:pPr>
            <w:r w:rsidRPr="00EB11D3">
              <w:rPr>
                <w:rFonts w:eastAsia="Calibri"/>
                <w:sz w:val="22"/>
                <w:lang w:val="zh-CN"/>
              </w:rPr>
              <w:t>5</w:t>
            </w:r>
            <w:r w:rsidRPr="00EB11D3">
              <w:rPr>
                <w:rFonts w:eastAsia="Calibri"/>
                <w:sz w:val="22"/>
              </w:rPr>
              <w:t>0</w:t>
            </w:r>
          </w:p>
        </w:tc>
        <w:tc>
          <w:tcPr>
            <w:tcW w:w="2477" w:type="dxa"/>
            <w:shd w:val="clear" w:color="auto" w:fill="auto"/>
            <w:noWrap/>
          </w:tcPr>
          <w:p w14:paraId="19C4587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Catholic Hospital Wamba</w:t>
            </w:r>
          </w:p>
        </w:tc>
        <w:tc>
          <w:tcPr>
            <w:tcW w:w="1269" w:type="dxa"/>
            <w:shd w:val="clear" w:color="auto" w:fill="auto"/>
            <w:noWrap/>
          </w:tcPr>
          <w:p w14:paraId="1C81D007"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3B16626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Samburu </w:t>
            </w:r>
          </w:p>
        </w:tc>
        <w:tc>
          <w:tcPr>
            <w:tcW w:w="1889" w:type="dxa"/>
            <w:shd w:val="clear" w:color="auto" w:fill="auto"/>
            <w:noWrap/>
          </w:tcPr>
          <w:p w14:paraId="64C8E1C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Samburu East</w:t>
            </w:r>
          </w:p>
        </w:tc>
        <w:tc>
          <w:tcPr>
            <w:tcW w:w="1914" w:type="dxa"/>
            <w:shd w:val="clear" w:color="auto" w:fill="auto"/>
            <w:noWrap/>
          </w:tcPr>
          <w:p w14:paraId="098B6904"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Wamba East </w:t>
            </w:r>
          </w:p>
        </w:tc>
      </w:tr>
      <w:tr w:rsidR="0039483D" w:rsidRPr="00EB11D3" w14:paraId="4F217448" w14:textId="77777777" w:rsidTr="007A43C6">
        <w:trPr>
          <w:trHeight w:val="300"/>
        </w:trPr>
        <w:tc>
          <w:tcPr>
            <w:tcW w:w="564" w:type="dxa"/>
            <w:shd w:val="clear" w:color="auto" w:fill="auto"/>
            <w:noWrap/>
          </w:tcPr>
          <w:p w14:paraId="2ACBC32F" w14:textId="77777777" w:rsidR="00DC0D7C" w:rsidRPr="00EB11D3" w:rsidRDefault="00212BDF">
            <w:pPr>
              <w:spacing w:after="0" w:line="240" w:lineRule="auto"/>
              <w:jc w:val="left"/>
              <w:rPr>
                <w:rFonts w:eastAsia="Calibri"/>
                <w:sz w:val="22"/>
              </w:rPr>
            </w:pPr>
            <w:r w:rsidRPr="00EB11D3">
              <w:rPr>
                <w:rFonts w:eastAsia="Calibri"/>
                <w:sz w:val="22"/>
                <w:lang w:val="zh-CN"/>
              </w:rPr>
              <w:t>5</w:t>
            </w:r>
            <w:r w:rsidRPr="00EB11D3">
              <w:rPr>
                <w:rFonts w:eastAsia="Calibri"/>
                <w:sz w:val="22"/>
              </w:rPr>
              <w:t>1</w:t>
            </w:r>
          </w:p>
        </w:tc>
        <w:tc>
          <w:tcPr>
            <w:tcW w:w="2477" w:type="dxa"/>
            <w:shd w:val="clear" w:color="auto" w:fill="auto"/>
            <w:noWrap/>
          </w:tcPr>
          <w:p w14:paraId="660BBDB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Kima Mission Hospital</w:t>
            </w:r>
          </w:p>
        </w:tc>
        <w:tc>
          <w:tcPr>
            <w:tcW w:w="1269" w:type="dxa"/>
            <w:shd w:val="clear" w:color="auto" w:fill="auto"/>
            <w:noWrap/>
          </w:tcPr>
          <w:p w14:paraId="6B79CE93"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3AF6C6FA"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Vihiga</w:t>
            </w:r>
          </w:p>
        </w:tc>
        <w:tc>
          <w:tcPr>
            <w:tcW w:w="1889" w:type="dxa"/>
            <w:shd w:val="clear" w:color="auto" w:fill="auto"/>
            <w:noWrap/>
          </w:tcPr>
          <w:p w14:paraId="283C3C1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Luanda</w:t>
            </w:r>
          </w:p>
        </w:tc>
        <w:tc>
          <w:tcPr>
            <w:tcW w:w="1914" w:type="dxa"/>
            <w:shd w:val="clear" w:color="auto" w:fill="auto"/>
            <w:noWrap/>
          </w:tcPr>
          <w:p w14:paraId="29DAEF77"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Emabungo </w:t>
            </w:r>
          </w:p>
        </w:tc>
      </w:tr>
      <w:tr w:rsidR="0039483D" w:rsidRPr="00EB11D3" w14:paraId="268F1D09" w14:textId="77777777" w:rsidTr="007A43C6">
        <w:trPr>
          <w:trHeight w:val="300"/>
        </w:trPr>
        <w:tc>
          <w:tcPr>
            <w:tcW w:w="564" w:type="dxa"/>
            <w:shd w:val="clear" w:color="auto" w:fill="auto"/>
            <w:noWrap/>
          </w:tcPr>
          <w:p w14:paraId="5176D602" w14:textId="77777777" w:rsidR="00DC0D7C" w:rsidRPr="00EB11D3" w:rsidRDefault="00212BDF">
            <w:pPr>
              <w:spacing w:after="0" w:line="240" w:lineRule="auto"/>
              <w:jc w:val="left"/>
              <w:rPr>
                <w:rFonts w:eastAsia="Calibri"/>
                <w:sz w:val="22"/>
              </w:rPr>
            </w:pPr>
            <w:r w:rsidRPr="00EB11D3">
              <w:rPr>
                <w:rFonts w:eastAsia="Calibri"/>
                <w:sz w:val="22"/>
                <w:lang w:val="zh-CN"/>
              </w:rPr>
              <w:t>5</w:t>
            </w:r>
            <w:r w:rsidRPr="00EB11D3">
              <w:rPr>
                <w:rFonts w:eastAsia="Calibri"/>
                <w:sz w:val="22"/>
              </w:rPr>
              <w:t>2</w:t>
            </w:r>
          </w:p>
        </w:tc>
        <w:tc>
          <w:tcPr>
            <w:tcW w:w="2477" w:type="dxa"/>
            <w:shd w:val="clear" w:color="auto" w:fill="auto"/>
            <w:noWrap/>
          </w:tcPr>
          <w:p w14:paraId="56FCDB2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Mukumu Hospital</w:t>
            </w:r>
          </w:p>
        </w:tc>
        <w:tc>
          <w:tcPr>
            <w:tcW w:w="1269" w:type="dxa"/>
            <w:shd w:val="clear" w:color="auto" w:fill="auto"/>
            <w:noWrap/>
          </w:tcPr>
          <w:p w14:paraId="3D6F30A5"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6DA9F17F"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Kakamega</w:t>
            </w:r>
          </w:p>
        </w:tc>
        <w:tc>
          <w:tcPr>
            <w:tcW w:w="1889" w:type="dxa"/>
            <w:shd w:val="clear" w:color="auto" w:fill="auto"/>
            <w:noWrap/>
          </w:tcPr>
          <w:p w14:paraId="2BA280E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Shinyalu</w:t>
            </w:r>
          </w:p>
        </w:tc>
        <w:tc>
          <w:tcPr>
            <w:tcW w:w="1914" w:type="dxa"/>
            <w:shd w:val="clear" w:color="auto" w:fill="auto"/>
            <w:noWrap/>
          </w:tcPr>
          <w:p w14:paraId="14373F9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Isukha South</w:t>
            </w:r>
          </w:p>
        </w:tc>
      </w:tr>
      <w:tr w:rsidR="0039483D" w:rsidRPr="00EB11D3" w14:paraId="12C4DA5F" w14:textId="77777777" w:rsidTr="007A43C6">
        <w:trPr>
          <w:trHeight w:val="300"/>
        </w:trPr>
        <w:tc>
          <w:tcPr>
            <w:tcW w:w="564" w:type="dxa"/>
            <w:shd w:val="clear" w:color="auto" w:fill="auto"/>
            <w:noWrap/>
          </w:tcPr>
          <w:p w14:paraId="5B5996F1" w14:textId="77777777" w:rsidR="00DC0D7C" w:rsidRPr="00EB11D3" w:rsidRDefault="00212BDF">
            <w:pPr>
              <w:spacing w:after="0" w:line="240" w:lineRule="auto"/>
              <w:jc w:val="left"/>
              <w:rPr>
                <w:rFonts w:eastAsia="Calibri"/>
                <w:sz w:val="22"/>
              </w:rPr>
            </w:pPr>
            <w:r w:rsidRPr="00EB11D3">
              <w:rPr>
                <w:rFonts w:eastAsia="Calibri"/>
                <w:sz w:val="22"/>
                <w:lang w:val="zh-CN"/>
              </w:rPr>
              <w:t>5</w:t>
            </w:r>
            <w:r w:rsidRPr="00EB11D3">
              <w:rPr>
                <w:rFonts w:eastAsia="Calibri"/>
                <w:sz w:val="22"/>
              </w:rPr>
              <w:t>3</w:t>
            </w:r>
          </w:p>
        </w:tc>
        <w:tc>
          <w:tcPr>
            <w:tcW w:w="2477" w:type="dxa"/>
            <w:shd w:val="clear" w:color="auto" w:fill="auto"/>
            <w:noWrap/>
          </w:tcPr>
          <w:p w14:paraId="17008FFE"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Holy Family Nangina Mission Hospital</w:t>
            </w:r>
          </w:p>
        </w:tc>
        <w:tc>
          <w:tcPr>
            <w:tcW w:w="1269" w:type="dxa"/>
            <w:shd w:val="clear" w:color="auto" w:fill="auto"/>
            <w:noWrap/>
          </w:tcPr>
          <w:p w14:paraId="0BA0C118"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311C639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Busia </w:t>
            </w:r>
          </w:p>
        </w:tc>
        <w:tc>
          <w:tcPr>
            <w:tcW w:w="1889" w:type="dxa"/>
            <w:shd w:val="clear" w:color="auto" w:fill="auto"/>
            <w:noWrap/>
          </w:tcPr>
          <w:p w14:paraId="2924DE89"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Samia</w:t>
            </w:r>
          </w:p>
        </w:tc>
        <w:tc>
          <w:tcPr>
            <w:tcW w:w="1914" w:type="dxa"/>
            <w:shd w:val="clear" w:color="auto" w:fill="auto"/>
            <w:noWrap/>
          </w:tcPr>
          <w:p w14:paraId="067A095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Nangina </w:t>
            </w:r>
          </w:p>
        </w:tc>
      </w:tr>
      <w:tr w:rsidR="0039483D" w:rsidRPr="00EB11D3" w14:paraId="1F103CC7" w14:textId="77777777" w:rsidTr="007A43C6">
        <w:trPr>
          <w:trHeight w:val="300"/>
        </w:trPr>
        <w:tc>
          <w:tcPr>
            <w:tcW w:w="564" w:type="dxa"/>
            <w:shd w:val="clear" w:color="auto" w:fill="auto"/>
            <w:noWrap/>
          </w:tcPr>
          <w:p w14:paraId="24FA35D8" w14:textId="77777777" w:rsidR="00DC0D7C" w:rsidRPr="00EB11D3" w:rsidRDefault="00212BDF">
            <w:pPr>
              <w:spacing w:after="0" w:line="240" w:lineRule="auto"/>
              <w:jc w:val="left"/>
              <w:rPr>
                <w:rFonts w:eastAsia="Calibri"/>
                <w:sz w:val="22"/>
              </w:rPr>
            </w:pPr>
            <w:r w:rsidRPr="00EB11D3">
              <w:rPr>
                <w:rFonts w:eastAsia="Calibri"/>
                <w:sz w:val="22"/>
                <w:lang w:val="zh-CN"/>
              </w:rPr>
              <w:t>5</w:t>
            </w:r>
            <w:r w:rsidRPr="00EB11D3">
              <w:rPr>
                <w:rFonts w:eastAsia="Calibri"/>
                <w:sz w:val="22"/>
              </w:rPr>
              <w:t>4</w:t>
            </w:r>
          </w:p>
        </w:tc>
        <w:tc>
          <w:tcPr>
            <w:tcW w:w="2477" w:type="dxa"/>
            <w:shd w:val="clear" w:color="auto" w:fill="auto"/>
            <w:noWrap/>
          </w:tcPr>
          <w:p w14:paraId="2DF0765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St Damiano Mission Hospital</w:t>
            </w:r>
          </w:p>
        </w:tc>
        <w:tc>
          <w:tcPr>
            <w:tcW w:w="1269" w:type="dxa"/>
            <w:shd w:val="clear" w:color="auto" w:fill="auto"/>
            <w:noWrap/>
          </w:tcPr>
          <w:p w14:paraId="7CF7A28A"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4323934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Bungoma</w:t>
            </w:r>
          </w:p>
        </w:tc>
        <w:tc>
          <w:tcPr>
            <w:tcW w:w="1889" w:type="dxa"/>
            <w:shd w:val="clear" w:color="auto" w:fill="auto"/>
            <w:noWrap/>
          </w:tcPr>
          <w:p w14:paraId="46D5CA1B"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Khanduyi</w:t>
            </w:r>
          </w:p>
        </w:tc>
        <w:tc>
          <w:tcPr>
            <w:tcW w:w="1914" w:type="dxa"/>
            <w:shd w:val="clear" w:color="auto" w:fill="auto"/>
            <w:noWrap/>
          </w:tcPr>
          <w:p w14:paraId="12B75A4F"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Khalaba </w:t>
            </w:r>
          </w:p>
        </w:tc>
      </w:tr>
      <w:tr w:rsidR="0039483D" w:rsidRPr="00EB11D3" w14:paraId="7B1AD15F" w14:textId="77777777" w:rsidTr="007A43C6">
        <w:trPr>
          <w:trHeight w:val="300"/>
        </w:trPr>
        <w:tc>
          <w:tcPr>
            <w:tcW w:w="564" w:type="dxa"/>
            <w:shd w:val="clear" w:color="auto" w:fill="auto"/>
            <w:noWrap/>
          </w:tcPr>
          <w:p w14:paraId="4CF85AFC" w14:textId="77777777" w:rsidR="00DC0D7C" w:rsidRPr="00EB11D3" w:rsidRDefault="00212BDF">
            <w:pPr>
              <w:spacing w:after="0" w:line="240" w:lineRule="auto"/>
              <w:jc w:val="left"/>
              <w:rPr>
                <w:rFonts w:eastAsia="Calibri"/>
                <w:sz w:val="22"/>
              </w:rPr>
            </w:pPr>
            <w:r w:rsidRPr="00EB11D3">
              <w:rPr>
                <w:rFonts w:eastAsia="Calibri"/>
                <w:sz w:val="22"/>
              </w:rPr>
              <w:t>55</w:t>
            </w:r>
          </w:p>
        </w:tc>
        <w:tc>
          <w:tcPr>
            <w:tcW w:w="2477" w:type="dxa"/>
            <w:shd w:val="clear" w:color="auto" w:fill="auto"/>
            <w:noWrap/>
          </w:tcPr>
          <w:p w14:paraId="6EC75454"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St. Scholastica Uzima Hospital</w:t>
            </w:r>
          </w:p>
        </w:tc>
        <w:tc>
          <w:tcPr>
            <w:tcW w:w="1269" w:type="dxa"/>
            <w:shd w:val="clear" w:color="auto" w:fill="auto"/>
            <w:noWrap/>
          </w:tcPr>
          <w:p w14:paraId="6FFB1219"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0DF24564"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Nairobi </w:t>
            </w:r>
          </w:p>
        </w:tc>
        <w:tc>
          <w:tcPr>
            <w:tcW w:w="1889" w:type="dxa"/>
            <w:shd w:val="clear" w:color="auto" w:fill="auto"/>
            <w:noWrap/>
          </w:tcPr>
          <w:p w14:paraId="225CCDFE"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Ruaraka</w:t>
            </w:r>
          </w:p>
        </w:tc>
        <w:tc>
          <w:tcPr>
            <w:tcW w:w="1914" w:type="dxa"/>
            <w:shd w:val="clear" w:color="auto" w:fill="auto"/>
            <w:noWrap/>
          </w:tcPr>
          <w:p w14:paraId="5D5759BF"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Utalii </w:t>
            </w:r>
          </w:p>
        </w:tc>
      </w:tr>
      <w:tr w:rsidR="0039483D" w:rsidRPr="00EB11D3" w14:paraId="5E9FC6D3" w14:textId="77777777" w:rsidTr="007A43C6">
        <w:trPr>
          <w:trHeight w:val="300"/>
        </w:trPr>
        <w:tc>
          <w:tcPr>
            <w:tcW w:w="564" w:type="dxa"/>
            <w:shd w:val="clear" w:color="auto" w:fill="auto"/>
            <w:noWrap/>
          </w:tcPr>
          <w:p w14:paraId="4EDF134F" w14:textId="77777777" w:rsidR="00DC0D7C" w:rsidRPr="00EB11D3" w:rsidRDefault="00212BDF">
            <w:pPr>
              <w:spacing w:after="0" w:line="240" w:lineRule="auto"/>
              <w:jc w:val="left"/>
              <w:rPr>
                <w:rFonts w:eastAsia="Calibri"/>
                <w:sz w:val="22"/>
              </w:rPr>
            </w:pPr>
            <w:r w:rsidRPr="00EB11D3">
              <w:rPr>
                <w:rFonts w:eastAsia="Calibri"/>
                <w:sz w:val="22"/>
              </w:rPr>
              <w:t>56</w:t>
            </w:r>
          </w:p>
        </w:tc>
        <w:tc>
          <w:tcPr>
            <w:tcW w:w="2477" w:type="dxa"/>
            <w:shd w:val="clear" w:color="auto" w:fill="auto"/>
            <w:noWrap/>
          </w:tcPr>
          <w:p w14:paraId="5EF4A9D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Asumbi Mission Hospital</w:t>
            </w:r>
          </w:p>
        </w:tc>
        <w:tc>
          <w:tcPr>
            <w:tcW w:w="1269" w:type="dxa"/>
            <w:shd w:val="clear" w:color="auto" w:fill="auto"/>
            <w:noWrap/>
          </w:tcPr>
          <w:p w14:paraId="6B23BB3F"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54D3578C"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Homa Bay</w:t>
            </w:r>
          </w:p>
        </w:tc>
        <w:tc>
          <w:tcPr>
            <w:tcW w:w="1889" w:type="dxa"/>
            <w:shd w:val="clear" w:color="auto" w:fill="auto"/>
            <w:noWrap/>
          </w:tcPr>
          <w:p w14:paraId="4AD272D8"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Rangwe</w:t>
            </w:r>
          </w:p>
        </w:tc>
        <w:tc>
          <w:tcPr>
            <w:tcW w:w="1914" w:type="dxa"/>
            <w:shd w:val="clear" w:color="auto" w:fill="auto"/>
            <w:noWrap/>
          </w:tcPr>
          <w:p w14:paraId="068CB245"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East Gem</w:t>
            </w:r>
          </w:p>
        </w:tc>
      </w:tr>
      <w:tr w:rsidR="0039483D" w:rsidRPr="00EB11D3" w14:paraId="67781CEF" w14:textId="77777777" w:rsidTr="007A43C6">
        <w:trPr>
          <w:trHeight w:val="300"/>
        </w:trPr>
        <w:tc>
          <w:tcPr>
            <w:tcW w:w="564" w:type="dxa"/>
            <w:shd w:val="clear" w:color="auto" w:fill="auto"/>
            <w:noWrap/>
          </w:tcPr>
          <w:p w14:paraId="329B6A9D" w14:textId="77777777" w:rsidR="00DC0D7C" w:rsidRPr="00EB11D3" w:rsidRDefault="00212BDF">
            <w:pPr>
              <w:spacing w:after="0" w:line="240" w:lineRule="auto"/>
              <w:jc w:val="left"/>
              <w:rPr>
                <w:rFonts w:eastAsia="Calibri"/>
                <w:sz w:val="22"/>
              </w:rPr>
            </w:pPr>
            <w:r w:rsidRPr="00EB11D3">
              <w:rPr>
                <w:rFonts w:eastAsia="Calibri"/>
                <w:sz w:val="22"/>
              </w:rPr>
              <w:t>57</w:t>
            </w:r>
          </w:p>
        </w:tc>
        <w:tc>
          <w:tcPr>
            <w:tcW w:w="2477" w:type="dxa"/>
            <w:shd w:val="clear" w:color="auto" w:fill="auto"/>
            <w:noWrap/>
          </w:tcPr>
          <w:p w14:paraId="0F55DA5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St Antony Catholic Hospital</w:t>
            </w:r>
          </w:p>
        </w:tc>
        <w:tc>
          <w:tcPr>
            <w:tcW w:w="1269" w:type="dxa"/>
            <w:shd w:val="clear" w:color="auto" w:fill="auto"/>
            <w:noWrap/>
          </w:tcPr>
          <w:p w14:paraId="6BA5CBCA"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5287E73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Nakuru</w:t>
            </w:r>
          </w:p>
        </w:tc>
        <w:tc>
          <w:tcPr>
            <w:tcW w:w="1889" w:type="dxa"/>
            <w:shd w:val="clear" w:color="auto" w:fill="auto"/>
            <w:noWrap/>
          </w:tcPr>
          <w:p w14:paraId="42BDF2EF"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Nakuru North</w:t>
            </w:r>
          </w:p>
        </w:tc>
        <w:tc>
          <w:tcPr>
            <w:tcW w:w="1914" w:type="dxa"/>
            <w:shd w:val="clear" w:color="auto" w:fill="auto"/>
            <w:noWrap/>
          </w:tcPr>
          <w:p w14:paraId="0C1D9F6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Kiamaina</w:t>
            </w:r>
          </w:p>
        </w:tc>
      </w:tr>
      <w:tr w:rsidR="0039483D" w:rsidRPr="00EB11D3" w14:paraId="515C5A30" w14:textId="77777777" w:rsidTr="007A43C6">
        <w:trPr>
          <w:trHeight w:val="300"/>
        </w:trPr>
        <w:tc>
          <w:tcPr>
            <w:tcW w:w="564" w:type="dxa"/>
            <w:shd w:val="clear" w:color="auto" w:fill="auto"/>
            <w:noWrap/>
          </w:tcPr>
          <w:p w14:paraId="05FAEEB8" w14:textId="77777777" w:rsidR="00DC0D7C" w:rsidRPr="00EB11D3" w:rsidRDefault="00212BDF">
            <w:pPr>
              <w:spacing w:after="0" w:line="240" w:lineRule="auto"/>
              <w:jc w:val="left"/>
              <w:rPr>
                <w:rFonts w:eastAsia="Calibri"/>
                <w:sz w:val="22"/>
              </w:rPr>
            </w:pPr>
            <w:r w:rsidRPr="00EB11D3">
              <w:rPr>
                <w:rFonts w:eastAsia="Calibri"/>
                <w:sz w:val="22"/>
              </w:rPr>
              <w:t>58</w:t>
            </w:r>
          </w:p>
        </w:tc>
        <w:tc>
          <w:tcPr>
            <w:tcW w:w="2477" w:type="dxa"/>
            <w:shd w:val="clear" w:color="auto" w:fill="auto"/>
            <w:noWrap/>
          </w:tcPr>
          <w:p w14:paraId="06A4BFEB"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St Mary's Hospital (Mumias)</w:t>
            </w:r>
          </w:p>
        </w:tc>
        <w:tc>
          <w:tcPr>
            <w:tcW w:w="1269" w:type="dxa"/>
            <w:shd w:val="clear" w:color="auto" w:fill="auto"/>
            <w:noWrap/>
          </w:tcPr>
          <w:p w14:paraId="79636140"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7496CE0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Kakamega</w:t>
            </w:r>
          </w:p>
        </w:tc>
        <w:tc>
          <w:tcPr>
            <w:tcW w:w="1889" w:type="dxa"/>
            <w:shd w:val="clear" w:color="auto" w:fill="auto"/>
            <w:noWrap/>
          </w:tcPr>
          <w:p w14:paraId="586A030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Mumias West</w:t>
            </w:r>
          </w:p>
        </w:tc>
        <w:tc>
          <w:tcPr>
            <w:tcW w:w="1914" w:type="dxa"/>
            <w:shd w:val="clear" w:color="auto" w:fill="auto"/>
            <w:noWrap/>
          </w:tcPr>
          <w:p w14:paraId="76024D4C"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Mumias Central </w:t>
            </w:r>
          </w:p>
        </w:tc>
      </w:tr>
      <w:tr w:rsidR="0039483D" w:rsidRPr="00EB11D3" w14:paraId="7C035628" w14:textId="77777777" w:rsidTr="007A43C6">
        <w:trPr>
          <w:trHeight w:val="300"/>
        </w:trPr>
        <w:tc>
          <w:tcPr>
            <w:tcW w:w="564" w:type="dxa"/>
            <w:shd w:val="clear" w:color="auto" w:fill="auto"/>
            <w:noWrap/>
          </w:tcPr>
          <w:p w14:paraId="5EFCCDC2" w14:textId="77777777" w:rsidR="00DC0D7C" w:rsidRPr="00EB11D3" w:rsidRDefault="00212BDF">
            <w:pPr>
              <w:spacing w:after="0" w:line="240" w:lineRule="auto"/>
              <w:jc w:val="left"/>
              <w:rPr>
                <w:rFonts w:eastAsia="Calibri"/>
                <w:sz w:val="22"/>
              </w:rPr>
            </w:pPr>
            <w:r w:rsidRPr="00EB11D3">
              <w:rPr>
                <w:rFonts w:eastAsia="Calibri"/>
                <w:sz w:val="22"/>
              </w:rPr>
              <w:t>59</w:t>
            </w:r>
          </w:p>
        </w:tc>
        <w:tc>
          <w:tcPr>
            <w:tcW w:w="2477" w:type="dxa"/>
            <w:shd w:val="clear" w:color="auto" w:fill="auto"/>
            <w:noWrap/>
          </w:tcPr>
          <w:p w14:paraId="236E8204"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Nyabondo Mission Hospital</w:t>
            </w:r>
          </w:p>
        </w:tc>
        <w:tc>
          <w:tcPr>
            <w:tcW w:w="1269" w:type="dxa"/>
            <w:shd w:val="clear" w:color="auto" w:fill="auto"/>
            <w:noWrap/>
          </w:tcPr>
          <w:p w14:paraId="617E9490"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50165298"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Kisumu</w:t>
            </w:r>
          </w:p>
        </w:tc>
        <w:tc>
          <w:tcPr>
            <w:tcW w:w="1889" w:type="dxa"/>
            <w:shd w:val="clear" w:color="auto" w:fill="auto"/>
            <w:noWrap/>
          </w:tcPr>
          <w:p w14:paraId="036B7BD9"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Nyakach</w:t>
            </w:r>
          </w:p>
        </w:tc>
        <w:tc>
          <w:tcPr>
            <w:tcW w:w="1914" w:type="dxa"/>
            <w:shd w:val="clear" w:color="auto" w:fill="auto"/>
            <w:noWrap/>
          </w:tcPr>
          <w:p w14:paraId="4D7AD327"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South East Nyakach </w:t>
            </w:r>
          </w:p>
        </w:tc>
      </w:tr>
      <w:tr w:rsidR="0039483D" w:rsidRPr="00EB11D3" w14:paraId="3D5A6D7E" w14:textId="77777777" w:rsidTr="007A43C6">
        <w:trPr>
          <w:trHeight w:val="300"/>
        </w:trPr>
        <w:tc>
          <w:tcPr>
            <w:tcW w:w="564" w:type="dxa"/>
            <w:shd w:val="clear" w:color="auto" w:fill="auto"/>
            <w:noWrap/>
          </w:tcPr>
          <w:p w14:paraId="270D3851" w14:textId="77777777" w:rsidR="00DC0D7C" w:rsidRPr="00EB11D3" w:rsidRDefault="00212BDF">
            <w:pPr>
              <w:spacing w:after="0" w:line="240" w:lineRule="auto"/>
              <w:jc w:val="left"/>
              <w:rPr>
                <w:rFonts w:eastAsia="Calibri"/>
                <w:sz w:val="22"/>
              </w:rPr>
            </w:pPr>
            <w:r w:rsidRPr="00EB11D3">
              <w:rPr>
                <w:rFonts w:eastAsia="Calibri"/>
                <w:sz w:val="22"/>
                <w:lang w:val="zh-CN"/>
              </w:rPr>
              <w:t>6</w:t>
            </w:r>
            <w:r w:rsidRPr="00EB11D3">
              <w:rPr>
                <w:rFonts w:eastAsia="Calibri"/>
                <w:sz w:val="22"/>
              </w:rPr>
              <w:t>0</w:t>
            </w:r>
          </w:p>
        </w:tc>
        <w:tc>
          <w:tcPr>
            <w:tcW w:w="2477" w:type="dxa"/>
            <w:shd w:val="clear" w:color="auto" w:fill="auto"/>
            <w:noWrap/>
          </w:tcPr>
          <w:p w14:paraId="41363199"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Lugulu Friends Mission Hospital</w:t>
            </w:r>
          </w:p>
        </w:tc>
        <w:tc>
          <w:tcPr>
            <w:tcW w:w="1269" w:type="dxa"/>
            <w:shd w:val="clear" w:color="auto" w:fill="auto"/>
            <w:noWrap/>
          </w:tcPr>
          <w:p w14:paraId="5719A0EF"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0D3FCF5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Bungoma</w:t>
            </w:r>
          </w:p>
        </w:tc>
        <w:tc>
          <w:tcPr>
            <w:tcW w:w="1889" w:type="dxa"/>
            <w:shd w:val="clear" w:color="auto" w:fill="auto"/>
            <w:noWrap/>
          </w:tcPr>
          <w:p w14:paraId="6400E569"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Webuye West</w:t>
            </w:r>
          </w:p>
        </w:tc>
        <w:tc>
          <w:tcPr>
            <w:tcW w:w="1914" w:type="dxa"/>
            <w:shd w:val="clear" w:color="auto" w:fill="auto"/>
            <w:noWrap/>
          </w:tcPr>
          <w:p w14:paraId="116DD39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Misikhu </w:t>
            </w:r>
          </w:p>
        </w:tc>
      </w:tr>
      <w:tr w:rsidR="0039483D" w:rsidRPr="00EB11D3" w14:paraId="35D8A726" w14:textId="77777777" w:rsidTr="007A43C6">
        <w:trPr>
          <w:trHeight w:val="300"/>
        </w:trPr>
        <w:tc>
          <w:tcPr>
            <w:tcW w:w="564" w:type="dxa"/>
            <w:shd w:val="clear" w:color="auto" w:fill="auto"/>
            <w:noWrap/>
          </w:tcPr>
          <w:p w14:paraId="5127525D" w14:textId="77777777" w:rsidR="00DC0D7C" w:rsidRPr="00EB11D3" w:rsidRDefault="00212BDF">
            <w:pPr>
              <w:spacing w:after="0" w:line="240" w:lineRule="auto"/>
              <w:jc w:val="left"/>
              <w:rPr>
                <w:rFonts w:eastAsia="Calibri"/>
                <w:sz w:val="22"/>
              </w:rPr>
            </w:pPr>
            <w:r w:rsidRPr="00EB11D3">
              <w:rPr>
                <w:rFonts w:eastAsia="Calibri"/>
                <w:sz w:val="22"/>
                <w:lang w:val="zh-CN"/>
              </w:rPr>
              <w:t>6</w:t>
            </w:r>
            <w:r w:rsidRPr="00EB11D3">
              <w:rPr>
                <w:rFonts w:eastAsia="Calibri"/>
                <w:sz w:val="22"/>
              </w:rPr>
              <w:t>1</w:t>
            </w:r>
          </w:p>
        </w:tc>
        <w:tc>
          <w:tcPr>
            <w:tcW w:w="2477" w:type="dxa"/>
            <w:shd w:val="clear" w:color="auto" w:fill="auto"/>
            <w:noWrap/>
          </w:tcPr>
          <w:p w14:paraId="6C8FA09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St Joseph Mission Hospital</w:t>
            </w:r>
          </w:p>
        </w:tc>
        <w:tc>
          <w:tcPr>
            <w:tcW w:w="1269" w:type="dxa"/>
            <w:shd w:val="clear" w:color="auto" w:fill="auto"/>
            <w:noWrap/>
          </w:tcPr>
          <w:p w14:paraId="5D107C6C"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5C8224A8"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Migori </w:t>
            </w:r>
          </w:p>
        </w:tc>
        <w:tc>
          <w:tcPr>
            <w:tcW w:w="1889" w:type="dxa"/>
            <w:shd w:val="clear" w:color="auto" w:fill="auto"/>
            <w:noWrap/>
          </w:tcPr>
          <w:p w14:paraId="07C530AE"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Suna East</w:t>
            </w:r>
          </w:p>
        </w:tc>
        <w:tc>
          <w:tcPr>
            <w:tcW w:w="1914" w:type="dxa"/>
            <w:shd w:val="clear" w:color="auto" w:fill="auto"/>
            <w:noWrap/>
          </w:tcPr>
          <w:p w14:paraId="32E9290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Suna Central </w:t>
            </w:r>
          </w:p>
        </w:tc>
      </w:tr>
      <w:tr w:rsidR="0039483D" w:rsidRPr="00EB11D3" w14:paraId="0A29DC74" w14:textId="77777777" w:rsidTr="007A43C6">
        <w:trPr>
          <w:trHeight w:val="300"/>
        </w:trPr>
        <w:tc>
          <w:tcPr>
            <w:tcW w:w="564" w:type="dxa"/>
            <w:shd w:val="clear" w:color="auto" w:fill="auto"/>
            <w:noWrap/>
          </w:tcPr>
          <w:p w14:paraId="539124F6" w14:textId="77777777" w:rsidR="00DC0D7C" w:rsidRPr="00EB11D3" w:rsidRDefault="00212BDF">
            <w:pPr>
              <w:spacing w:after="0" w:line="240" w:lineRule="auto"/>
              <w:jc w:val="left"/>
              <w:rPr>
                <w:rFonts w:eastAsia="Calibri"/>
                <w:sz w:val="22"/>
              </w:rPr>
            </w:pPr>
            <w:r w:rsidRPr="00EB11D3">
              <w:rPr>
                <w:rFonts w:eastAsia="Calibri"/>
                <w:sz w:val="22"/>
                <w:lang w:val="zh-CN"/>
              </w:rPr>
              <w:t>6</w:t>
            </w:r>
            <w:r w:rsidRPr="00EB11D3">
              <w:rPr>
                <w:rFonts w:eastAsia="Calibri"/>
                <w:sz w:val="22"/>
              </w:rPr>
              <w:t>2</w:t>
            </w:r>
          </w:p>
        </w:tc>
        <w:tc>
          <w:tcPr>
            <w:tcW w:w="2477" w:type="dxa"/>
            <w:shd w:val="clear" w:color="auto" w:fill="auto"/>
            <w:noWrap/>
          </w:tcPr>
          <w:p w14:paraId="0243C82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Tabaka Mission Hospital</w:t>
            </w:r>
          </w:p>
        </w:tc>
        <w:tc>
          <w:tcPr>
            <w:tcW w:w="1269" w:type="dxa"/>
            <w:shd w:val="clear" w:color="auto" w:fill="auto"/>
            <w:noWrap/>
          </w:tcPr>
          <w:p w14:paraId="7D61A73A"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265944F9"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Kisii </w:t>
            </w:r>
          </w:p>
        </w:tc>
        <w:tc>
          <w:tcPr>
            <w:tcW w:w="1889" w:type="dxa"/>
            <w:shd w:val="clear" w:color="auto" w:fill="auto"/>
            <w:noWrap/>
          </w:tcPr>
          <w:p w14:paraId="49B7DA4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South Mugirango</w:t>
            </w:r>
          </w:p>
        </w:tc>
        <w:tc>
          <w:tcPr>
            <w:tcW w:w="1914" w:type="dxa"/>
            <w:shd w:val="clear" w:color="auto" w:fill="auto"/>
            <w:noWrap/>
          </w:tcPr>
          <w:p w14:paraId="2D3CA244"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Tabaka </w:t>
            </w:r>
          </w:p>
        </w:tc>
      </w:tr>
      <w:tr w:rsidR="0039483D" w:rsidRPr="00EB11D3" w14:paraId="6C01BC28" w14:textId="77777777" w:rsidTr="007A43C6">
        <w:trPr>
          <w:trHeight w:val="300"/>
        </w:trPr>
        <w:tc>
          <w:tcPr>
            <w:tcW w:w="564" w:type="dxa"/>
            <w:shd w:val="clear" w:color="auto" w:fill="auto"/>
            <w:noWrap/>
          </w:tcPr>
          <w:p w14:paraId="02FB0824" w14:textId="77777777" w:rsidR="00DC0D7C" w:rsidRPr="00EB11D3" w:rsidRDefault="00212BDF">
            <w:pPr>
              <w:spacing w:after="0" w:line="240" w:lineRule="auto"/>
              <w:jc w:val="left"/>
              <w:rPr>
                <w:rFonts w:eastAsia="Calibri"/>
                <w:sz w:val="22"/>
              </w:rPr>
            </w:pPr>
            <w:r w:rsidRPr="00EB11D3">
              <w:rPr>
                <w:rFonts w:eastAsia="Calibri"/>
                <w:sz w:val="22"/>
                <w:lang w:val="zh-CN"/>
              </w:rPr>
              <w:t>6</w:t>
            </w:r>
            <w:r w:rsidRPr="00EB11D3">
              <w:rPr>
                <w:rFonts w:eastAsia="Calibri"/>
                <w:sz w:val="22"/>
              </w:rPr>
              <w:t>3</w:t>
            </w:r>
          </w:p>
        </w:tc>
        <w:tc>
          <w:tcPr>
            <w:tcW w:w="2477" w:type="dxa"/>
            <w:shd w:val="clear" w:color="auto" w:fill="auto"/>
            <w:noWrap/>
          </w:tcPr>
          <w:p w14:paraId="7373F0D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Ahmadiya Hospital</w:t>
            </w:r>
          </w:p>
        </w:tc>
        <w:tc>
          <w:tcPr>
            <w:tcW w:w="1269" w:type="dxa"/>
            <w:shd w:val="clear" w:color="auto" w:fill="auto"/>
            <w:noWrap/>
          </w:tcPr>
          <w:p w14:paraId="41EA746B"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5A810C4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Kakamega</w:t>
            </w:r>
          </w:p>
        </w:tc>
        <w:tc>
          <w:tcPr>
            <w:tcW w:w="1889" w:type="dxa"/>
            <w:shd w:val="clear" w:color="auto" w:fill="auto"/>
            <w:noWrap/>
          </w:tcPr>
          <w:p w14:paraId="23BFFC39"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Mumias East</w:t>
            </w:r>
          </w:p>
        </w:tc>
        <w:tc>
          <w:tcPr>
            <w:tcW w:w="1914" w:type="dxa"/>
            <w:shd w:val="clear" w:color="auto" w:fill="auto"/>
            <w:noWrap/>
          </w:tcPr>
          <w:p w14:paraId="173BCBAF"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Lusheya/Lubin</w:t>
            </w:r>
          </w:p>
        </w:tc>
      </w:tr>
      <w:tr w:rsidR="0039483D" w:rsidRPr="00EB11D3" w14:paraId="168234BD" w14:textId="77777777" w:rsidTr="007A43C6">
        <w:trPr>
          <w:trHeight w:val="300"/>
        </w:trPr>
        <w:tc>
          <w:tcPr>
            <w:tcW w:w="564" w:type="dxa"/>
            <w:shd w:val="clear" w:color="auto" w:fill="auto"/>
            <w:noWrap/>
          </w:tcPr>
          <w:p w14:paraId="199C4498" w14:textId="77777777" w:rsidR="00DC0D7C" w:rsidRPr="00EB11D3" w:rsidRDefault="00212BDF">
            <w:pPr>
              <w:spacing w:after="0" w:line="240" w:lineRule="auto"/>
              <w:jc w:val="left"/>
              <w:rPr>
                <w:rFonts w:eastAsia="Calibri"/>
                <w:sz w:val="22"/>
              </w:rPr>
            </w:pPr>
            <w:r w:rsidRPr="00EB11D3">
              <w:rPr>
                <w:rFonts w:eastAsia="Calibri"/>
                <w:sz w:val="22"/>
                <w:lang w:val="zh-CN"/>
              </w:rPr>
              <w:t>6</w:t>
            </w:r>
            <w:r w:rsidRPr="00EB11D3">
              <w:rPr>
                <w:rFonts w:eastAsia="Calibri"/>
                <w:sz w:val="22"/>
              </w:rPr>
              <w:t>4</w:t>
            </w:r>
          </w:p>
        </w:tc>
        <w:tc>
          <w:tcPr>
            <w:tcW w:w="2477" w:type="dxa"/>
            <w:shd w:val="clear" w:color="auto" w:fill="auto"/>
            <w:noWrap/>
          </w:tcPr>
          <w:p w14:paraId="1B002AA7"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Sikh Hospital</w:t>
            </w:r>
          </w:p>
        </w:tc>
        <w:tc>
          <w:tcPr>
            <w:tcW w:w="1269" w:type="dxa"/>
            <w:shd w:val="clear" w:color="auto" w:fill="auto"/>
            <w:noWrap/>
          </w:tcPr>
          <w:p w14:paraId="7070FB51"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39664A89"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Makueni</w:t>
            </w:r>
          </w:p>
        </w:tc>
        <w:tc>
          <w:tcPr>
            <w:tcW w:w="1889" w:type="dxa"/>
            <w:shd w:val="clear" w:color="auto" w:fill="auto"/>
            <w:noWrap/>
          </w:tcPr>
          <w:p w14:paraId="24464A34"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Kibwezi West</w:t>
            </w:r>
          </w:p>
        </w:tc>
        <w:tc>
          <w:tcPr>
            <w:tcW w:w="1914" w:type="dxa"/>
            <w:shd w:val="clear" w:color="auto" w:fill="auto"/>
            <w:noWrap/>
          </w:tcPr>
          <w:p w14:paraId="37997DF7"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Makindu </w:t>
            </w:r>
          </w:p>
        </w:tc>
      </w:tr>
      <w:tr w:rsidR="0039483D" w:rsidRPr="00EB11D3" w14:paraId="371AAB93" w14:textId="77777777" w:rsidTr="007A43C6">
        <w:trPr>
          <w:trHeight w:val="300"/>
        </w:trPr>
        <w:tc>
          <w:tcPr>
            <w:tcW w:w="564" w:type="dxa"/>
            <w:shd w:val="clear" w:color="auto" w:fill="auto"/>
            <w:noWrap/>
          </w:tcPr>
          <w:p w14:paraId="1C2DFF7E" w14:textId="77777777" w:rsidR="00DC0D7C" w:rsidRPr="00EB11D3" w:rsidRDefault="00212BDF">
            <w:pPr>
              <w:spacing w:after="0" w:line="240" w:lineRule="auto"/>
              <w:jc w:val="left"/>
              <w:rPr>
                <w:rFonts w:eastAsia="Calibri"/>
                <w:sz w:val="22"/>
              </w:rPr>
            </w:pPr>
            <w:r w:rsidRPr="00EB11D3">
              <w:rPr>
                <w:rFonts w:eastAsia="Calibri"/>
                <w:sz w:val="22"/>
              </w:rPr>
              <w:t>65</w:t>
            </w:r>
          </w:p>
        </w:tc>
        <w:tc>
          <w:tcPr>
            <w:tcW w:w="2477" w:type="dxa"/>
            <w:shd w:val="clear" w:color="auto" w:fill="auto"/>
            <w:noWrap/>
          </w:tcPr>
          <w:p w14:paraId="2BAF4D88"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Muthale Mission Hospital</w:t>
            </w:r>
          </w:p>
        </w:tc>
        <w:tc>
          <w:tcPr>
            <w:tcW w:w="1269" w:type="dxa"/>
            <w:shd w:val="clear" w:color="auto" w:fill="auto"/>
            <w:noWrap/>
          </w:tcPr>
          <w:p w14:paraId="7F3E1C31"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0CCC701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Kitui </w:t>
            </w:r>
          </w:p>
        </w:tc>
        <w:tc>
          <w:tcPr>
            <w:tcW w:w="1889" w:type="dxa"/>
            <w:shd w:val="clear" w:color="auto" w:fill="auto"/>
            <w:noWrap/>
          </w:tcPr>
          <w:p w14:paraId="19F44E8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Kitui West</w:t>
            </w:r>
          </w:p>
        </w:tc>
        <w:tc>
          <w:tcPr>
            <w:tcW w:w="1914" w:type="dxa"/>
            <w:shd w:val="clear" w:color="auto" w:fill="auto"/>
            <w:noWrap/>
          </w:tcPr>
          <w:p w14:paraId="4C74C79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Mutongoni </w:t>
            </w:r>
          </w:p>
        </w:tc>
      </w:tr>
      <w:tr w:rsidR="0039483D" w:rsidRPr="00EB11D3" w14:paraId="3DEBB317" w14:textId="77777777" w:rsidTr="007A43C6">
        <w:trPr>
          <w:trHeight w:val="300"/>
        </w:trPr>
        <w:tc>
          <w:tcPr>
            <w:tcW w:w="564" w:type="dxa"/>
            <w:shd w:val="clear" w:color="auto" w:fill="auto"/>
            <w:noWrap/>
          </w:tcPr>
          <w:p w14:paraId="15350291" w14:textId="77777777" w:rsidR="00DC0D7C" w:rsidRPr="00EB11D3" w:rsidRDefault="00212BDF">
            <w:pPr>
              <w:spacing w:after="0" w:line="240" w:lineRule="auto"/>
              <w:jc w:val="left"/>
              <w:rPr>
                <w:rFonts w:eastAsia="Calibri"/>
                <w:sz w:val="22"/>
              </w:rPr>
            </w:pPr>
            <w:r w:rsidRPr="00EB11D3">
              <w:rPr>
                <w:rFonts w:eastAsia="Calibri"/>
                <w:sz w:val="22"/>
              </w:rPr>
              <w:t>66</w:t>
            </w:r>
          </w:p>
        </w:tc>
        <w:tc>
          <w:tcPr>
            <w:tcW w:w="2477" w:type="dxa"/>
            <w:shd w:val="clear" w:color="auto" w:fill="auto"/>
            <w:noWrap/>
          </w:tcPr>
          <w:p w14:paraId="2DB0383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Mercy Hospital</w:t>
            </w:r>
          </w:p>
        </w:tc>
        <w:tc>
          <w:tcPr>
            <w:tcW w:w="1269" w:type="dxa"/>
            <w:shd w:val="clear" w:color="auto" w:fill="auto"/>
            <w:noWrap/>
          </w:tcPr>
          <w:p w14:paraId="5C68562A"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29BE6319"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Baringo </w:t>
            </w:r>
          </w:p>
        </w:tc>
        <w:tc>
          <w:tcPr>
            <w:tcW w:w="1889" w:type="dxa"/>
            <w:shd w:val="clear" w:color="auto" w:fill="auto"/>
            <w:noWrap/>
          </w:tcPr>
          <w:p w14:paraId="07EC87C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Koibatek</w:t>
            </w:r>
          </w:p>
        </w:tc>
        <w:tc>
          <w:tcPr>
            <w:tcW w:w="1914" w:type="dxa"/>
            <w:shd w:val="clear" w:color="auto" w:fill="auto"/>
            <w:noWrap/>
          </w:tcPr>
          <w:p w14:paraId="1820D08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Ravine </w:t>
            </w:r>
          </w:p>
        </w:tc>
      </w:tr>
      <w:tr w:rsidR="0039483D" w:rsidRPr="00EB11D3" w14:paraId="69A2AB17" w14:textId="77777777" w:rsidTr="007A43C6">
        <w:trPr>
          <w:trHeight w:val="300"/>
        </w:trPr>
        <w:tc>
          <w:tcPr>
            <w:tcW w:w="564" w:type="dxa"/>
            <w:shd w:val="clear" w:color="auto" w:fill="auto"/>
            <w:noWrap/>
          </w:tcPr>
          <w:p w14:paraId="1642451C" w14:textId="77777777" w:rsidR="00DC0D7C" w:rsidRPr="00EB11D3" w:rsidRDefault="00212BDF">
            <w:pPr>
              <w:spacing w:after="0" w:line="240" w:lineRule="auto"/>
              <w:jc w:val="left"/>
              <w:rPr>
                <w:rFonts w:eastAsia="Calibri"/>
                <w:sz w:val="22"/>
              </w:rPr>
            </w:pPr>
            <w:r w:rsidRPr="00EB11D3">
              <w:rPr>
                <w:rFonts w:eastAsia="Calibri"/>
                <w:sz w:val="22"/>
              </w:rPr>
              <w:t>67</w:t>
            </w:r>
          </w:p>
        </w:tc>
        <w:tc>
          <w:tcPr>
            <w:tcW w:w="2477" w:type="dxa"/>
            <w:shd w:val="clear" w:color="auto" w:fill="auto"/>
            <w:noWrap/>
          </w:tcPr>
          <w:p w14:paraId="07620F27"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ICFM Dreamland Mission Hospital</w:t>
            </w:r>
          </w:p>
        </w:tc>
        <w:tc>
          <w:tcPr>
            <w:tcW w:w="1269" w:type="dxa"/>
            <w:shd w:val="clear" w:color="auto" w:fill="auto"/>
            <w:noWrap/>
          </w:tcPr>
          <w:p w14:paraId="57EC05B0"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14A3057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Bungoma</w:t>
            </w:r>
          </w:p>
        </w:tc>
        <w:tc>
          <w:tcPr>
            <w:tcW w:w="1889" w:type="dxa"/>
            <w:shd w:val="clear" w:color="auto" w:fill="auto"/>
            <w:noWrap/>
          </w:tcPr>
          <w:p w14:paraId="4D152F25"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Kimilili</w:t>
            </w:r>
          </w:p>
        </w:tc>
        <w:tc>
          <w:tcPr>
            <w:tcW w:w="1914" w:type="dxa"/>
            <w:shd w:val="clear" w:color="auto" w:fill="auto"/>
            <w:noWrap/>
          </w:tcPr>
          <w:p w14:paraId="40BE8FE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Kibingei</w:t>
            </w:r>
          </w:p>
        </w:tc>
      </w:tr>
      <w:tr w:rsidR="0039483D" w:rsidRPr="00EB11D3" w14:paraId="5EA7EC05" w14:textId="77777777" w:rsidTr="007A43C6">
        <w:trPr>
          <w:trHeight w:val="300"/>
        </w:trPr>
        <w:tc>
          <w:tcPr>
            <w:tcW w:w="564" w:type="dxa"/>
            <w:shd w:val="clear" w:color="auto" w:fill="auto"/>
            <w:noWrap/>
          </w:tcPr>
          <w:p w14:paraId="208A70F7" w14:textId="77777777" w:rsidR="00DC0D7C" w:rsidRPr="00EB11D3" w:rsidRDefault="00212BDF">
            <w:pPr>
              <w:spacing w:after="0" w:line="240" w:lineRule="auto"/>
              <w:jc w:val="left"/>
              <w:rPr>
                <w:rFonts w:eastAsia="Calibri"/>
                <w:sz w:val="22"/>
              </w:rPr>
            </w:pPr>
            <w:r w:rsidRPr="00EB11D3">
              <w:rPr>
                <w:rFonts w:eastAsia="Calibri"/>
                <w:sz w:val="22"/>
              </w:rPr>
              <w:t>68</w:t>
            </w:r>
          </w:p>
        </w:tc>
        <w:tc>
          <w:tcPr>
            <w:tcW w:w="2477" w:type="dxa"/>
            <w:shd w:val="clear" w:color="auto" w:fill="auto"/>
            <w:noWrap/>
          </w:tcPr>
          <w:p w14:paraId="7A1C84E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St Mary's Hospital</w:t>
            </w:r>
          </w:p>
        </w:tc>
        <w:tc>
          <w:tcPr>
            <w:tcW w:w="1269" w:type="dxa"/>
            <w:shd w:val="clear" w:color="auto" w:fill="auto"/>
            <w:noWrap/>
          </w:tcPr>
          <w:p w14:paraId="33227AB7"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4CCA833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Nakuru </w:t>
            </w:r>
          </w:p>
        </w:tc>
        <w:tc>
          <w:tcPr>
            <w:tcW w:w="1889" w:type="dxa"/>
            <w:shd w:val="clear" w:color="auto" w:fill="auto"/>
            <w:noWrap/>
          </w:tcPr>
          <w:p w14:paraId="1017B7EF"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Gilgil </w:t>
            </w:r>
          </w:p>
        </w:tc>
        <w:tc>
          <w:tcPr>
            <w:tcW w:w="1914" w:type="dxa"/>
            <w:shd w:val="clear" w:color="auto" w:fill="auto"/>
            <w:noWrap/>
          </w:tcPr>
          <w:p w14:paraId="78F80A1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Gilgil </w:t>
            </w:r>
          </w:p>
        </w:tc>
      </w:tr>
      <w:tr w:rsidR="0039483D" w:rsidRPr="00EB11D3" w14:paraId="0A718EBE" w14:textId="77777777" w:rsidTr="007A43C6">
        <w:trPr>
          <w:trHeight w:val="300"/>
        </w:trPr>
        <w:tc>
          <w:tcPr>
            <w:tcW w:w="564" w:type="dxa"/>
            <w:shd w:val="clear" w:color="auto" w:fill="auto"/>
            <w:noWrap/>
          </w:tcPr>
          <w:p w14:paraId="6B166996" w14:textId="77777777" w:rsidR="00DC0D7C" w:rsidRPr="00EB11D3" w:rsidRDefault="00212BDF">
            <w:pPr>
              <w:spacing w:after="0" w:line="240" w:lineRule="auto"/>
              <w:jc w:val="left"/>
              <w:rPr>
                <w:rFonts w:eastAsia="Calibri"/>
                <w:sz w:val="22"/>
              </w:rPr>
            </w:pPr>
            <w:r w:rsidRPr="00EB11D3">
              <w:rPr>
                <w:rFonts w:eastAsia="Calibri"/>
                <w:sz w:val="22"/>
              </w:rPr>
              <w:t>69</w:t>
            </w:r>
          </w:p>
        </w:tc>
        <w:tc>
          <w:tcPr>
            <w:tcW w:w="2477" w:type="dxa"/>
            <w:shd w:val="clear" w:color="auto" w:fill="auto"/>
            <w:noWrap/>
          </w:tcPr>
          <w:p w14:paraId="55DD7D4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Mwihila Mission Hospital</w:t>
            </w:r>
          </w:p>
        </w:tc>
        <w:tc>
          <w:tcPr>
            <w:tcW w:w="1269" w:type="dxa"/>
            <w:shd w:val="clear" w:color="auto" w:fill="auto"/>
            <w:noWrap/>
          </w:tcPr>
          <w:p w14:paraId="2D1CDCB3"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474B7DD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Kakamega</w:t>
            </w:r>
          </w:p>
        </w:tc>
        <w:tc>
          <w:tcPr>
            <w:tcW w:w="1889" w:type="dxa"/>
            <w:shd w:val="clear" w:color="auto" w:fill="auto"/>
            <w:noWrap/>
          </w:tcPr>
          <w:p w14:paraId="36269D0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Khwisero</w:t>
            </w:r>
          </w:p>
        </w:tc>
        <w:tc>
          <w:tcPr>
            <w:tcW w:w="1914" w:type="dxa"/>
            <w:shd w:val="clear" w:color="auto" w:fill="auto"/>
            <w:noWrap/>
          </w:tcPr>
          <w:p w14:paraId="026226A7"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Kisa North</w:t>
            </w:r>
          </w:p>
        </w:tc>
      </w:tr>
      <w:tr w:rsidR="0039483D" w:rsidRPr="00EB11D3" w14:paraId="124057D4" w14:textId="77777777" w:rsidTr="007A43C6">
        <w:trPr>
          <w:trHeight w:val="300"/>
        </w:trPr>
        <w:tc>
          <w:tcPr>
            <w:tcW w:w="564" w:type="dxa"/>
            <w:shd w:val="clear" w:color="auto" w:fill="auto"/>
            <w:noWrap/>
          </w:tcPr>
          <w:p w14:paraId="417DB9BC" w14:textId="77777777" w:rsidR="00DC0D7C" w:rsidRPr="00EB11D3" w:rsidRDefault="00212BDF">
            <w:pPr>
              <w:spacing w:after="0" w:line="240" w:lineRule="auto"/>
              <w:jc w:val="left"/>
              <w:rPr>
                <w:rFonts w:eastAsia="Calibri"/>
                <w:sz w:val="22"/>
              </w:rPr>
            </w:pPr>
            <w:r w:rsidRPr="00EB11D3">
              <w:rPr>
                <w:rFonts w:eastAsia="Calibri"/>
                <w:sz w:val="22"/>
                <w:lang w:val="zh-CN"/>
              </w:rPr>
              <w:t>7</w:t>
            </w:r>
            <w:r w:rsidRPr="00EB11D3">
              <w:rPr>
                <w:rFonts w:eastAsia="Calibri"/>
                <w:sz w:val="22"/>
              </w:rPr>
              <w:t>0</w:t>
            </w:r>
          </w:p>
        </w:tc>
        <w:tc>
          <w:tcPr>
            <w:tcW w:w="2477" w:type="dxa"/>
            <w:shd w:val="clear" w:color="auto" w:fill="auto"/>
            <w:noWrap/>
          </w:tcPr>
          <w:p w14:paraId="0F4B404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St Mulumba Mission Hospital</w:t>
            </w:r>
          </w:p>
        </w:tc>
        <w:tc>
          <w:tcPr>
            <w:tcW w:w="1269" w:type="dxa"/>
            <w:shd w:val="clear" w:color="auto" w:fill="auto"/>
            <w:noWrap/>
          </w:tcPr>
          <w:p w14:paraId="54EE7A73"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5BDC7B9F"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Kiambu </w:t>
            </w:r>
          </w:p>
        </w:tc>
        <w:tc>
          <w:tcPr>
            <w:tcW w:w="1889" w:type="dxa"/>
            <w:shd w:val="clear" w:color="auto" w:fill="auto"/>
            <w:noWrap/>
          </w:tcPr>
          <w:p w14:paraId="347F678B"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Thika Town</w:t>
            </w:r>
          </w:p>
        </w:tc>
        <w:tc>
          <w:tcPr>
            <w:tcW w:w="1914" w:type="dxa"/>
            <w:shd w:val="clear" w:color="auto" w:fill="auto"/>
            <w:noWrap/>
          </w:tcPr>
          <w:p w14:paraId="16B3FEB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Kamenu </w:t>
            </w:r>
          </w:p>
        </w:tc>
      </w:tr>
      <w:tr w:rsidR="0039483D" w:rsidRPr="00EB11D3" w14:paraId="1AC29949" w14:textId="77777777" w:rsidTr="007A43C6">
        <w:trPr>
          <w:trHeight w:val="300"/>
        </w:trPr>
        <w:tc>
          <w:tcPr>
            <w:tcW w:w="564" w:type="dxa"/>
            <w:shd w:val="clear" w:color="auto" w:fill="auto"/>
            <w:noWrap/>
          </w:tcPr>
          <w:p w14:paraId="49761836" w14:textId="77777777" w:rsidR="00DC0D7C" w:rsidRPr="00EB11D3" w:rsidRDefault="00212BDF">
            <w:pPr>
              <w:spacing w:after="0" w:line="240" w:lineRule="auto"/>
              <w:jc w:val="left"/>
              <w:rPr>
                <w:rFonts w:eastAsia="Calibri"/>
                <w:sz w:val="22"/>
              </w:rPr>
            </w:pPr>
            <w:r w:rsidRPr="00EB11D3">
              <w:rPr>
                <w:rFonts w:eastAsia="Calibri"/>
                <w:sz w:val="22"/>
                <w:lang w:val="zh-CN"/>
              </w:rPr>
              <w:t>7</w:t>
            </w:r>
            <w:r w:rsidRPr="00EB11D3">
              <w:rPr>
                <w:rFonts w:eastAsia="Calibri"/>
                <w:sz w:val="22"/>
              </w:rPr>
              <w:t>1</w:t>
            </w:r>
          </w:p>
        </w:tc>
        <w:tc>
          <w:tcPr>
            <w:tcW w:w="2477" w:type="dxa"/>
            <w:shd w:val="clear" w:color="auto" w:fill="auto"/>
            <w:noWrap/>
          </w:tcPr>
          <w:p w14:paraId="528BB24C"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Mary Help of The Sick Hospital</w:t>
            </w:r>
          </w:p>
        </w:tc>
        <w:tc>
          <w:tcPr>
            <w:tcW w:w="1269" w:type="dxa"/>
            <w:shd w:val="clear" w:color="auto" w:fill="auto"/>
            <w:noWrap/>
          </w:tcPr>
          <w:p w14:paraId="5443EFEA"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4D57C9D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Kiambu</w:t>
            </w:r>
          </w:p>
        </w:tc>
        <w:tc>
          <w:tcPr>
            <w:tcW w:w="1889" w:type="dxa"/>
            <w:shd w:val="clear" w:color="auto" w:fill="auto"/>
            <w:noWrap/>
          </w:tcPr>
          <w:p w14:paraId="3BE6EAD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Thika Town</w:t>
            </w:r>
          </w:p>
        </w:tc>
        <w:tc>
          <w:tcPr>
            <w:tcW w:w="1914" w:type="dxa"/>
            <w:shd w:val="clear" w:color="auto" w:fill="auto"/>
            <w:noWrap/>
          </w:tcPr>
          <w:p w14:paraId="24CAFFC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Hospital</w:t>
            </w:r>
          </w:p>
        </w:tc>
      </w:tr>
      <w:tr w:rsidR="0039483D" w:rsidRPr="00EB11D3" w14:paraId="36C4C4D3" w14:textId="77777777" w:rsidTr="007A43C6">
        <w:trPr>
          <w:trHeight w:val="300"/>
        </w:trPr>
        <w:tc>
          <w:tcPr>
            <w:tcW w:w="564" w:type="dxa"/>
            <w:shd w:val="clear" w:color="auto" w:fill="auto"/>
            <w:noWrap/>
          </w:tcPr>
          <w:p w14:paraId="367F36E6" w14:textId="77777777" w:rsidR="00DC0D7C" w:rsidRPr="00EB11D3" w:rsidRDefault="00212BDF">
            <w:pPr>
              <w:spacing w:after="0" w:line="240" w:lineRule="auto"/>
              <w:jc w:val="left"/>
              <w:rPr>
                <w:rFonts w:eastAsia="Calibri"/>
                <w:sz w:val="22"/>
              </w:rPr>
            </w:pPr>
            <w:r w:rsidRPr="00EB11D3">
              <w:rPr>
                <w:rFonts w:eastAsia="Calibri"/>
                <w:sz w:val="22"/>
                <w:lang w:val="zh-CN"/>
              </w:rPr>
              <w:t>7</w:t>
            </w:r>
            <w:r w:rsidRPr="00EB11D3">
              <w:rPr>
                <w:rFonts w:eastAsia="Calibri"/>
                <w:sz w:val="22"/>
              </w:rPr>
              <w:t>2</w:t>
            </w:r>
          </w:p>
        </w:tc>
        <w:tc>
          <w:tcPr>
            <w:tcW w:w="2477" w:type="dxa"/>
            <w:shd w:val="clear" w:color="auto" w:fill="auto"/>
            <w:noWrap/>
          </w:tcPr>
          <w:p w14:paraId="4969E3EE"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Kiminini Cottage Mission Hospital</w:t>
            </w:r>
          </w:p>
        </w:tc>
        <w:tc>
          <w:tcPr>
            <w:tcW w:w="1269" w:type="dxa"/>
            <w:shd w:val="clear" w:color="auto" w:fill="auto"/>
            <w:noWrap/>
          </w:tcPr>
          <w:p w14:paraId="7E59FB26"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5D04CAE7"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Trans Nzoia </w:t>
            </w:r>
          </w:p>
        </w:tc>
        <w:tc>
          <w:tcPr>
            <w:tcW w:w="1889" w:type="dxa"/>
            <w:shd w:val="clear" w:color="auto" w:fill="auto"/>
            <w:noWrap/>
          </w:tcPr>
          <w:p w14:paraId="1BE8E18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Kiminini </w:t>
            </w:r>
          </w:p>
        </w:tc>
        <w:tc>
          <w:tcPr>
            <w:tcW w:w="1914" w:type="dxa"/>
            <w:shd w:val="clear" w:color="auto" w:fill="auto"/>
            <w:noWrap/>
          </w:tcPr>
          <w:p w14:paraId="5021ABB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Kiminini </w:t>
            </w:r>
          </w:p>
        </w:tc>
      </w:tr>
      <w:tr w:rsidR="0039483D" w:rsidRPr="00EB11D3" w14:paraId="003CE9ED" w14:textId="77777777" w:rsidTr="007A43C6">
        <w:trPr>
          <w:trHeight w:val="300"/>
        </w:trPr>
        <w:tc>
          <w:tcPr>
            <w:tcW w:w="564" w:type="dxa"/>
            <w:shd w:val="clear" w:color="auto" w:fill="auto"/>
            <w:noWrap/>
          </w:tcPr>
          <w:p w14:paraId="35BFA17A" w14:textId="77777777" w:rsidR="00DC0D7C" w:rsidRPr="00EB11D3" w:rsidRDefault="00212BDF">
            <w:pPr>
              <w:spacing w:after="0" w:line="240" w:lineRule="auto"/>
              <w:jc w:val="left"/>
              <w:rPr>
                <w:rFonts w:eastAsia="Calibri"/>
                <w:sz w:val="22"/>
              </w:rPr>
            </w:pPr>
            <w:r w:rsidRPr="00EB11D3">
              <w:rPr>
                <w:rFonts w:eastAsia="Calibri"/>
                <w:sz w:val="22"/>
                <w:lang w:val="zh-CN"/>
              </w:rPr>
              <w:t>7</w:t>
            </w:r>
            <w:r w:rsidRPr="00EB11D3">
              <w:rPr>
                <w:rFonts w:eastAsia="Calibri"/>
                <w:sz w:val="22"/>
              </w:rPr>
              <w:t>3</w:t>
            </w:r>
          </w:p>
        </w:tc>
        <w:tc>
          <w:tcPr>
            <w:tcW w:w="2477" w:type="dxa"/>
            <w:shd w:val="clear" w:color="auto" w:fill="auto"/>
            <w:noWrap/>
          </w:tcPr>
          <w:p w14:paraId="13A2A27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Gaichanjiru Hospital</w:t>
            </w:r>
          </w:p>
        </w:tc>
        <w:tc>
          <w:tcPr>
            <w:tcW w:w="1269" w:type="dxa"/>
            <w:shd w:val="clear" w:color="auto" w:fill="auto"/>
            <w:noWrap/>
          </w:tcPr>
          <w:p w14:paraId="613F33E0"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50B5FC4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Muranga </w:t>
            </w:r>
          </w:p>
        </w:tc>
        <w:tc>
          <w:tcPr>
            <w:tcW w:w="1889" w:type="dxa"/>
            <w:shd w:val="clear" w:color="auto" w:fill="auto"/>
            <w:noWrap/>
          </w:tcPr>
          <w:p w14:paraId="709B285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Kandara</w:t>
            </w:r>
          </w:p>
        </w:tc>
        <w:tc>
          <w:tcPr>
            <w:tcW w:w="1914" w:type="dxa"/>
            <w:shd w:val="clear" w:color="auto" w:fill="auto"/>
            <w:noWrap/>
          </w:tcPr>
          <w:p w14:paraId="0B66C269"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Gaichanjiru </w:t>
            </w:r>
          </w:p>
        </w:tc>
      </w:tr>
      <w:tr w:rsidR="002F13F2" w:rsidRPr="00EB11D3" w14:paraId="04AE0CE2" w14:textId="77777777" w:rsidTr="007A43C6">
        <w:trPr>
          <w:trHeight w:val="300"/>
        </w:trPr>
        <w:tc>
          <w:tcPr>
            <w:tcW w:w="564" w:type="dxa"/>
            <w:shd w:val="clear" w:color="auto" w:fill="auto"/>
            <w:noWrap/>
          </w:tcPr>
          <w:p w14:paraId="3BE6C9EB" w14:textId="77777777" w:rsidR="002F13F2" w:rsidRPr="00EB11D3" w:rsidRDefault="002F13F2" w:rsidP="002F13F2">
            <w:pPr>
              <w:spacing w:after="0" w:line="240" w:lineRule="auto"/>
              <w:jc w:val="left"/>
              <w:rPr>
                <w:rFonts w:eastAsia="Calibri"/>
                <w:sz w:val="22"/>
              </w:rPr>
            </w:pPr>
            <w:r w:rsidRPr="00EB11D3">
              <w:rPr>
                <w:rFonts w:eastAsia="Calibri"/>
                <w:sz w:val="22"/>
                <w:lang w:val="zh-CN"/>
              </w:rPr>
              <w:t>7</w:t>
            </w:r>
            <w:r w:rsidRPr="00EB11D3">
              <w:rPr>
                <w:rFonts w:eastAsia="Calibri"/>
                <w:sz w:val="22"/>
              </w:rPr>
              <w:t>4</w:t>
            </w:r>
          </w:p>
        </w:tc>
        <w:tc>
          <w:tcPr>
            <w:tcW w:w="2477" w:type="dxa"/>
            <w:shd w:val="clear" w:color="auto" w:fill="auto"/>
            <w:noWrap/>
          </w:tcPr>
          <w:p w14:paraId="1FDD0548" w14:textId="77777777" w:rsidR="002F13F2" w:rsidRPr="00EB11D3" w:rsidRDefault="002F13F2" w:rsidP="002F13F2">
            <w:pPr>
              <w:spacing w:after="0" w:line="240" w:lineRule="auto"/>
              <w:jc w:val="left"/>
              <w:rPr>
                <w:rFonts w:eastAsia="Calibri"/>
                <w:sz w:val="22"/>
                <w:lang w:val="zh-CN"/>
              </w:rPr>
            </w:pPr>
            <w:r w:rsidRPr="00EB11D3">
              <w:t xml:space="preserve">Infant Jesus  Kalimoni  Mission Hospital </w:t>
            </w:r>
          </w:p>
        </w:tc>
        <w:tc>
          <w:tcPr>
            <w:tcW w:w="1269" w:type="dxa"/>
            <w:shd w:val="clear" w:color="auto" w:fill="auto"/>
            <w:noWrap/>
          </w:tcPr>
          <w:p w14:paraId="7D2052E6" w14:textId="77777777" w:rsidR="002F13F2" w:rsidRPr="00EB11D3" w:rsidRDefault="002F13F2" w:rsidP="002F13F2">
            <w:pPr>
              <w:spacing w:after="0" w:line="240" w:lineRule="auto"/>
              <w:jc w:val="center"/>
              <w:rPr>
                <w:rFonts w:eastAsia="Calibri"/>
                <w:sz w:val="22"/>
                <w:lang w:val="zh-CN"/>
              </w:rPr>
            </w:pPr>
            <w:r w:rsidRPr="00EB11D3">
              <w:t>4</w:t>
            </w:r>
          </w:p>
        </w:tc>
        <w:tc>
          <w:tcPr>
            <w:tcW w:w="1237" w:type="dxa"/>
            <w:shd w:val="clear" w:color="auto" w:fill="auto"/>
            <w:noWrap/>
          </w:tcPr>
          <w:p w14:paraId="5C194727" w14:textId="77777777" w:rsidR="002F13F2" w:rsidRPr="00EB11D3" w:rsidRDefault="002F13F2" w:rsidP="002F13F2">
            <w:pPr>
              <w:spacing w:after="0" w:line="240" w:lineRule="auto"/>
              <w:jc w:val="left"/>
              <w:rPr>
                <w:rFonts w:eastAsia="Calibri"/>
                <w:sz w:val="22"/>
                <w:lang w:val="zh-CN"/>
              </w:rPr>
            </w:pPr>
            <w:r w:rsidRPr="00EB11D3">
              <w:t>Kiambu</w:t>
            </w:r>
          </w:p>
        </w:tc>
        <w:tc>
          <w:tcPr>
            <w:tcW w:w="1889" w:type="dxa"/>
            <w:shd w:val="clear" w:color="auto" w:fill="auto"/>
            <w:noWrap/>
          </w:tcPr>
          <w:p w14:paraId="50CB77E9" w14:textId="77777777" w:rsidR="002F13F2" w:rsidRPr="00EB11D3" w:rsidRDefault="002F13F2" w:rsidP="002F13F2">
            <w:pPr>
              <w:spacing w:after="0" w:line="240" w:lineRule="auto"/>
              <w:jc w:val="left"/>
              <w:rPr>
                <w:rFonts w:eastAsia="Calibri"/>
                <w:sz w:val="22"/>
                <w:lang w:val="zh-CN"/>
              </w:rPr>
            </w:pPr>
            <w:r w:rsidRPr="00EB11D3">
              <w:t>Juja</w:t>
            </w:r>
          </w:p>
        </w:tc>
        <w:tc>
          <w:tcPr>
            <w:tcW w:w="1914" w:type="dxa"/>
            <w:shd w:val="clear" w:color="auto" w:fill="auto"/>
            <w:noWrap/>
          </w:tcPr>
          <w:p w14:paraId="28C41032" w14:textId="77777777" w:rsidR="002F13F2" w:rsidRPr="00EB11D3" w:rsidRDefault="002F13F2" w:rsidP="002F13F2">
            <w:pPr>
              <w:spacing w:after="0" w:line="240" w:lineRule="auto"/>
              <w:jc w:val="left"/>
              <w:rPr>
                <w:rFonts w:eastAsia="Calibri"/>
                <w:sz w:val="22"/>
                <w:lang w:val="zh-CN"/>
              </w:rPr>
            </w:pPr>
            <w:r w:rsidRPr="00EB11D3">
              <w:t>Wietethye</w:t>
            </w:r>
          </w:p>
        </w:tc>
      </w:tr>
      <w:tr w:rsidR="0039483D" w:rsidRPr="00EB11D3" w14:paraId="7FE73E52" w14:textId="77777777" w:rsidTr="007A43C6">
        <w:trPr>
          <w:trHeight w:val="300"/>
        </w:trPr>
        <w:tc>
          <w:tcPr>
            <w:tcW w:w="564" w:type="dxa"/>
            <w:shd w:val="clear" w:color="auto" w:fill="auto"/>
            <w:noWrap/>
          </w:tcPr>
          <w:p w14:paraId="2430EEDA" w14:textId="77777777" w:rsidR="00DC0D7C" w:rsidRPr="00EB11D3" w:rsidRDefault="00212BDF">
            <w:pPr>
              <w:spacing w:after="0" w:line="240" w:lineRule="auto"/>
              <w:jc w:val="left"/>
              <w:rPr>
                <w:rFonts w:eastAsia="Calibri"/>
                <w:sz w:val="22"/>
              </w:rPr>
            </w:pPr>
            <w:r w:rsidRPr="00EB11D3">
              <w:rPr>
                <w:rFonts w:eastAsia="Calibri"/>
                <w:sz w:val="22"/>
              </w:rPr>
              <w:t>75</w:t>
            </w:r>
          </w:p>
        </w:tc>
        <w:tc>
          <w:tcPr>
            <w:tcW w:w="2477" w:type="dxa"/>
            <w:shd w:val="clear" w:color="auto" w:fill="auto"/>
            <w:noWrap/>
          </w:tcPr>
          <w:p w14:paraId="0447F63E"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Mary Immaculate Hospital (Nyeri North)</w:t>
            </w:r>
          </w:p>
        </w:tc>
        <w:tc>
          <w:tcPr>
            <w:tcW w:w="1269" w:type="dxa"/>
            <w:shd w:val="clear" w:color="auto" w:fill="auto"/>
            <w:noWrap/>
          </w:tcPr>
          <w:p w14:paraId="57BE6238"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3DCAD2F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Nyeri </w:t>
            </w:r>
          </w:p>
        </w:tc>
        <w:tc>
          <w:tcPr>
            <w:tcW w:w="1889" w:type="dxa"/>
            <w:shd w:val="clear" w:color="auto" w:fill="auto"/>
            <w:noWrap/>
          </w:tcPr>
          <w:p w14:paraId="290B1DC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Kieni West</w:t>
            </w:r>
          </w:p>
        </w:tc>
        <w:tc>
          <w:tcPr>
            <w:tcW w:w="1914" w:type="dxa"/>
            <w:shd w:val="clear" w:color="auto" w:fill="auto"/>
            <w:noWrap/>
          </w:tcPr>
          <w:p w14:paraId="2A83086E"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Mweiga </w:t>
            </w:r>
          </w:p>
        </w:tc>
      </w:tr>
      <w:tr w:rsidR="0039483D" w:rsidRPr="00EB11D3" w14:paraId="454E7F97" w14:textId="77777777" w:rsidTr="007A43C6">
        <w:trPr>
          <w:trHeight w:val="300"/>
        </w:trPr>
        <w:tc>
          <w:tcPr>
            <w:tcW w:w="564" w:type="dxa"/>
            <w:shd w:val="clear" w:color="auto" w:fill="auto"/>
            <w:noWrap/>
          </w:tcPr>
          <w:p w14:paraId="654ED23D" w14:textId="77777777" w:rsidR="00DC0D7C" w:rsidRPr="00EB11D3" w:rsidRDefault="00212BDF">
            <w:pPr>
              <w:spacing w:after="0" w:line="240" w:lineRule="auto"/>
              <w:jc w:val="left"/>
              <w:rPr>
                <w:rFonts w:eastAsia="Calibri"/>
                <w:sz w:val="22"/>
              </w:rPr>
            </w:pPr>
            <w:r w:rsidRPr="00EB11D3">
              <w:rPr>
                <w:rFonts w:eastAsia="Calibri"/>
                <w:sz w:val="22"/>
              </w:rPr>
              <w:t>76</w:t>
            </w:r>
          </w:p>
        </w:tc>
        <w:tc>
          <w:tcPr>
            <w:tcW w:w="2477" w:type="dxa"/>
            <w:shd w:val="clear" w:color="auto" w:fill="auto"/>
            <w:noWrap/>
          </w:tcPr>
          <w:p w14:paraId="1BE45125"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Mt Kenya (ACK) Hospital</w:t>
            </w:r>
          </w:p>
        </w:tc>
        <w:tc>
          <w:tcPr>
            <w:tcW w:w="1269" w:type="dxa"/>
            <w:shd w:val="clear" w:color="auto" w:fill="auto"/>
            <w:noWrap/>
          </w:tcPr>
          <w:p w14:paraId="2109A9E5"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0AC78B8A"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Kirinyaga </w:t>
            </w:r>
          </w:p>
        </w:tc>
        <w:tc>
          <w:tcPr>
            <w:tcW w:w="1889" w:type="dxa"/>
            <w:shd w:val="clear" w:color="auto" w:fill="auto"/>
            <w:noWrap/>
          </w:tcPr>
          <w:p w14:paraId="2440DC57"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Kirinyaga Central</w:t>
            </w:r>
          </w:p>
        </w:tc>
        <w:tc>
          <w:tcPr>
            <w:tcW w:w="1914" w:type="dxa"/>
            <w:shd w:val="clear" w:color="auto" w:fill="auto"/>
            <w:noWrap/>
          </w:tcPr>
          <w:p w14:paraId="6751B9B7"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Kerugoya</w:t>
            </w:r>
          </w:p>
        </w:tc>
      </w:tr>
      <w:tr w:rsidR="0039483D" w:rsidRPr="00EB11D3" w14:paraId="42EC19C0" w14:textId="77777777" w:rsidTr="007A43C6">
        <w:trPr>
          <w:trHeight w:val="300"/>
        </w:trPr>
        <w:tc>
          <w:tcPr>
            <w:tcW w:w="564" w:type="dxa"/>
            <w:shd w:val="clear" w:color="auto" w:fill="auto"/>
            <w:noWrap/>
          </w:tcPr>
          <w:p w14:paraId="6F81A316" w14:textId="77777777" w:rsidR="00DC0D7C" w:rsidRPr="00EB11D3" w:rsidRDefault="00212BDF">
            <w:pPr>
              <w:spacing w:after="0" w:line="240" w:lineRule="auto"/>
              <w:jc w:val="left"/>
              <w:rPr>
                <w:rFonts w:eastAsia="Calibri"/>
                <w:sz w:val="22"/>
              </w:rPr>
            </w:pPr>
            <w:r w:rsidRPr="00EB11D3">
              <w:rPr>
                <w:rFonts w:eastAsia="Calibri"/>
                <w:sz w:val="22"/>
              </w:rPr>
              <w:t>77</w:t>
            </w:r>
          </w:p>
        </w:tc>
        <w:tc>
          <w:tcPr>
            <w:tcW w:w="2477" w:type="dxa"/>
            <w:shd w:val="clear" w:color="auto" w:fill="auto"/>
            <w:noWrap/>
          </w:tcPr>
          <w:p w14:paraId="5B5A7E0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North Kinangop Catholic Hospital</w:t>
            </w:r>
          </w:p>
        </w:tc>
        <w:tc>
          <w:tcPr>
            <w:tcW w:w="1269" w:type="dxa"/>
            <w:shd w:val="clear" w:color="auto" w:fill="auto"/>
            <w:noWrap/>
          </w:tcPr>
          <w:p w14:paraId="39A18FC3" w14:textId="77777777" w:rsidR="00DC0D7C" w:rsidRPr="00EB11D3" w:rsidRDefault="00A63A93">
            <w:pPr>
              <w:spacing w:after="0" w:line="240" w:lineRule="auto"/>
              <w:jc w:val="center"/>
              <w:rPr>
                <w:rFonts w:eastAsia="Calibri"/>
                <w:sz w:val="22"/>
              </w:rPr>
            </w:pPr>
            <w:r w:rsidRPr="00EB11D3">
              <w:rPr>
                <w:rFonts w:eastAsia="Calibri"/>
                <w:sz w:val="22"/>
              </w:rPr>
              <w:t>5</w:t>
            </w:r>
          </w:p>
        </w:tc>
        <w:tc>
          <w:tcPr>
            <w:tcW w:w="1237" w:type="dxa"/>
            <w:shd w:val="clear" w:color="auto" w:fill="auto"/>
            <w:noWrap/>
          </w:tcPr>
          <w:p w14:paraId="0614EEAE"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Nyandarua </w:t>
            </w:r>
          </w:p>
        </w:tc>
        <w:tc>
          <w:tcPr>
            <w:tcW w:w="1889" w:type="dxa"/>
            <w:shd w:val="clear" w:color="auto" w:fill="auto"/>
            <w:noWrap/>
          </w:tcPr>
          <w:p w14:paraId="6C153D95"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Kinangop</w:t>
            </w:r>
          </w:p>
        </w:tc>
        <w:tc>
          <w:tcPr>
            <w:tcW w:w="1914" w:type="dxa"/>
            <w:shd w:val="clear" w:color="auto" w:fill="auto"/>
            <w:noWrap/>
          </w:tcPr>
          <w:p w14:paraId="05E87C1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Gathara </w:t>
            </w:r>
          </w:p>
        </w:tc>
      </w:tr>
      <w:tr w:rsidR="0039483D" w:rsidRPr="00EB11D3" w14:paraId="1503E3B1" w14:textId="77777777" w:rsidTr="007A43C6">
        <w:trPr>
          <w:trHeight w:val="300"/>
        </w:trPr>
        <w:tc>
          <w:tcPr>
            <w:tcW w:w="564" w:type="dxa"/>
            <w:shd w:val="clear" w:color="auto" w:fill="auto"/>
            <w:noWrap/>
          </w:tcPr>
          <w:p w14:paraId="76A4AD78" w14:textId="77777777" w:rsidR="00DC0D7C" w:rsidRPr="00EB11D3" w:rsidRDefault="00212BDF">
            <w:pPr>
              <w:spacing w:after="0" w:line="240" w:lineRule="auto"/>
              <w:jc w:val="left"/>
              <w:rPr>
                <w:rFonts w:eastAsia="Calibri"/>
                <w:sz w:val="22"/>
              </w:rPr>
            </w:pPr>
            <w:r w:rsidRPr="00EB11D3">
              <w:rPr>
                <w:rFonts w:eastAsia="Calibri"/>
                <w:sz w:val="22"/>
              </w:rPr>
              <w:t>78</w:t>
            </w:r>
          </w:p>
        </w:tc>
        <w:tc>
          <w:tcPr>
            <w:tcW w:w="2477" w:type="dxa"/>
            <w:shd w:val="clear" w:color="auto" w:fill="auto"/>
            <w:noWrap/>
          </w:tcPr>
          <w:p w14:paraId="269FC2D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Kikoko Mission Hospital</w:t>
            </w:r>
          </w:p>
        </w:tc>
        <w:tc>
          <w:tcPr>
            <w:tcW w:w="1269" w:type="dxa"/>
            <w:shd w:val="clear" w:color="auto" w:fill="auto"/>
            <w:noWrap/>
          </w:tcPr>
          <w:p w14:paraId="5A0186E5"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07A0D729"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Makueni </w:t>
            </w:r>
          </w:p>
        </w:tc>
        <w:tc>
          <w:tcPr>
            <w:tcW w:w="1889" w:type="dxa"/>
            <w:shd w:val="clear" w:color="auto" w:fill="auto"/>
            <w:noWrap/>
          </w:tcPr>
          <w:p w14:paraId="406AFCD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Kaiti</w:t>
            </w:r>
          </w:p>
        </w:tc>
        <w:tc>
          <w:tcPr>
            <w:tcW w:w="1914" w:type="dxa"/>
            <w:shd w:val="clear" w:color="auto" w:fill="auto"/>
            <w:noWrap/>
          </w:tcPr>
          <w:p w14:paraId="637184E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Kilungu </w:t>
            </w:r>
          </w:p>
        </w:tc>
      </w:tr>
      <w:tr w:rsidR="0039483D" w:rsidRPr="00EB11D3" w14:paraId="6C5B3609" w14:textId="77777777" w:rsidTr="007A43C6">
        <w:trPr>
          <w:trHeight w:val="300"/>
        </w:trPr>
        <w:tc>
          <w:tcPr>
            <w:tcW w:w="564" w:type="dxa"/>
            <w:shd w:val="clear" w:color="auto" w:fill="auto"/>
            <w:noWrap/>
          </w:tcPr>
          <w:p w14:paraId="5142AE01" w14:textId="77777777" w:rsidR="00DC0D7C" w:rsidRPr="00EB11D3" w:rsidRDefault="00212BDF">
            <w:pPr>
              <w:spacing w:after="0" w:line="240" w:lineRule="auto"/>
              <w:jc w:val="left"/>
              <w:rPr>
                <w:rFonts w:eastAsia="Calibri"/>
                <w:sz w:val="22"/>
              </w:rPr>
            </w:pPr>
            <w:r w:rsidRPr="00EB11D3">
              <w:rPr>
                <w:rFonts w:eastAsia="Calibri"/>
                <w:sz w:val="22"/>
              </w:rPr>
              <w:t>79</w:t>
            </w:r>
          </w:p>
        </w:tc>
        <w:tc>
          <w:tcPr>
            <w:tcW w:w="2477" w:type="dxa"/>
            <w:shd w:val="clear" w:color="auto" w:fill="auto"/>
            <w:noWrap/>
          </w:tcPr>
          <w:p w14:paraId="061A38C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Consolata Kyeni Hospital</w:t>
            </w:r>
          </w:p>
        </w:tc>
        <w:tc>
          <w:tcPr>
            <w:tcW w:w="1269" w:type="dxa"/>
            <w:shd w:val="clear" w:color="auto" w:fill="auto"/>
            <w:noWrap/>
          </w:tcPr>
          <w:p w14:paraId="36FFF62B"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14938FF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Embu</w:t>
            </w:r>
          </w:p>
        </w:tc>
        <w:tc>
          <w:tcPr>
            <w:tcW w:w="1889" w:type="dxa"/>
            <w:shd w:val="clear" w:color="auto" w:fill="auto"/>
            <w:noWrap/>
          </w:tcPr>
          <w:p w14:paraId="7C07918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Runyenjes</w:t>
            </w:r>
          </w:p>
        </w:tc>
        <w:tc>
          <w:tcPr>
            <w:tcW w:w="1914" w:type="dxa"/>
            <w:shd w:val="clear" w:color="auto" w:fill="auto"/>
            <w:noWrap/>
          </w:tcPr>
          <w:p w14:paraId="496615B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Kyeni North</w:t>
            </w:r>
          </w:p>
        </w:tc>
      </w:tr>
      <w:tr w:rsidR="0039483D" w:rsidRPr="00EB11D3" w14:paraId="1E807352" w14:textId="77777777" w:rsidTr="007A43C6">
        <w:trPr>
          <w:trHeight w:val="300"/>
        </w:trPr>
        <w:tc>
          <w:tcPr>
            <w:tcW w:w="564" w:type="dxa"/>
            <w:shd w:val="clear" w:color="auto" w:fill="auto"/>
            <w:noWrap/>
          </w:tcPr>
          <w:p w14:paraId="0234F873" w14:textId="77777777" w:rsidR="00DC0D7C" w:rsidRPr="00EB11D3" w:rsidRDefault="00212BDF">
            <w:pPr>
              <w:spacing w:after="0" w:line="240" w:lineRule="auto"/>
              <w:jc w:val="left"/>
              <w:rPr>
                <w:rFonts w:eastAsia="Calibri"/>
                <w:sz w:val="22"/>
              </w:rPr>
            </w:pPr>
            <w:r w:rsidRPr="00EB11D3">
              <w:rPr>
                <w:rFonts w:eastAsia="Calibri"/>
                <w:sz w:val="22"/>
                <w:lang w:val="zh-CN"/>
              </w:rPr>
              <w:t>8</w:t>
            </w:r>
            <w:r w:rsidRPr="00EB11D3">
              <w:rPr>
                <w:rFonts w:eastAsia="Calibri"/>
                <w:sz w:val="22"/>
              </w:rPr>
              <w:t>0</w:t>
            </w:r>
          </w:p>
        </w:tc>
        <w:tc>
          <w:tcPr>
            <w:tcW w:w="2477" w:type="dxa"/>
            <w:shd w:val="clear" w:color="auto" w:fill="auto"/>
            <w:noWrap/>
          </w:tcPr>
          <w:p w14:paraId="452C0CF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Sololo Mission Hospital</w:t>
            </w:r>
          </w:p>
        </w:tc>
        <w:tc>
          <w:tcPr>
            <w:tcW w:w="1269" w:type="dxa"/>
            <w:shd w:val="clear" w:color="auto" w:fill="auto"/>
            <w:noWrap/>
          </w:tcPr>
          <w:p w14:paraId="45F99075"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1227C29B"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Marsabit </w:t>
            </w:r>
          </w:p>
        </w:tc>
        <w:tc>
          <w:tcPr>
            <w:tcW w:w="1889" w:type="dxa"/>
            <w:shd w:val="clear" w:color="auto" w:fill="auto"/>
            <w:noWrap/>
          </w:tcPr>
          <w:p w14:paraId="1A616F94"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Moyale</w:t>
            </w:r>
          </w:p>
        </w:tc>
        <w:tc>
          <w:tcPr>
            <w:tcW w:w="1914" w:type="dxa"/>
            <w:shd w:val="clear" w:color="auto" w:fill="auto"/>
            <w:noWrap/>
          </w:tcPr>
          <w:p w14:paraId="27024E3E"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Sololo </w:t>
            </w:r>
          </w:p>
        </w:tc>
      </w:tr>
      <w:tr w:rsidR="0039483D" w:rsidRPr="00EB11D3" w14:paraId="03FB6B44" w14:textId="77777777" w:rsidTr="007A43C6">
        <w:trPr>
          <w:trHeight w:val="300"/>
        </w:trPr>
        <w:tc>
          <w:tcPr>
            <w:tcW w:w="564" w:type="dxa"/>
            <w:shd w:val="clear" w:color="auto" w:fill="auto"/>
            <w:noWrap/>
          </w:tcPr>
          <w:p w14:paraId="40D4DF9D" w14:textId="77777777" w:rsidR="00DC0D7C" w:rsidRPr="00EB11D3" w:rsidRDefault="00212BDF">
            <w:pPr>
              <w:spacing w:after="0" w:line="240" w:lineRule="auto"/>
              <w:jc w:val="left"/>
              <w:rPr>
                <w:rFonts w:eastAsia="Calibri"/>
                <w:sz w:val="22"/>
              </w:rPr>
            </w:pPr>
            <w:r w:rsidRPr="00EB11D3">
              <w:rPr>
                <w:rFonts w:eastAsia="Calibri"/>
                <w:sz w:val="22"/>
                <w:lang w:val="zh-CN"/>
              </w:rPr>
              <w:t>8</w:t>
            </w:r>
            <w:r w:rsidRPr="00EB11D3">
              <w:rPr>
                <w:rFonts w:eastAsia="Calibri"/>
                <w:sz w:val="22"/>
              </w:rPr>
              <w:t>1</w:t>
            </w:r>
          </w:p>
        </w:tc>
        <w:tc>
          <w:tcPr>
            <w:tcW w:w="2477" w:type="dxa"/>
            <w:shd w:val="clear" w:color="auto" w:fill="auto"/>
            <w:noWrap/>
          </w:tcPr>
          <w:p w14:paraId="4193672C"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St Ann Hospital</w:t>
            </w:r>
          </w:p>
        </w:tc>
        <w:tc>
          <w:tcPr>
            <w:tcW w:w="1269" w:type="dxa"/>
            <w:shd w:val="clear" w:color="auto" w:fill="auto"/>
            <w:noWrap/>
          </w:tcPr>
          <w:p w14:paraId="4EE9D45B"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7B848AEF"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Meru </w:t>
            </w:r>
          </w:p>
        </w:tc>
        <w:tc>
          <w:tcPr>
            <w:tcW w:w="1889" w:type="dxa"/>
            <w:shd w:val="clear" w:color="auto" w:fill="auto"/>
            <w:noWrap/>
          </w:tcPr>
          <w:p w14:paraId="26D2F7E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Imenti South</w:t>
            </w:r>
          </w:p>
        </w:tc>
        <w:tc>
          <w:tcPr>
            <w:tcW w:w="1914" w:type="dxa"/>
            <w:shd w:val="clear" w:color="auto" w:fill="auto"/>
            <w:noWrap/>
          </w:tcPr>
          <w:p w14:paraId="067CFCD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Igoji East </w:t>
            </w:r>
          </w:p>
        </w:tc>
      </w:tr>
      <w:tr w:rsidR="0039483D" w:rsidRPr="00EB11D3" w14:paraId="47136233" w14:textId="77777777" w:rsidTr="007A43C6">
        <w:trPr>
          <w:trHeight w:val="300"/>
        </w:trPr>
        <w:tc>
          <w:tcPr>
            <w:tcW w:w="564" w:type="dxa"/>
            <w:shd w:val="clear" w:color="auto" w:fill="auto"/>
            <w:noWrap/>
          </w:tcPr>
          <w:p w14:paraId="5F4ECFEA" w14:textId="77777777" w:rsidR="00DC0D7C" w:rsidRPr="00EB11D3" w:rsidRDefault="00212BDF">
            <w:pPr>
              <w:spacing w:after="0" w:line="240" w:lineRule="auto"/>
              <w:jc w:val="left"/>
              <w:rPr>
                <w:rFonts w:eastAsia="Calibri"/>
                <w:sz w:val="22"/>
              </w:rPr>
            </w:pPr>
            <w:r w:rsidRPr="00EB11D3">
              <w:rPr>
                <w:rFonts w:eastAsia="Calibri"/>
                <w:sz w:val="22"/>
                <w:lang w:val="zh-CN"/>
              </w:rPr>
              <w:t>8</w:t>
            </w:r>
            <w:r w:rsidRPr="00EB11D3">
              <w:rPr>
                <w:rFonts w:eastAsia="Calibri"/>
                <w:sz w:val="22"/>
              </w:rPr>
              <w:t>2</w:t>
            </w:r>
          </w:p>
        </w:tc>
        <w:tc>
          <w:tcPr>
            <w:tcW w:w="2477" w:type="dxa"/>
            <w:shd w:val="clear" w:color="auto" w:fill="auto"/>
            <w:noWrap/>
          </w:tcPr>
          <w:p w14:paraId="6D8B3765"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St Orsola Mission Hospital</w:t>
            </w:r>
          </w:p>
        </w:tc>
        <w:tc>
          <w:tcPr>
            <w:tcW w:w="1269" w:type="dxa"/>
            <w:shd w:val="clear" w:color="auto" w:fill="auto"/>
            <w:noWrap/>
          </w:tcPr>
          <w:p w14:paraId="10D91368"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72CA3E0B"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Tharaka Nithi </w:t>
            </w:r>
          </w:p>
        </w:tc>
        <w:tc>
          <w:tcPr>
            <w:tcW w:w="1889" w:type="dxa"/>
            <w:shd w:val="clear" w:color="auto" w:fill="auto"/>
            <w:noWrap/>
          </w:tcPr>
          <w:p w14:paraId="53BB0DDA"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Tharaka South</w:t>
            </w:r>
          </w:p>
        </w:tc>
        <w:tc>
          <w:tcPr>
            <w:tcW w:w="1914" w:type="dxa"/>
            <w:shd w:val="clear" w:color="auto" w:fill="auto"/>
            <w:noWrap/>
          </w:tcPr>
          <w:p w14:paraId="4A0F4693"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Chiakagira </w:t>
            </w:r>
          </w:p>
        </w:tc>
      </w:tr>
      <w:tr w:rsidR="0039483D" w:rsidRPr="00EB11D3" w14:paraId="5F77B509" w14:textId="77777777" w:rsidTr="007A43C6">
        <w:trPr>
          <w:trHeight w:val="300"/>
        </w:trPr>
        <w:tc>
          <w:tcPr>
            <w:tcW w:w="564" w:type="dxa"/>
            <w:shd w:val="clear" w:color="auto" w:fill="auto"/>
            <w:noWrap/>
          </w:tcPr>
          <w:p w14:paraId="4DAB0E7A" w14:textId="77777777" w:rsidR="00DC0D7C" w:rsidRPr="00EB11D3" w:rsidRDefault="00212BDF">
            <w:pPr>
              <w:spacing w:after="0" w:line="240" w:lineRule="auto"/>
              <w:jc w:val="left"/>
              <w:rPr>
                <w:rFonts w:eastAsia="Calibri"/>
                <w:sz w:val="22"/>
              </w:rPr>
            </w:pPr>
            <w:r w:rsidRPr="00EB11D3">
              <w:rPr>
                <w:rFonts w:eastAsia="Calibri"/>
                <w:sz w:val="22"/>
                <w:lang w:val="zh-CN"/>
              </w:rPr>
              <w:t>8</w:t>
            </w:r>
            <w:r w:rsidRPr="00EB11D3">
              <w:rPr>
                <w:rFonts w:eastAsia="Calibri"/>
                <w:sz w:val="22"/>
              </w:rPr>
              <w:t>3</w:t>
            </w:r>
          </w:p>
        </w:tc>
        <w:tc>
          <w:tcPr>
            <w:tcW w:w="2477" w:type="dxa"/>
            <w:shd w:val="clear" w:color="auto" w:fill="auto"/>
            <w:noWrap/>
          </w:tcPr>
          <w:p w14:paraId="365730E4" w14:textId="77777777" w:rsidR="00DC0D7C" w:rsidRPr="00EB11D3" w:rsidRDefault="00184F6A">
            <w:pPr>
              <w:spacing w:after="0" w:line="240" w:lineRule="auto"/>
              <w:jc w:val="left"/>
              <w:rPr>
                <w:rFonts w:eastAsia="Calibri"/>
                <w:sz w:val="22"/>
                <w:lang w:val="zh-CN"/>
              </w:rPr>
            </w:pPr>
            <w:r w:rsidRPr="00EB11D3">
              <w:rPr>
                <w:rFonts w:eastAsia="Calibri"/>
                <w:sz w:val="22"/>
                <w:lang w:val="zh-CN"/>
              </w:rPr>
              <w:t>St Francis Co</w:t>
            </w:r>
            <w:r w:rsidRPr="00EB11D3">
              <w:rPr>
                <w:rFonts w:eastAsia="Calibri"/>
                <w:sz w:val="22"/>
              </w:rPr>
              <w:t>m</w:t>
            </w:r>
            <w:r w:rsidRPr="00EB11D3">
              <w:rPr>
                <w:rFonts w:eastAsia="Calibri"/>
                <w:sz w:val="22"/>
                <w:lang w:val="zh-CN"/>
              </w:rPr>
              <w:t xml:space="preserve"> Hospital</w:t>
            </w:r>
          </w:p>
        </w:tc>
        <w:tc>
          <w:tcPr>
            <w:tcW w:w="1269" w:type="dxa"/>
            <w:shd w:val="clear" w:color="auto" w:fill="auto"/>
            <w:noWrap/>
          </w:tcPr>
          <w:p w14:paraId="49FB7B1C" w14:textId="77777777" w:rsidR="00DC0D7C" w:rsidRPr="00EB11D3" w:rsidRDefault="00184F6A">
            <w:pPr>
              <w:spacing w:after="0" w:line="240" w:lineRule="auto"/>
              <w:jc w:val="center"/>
              <w:rPr>
                <w:rFonts w:eastAsia="Calibri"/>
                <w:sz w:val="22"/>
              </w:rPr>
            </w:pPr>
            <w:r w:rsidRPr="00EB11D3">
              <w:rPr>
                <w:rFonts w:eastAsia="Calibri"/>
                <w:sz w:val="22"/>
              </w:rPr>
              <w:t>4</w:t>
            </w:r>
          </w:p>
        </w:tc>
        <w:tc>
          <w:tcPr>
            <w:tcW w:w="1237" w:type="dxa"/>
            <w:shd w:val="clear" w:color="auto" w:fill="auto"/>
            <w:noWrap/>
          </w:tcPr>
          <w:p w14:paraId="4FAECAAC" w14:textId="77777777" w:rsidR="00DC0D7C" w:rsidRPr="00EB11D3" w:rsidRDefault="00184F6A">
            <w:pPr>
              <w:spacing w:after="0" w:line="240" w:lineRule="auto"/>
              <w:jc w:val="left"/>
              <w:rPr>
                <w:rFonts w:eastAsia="Calibri"/>
                <w:sz w:val="22"/>
              </w:rPr>
            </w:pPr>
            <w:r w:rsidRPr="00EB11D3">
              <w:rPr>
                <w:rFonts w:eastAsia="Calibri"/>
                <w:sz w:val="22"/>
              </w:rPr>
              <w:t>Nairobi</w:t>
            </w:r>
          </w:p>
        </w:tc>
        <w:tc>
          <w:tcPr>
            <w:tcW w:w="1889" w:type="dxa"/>
            <w:shd w:val="clear" w:color="auto" w:fill="auto"/>
            <w:noWrap/>
          </w:tcPr>
          <w:p w14:paraId="7FA1F8BB" w14:textId="77777777" w:rsidR="00DC0D7C" w:rsidRPr="00EB11D3" w:rsidRDefault="00184F6A">
            <w:pPr>
              <w:spacing w:after="0" w:line="240" w:lineRule="auto"/>
              <w:jc w:val="left"/>
              <w:rPr>
                <w:rFonts w:eastAsia="Calibri"/>
                <w:sz w:val="22"/>
              </w:rPr>
            </w:pPr>
            <w:r w:rsidRPr="00EB11D3">
              <w:rPr>
                <w:rFonts w:eastAsia="Calibri"/>
                <w:sz w:val="22"/>
              </w:rPr>
              <w:t>Kasarani</w:t>
            </w:r>
          </w:p>
        </w:tc>
        <w:tc>
          <w:tcPr>
            <w:tcW w:w="1914" w:type="dxa"/>
            <w:shd w:val="clear" w:color="auto" w:fill="auto"/>
            <w:noWrap/>
          </w:tcPr>
          <w:p w14:paraId="03D00C62" w14:textId="77777777" w:rsidR="00DC0D7C" w:rsidRPr="00EB11D3" w:rsidRDefault="00184F6A">
            <w:pPr>
              <w:spacing w:after="0" w:line="240" w:lineRule="auto"/>
              <w:jc w:val="left"/>
              <w:rPr>
                <w:rFonts w:eastAsia="Calibri"/>
                <w:sz w:val="22"/>
              </w:rPr>
            </w:pPr>
            <w:r w:rsidRPr="00EB11D3">
              <w:rPr>
                <w:rFonts w:eastAsia="Calibri"/>
                <w:sz w:val="22"/>
              </w:rPr>
              <w:t xml:space="preserve">Clay city </w:t>
            </w:r>
          </w:p>
        </w:tc>
      </w:tr>
      <w:tr w:rsidR="0039483D" w:rsidRPr="00EB11D3" w14:paraId="04CBEC3F" w14:textId="77777777" w:rsidTr="007A43C6">
        <w:trPr>
          <w:trHeight w:val="300"/>
        </w:trPr>
        <w:tc>
          <w:tcPr>
            <w:tcW w:w="564" w:type="dxa"/>
            <w:shd w:val="clear" w:color="auto" w:fill="auto"/>
            <w:noWrap/>
          </w:tcPr>
          <w:p w14:paraId="0E690545" w14:textId="77777777" w:rsidR="00DC0D7C" w:rsidRPr="00EB11D3" w:rsidRDefault="00212BDF">
            <w:pPr>
              <w:spacing w:after="0" w:line="240" w:lineRule="auto"/>
              <w:jc w:val="left"/>
              <w:rPr>
                <w:rFonts w:eastAsia="Calibri"/>
                <w:sz w:val="22"/>
              </w:rPr>
            </w:pPr>
            <w:r w:rsidRPr="00EB11D3">
              <w:rPr>
                <w:rFonts w:eastAsia="Calibri"/>
                <w:sz w:val="22"/>
                <w:lang w:val="zh-CN"/>
              </w:rPr>
              <w:t>8</w:t>
            </w:r>
            <w:r w:rsidRPr="00EB11D3">
              <w:rPr>
                <w:rFonts w:eastAsia="Calibri"/>
                <w:sz w:val="22"/>
              </w:rPr>
              <w:t>4</w:t>
            </w:r>
          </w:p>
        </w:tc>
        <w:tc>
          <w:tcPr>
            <w:tcW w:w="2477" w:type="dxa"/>
            <w:shd w:val="clear" w:color="auto" w:fill="auto"/>
            <w:noWrap/>
          </w:tcPr>
          <w:p w14:paraId="6DFBEA3A" w14:textId="77777777" w:rsidR="00DC0D7C" w:rsidRPr="00EB11D3" w:rsidRDefault="00212BDF">
            <w:pPr>
              <w:spacing w:after="0" w:line="240" w:lineRule="auto"/>
              <w:jc w:val="left"/>
              <w:rPr>
                <w:rFonts w:eastAsia="DengXian"/>
                <w:sz w:val="22"/>
                <w:lang w:val="zh-CN" w:eastAsia="zh-CN"/>
              </w:rPr>
            </w:pPr>
            <w:r w:rsidRPr="00EB11D3">
              <w:rPr>
                <w:rFonts w:eastAsia="Calibri"/>
                <w:sz w:val="22"/>
                <w:lang w:val="zh-CN"/>
              </w:rPr>
              <w:t>Christamarianne Hospital</w:t>
            </w:r>
          </w:p>
        </w:tc>
        <w:tc>
          <w:tcPr>
            <w:tcW w:w="1269" w:type="dxa"/>
            <w:shd w:val="clear" w:color="auto" w:fill="auto"/>
            <w:noWrap/>
          </w:tcPr>
          <w:p w14:paraId="74559BD1"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13479E95"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Kisii </w:t>
            </w:r>
          </w:p>
        </w:tc>
        <w:tc>
          <w:tcPr>
            <w:tcW w:w="1889" w:type="dxa"/>
            <w:shd w:val="clear" w:color="auto" w:fill="auto"/>
            <w:noWrap/>
          </w:tcPr>
          <w:p w14:paraId="3D9B852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Nyaribari Chache</w:t>
            </w:r>
          </w:p>
        </w:tc>
        <w:tc>
          <w:tcPr>
            <w:tcW w:w="1914" w:type="dxa"/>
            <w:shd w:val="clear" w:color="auto" w:fill="auto"/>
            <w:noWrap/>
          </w:tcPr>
          <w:p w14:paraId="124F3C6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Kisii Central </w:t>
            </w:r>
          </w:p>
        </w:tc>
      </w:tr>
      <w:tr w:rsidR="0039483D" w:rsidRPr="00EB11D3" w14:paraId="7498AEA3" w14:textId="77777777" w:rsidTr="007A43C6">
        <w:trPr>
          <w:trHeight w:val="300"/>
        </w:trPr>
        <w:tc>
          <w:tcPr>
            <w:tcW w:w="564" w:type="dxa"/>
            <w:shd w:val="clear" w:color="auto" w:fill="auto"/>
            <w:noWrap/>
          </w:tcPr>
          <w:p w14:paraId="1E32D74C" w14:textId="77777777" w:rsidR="00DC0D7C" w:rsidRPr="00EB11D3" w:rsidRDefault="00212BDF">
            <w:pPr>
              <w:spacing w:after="0" w:line="240" w:lineRule="auto"/>
              <w:jc w:val="left"/>
              <w:rPr>
                <w:rFonts w:eastAsia="Calibri"/>
                <w:sz w:val="22"/>
              </w:rPr>
            </w:pPr>
            <w:r w:rsidRPr="00EB11D3">
              <w:rPr>
                <w:rFonts w:eastAsia="Calibri"/>
                <w:sz w:val="22"/>
              </w:rPr>
              <w:t>85</w:t>
            </w:r>
          </w:p>
        </w:tc>
        <w:tc>
          <w:tcPr>
            <w:tcW w:w="2477" w:type="dxa"/>
            <w:shd w:val="clear" w:color="auto" w:fill="auto"/>
            <w:noWrap/>
          </w:tcPr>
          <w:p w14:paraId="1F7A511C"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Kipchimchim M Hospital</w:t>
            </w:r>
          </w:p>
        </w:tc>
        <w:tc>
          <w:tcPr>
            <w:tcW w:w="1269" w:type="dxa"/>
            <w:shd w:val="clear" w:color="auto" w:fill="auto"/>
            <w:noWrap/>
          </w:tcPr>
          <w:p w14:paraId="32865220"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66095CE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Kericho </w:t>
            </w:r>
          </w:p>
        </w:tc>
        <w:tc>
          <w:tcPr>
            <w:tcW w:w="1889" w:type="dxa"/>
            <w:shd w:val="clear" w:color="auto" w:fill="auto"/>
            <w:noWrap/>
          </w:tcPr>
          <w:p w14:paraId="103D19FA"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Ainabkoi</w:t>
            </w:r>
          </w:p>
        </w:tc>
        <w:tc>
          <w:tcPr>
            <w:tcW w:w="1914" w:type="dxa"/>
            <w:shd w:val="clear" w:color="auto" w:fill="auto"/>
            <w:noWrap/>
          </w:tcPr>
          <w:p w14:paraId="131A576D"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Kipchimchim </w:t>
            </w:r>
          </w:p>
        </w:tc>
      </w:tr>
      <w:tr w:rsidR="0039483D" w:rsidRPr="00EB11D3" w14:paraId="39A00107" w14:textId="77777777" w:rsidTr="007A43C6">
        <w:trPr>
          <w:trHeight w:val="300"/>
        </w:trPr>
        <w:tc>
          <w:tcPr>
            <w:tcW w:w="564" w:type="dxa"/>
            <w:shd w:val="clear" w:color="auto" w:fill="auto"/>
            <w:noWrap/>
          </w:tcPr>
          <w:p w14:paraId="20708C57" w14:textId="77777777" w:rsidR="00DC0D7C" w:rsidRPr="00EB11D3" w:rsidRDefault="00212BDF">
            <w:pPr>
              <w:spacing w:after="0" w:line="240" w:lineRule="auto"/>
              <w:jc w:val="left"/>
              <w:rPr>
                <w:rFonts w:eastAsia="Calibri"/>
                <w:sz w:val="22"/>
              </w:rPr>
            </w:pPr>
            <w:r w:rsidRPr="00EB11D3">
              <w:rPr>
                <w:rFonts w:eastAsia="Calibri"/>
                <w:sz w:val="22"/>
              </w:rPr>
              <w:t>86</w:t>
            </w:r>
          </w:p>
        </w:tc>
        <w:tc>
          <w:tcPr>
            <w:tcW w:w="2477" w:type="dxa"/>
            <w:shd w:val="clear" w:color="auto" w:fill="auto"/>
            <w:noWrap/>
          </w:tcPr>
          <w:p w14:paraId="18C4B974"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Jumuia Mission Hospital Kaimosi</w:t>
            </w:r>
          </w:p>
        </w:tc>
        <w:tc>
          <w:tcPr>
            <w:tcW w:w="1269" w:type="dxa"/>
            <w:shd w:val="clear" w:color="auto" w:fill="auto"/>
            <w:noWrap/>
          </w:tcPr>
          <w:p w14:paraId="4E0B546E"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23B2F02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Vihiga </w:t>
            </w:r>
          </w:p>
        </w:tc>
        <w:tc>
          <w:tcPr>
            <w:tcW w:w="1889" w:type="dxa"/>
            <w:shd w:val="clear" w:color="auto" w:fill="auto"/>
            <w:noWrap/>
          </w:tcPr>
          <w:p w14:paraId="22B2F89C"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Hamisi</w:t>
            </w:r>
          </w:p>
        </w:tc>
        <w:tc>
          <w:tcPr>
            <w:tcW w:w="1914" w:type="dxa"/>
            <w:shd w:val="clear" w:color="auto" w:fill="auto"/>
            <w:noWrap/>
          </w:tcPr>
          <w:p w14:paraId="46F82B40"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Shiru </w:t>
            </w:r>
          </w:p>
        </w:tc>
      </w:tr>
      <w:tr w:rsidR="0039483D" w:rsidRPr="00EB11D3" w14:paraId="4439D2C0" w14:textId="77777777" w:rsidTr="007A43C6">
        <w:trPr>
          <w:trHeight w:val="300"/>
        </w:trPr>
        <w:tc>
          <w:tcPr>
            <w:tcW w:w="564" w:type="dxa"/>
            <w:shd w:val="clear" w:color="auto" w:fill="auto"/>
            <w:noWrap/>
          </w:tcPr>
          <w:p w14:paraId="4A544E06" w14:textId="77777777" w:rsidR="00DC0D7C" w:rsidRPr="00EB11D3" w:rsidRDefault="00212BDF">
            <w:pPr>
              <w:spacing w:after="0" w:line="240" w:lineRule="auto"/>
              <w:jc w:val="left"/>
              <w:rPr>
                <w:rFonts w:eastAsia="Calibri"/>
                <w:sz w:val="22"/>
              </w:rPr>
            </w:pPr>
            <w:r w:rsidRPr="00EB11D3">
              <w:rPr>
                <w:rFonts w:eastAsia="Calibri"/>
                <w:sz w:val="22"/>
              </w:rPr>
              <w:t>87</w:t>
            </w:r>
          </w:p>
        </w:tc>
        <w:tc>
          <w:tcPr>
            <w:tcW w:w="2477" w:type="dxa"/>
            <w:shd w:val="clear" w:color="auto" w:fill="auto"/>
            <w:noWrap/>
          </w:tcPr>
          <w:p w14:paraId="1F4205E9"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Sega Mission Hospital</w:t>
            </w:r>
          </w:p>
        </w:tc>
        <w:tc>
          <w:tcPr>
            <w:tcW w:w="1269" w:type="dxa"/>
            <w:shd w:val="clear" w:color="auto" w:fill="auto"/>
            <w:noWrap/>
          </w:tcPr>
          <w:p w14:paraId="42E98B4B"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1491994F"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Siaya </w:t>
            </w:r>
          </w:p>
        </w:tc>
        <w:tc>
          <w:tcPr>
            <w:tcW w:w="1889" w:type="dxa"/>
            <w:shd w:val="clear" w:color="auto" w:fill="auto"/>
            <w:noWrap/>
          </w:tcPr>
          <w:p w14:paraId="30B3361B"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Ugenya</w:t>
            </w:r>
          </w:p>
        </w:tc>
        <w:tc>
          <w:tcPr>
            <w:tcW w:w="1914" w:type="dxa"/>
            <w:shd w:val="clear" w:color="auto" w:fill="auto"/>
            <w:noWrap/>
          </w:tcPr>
          <w:p w14:paraId="662F6B7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North Ugenya </w:t>
            </w:r>
          </w:p>
        </w:tc>
      </w:tr>
      <w:tr w:rsidR="0039483D" w:rsidRPr="00EB11D3" w14:paraId="7121867E" w14:textId="77777777" w:rsidTr="007A43C6">
        <w:trPr>
          <w:trHeight w:val="300"/>
        </w:trPr>
        <w:tc>
          <w:tcPr>
            <w:tcW w:w="564" w:type="dxa"/>
            <w:shd w:val="clear" w:color="auto" w:fill="auto"/>
            <w:noWrap/>
          </w:tcPr>
          <w:p w14:paraId="7956DD86" w14:textId="77777777" w:rsidR="00DC0D7C" w:rsidRPr="00EB11D3" w:rsidRDefault="00212BDF">
            <w:pPr>
              <w:spacing w:after="0" w:line="240" w:lineRule="auto"/>
              <w:jc w:val="left"/>
              <w:rPr>
                <w:rFonts w:eastAsia="Calibri"/>
                <w:sz w:val="22"/>
              </w:rPr>
            </w:pPr>
            <w:r w:rsidRPr="00EB11D3">
              <w:rPr>
                <w:rFonts w:eastAsia="Calibri"/>
                <w:sz w:val="22"/>
              </w:rPr>
              <w:t>88</w:t>
            </w:r>
          </w:p>
        </w:tc>
        <w:tc>
          <w:tcPr>
            <w:tcW w:w="2477" w:type="dxa"/>
            <w:shd w:val="clear" w:color="auto" w:fill="auto"/>
            <w:noWrap/>
          </w:tcPr>
          <w:p w14:paraId="147D4C5A"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The Mater Misericordiae Hospital</w:t>
            </w:r>
          </w:p>
        </w:tc>
        <w:tc>
          <w:tcPr>
            <w:tcW w:w="1269" w:type="dxa"/>
            <w:shd w:val="clear" w:color="auto" w:fill="auto"/>
            <w:noWrap/>
          </w:tcPr>
          <w:p w14:paraId="25E6D71D" w14:textId="77777777" w:rsidR="00DC0D7C" w:rsidRPr="00EB11D3" w:rsidRDefault="000551D9">
            <w:pPr>
              <w:spacing w:after="0" w:line="240" w:lineRule="auto"/>
              <w:jc w:val="center"/>
              <w:rPr>
                <w:rFonts w:eastAsia="Calibri"/>
                <w:sz w:val="22"/>
              </w:rPr>
            </w:pPr>
            <w:r w:rsidRPr="00EB11D3">
              <w:rPr>
                <w:rFonts w:eastAsia="Calibri"/>
                <w:sz w:val="22"/>
              </w:rPr>
              <w:t>5</w:t>
            </w:r>
          </w:p>
        </w:tc>
        <w:tc>
          <w:tcPr>
            <w:tcW w:w="1237" w:type="dxa"/>
            <w:shd w:val="clear" w:color="auto" w:fill="auto"/>
            <w:noWrap/>
          </w:tcPr>
          <w:p w14:paraId="23D732C7"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Nairobi </w:t>
            </w:r>
          </w:p>
        </w:tc>
        <w:tc>
          <w:tcPr>
            <w:tcW w:w="1889" w:type="dxa"/>
            <w:shd w:val="clear" w:color="auto" w:fill="auto"/>
            <w:noWrap/>
          </w:tcPr>
          <w:p w14:paraId="11C3BB76"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Starehe</w:t>
            </w:r>
          </w:p>
        </w:tc>
        <w:tc>
          <w:tcPr>
            <w:tcW w:w="1914" w:type="dxa"/>
            <w:shd w:val="clear" w:color="auto" w:fill="auto"/>
            <w:noWrap/>
          </w:tcPr>
          <w:p w14:paraId="1CFB5611"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Nairobi South</w:t>
            </w:r>
          </w:p>
        </w:tc>
      </w:tr>
      <w:tr w:rsidR="0039483D" w:rsidRPr="00EB11D3" w14:paraId="232FBA09" w14:textId="77777777" w:rsidTr="007A43C6">
        <w:trPr>
          <w:trHeight w:val="300"/>
        </w:trPr>
        <w:tc>
          <w:tcPr>
            <w:tcW w:w="564" w:type="dxa"/>
            <w:shd w:val="clear" w:color="auto" w:fill="auto"/>
            <w:noWrap/>
          </w:tcPr>
          <w:p w14:paraId="2E317215" w14:textId="77777777" w:rsidR="00DC0D7C" w:rsidRPr="00EB11D3" w:rsidRDefault="00212BDF">
            <w:pPr>
              <w:spacing w:after="0" w:line="240" w:lineRule="auto"/>
              <w:jc w:val="left"/>
              <w:rPr>
                <w:rFonts w:eastAsia="Calibri"/>
                <w:sz w:val="22"/>
              </w:rPr>
            </w:pPr>
            <w:r w:rsidRPr="00EB11D3">
              <w:rPr>
                <w:rFonts w:eastAsia="Calibri"/>
                <w:sz w:val="22"/>
              </w:rPr>
              <w:t>89</w:t>
            </w:r>
          </w:p>
        </w:tc>
        <w:tc>
          <w:tcPr>
            <w:tcW w:w="2477" w:type="dxa"/>
            <w:shd w:val="clear" w:color="auto" w:fill="auto"/>
            <w:noWrap/>
          </w:tcPr>
          <w:p w14:paraId="39F24F18"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Chuka Cottage Hospital</w:t>
            </w:r>
          </w:p>
        </w:tc>
        <w:tc>
          <w:tcPr>
            <w:tcW w:w="1269" w:type="dxa"/>
            <w:shd w:val="clear" w:color="auto" w:fill="auto"/>
            <w:noWrap/>
          </w:tcPr>
          <w:p w14:paraId="1FD11FCA"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34BD5A95"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Tharaka Nithi</w:t>
            </w:r>
          </w:p>
        </w:tc>
        <w:tc>
          <w:tcPr>
            <w:tcW w:w="1889" w:type="dxa"/>
            <w:shd w:val="clear" w:color="auto" w:fill="auto"/>
            <w:noWrap/>
          </w:tcPr>
          <w:p w14:paraId="5F48C39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Chuka</w:t>
            </w:r>
          </w:p>
        </w:tc>
        <w:tc>
          <w:tcPr>
            <w:tcW w:w="1914" w:type="dxa"/>
            <w:shd w:val="clear" w:color="auto" w:fill="auto"/>
            <w:noWrap/>
          </w:tcPr>
          <w:p w14:paraId="05838FC9"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Karingani </w:t>
            </w:r>
          </w:p>
        </w:tc>
      </w:tr>
      <w:tr w:rsidR="0039483D" w:rsidRPr="00EB11D3" w14:paraId="34F21876" w14:textId="77777777" w:rsidTr="007A43C6">
        <w:trPr>
          <w:trHeight w:val="300"/>
        </w:trPr>
        <w:tc>
          <w:tcPr>
            <w:tcW w:w="564" w:type="dxa"/>
            <w:shd w:val="clear" w:color="auto" w:fill="auto"/>
            <w:noWrap/>
          </w:tcPr>
          <w:p w14:paraId="79009E98" w14:textId="77777777" w:rsidR="00DC0D7C" w:rsidRPr="00EB11D3" w:rsidRDefault="00212BDF">
            <w:pPr>
              <w:spacing w:after="0" w:line="240" w:lineRule="auto"/>
              <w:jc w:val="left"/>
              <w:rPr>
                <w:rFonts w:eastAsia="Calibri"/>
                <w:sz w:val="22"/>
              </w:rPr>
            </w:pPr>
            <w:r w:rsidRPr="00EB11D3">
              <w:rPr>
                <w:rFonts w:eastAsia="Calibri"/>
                <w:sz w:val="22"/>
              </w:rPr>
              <w:t>90</w:t>
            </w:r>
          </w:p>
        </w:tc>
        <w:tc>
          <w:tcPr>
            <w:tcW w:w="2477" w:type="dxa"/>
            <w:shd w:val="clear" w:color="auto" w:fill="auto"/>
            <w:noWrap/>
          </w:tcPr>
          <w:p w14:paraId="27D1175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Fatima Maternity Hospital</w:t>
            </w:r>
          </w:p>
        </w:tc>
        <w:tc>
          <w:tcPr>
            <w:tcW w:w="1269" w:type="dxa"/>
            <w:shd w:val="clear" w:color="auto" w:fill="auto"/>
            <w:noWrap/>
          </w:tcPr>
          <w:p w14:paraId="1B78600F"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7409ECEC"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Kajiado </w:t>
            </w:r>
          </w:p>
        </w:tc>
        <w:tc>
          <w:tcPr>
            <w:tcW w:w="1889" w:type="dxa"/>
            <w:shd w:val="clear" w:color="auto" w:fill="auto"/>
            <w:noWrap/>
          </w:tcPr>
          <w:p w14:paraId="3BD312E5"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Kajiado North</w:t>
            </w:r>
          </w:p>
        </w:tc>
        <w:tc>
          <w:tcPr>
            <w:tcW w:w="1914" w:type="dxa"/>
            <w:shd w:val="clear" w:color="auto" w:fill="auto"/>
            <w:noWrap/>
          </w:tcPr>
          <w:p w14:paraId="2B88AA18"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Nkaimurunya </w:t>
            </w:r>
          </w:p>
        </w:tc>
      </w:tr>
      <w:tr w:rsidR="0039483D" w:rsidRPr="00EB11D3" w14:paraId="2A904FF9" w14:textId="77777777" w:rsidTr="007A43C6">
        <w:trPr>
          <w:trHeight w:val="300"/>
        </w:trPr>
        <w:tc>
          <w:tcPr>
            <w:tcW w:w="564" w:type="dxa"/>
            <w:shd w:val="clear" w:color="auto" w:fill="auto"/>
            <w:noWrap/>
          </w:tcPr>
          <w:p w14:paraId="46A1341E" w14:textId="77777777" w:rsidR="00DC0D7C" w:rsidRPr="00EB11D3" w:rsidRDefault="00212BDF">
            <w:pPr>
              <w:spacing w:after="0" w:line="240" w:lineRule="auto"/>
              <w:jc w:val="left"/>
              <w:rPr>
                <w:rFonts w:eastAsia="Calibri"/>
                <w:sz w:val="22"/>
              </w:rPr>
            </w:pPr>
            <w:r w:rsidRPr="00EB11D3">
              <w:rPr>
                <w:rFonts w:eastAsia="Calibri"/>
                <w:sz w:val="22"/>
                <w:lang w:val="zh-CN"/>
              </w:rPr>
              <w:t>9</w:t>
            </w:r>
            <w:r w:rsidRPr="00EB11D3">
              <w:rPr>
                <w:rFonts w:eastAsia="Calibri"/>
                <w:sz w:val="22"/>
              </w:rPr>
              <w:t>1</w:t>
            </w:r>
          </w:p>
        </w:tc>
        <w:tc>
          <w:tcPr>
            <w:tcW w:w="2477" w:type="dxa"/>
            <w:shd w:val="clear" w:color="auto" w:fill="auto"/>
            <w:noWrap/>
          </w:tcPr>
          <w:p w14:paraId="31594727"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St Lukes Cottage Hospital</w:t>
            </w:r>
          </w:p>
        </w:tc>
        <w:tc>
          <w:tcPr>
            <w:tcW w:w="1269" w:type="dxa"/>
            <w:shd w:val="clear" w:color="auto" w:fill="auto"/>
            <w:noWrap/>
          </w:tcPr>
          <w:p w14:paraId="490B7E5B"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58FB4512"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Meru </w:t>
            </w:r>
          </w:p>
        </w:tc>
        <w:tc>
          <w:tcPr>
            <w:tcW w:w="1889" w:type="dxa"/>
            <w:shd w:val="clear" w:color="auto" w:fill="auto"/>
            <w:noWrap/>
          </w:tcPr>
          <w:p w14:paraId="3A959F7A"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Imenti Central</w:t>
            </w:r>
          </w:p>
        </w:tc>
        <w:tc>
          <w:tcPr>
            <w:tcW w:w="1914" w:type="dxa"/>
            <w:shd w:val="clear" w:color="auto" w:fill="auto"/>
            <w:noWrap/>
          </w:tcPr>
          <w:p w14:paraId="1913E04B"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Kiagu</w:t>
            </w:r>
          </w:p>
        </w:tc>
      </w:tr>
      <w:tr w:rsidR="0039483D" w:rsidRPr="00EB11D3" w14:paraId="7636D996" w14:textId="77777777" w:rsidTr="007A43C6">
        <w:trPr>
          <w:trHeight w:val="300"/>
        </w:trPr>
        <w:tc>
          <w:tcPr>
            <w:tcW w:w="564" w:type="dxa"/>
            <w:shd w:val="clear" w:color="auto" w:fill="auto"/>
            <w:noWrap/>
          </w:tcPr>
          <w:p w14:paraId="7D58DC2B" w14:textId="77777777" w:rsidR="00DC0D7C" w:rsidRPr="00EB11D3" w:rsidRDefault="00212BDF">
            <w:pPr>
              <w:spacing w:after="0" w:line="240" w:lineRule="auto"/>
              <w:jc w:val="left"/>
              <w:rPr>
                <w:rFonts w:eastAsia="Calibri"/>
                <w:sz w:val="22"/>
              </w:rPr>
            </w:pPr>
            <w:r w:rsidRPr="00EB11D3">
              <w:rPr>
                <w:rFonts w:eastAsia="Calibri"/>
                <w:sz w:val="22"/>
                <w:lang w:val="zh-CN"/>
              </w:rPr>
              <w:t>9</w:t>
            </w:r>
            <w:r w:rsidRPr="00EB11D3">
              <w:rPr>
                <w:rFonts w:eastAsia="Calibri"/>
                <w:sz w:val="22"/>
              </w:rPr>
              <w:t>2</w:t>
            </w:r>
          </w:p>
        </w:tc>
        <w:tc>
          <w:tcPr>
            <w:tcW w:w="2477" w:type="dxa"/>
            <w:shd w:val="clear" w:color="auto" w:fill="auto"/>
            <w:noWrap/>
          </w:tcPr>
          <w:p w14:paraId="55036038"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St Mary's Mission Hospital</w:t>
            </w:r>
          </w:p>
        </w:tc>
        <w:tc>
          <w:tcPr>
            <w:tcW w:w="1269" w:type="dxa"/>
            <w:shd w:val="clear" w:color="auto" w:fill="auto"/>
            <w:noWrap/>
          </w:tcPr>
          <w:p w14:paraId="7D8F3542" w14:textId="77777777" w:rsidR="00DC0D7C" w:rsidRPr="00EB11D3" w:rsidRDefault="00212BDF">
            <w:pPr>
              <w:spacing w:after="0" w:line="240" w:lineRule="auto"/>
              <w:jc w:val="center"/>
              <w:rPr>
                <w:rFonts w:eastAsia="Calibri"/>
                <w:sz w:val="22"/>
                <w:lang w:val="zh-CN"/>
              </w:rPr>
            </w:pPr>
            <w:r w:rsidRPr="00EB11D3">
              <w:rPr>
                <w:rFonts w:eastAsia="Calibri"/>
                <w:sz w:val="22"/>
                <w:lang w:val="zh-CN"/>
              </w:rPr>
              <w:t>4</w:t>
            </w:r>
          </w:p>
        </w:tc>
        <w:tc>
          <w:tcPr>
            <w:tcW w:w="1237" w:type="dxa"/>
            <w:shd w:val="clear" w:color="auto" w:fill="auto"/>
            <w:noWrap/>
          </w:tcPr>
          <w:p w14:paraId="79FB1AE9"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Nairobi </w:t>
            </w:r>
          </w:p>
        </w:tc>
        <w:tc>
          <w:tcPr>
            <w:tcW w:w="1889" w:type="dxa"/>
            <w:shd w:val="clear" w:color="auto" w:fill="auto"/>
            <w:noWrap/>
          </w:tcPr>
          <w:p w14:paraId="3144591A"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Langata</w:t>
            </w:r>
          </w:p>
        </w:tc>
        <w:tc>
          <w:tcPr>
            <w:tcW w:w="1914" w:type="dxa"/>
            <w:shd w:val="clear" w:color="auto" w:fill="auto"/>
            <w:noWrap/>
          </w:tcPr>
          <w:p w14:paraId="261B090C" w14:textId="77777777" w:rsidR="00DC0D7C" w:rsidRPr="00EB11D3" w:rsidRDefault="00212BDF">
            <w:pPr>
              <w:spacing w:after="0" w:line="240" w:lineRule="auto"/>
              <w:jc w:val="left"/>
              <w:rPr>
                <w:rFonts w:eastAsia="Calibri"/>
                <w:sz w:val="22"/>
                <w:lang w:val="zh-CN"/>
              </w:rPr>
            </w:pPr>
            <w:r w:rsidRPr="00EB11D3">
              <w:rPr>
                <w:rFonts w:eastAsia="Calibri"/>
                <w:sz w:val="22"/>
                <w:lang w:val="zh-CN"/>
              </w:rPr>
              <w:t>Mugumo-ini </w:t>
            </w:r>
          </w:p>
        </w:tc>
      </w:tr>
      <w:tr w:rsidR="0039483D" w:rsidRPr="00EB11D3" w14:paraId="2488BB92" w14:textId="77777777" w:rsidTr="007A43C6">
        <w:trPr>
          <w:trHeight w:val="300"/>
        </w:trPr>
        <w:tc>
          <w:tcPr>
            <w:tcW w:w="564" w:type="dxa"/>
            <w:shd w:val="clear" w:color="auto" w:fill="auto"/>
            <w:noWrap/>
          </w:tcPr>
          <w:p w14:paraId="31465398" w14:textId="77777777" w:rsidR="000A730C" w:rsidRPr="00EB11D3" w:rsidRDefault="000A730C">
            <w:pPr>
              <w:spacing w:after="0" w:line="240" w:lineRule="auto"/>
              <w:jc w:val="left"/>
              <w:rPr>
                <w:rFonts w:eastAsia="Calibri"/>
                <w:sz w:val="22"/>
              </w:rPr>
            </w:pPr>
            <w:r w:rsidRPr="00EB11D3">
              <w:rPr>
                <w:rFonts w:eastAsia="Calibri"/>
                <w:sz w:val="22"/>
              </w:rPr>
              <w:t>93</w:t>
            </w:r>
          </w:p>
        </w:tc>
        <w:tc>
          <w:tcPr>
            <w:tcW w:w="2477" w:type="dxa"/>
            <w:shd w:val="clear" w:color="auto" w:fill="auto"/>
            <w:noWrap/>
          </w:tcPr>
          <w:p w14:paraId="7201AAAF" w14:textId="77777777" w:rsidR="000A730C" w:rsidRPr="00EB11D3" w:rsidRDefault="000A730C">
            <w:pPr>
              <w:spacing w:after="0" w:line="240" w:lineRule="auto"/>
              <w:jc w:val="left"/>
              <w:rPr>
                <w:rFonts w:eastAsia="Calibri"/>
                <w:sz w:val="22"/>
                <w:lang w:val="zh-CN"/>
              </w:rPr>
            </w:pPr>
            <w:r w:rsidRPr="00EB11D3">
              <w:rPr>
                <w:rFonts w:eastAsia="Calibri"/>
                <w:iCs/>
                <w:sz w:val="22"/>
                <w:lang w:val="zh-CN"/>
              </w:rPr>
              <w:t>Shree Swaminarayan Hospital</w:t>
            </w:r>
            <w:r w:rsidRPr="00EB11D3">
              <w:rPr>
                <w:rFonts w:eastAsia="Calibri"/>
                <w:iCs/>
                <w:sz w:val="22"/>
              </w:rPr>
              <w:t xml:space="preserve"> </w:t>
            </w:r>
            <w:r w:rsidRPr="00EB11D3">
              <w:rPr>
                <w:rFonts w:eastAsia="Calibri"/>
                <w:iCs/>
                <w:sz w:val="22"/>
                <w:lang w:val="zh-CN"/>
              </w:rPr>
              <w:t>(Langata)</w:t>
            </w:r>
          </w:p>
        </w:tc>
        <w:tc>
          <w:tcPr>
            <w:tcW w:w="1269" w:type="dxa"/>
            <w:shd w:val="clear" w:color="auto" w:fill="auto"/>
            <w:noWrap/>
          </w:tcPr>
          <w:p w14:paraId="44FDEBD1" w14:textId="77777777" w:rsidR="000A730C" w:rsidRPr="00EB11D3" w:rsidRDefault="000A730C">
            <w:pPr>
              <w:spacing w:after="0" w:line="240" w:lineRule="auto"/>
              <w:jc w:val="center"/>
              <w:rPr>
                <w:rFonts w:eastAsia="Calibri"/>
                <w:sz w:val="22"/>
                <w:lang w:val="zh-CN"/>
              </w:rPr>
            </w:pPr>
            <w:r w:rsidRPr="00EB11D3">
              <w:rPr>
                <w:rFonts w:eastAsia="Calibri"/>
                <w:iCs/>
                <w:sz w:val="22"/>
              </w:rPr>
              <w:t>Level 4</w:t>
            </w:r>
          </w:p>
        </w:tc>
        <w:tc>
          <w:tcPr>
            <w:tcW w:w="1237" w:type="dxa"/>
            <w:shd w:val="clear" w:color="auto" w:fill="auto"/>
            <w:noWrap/>
          </w:tcPr>
          <w:p w14:paraId="5C4C8E83" w14:textId="77777777" w:rsidR="000A730C" w:rsidRPr="00EB11D3" w:rsidRDefault="000A730C">
            <w:pPr>
              <w:spacing w:after="0" w:line="240" w:lineRule="auto"/>
              <w:jc w:val="left"/>
              <w:rPr>
                <w:rFonts w:eastAsia="Calibri"/>
                <w:sz w:val="22"/>
                <w:lang w:val="zh-CN"/>
              </w:rPr>
            </w:pPr>
            <w:r w:rsidRPr="00EB11D3">
              <w:rPr>
                <w:rFonts w:eastAsia="Calibri"/>
                <w:iCs/>
                <w:sz w:val="22"/>
                <w:lang w:val="zh-CN"/>
              </w:rPr>
              <w:t>Nairobi </w:t>
            </w:r>
          </w:p>
        </w:tc>
        <w:tc>
          <w:tcPr>
            <w:tcW w:w="1889" w:type="dxa"/>
            <w:shd w:val="clear" w:color="auto" w:fill="auto"/>
            <w:noWrap/>
          </w:tcPr>
          <w:p w14:paraId="00040C6A" w14:textId="77777777" w:rsidR="000A730C" w:rsidRPr="00EB11D3" w:rsidRDefault="000A730C">
            <w:pPr>
              <w:spacing w:after="0" w:line="240" w:lineRule="auto"/>
              <w:jc w:val="left"/>
              <w:rPr>
                <w:rFonts w:eastAsia="Calibri"/>
                <w:sz w:val="22"/>
                <w:lang w:val="zh-CN"/>
              </w:rPr>
            </w:pPr>
            <w:r w:rsidRPr="00EB11D3">
              <w:rPr>
                <w:rFonts w:eastAsia="Calibri"/>
                <w:iCs/>
                <w:sz w:val="22"/>
                <w:lang w:val="zh-CN"/>
              </w:rPr>
              <w:t>Langata </w:t>
            </w:r>
          </w:p>
        </w:tc>
        <w:tc>
          <w:tcPr>
            <w:tcW w:w="1914" w:type="dxa"/>
            <w:shd w:val="clear" w:color="auto" w:fill="auto"/>
            <w:noWrap/>
          </w:tcPr>
          <w:p w14:paraId="365CE34C" w14:textId="77777777" w:rsidR="000A730C" w:rsidRPr="00EB11D3" w:rsidRDefault="000A730C">
            <w:pPr>
              <w:spacing w:after="0" w:line="240" w:lineRule="auto"/>
              <w:jc w:val="left"/>
              <w:rPr>
                <w:rFonts w:eastAsia="Calibri"/>
                <w:sz w:val="22"/>
                <w:lang w:val="zh-CN"/>
              </w:rPr>
            </w:pPr>
            <w:r w:rsidRPr="00EB11D3">
              <w:rPr>
                <w:rFonts w:eastAsia="Calibri"/>
                <w:iCs/>
                <w:sz w:val="22"/>
                <w:lang w:val="zh-CN"/>
              </w:rPr>
              <w:t>Mugumo-ini Ward</w:t>
            </w:r>
          </w:p>
        </w:tc>
      </w:tr>
      <w:tr w:rsidR="0039483D" w:rsidRPr="00EB11D3" w14:paraId="7A26801B" w14:textId="77777777" w:rsidTr="007A43C6">
        <w:trPr>
          <w:trHeight w:val="300"/>
        </w:trPr>
        <w:tc>
          <w:tcPr>
            <w:tcW w:w="564" w:type="dxa"/>
            <w:shd w:val="clear" w:color="auto" w:fill="auto"/>
            <w:noWrap/>
          </w:tcPr>
          <w:p w14:paraId="2C909307" w14:textId="77777777" w:rsidR="000A730C" w:rsidRPr="00EB11D3" w:rsidRDefault="000A730C" w:rsidP="000A730C">
            <w:pPr>
              <w:spacing w:after="0" w:line="240" w:lineRule="auto"/>
              <w:jc w:val="left"/>
              <w:rPr>
                <w:rFonts w:eastAsia="Calibri"/>
                <w:sz w:val="22"/>
              </w:rPr>
            </w:pPr>
            <w:r w:rsidRPr="00EB11D3">
              <w:rPr>
                <w:rFonts w:eastAsia="Calibri"/>
                <w:sz w:val="22"/>
              </w:rPr>
              <w:t>94</w:t>
            </w:r>
          </w:p>
        </w:tc>
        <w:tc>
          <w:tcPr>
            <w:tcW w:w="2477" w:type="dxa"/>
            <w:shd w:val="clear" w:color="auto" w:fill="auto"/>
            <w:noWrap/>
          </w:tcPr>
          <w:p w14:paraId="416535DB" w14:textId="77777777" w:rsidR="000A730C" w:rsidRPr="00EB11D3" w:rsidRDefault="000A730C" w:rsidP="000A730C">
            <w:pPr>
              <w:spacing w:after="0" w:line="240" w:lineRule="auto"/>
              <w:jc w:val="left"/>
              <w:rPr>
                <w:rFonts w:eastAsia="Calibri"/>
                <w:sz w:val="22"/>
                <w:lang w:val="zh-CN"/>
              </w:rPr>
            </w:pPr>
            <w:r w:rsidRPr="00EB11D3">
              <w:rPr>
                <w:rFonts w:eastAsia="Calibri"/>
                <w:iCs/>
                <w:sz w:val="22"/>
              </w:rPr>
              <w:t>St. John Mission Hospital</w:t>
            </w:r>
          </w:p>
        </w:tc>
        <w:tc>
          <w:tcPr>
            <w:tcW w:w="1269" w:type="dxa"/>
            <w:shd w:val="clear" w:color="auto" w:fill="auto"/>
            <w:noWrap/>
          </w:tcPr>
          <w:p w14:paraId="62CFE2E1" w14:textId="77777777" w:rsidR="000A730C" w:rsidRPr="00EB11D3" w:rsidRDefault="000A730C" w:rsidP="000A730C">
            <w:pPr>
              <w:spacing w:after="0" w:line="240" w:lineRule="auto"/>
              <w:jc w:val="center"/>
              <w:rPr>
                <w:rFonts w:eastAsia="Calibri"/>
                <w:sz w:val="22"/>
                <w:lang w:val="zh-CN"/>
              </w:rPr>
            </w:pPr>
            <w:r w:rsidRPr="00EB11D3">
              <w:rPr>
                <w:rFonts w:eastAsia="Calibri"/>
                <w:iCs/>
                <w:sz w:val="22"/>
              </w:rPr>
              <w:t>Level 4 </w:t>
            </w:r>
          </w:p>
        </w:tc>
        <w:tc>
          <w:tcPr>
            <w:tcW w:w="1237" w:type="dxa"/>
            <w:shd w:val="clear" w:color="auto" w:fill="auto"/>
            <w:noWrap/>
          </w:tcPr>
          <w:p w14:paraId="5C3FC726" w14:textId="77777777" w:rsidR="000A730C" w:rsidRPr="00EB11D3" w:rsidRDefault="000A730C" w:rsidP="000A730C">
            <w:pPr>
              <w:spacing w:after="0" w:line="240" w:lineRule="auto"/>
              <w:jc w:val="left"/>
              <w:rPr>
                <w:rFonts w:eastAsia="Calibri"/>
                <w:sz w:val="22"/>
                <w:lang w:val="zh-CN"/>
              </w:rPr>
            </w:pPr>
            <w:r w:rsidRPr="00EB11D3">
              <w:rPr>
                <w:rFonts w:eastAsia="Calibri"/>
                <w:iCs/>
                <w:sz w:val="22"/>
              </w:rPr>
              <w:t>Trans Nzoia</w:t>
            </w:r>
          </w:p>
        </w:tc>
        <w:tc>
          <w:tcPr>
            <w:tcW w:w="1889" w:type="dxa"/>
            <w:shd w:val="clear" w:color="auto" w:fill="auto"/>
            <w:noWrap/>
          </w:tcPr>
          <w:p w14:paraId="15C7EED9" w14:textId="77777777" w:rsidR="000A730C" w:rsidRPr="00EB11D3" w:rsidRDefault="000A730C" w:rsidP="000A730C">
            <w:pPr>
              <w:spacing w:after="0" w:line="240" w:lineRule="auto"/>
              <w:jc w:val="left"/>
              <w:rPr>
                <w:rFonts w:eastAsia="Calibri"/>
                <w:sz w:val="22"/>
                <w:lang w:val="zh-CN"/>
              </w:rPr>
            </w:pPr>
            <w:r w:rsidRPr="00EB11D3">
              <w:rPr>
                <w:rFonts w:eastAsia="Calibri"/>
                <w:iCs/>
                <w:sz w:val="22"/>
              </w:rPr>
              <w:t>Kiminini</w:t>
            </w:r>
          </w:p>
        </w:tc>
        <w:tc>
          <w:tcPr>
            <w:tcW w:w="1914" w:type="dxa"/>
            <w:shd w:val="clear" w:color="auto" w:fill="auto"/>
            <w:noWrap/>
          </w:tcPr>
          <w:p w14:paraId="3222BFD8" w14:textId="77777777" w:rsidR="000A730C" w:rsidRPr="00EB11D3" w:rsidRDefault="000A730C" w:rsidP="000A730C">
            <w:pPr>
              <w:spacing w:after="0" w:line="240" w:lineRule="auto"/>
              <w:jc w:val="left"/>
              <w:rPr>
                <w:rFonts w:eastAsia="Calibri"/>
                <w:sz w:val="22"/>
                <w:lang w:val="zh-CN"/>
              </w:rPr>
            </w:pPr>
            <w:r w:rsidRPr="00EB11D3">
              <w:rPr>
                <w:rFonts w:eastAsia="Calibri"/>
                <w:iCs/>
                <w:sz w:val="22"/>
              </w:rPr>
              <w:t>Sirende</w:t>
            </w:r>
          </w:p>
        </w:tc>
      </w:tr>
      <w:tr w:rsidR="0039483D" w:rsidRPr="00EB11D3" w14:paraId="5EFAC598" w14:textId="77777777" w:rsidTr="007A43C6">
        <w:trPr>
          <w:trHeight w:val="300"/>
        </w:trPr>
        <w:tc>
          <w:tcPr>
            <w:tcW w:w="564" w:type="dxa"/>
            <w:shd w:val="clear" w:color="auto" w:fill="auto"/>
            <w:noWrap/>
          </w:tcPr>
          <w:p w14:paraId="320D8651" w14:textId="77777777" w:rsidR="000A730C" w:rsidRPr="00EB11D3" w:rsidRDefault="000A730C" w:rsidP="000A730C">
            <w:pPr>
              <w:spacing w:after="0" w:line="240" w:lineRule="auto"/>
              <w:jc w:val="left"/>
              <w:rPr>
                <w:rFonts w:eastAsia="Calibri"/>
                <w:sz w:val="22"/>
              </w:rPr>
            </w:pPr>
            <w:r w:rsidRPr="00EB11D3">
              <w:rPr>
                <w:rFonts w:eastAsia="Calibri"/>
                <w:sz w:val="22"/>
              </w:rPr>
              <w:t>95</w:t>
            </w:r>
          </w:p>
        </w:tc>
        <w:tc>
          <w:tcPr>
            <w:tcW w:w="2477" w:type="dxa"/>
            <w:shd w:val="clear" w:color="auto" w:fill="auto"/>
            <w:noWrap/>
          </w:tcPr>
          <w:p w14:paraId="4BE6AAAA" w14:textId="77777777" w:rsidR="000A730C" w:rsidRPr="00EB11D3" w:rsidRDefault="000A730C" w:rsidP="000A730C">
            <w:pPr>
              <w:spacing w:after="0" w:line="240" w:lineRule="auto"/>
              <w:jc w:val="left"/>
              <w:rPr>
                <w:rFonts w:eastAsia="Calibri"/>
                <w:sz w:val="22"/>
                <w:lang w:val="zh-CN"/>
              </w:rPr>
            </w:pPr>
            <w:r w:rsidRPr="00EB11D3">
              <w:rPr>
                <w:rFonts w:eastAsia="Calibri"/>
                <w:iCs/>
                <w:sz w:val="22"/>
                <w:lang w:val="zh-CN"/>
              </w:rPr>
              <w:t>Mother Angela Huruma Hospital</w:t>
            </w:r>
          </w:p>
        </w:tc>
        <w:tc>
          <w:tcPr>
            <w:tcW w:w="1269" w:type="dxa"/>
            <w:shd w:val="clear" w:color="auto" w:fill="auto"/>
            <w:noWrap/>
          </w:tcPr>
          <w:p w14:paraId="6B2E2268" w14:textId="77777777" w:rsidR="000A730C" w:rsidRPr="00EB11D3" w:rsidRDefault="000A730C" w:rsidP="000A730C">
            <w:pPr>
              <w:spacing w:after="0" w:line="240" w:lineRule="auto"/>
              <w:jc w:val="center"/>
              <w:rPr>
                <w:rFonts w:eastAsia="Calibri"/>
                <w:sz w:val="22"/>
                <w:lang w:val="zh-CN"/>
              </w:rPr>
            </w:pPr>
            <w:r w:rsidRPr="00EB11D3">
              <w:rPr>
                <w:rFonts w:eastAsia="Calibri"/>
                <w:iCs/>
                <w:sz w:val="22"/>
              </w:rPr>
              <w:t>Level 4</w:t>
            </w:r>
          </w:p>
        </w:tc>
        <w:tc>
          <w:tcPr>
            <w:tcW w:w="1237" w:type="dxa"/>
            <w:shd w:val="clear" w:color="auto" w:fill="auto"/>
            <w:noWrap/>
          </w:tcPr>
          <w:p w14:paraId="63EAEA23" w14:textId="77777777" w:rsidR="000A730C" w:rsidRPr="00EB11D3" w:rsidRDefault="000A730C" w:rsidP="000A730C">
            <w:pPr>
              <w:spacing w:after="0" w:line="240" w:lineRule="auto"/>
              <w:jc w:val="left"/>
              <w:rPr>
                <w:rFonts w:eastAsia="Calibri"/>
                <w:sz w:val="22"/>
                <w:lang w:val="zh-CN"/>
              </w:rPr>
            </w:pPr>
            <w:r w:rsidRPr="00EB11D3">
              <w:rPr>
                <w:rFonts w:eastAsia="Calibri"/>
                <w:iCs/>
                <w:sz w:val="22"/>
                <w:lang w:val="zh-CN"/>
              </w:rPr>
              <w:t>Laikipia</w:t>
            </w:r>
          </w:p>
        </w:tc>
        <w:tc>
          <w:tcPr>
            <w:tcW w:w="1889" w:type="dxa"/>
            <w:shd w:val="clear" w:color="auto" w:fill="auto"/>
            <w:noWrap/>
          </w:tcPr>
          <w:p w14:paraId="46253262" w14:textId="77777777" w:rsidR="000A730C" w:rsidRPr="00EB11D3" w:rsidRDefault="000A730C" w:rsidP="000A730C">
            <w:pPr>
              <w:spacing w:after="0" w:line="240" w:lineRule="auto"/>
              <w:jc w:val="left"/>
              <w:rPr>
                <w:rFonts w:eastAsia="Calibri"/>
                <w:sz w:val="22"/>
                <w:lang w:val="zh-CN"/>
              </w:rPr>
            </w:pPr>
            <w:r w:rsidRPr="00EB11D3">
              <w:rPr>
                <w:rFonts w:eastAsia="Calibri"/>
                <w:iCs/>
                <w:sz w:val="22"/>
                <w:lang w:val="zh-CN"/>
              </w:rPr>
              <w:t>Laikipia East</w:t>
            </w:r>
          </w:p>
        </w:tc>
        <w:tc>
          <w:tcPr>
            <w:tcW w:w="1914" w:type="dxa"/>
            <w:shd w:val="clear" w:color="auto" w:fill="auto"/>
            <w:noWrap/>
          </w:tcPr>
          <w:p w14:paraId="1C0AA222"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Nanyuki</w:t>
            </w:r>
          </w:p>
        </w:tc>
      </w:tr>
      <w:tr w:rsidR="0039483D" w:rsidRPr="00EB11D3" w14:paraId="2DA2B232" w14:textId="77777777" w:rsidTr="007A43C6">
        <w:trPr>
          <w:trHeight w:val="300"/>
        </w:trPr>
        <w:tc>
          <w:tcPr>
            <w:tcW w:w="564" w:type="dxa"/>
            <w:shd w:val="clear" w:color="auto" w:fill="auto"/>
            <w:noWrap/>
          </w:tcPr>
          <w:p w14:paraId="557B50DA" w14:textId="77777777" w:rsidR="000A730C" w:rsidRPr="00EB11D3" w:rsidRDefault="000A730C" w:rsidP="000A730C">
            <w:pPr>
              <w:spacing w:after="0" w:line="240" w:lineRule="auto"/>
              <w:jc w:val="left"/>
              <w:rPr>
                <w:rFonts w:eastAsia="Calibri"/>
                <w:sz w:val="22"/>
              </w:rPr>
            </w:pPr>
            <w:r w:rsidRPr="00EB11D3">
              <w:rPr>
                <w:rFonts w:eastAsia="Calibri"/>
                <w:sz w:val="22"/>
              </w:rPr>
              <w:t>96</w:t>
            </w:r>
          </w:p>
        </w:tc>
        <w:tc>
          <w:tcPr>
            <w:tcW w:w="2477" w:type="dxa"/>
            <w:shd w:val="clear" w:color="auto" w:fill="auto"/>
            <w:noWrap/>
          </w:tcPr>
          <w:p w14:paraId="76D9A5F7" w14:textId="77777777" w:rsidR="000A730C" w:rsidRPr="00EB11D3" w:rsidRDefault="000A730C" w:rsidP="000A730C">
            <w:pPr>
              <w:spacing w:after="0" w:line="240" w:lineRule="auto"/>
              <w:jc w:val="left"/>
              <w:rPr>
                <w:rFonts w:eastAsia="Calibri"/>
                <w:sz w:val="22"/>
                <w:lang w:val="zh-CN"/>
              </w:rPr>
            </w:pPr>
            <w:r w:rsidRPr="00EB11D3">
              <w:rPr>
                <w:rFonts w:eastAsia="Calibri"/>
                <w:iCs/>
                <w:sz w:val="22"/>
                <w:lang w:val="zh-CN"/>
              </w:rPr>
              <w:t>Githumu Hospital</w:t>
            </w:r>
          </w:p>
        </w:tc>
        <w:tc>
          <w:tcPr>
            <w:tcW w:w="1269" w:type="dxa"/>
            <w:shd w:val="clear" w:color="auto" w:fill="auto"/>
            <w:noWrap/>
          </w:tcPr>
          <w:p w14:paraId="16C0EEB7" w14:textId="77777777" w:rsidR="000A730C" w:rsidRPr="00EB11D3" w:rsidRDefault="000A730C" w:rsidP="000A730C">
            <w:pPr>
              <w:spacing w:after="0" w:line="240" w:lineRule="auto"/>
              <w:jc w:val="center"/>
              <w:rPr>
                <w:rFonts w:eastAsia="Calibri"/>
                <w:sz w:val="22"/>
                <w:lang w:val="zh-CN"/>
              </w:rPr>
            </w:pPr>
            <w:r w:rsidRPr="00EB11D3">
              <w:rPr>
                <w:rFonts w:eastAsia="Calibri"/>
                <w:iCs/>
                <w:sz w:val="22"/>
              </w:rPr>
              <w:t>Level 4</w:t>
            </w:r>
          </w:p>
        </w:tc>
        <w:tc>
          <w:tcPr>
            <w:tcW w:w="1237" w:type="dxa"/>
            <w:shd w:val="clear" w:color="auto" w:fill="auto"/>
            <w:noWrap/>
          </w:tcPr>
          <w:p w14:paraId="0292B13C" w14:textId="77777777" w:rsidR="000A730C" w:rsidRPr="00EB11D3" w:rsidRDefault="000A730C" w:rsidP="000A730C">
            <w:pPr>
              <w:spacing w:after="0" w:line="240" w:lineRule="auto"/>
              <w:jc w:val="left"/>
              <w:rPr>
                <w:rFonts w:eastAsia="Calibri"/>
                <w:sz w:val="22"/>
                <w:lang w:val="zh-CN"/>
              </w:rPr>
            </w:pPr>
            <w:r w:rsidRPr="00EB11D3">
              <w:rPr>
                <w:rFonts w:eastAsia="Calibri"/>
                <w:iCs/>
                <w:sz w:val="22"/>
                <w:lang w:val="zh-CN"/>
              </w:rPr>
              <w:t>Muranga</w:t>
            </w:r>
          </w:p>
        </w:tc>
        <w:tc>
          <w:tcPr>
            <w:tcW w:w="1889" w:type="dxa"/>
            <w:shd w:val="clear" w:color="auto" w:fill="auto"/>
            <w:noWrap/>
          </w:tcPr>
          <w:p w14:paraId="50A5FA9A"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Kandara</w:t>
            </w:r>
          </w:p>
        </w:tc>
        <w:tc>
          <w:tcPr>
            <w:tcW w:w="1914" w:type="dxa"/>
            <w:shd w:val="clear" w:color="auto" w:fill="auto"/>
            <w:noWrap/>
          </w:tcPr>
          <w:p w14:paraId="0A8BBB72"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Ruchu</w:t>
            </w:r>
          </w:p>
        </w:tc>
      </w:tr>
      <w:tr w:rsidR="0039483D" w:rsidRPr="00EB11D3" w14:paraId="7C614906" w14:textId="77777777" w:rsidTr="007A43C6">
        <w:trPr>
          <w:trHeight w:val="300"/>
        </w:trPr>
        <w:tc>
          <w:tcPr>
            <w:tcW w:w="564" w:type="dxa"/>
            <w:shd w:val="clear" w:color="auto" w:fill="auto"/>
            <w:noWrap/>
          </w:tcPr>
          <w:p w14:paraId="559B0154" w14:textId="77777777" w:rsidR="000A730C" w:rsidRPr="00EB11D3" w:rsidRDefault="000A730C" w:rsidP="000A730C">
            <w:pPr>
              <w:spacing w:after="0" w:line="240" w:lineRule="auto"/>
              <w:jc w:val="left"/>
              <w:rPr>
                <w:rFonts w:eastAsia="Calibri"/>
                <w:sz w:val="22"/>
              </w:rPr>
            </w:pPr>
            <w:r w:rsidRPr="00EB11D3">
              <w:rPr>
                <w:rFonts w:eastAsia="Calibri"/>
                <w:sz w:val="22"/>
              </w:rPr>
              <w:t>97</w:t>
            </w:r>
          </w:p>
        </w:tc>
        <w:tc>
          <w:tcPr>
            <w:tcW w:w="2477" w:type="dxa"/>
            <w:shd w:val="clear" w:color="auto" w:fill="auto"/>
            <w:noWrap/>
          </w:tcPr>
          <w:p w14:paraId="368ED333"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Cottolengo Mission Hospital</w:t>
            </w:r>
          </w:p>
        </w:tc>
        <w:tc>
          <w:tcPr>
            <w:tcW w:w="1269" w:type="dxa"/>
            <w:shd w:val="clear" w:color="auto" w:fill="auto"/>
            <w:noWrap/>
          </w:tcPr>
          <w:p w14:paraId="204923A5" w14:textId="77777777" w:rsidR="000A730C" w:rsidRPr="00EB11D3" w:rsidRDefault="000A730C" w:rsidP="000A730C">
            <w:pPr>
              <w:spacing w:after="0" w:line="240" w:lineRule="auto"/>
              <w:jc w:val="center"/>
              <w:rPr>
                <w:rFonts w:eastAsia="Calibri"/>
                <w:sz w:val="22"/>
                <w:lang w:val="zh-CN"/>
              </w:rPr>
            </w:pPr>
            <w:r w:rsidRPr="00EB11D3">
              <w:rPr>
                <w:rFonts w:eastAsia="Calibri"/>
                <w:iCs/>
                <w:sz w:val="22"/>
              </w:rPr>
              <w:t>Level 4</w:t>
            </w:r>
          </w:p>
        </w:tc>
        <w:tc>
          <w:tcPr>
            <w:tcW w:w="1237" w:type="dxa"/>
            <w:shd w:val="clear" w:color="auto" w:fill="auto"/>
            <w:noWrap/>
          </w:tcPr>
          <w:p w14:paraId="30E93BCC" w14:textId="77777777" w:rsidR="000A730C" w:rsidRPr="00EB11D3" w:rsidRDefault="000A730C" w:rsidP="000A730C">
            <w:pPr>
              <w:spacing w:after="0" w:line="240" w:lineRule="auto"/>
              <w:jc w:val="left"/>
              <w:rPr>
                <w:rFonts w:eastAsia="Calibri"/>
                <w:sz w:val="22"/>
                <w:lang w:val="zh-CN"/>
              </w:rPr>
            </w:pPr>
            <w:r w:rsidRPr="00EB11D3">
              <w:rPr>
                <w:rFonts w:eastAsia="Calibri"/>
                <w:iCs/>
                <w:sz w:val="22"/>
                <w:lang w:val="zh-CN"/>
              </w:rPr>
              <w:t>Meru</w:t>
            </w:r>
          </w:p>
        </w:tc>
        <w:tc>
          <w:tcPr>
            <w:tcW w:w="1889" w:type="dxa"/>
            <w:shd w:val="clear" w:color="auto" w:fill="auto"/>
            <w:noWrap/>
          </w:tcPr>
          <w:p w14:paraId="7EA7C631"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Central Imenti</w:t>
            </w:r>
          </w:p>
        </w:tc>
        <w:tc>
          <w:tcPr>
            <w:tcW w:w="1914" w:type="dxa"/>
            <w:shd w:val="clear" w:color="auto" w:fill="auto"/>
            <w:noWrap/>
          </w:tcPr>
          <w:p w14:paraId="056B31C7"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Mwangathia</w:t>
            </w:r>
          </w:p>
        </w:tc>
      </w:tr>
      <w:tr w:rsidR="0039483D" w:rsidRPr="00EB11D3" w14:paraId="6800F2A3" w14:textId="77777777" w:rsidTr="007A43C6">
        <w:trPr>
          <w:trHeight w:val="300"/>
        </w:trPr>
        <w:tc>
          <w:tcPr>
            <w:tcW w:w="564" w:type="dxa"/>
            <w:shd w:val="clear" w:color="auto" w:fill="auto"/>
            <w:noWrap/>
          </w:tcPr>
          <w:p w14:paraId="3B3B720D" w14:textId="77777777" w:rsidR="000A730C" w:rsidRPr="00EB11D3" w:rsidRDefault="000A730C" w:rsidP="000A730C">
            <w:pPr>
              <w:spacing w:after="0" w:line="240" w:lineRule="auto"/>
              <w:jc w:val="left"/>
              <w:rPr>
                <w:rFonts w:eastAsia="Calibri"/>
                <w:sz w:val="22"/>
              </w:rPr>
            </w:pPr>
            <w:r w:rsidRPr="00EB11D3">
              <w:rPr>
                <w:rFonts w:eastAsia="Calibri"/>
                <w:sz w:val="22"/>
              </w:rPr>
              <w:t>98</w:t>
            </w:r>
          </w:p>
        </w:tc>
        <w:tc>
          <w:tcPr>
            <w:tcW w:w="2477" w:type="dxa"/>
            <w:shd w:val="clear" w:color="auto" w:fill="auto"/>
            <w:noWrap/>
          </w:tcPr>
          <w:p w14:paraId="729334C3" w14:textId="77777777" w:rsidR="000A730C" w:rsidRPr="00EB11D3" w:rsidRDefault="000A730C" w:rsidP="000A730C">
            <w:pPr>
              <w:spacing w:after="0" w:line="240" w:lineRule="auto"/>
              <w:jc w:val="left"/>
              <w:rPr>
                <w:rFonts w:eastAsia="Calibri"/>
                <w:sz w:val="22"/>
                <w:lang w:val="zh-CN"/>
              </w:rPr>
            </w:pPr>
            <w:r w:rsidRPr="00EB11D3">
              <w:rPr>
                <w:rFonts w:eastAsia="Calibri"/>
                <w:iCs/>
                <w:sz w:val="22"/>
                <w:lang w:val="zh-CN"/>
              </w:rPr>
              <w:t>Kikuyu (PCEA) Hospital</w:t>
            </w:r>
          </w:p>
        </w:tc>
        <w:tc>
          <w:tcPr>
            <w:tcW w:w="1269" w:type="dxa"/>
            <w:shd w:val="clear" w:color="auto" w:fill="auto"/>
            <w:noWrap/>
          </w:tcPr>
          <w:p w14:paraId="145C0717" w14:textId="77777777" w:rsidR="000A730C" w:rsidRPr="00EB11D3" w:rsidRDefault="000A730C" w:rsidP="000A730C">
            <w:pPr>
              <w:spacing w:after="0" w:line="240" w:lineRule="auto"/>
              <w:jc w:val="center"/>
              <w:rPr>
                <w:rFonts w:eastAsia="Calibri"/>
                <w:iCs/>
                <w:sz w:val="22"/>
              </w:rPr>
            </w:pPr>
            <w:r w:rsidRPr="00EB11D3">
              <w:rPr>
                <w:rFonts w:eastAsia="Calibri"/>
                <w:iCs/>
                <w:sz w:val="22"/>
              </w:rPr>
              <w:t>Level 5</w:t>
            </w:r>
          </w:p>
        </w:tc>
        <w:tc>
          <w:tcPr>
            <w:tcW w:w="1237" w:type="dxa"/>
            <w:shd w:val="clear" w:color="auto" w:fill="auto"/>
            <w:noWrap/>
          </w:tcPr>
          <w:p w14:paraId="2988C690" w14:textId="77777777" w:rsidR="000A730C" w:rsidRPr="00EB11D3" w:rsidRDefault="000A730C" w:rsidP="000A730C">
            <w:pPr>
              <w:spacing w:after="0" w:line="240" w:lineRule="auto"/>
              <w:jc w:val="left"/>
              <w:rPr>
                <w:rFonts w:eastAsia="Calibri"/>
                <w:iCs/>
                <w:sz w:val="22"/>
                <w:lang w:val="zh-CN"/>
              </w:rPr>
            </w:pPr>
            <w:r w:rsidRPr="00EB11D3">
              <w:rPr>
                <w:rFonts w:eastAsia="Calibri"/>
                <w:iCs/>
                <w:sz w:val="22"/>
                <w:lang w:val="zh-CN"/>
              </w:rPr>
              <w:t>Kiambu</w:t>
            </w:r>
          </w:p>
        </w:tc>
        <w:tc>
          <w:tcPr>
            <w:tcW w:w="1889" w:type="dxa"/>
            <w:shd w:val="clear" w:color="auto" w:fill="auto"/>
            <w:noWrap/>
          </w:tcPr>
          <w:p w14:paraId="7F36478B" w14:textId="77777777" w:rsidR="000A730C" w:rsidRPr="00EB11D3" w:rsidRDefault="000A730C" w:rsidP="000A730C">
            <w:pPr>
              <w:spacing w:after="0" w:line="240" w:lineRule="auto"/>
              <w:jc w:val="left"/>
              <w:rPr>
                <w:rFonts w:eastAsia="Calibri"/>
                <w:sz w:val="22"/>
                <w:lang w:val="zh-CN"/>
              </w:rPr>
            </w:pPr>
            <w:r w:rsidRPr="00EB11D3">
              <w:rPr>
                <w:rFonts w:eastAsia="Calibri"/>
                <w:iCs/>
                <w:sz w:val="22"/>
                <w:lang w:val="zh-CN"/>
              </w:rPr>
              <w:t>Kikuyu</w:t>
            </w:r>
          </w:p>
        </w:tc>
        <w:tc>
          <w:tcPr>
            <w:tcW w:w="1914" w:type="dxa"/>
            <w:shd w:val="clear" w:color="auto" w:fill="auto"/>
            <w:noWrap/>
          </w:tcPr>
          <w:p w14:paraId="60639967" w14:textId="77777777" w:rsidR="000A730C" w:rsidRPr="00EB11D3" w:rsidRDefault="000A730C" w:rsidP="000A730C">
            <w:pPr>
              <w:spacing w:after="0" w:line="240" w:lineRule="auto"/>
              <w:jc w:val="left"/>
              <w:rPr>
                <w:rFonts w:eastAsia="Calibri"/>
                <w:sz w:val="22"/>
                <w:lang w:val="zh-CN"/>
              </w:rPr>
            </w:pPr>
            <w:r w:rsidRPr="00EB11D3">
              <w:rPr>
                <w:rFonts w:eastAsia="Calibri"/>
                <w:iCs/>
                <w:sz w:val="22"/>
                <w:lang w:val="zh-CN"/>
              </w:rPr>
              <w:t>Kikuyu</w:t>
            </w:r>
          </w:p>
        </w:tc>
      </w:tr>
      <w:tr w:rsidR="0039483D" w:rsidRPr="00EB11D3" w14:paraId="1A4081E8" w14:textId="77777777" w:rsidTr="007A43C6">
        <w:trPr>
          <w:trHeight w:val="300"/>
        </w:trPr>
        <w:tc>
          <w:tcPr>
            <w:tcW w:w="564" w:type="dxa"/>
            <w:shd w:val="clear" w:color="auto" w:fill="auto"/>
            <w:noWrap/>
          </w:tcPr>
          <w:p w14:paraId="0769387A" w14:textId="77777777" w:rsidR="000A730C" w:rsidRPr="00EB11D3" w:rsidRDefault="000A730C" w:rsidP="000A730C">
            <w:pPr>
              <w:spacing w:after="0" w:line="240" w:lineRule="auto"/>
              <w:jc w:val="left"/>
              <w:rPr>
                <w:rFonts w:eastAsia="Calibri"/>
                <w:sz w:val="22"/>
              </w:rPr>
            </w:pPr>
            <w:r w:rsidRPr="00EB11D3">
              <w:rPr>
                <w:rFonts w:eastAsia="Calibri"/>
                <w:sz w:val="22"/>
              </w:rPr>
              <w:t>99</w:t>
            </w:r>
          </w:p>
        </w:tc>
        <w:tc>
          <w:tcPr>
            <w:tcW w:w="2477" w:type="dxa"/>
            <w:shd w:val="clear" w:color="auto" w:fill="auto"/>
            <w:noWrap/>
          </w:tcPr>
          <w:p w14:paraId="6AA84AF4" w14:textId="77777777" w:rsidR="000A730C" w:rsidRPr="00EB11D3" w:rsidRDefault="000A730C" w:rsidP="000A730C">
            <w:pPr>
              <w:spacing w:after="0" w:line="240" w:lineRule="auto"/>
              <w:jc w:val="left"/>
              <w:rPr>
                <w:rFonts w:eastAsia="Calibri"/>
                <w:sz w:val="22"/>
                <w:lang w:val="zh-CN"/>
              </w:rPr>
            </w:pPr>
            <w:r w:rsidRPr="00EB11D3">
              <w:rPr>
                <w:rFonts w:eastAsia="Calibri"/>
                <w:iCs/>
                <w:sz w:val="22"/>
                <w:lang w:val="zh-CN"/>
              </w:rPr>
              <w:t>Tumutumu (PCEA) Hospital</w:t>
            </w:r>
          </w:p>
        </w:tc>
        <w:tc>
          <w:tcPr>
            <w:tcW w:w="1269" w:type="dxa"/>
            <w:shd w:val="clear" w:color="auto" w:fill="auto"/>
            <w:noWrap/>
          </w:tcPr>
          <w:p w14:paraId="55505A0A" w14:textId="77777777" w:rsidR="000A730C" w:rsidRPr="00EB11D3" w:rsidRDefault="000A730C" w:rsidP="000A730C">
            <w:pPr>
              <w:spacing w:after="0" w:line="240" w:lineRule="auto"/>
              <w:jc w:val="center"/>
              <w:rPr>
                <w:rFonts w:eastAsia="Calibri"/>
                <w:iCs/>
                <w:sz w:val="22"/>
              </w:rPr>
            </w:pPr>
            <w:r w:rsidRPr="00EB11D3">
              <w:rPr>
                <w:rFonts w:eastAsia="Calibri"/>
                <w:iCs/>
                <w:sz w:val="22"/>
              </w:rPr>
              <w:t>Level 5</w:t>
            </w:r>
          </w:p>
        </w:tc>
        <w:tc>
          <w:tcPr>
            <w:tcW w:w="1237" w:type="dxa"/>
            <w:shd w:val="clear" w:color="auto" w:fill="auto"/>
            <w:noWrap/>
          </w:tcPr>
          <w:p w14:paraId="069B24F4" w14:textId="77777777" w:rsidR="000A730C" w:rsidRPr="00EB11D3" w:rsidRDefault="000A730C" w:rsidP="000A730C">
            <w:pPr>
              <w:spacing w:after="0" w:line="240" w:lineRule="auto"/>
              <w:jc w:val="left"/>
              <w:rPr>
                <w:rFonts w:eastAsia="Calibri"/>
                <w:iCs/>
                <w:sz w:val="22"/>
                <w:lang w:val="zh-CN"/>
              </w:rPr>
            </w:pPr>
            <w:r w:rsidRPr="00EB11D3">
              <w:rPr>
                <w:rFonts w:eastAsia="Calibri"/>
                <w:iCs/>
                <w:sz w:val="22"/>
                <w:lang w:val="zh-CN"/>
              </w:rPr>
              <w:t>Kiambu</w:t>
            </w:r>
          </w:p>
        </w:tc>
        <w:tc>
          <w:tcPr>
            <w:tcW w:w="1889" w:type="dxa"/>
            <w:shd w:val="clear" w:color="auto" w:fill="auto"/>
            <w:noWrap/>
          </w:tcPr>
          <w:p w14:paraId="08E546A9" w14:textId="77777777" w:rsidR="000A730C" w:rsidRPr="00EB11D3" w:rsidRDefault="000A730C" w:rsidP="000A730C">
            <w:pPr>
              <w:spacing w:after="0" w:line="240" w:lineRule="auto"/>
              <w:jc w:val="left"/>
              <w:rPr>
                <w:rFonts w:eastAsia="Calibri"/>
                <w:sz w:val="22"/>
                <w:lang w:val="zh-CN"/>
              </w:rPr>
            </w:pPr>
            <w:r w:rsidRPr="00EB11D3">
              <w:rPr>
                <w:rFonts w:eastAsia="Calibri"/>
                <w:iCs/>
                <w:sz w:val="22"/>
                <w:lang w:val="zh-CN"/>
              </w:rPr>
              <w:t>Ruiru</w:t>
            </w:r>
          </w:p>
        </w:tc>
        <w:tc>
          <w:tcPr>
            <w:tcW w:w="1914" w:type="dxa"/>
            <w:shd w:val="clear" w:color="auto" w:fill="auto"/>
            <w:noWrap/>
          </w:tcPr>
          <w:p w14:paraId="5ED486B4"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Kiuu </w:t>
            </w:r>
          </w:p>
        </w:tc>
      </w:tr>
      <w:tr w:rsidR="0039483D" w:rsidRPr="00EB11D3" w14:paraId="1D29108E" w14:textId="77777777" w:rsidTr="007A43C6">
        <w:trPr>
          <w:trHeight w:val="300"/>
        </w:trPr>
        <w:tc>
          <w:tcPr>
            <w:tcW w:w="564" w:type="dxa"/>
            <w:shd w:val="clear" w:color="auto" w:fill="auto"/>
            <w:noWrap/>
          </w:tcPr>
          <w:p w14:paraId="37C464F1" w14:textId="77777777" w:rsidR="000A730C" w:rsidRPr="00EB11D3" w:rsidRDefault="000A730C" w:rsidP="000A730C">
            <w:pPr>
              <w:spacing w:after="0" w:line="240" w:lineRule="auto"/>
              <w:jc w:val="left"/>
              <w:rPr>
                <w:rFonts w:eastAsia="Calibri"/>
                <w:sz w:val="22"/>
              </w:rPr>
            </w:pPr>
            <w:r w:rsidRPr="00EB11D3">
              <w:rPr>
                <w:rFonts w:eastAsia="Calibri"/>
                <w:sz w:val="22"/>
              </w:rPr>
              <w:t>100</w:t>
            </w:r>
          </w:p>
        </w:tc>
        <w:tc>
          <w:tcPr>
            <w:tcW w:w="2477" w:type="dxa"/>
            <w:shd w:val="clear" w:color="auto" w:fill="auto"/>
            <w:noWrap/>
          </w:tcPr>
          <w:p w14:paraId="04614C38"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St Francis Community Hospital (Kasarani)</w:t>
            </w:r>
          </w:p>
        </w:tc>
        <w:tc>
          <w:tcPr>
            <w:tcW w:w="1269" w:type="dxa"/>
            <w:shd w:val="clear" w:color="auto" w:fill="auto"/>
            <w:noWrap/>
          </w:tcPr>
          <w:p w14:paraId="23B5AB94" w14:textId="77777777" w:rsidR="000A730C" w:rsidRPr="00EB11D3" w:rsidRDefault="000A730C" w:rsidP="000A730C">
            <w:pPr>
              <w:spacing w:after="0" w:line="240" w:lineRule="auto"/>
              <w:jc w:val="center"/>
              <w:rPr>
                <w:rFonts w:eastAsia="Calibri"/>
                <w:sz w:val="22"/>
                <w:lang w:val="zh-CN"/>
              </w:rPr>
            </w:pPr>
            <w:r w:rsidRPr="00EB11D3">
              <w:rPr>
                <w:rFonts w:eastAsia="Calibri"/>
                <w:sz w:val="22"/>
                <w:lang w:val="zh-CN"/>
              </w:rPr>
              <w:t>5</w:t>
            </w:r>
          </w:p>
        </w:tc>
        <w:tc>
          <w:tcPr>
            <w:tcW w:w="1237" w:type="dxa"/>
            <w:shd w:val="clear" w:color="auto" w:fill="auto"/>
            <w:noWrap/>
          </w:tcPr>
          <w:p w14:paraId="0B841F31"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Nairobi</w:t>
            </w:r>
          </w:p>
        </w:tc>
        <w:tc>
          <w:tcPr>
            <w:tcW w:w="1889" w:type="dxa"/>
            <w:shd w:val="clear" w:color="auto" w:fill="auto"/>
            <w:noWrap/>
          </w:tcPr>
          <w:p w14:paraId="66AD46C8"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Kasarani </w:t>
            </w:r>
          </w:p>
        </w:tc>
        <w:tc>
          <w:tcPr>
            <w:tcW w:w="1914" w:type="dxa"/>
            <w:shd w:val="clear" w:color="auto" w:fill="auto"/>
            <w:noWrap/>
          </w:tcPr>
          <w:p w14:paraId="20815866"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Kasarani </w:t>
            </w:r>
          </w:p>
        </w:tc>
      </w:tr>
      <w:tr w:rsidR="0039483D" w:rsidRPr="00EB11D3" w14:paraId="16A8D5E1" w14:textId="77777777" w:rsidTr="007A43C6">
        <w:trPr>
          <w:trHeight w:val="300"/>
        </w:trPr>
        <w:tc>
          <w:tcPr>
            <w:tcW w:w="564" w:type="dxa"/>
            <w:shd w:val="clear" w:color="auto" w:fill="auto"/>
            <w:noWrap/>
          </w:tcPr>
          <w:p w14:paraId="4B6CE6B6" w14:textId="77777777" w:rsidR="000A730C" w:rsidRPr="00EB11D3" w:rsidRDefault="000A730C" w:rsidP="000A730C">
            <w:pPr>
              <w:spacing w:after="0" w:line="240" w:lineRule="auto"/>
              <w:jc w:val="left"/>
              <w:rPr>
                <w:rFonts w:eastAsia="Calibri"/>
                <w:sz w:val="22"/>
              </w:rPr>
            </w:pPr>
            <w:r w:rsidRPr="00EB11D3">
              <w:rPr>
                <w:rFonts w:eastAsia="Calibri"/>
                <w:sz w:val="22"/>
              </w:rPr>
              <w:t>101</w:t>
            </w:r>
          </w:p>
        </w:tc>
        <w:tc>
          <w:tcPr>
            <w:tcW w:w="2477" w:type="dxa"/>
            <w:shd w:val="clear" w:color="auto" w:fill="auto"/>
            <w:noWrap/>
          </w:tcPr>
          <w:p w14:paraId="2BDBA6C4"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Cure (AIC) International Hospital</w:t>
            </w:r>
          </w:p>
        </w:tc>
        <w:tc>
          <w:tcPr>
            <w:tcW w:w="1269" w:type="dxa"/>
            <w:shd w:val="clear" w:color="auto" w:fill="auto"/>
            <w:noWrap/>
          </w:tcPr>
          <w:p w14:paraId="24996E18" w14:textId="77777777" w:rsidR="000A730C" w:rsidRPr="00EB11D3" w:rsidRDefault="000A730C" w:rsidP="000A730C">
            <w:pPr>
              <w:spacing w:after="0" w:line="240" w:lineRule="auto"/>
              <w:jc w:val="center"/>
              <w:rPr>
                <w:rFonts w:eastAsia="Calibri"/>
                <w:sz w:val="22"/>
                <w:lang w:val="zh-CN"/>
              </w:rPr>
            </w:pPr>
            <w:r w:rsidRPr="00EB11D3">
              <w:rPr>
                <w:rFonts w:eastAsia="Calibri"/>
                <w:sz w:val="22"/>
                <w:lang w:val="zh-CN"/>
              </w:rPr>
              <w:t>5</w:t>
            </w:r>
          </w:p>
        </w:tc>
        <w:tc>
          <w:tcPr>
            <w:tcW w:w="1237" w:type="dxa"/>
            <w:shd w:val="clear" w:color="auto" w:fill="auto"/>
            <w:noWrap/>
          </w:tcPr>
          <w:p w14:paraId="2D214DBC"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Kiambu</w:t>
            </w:r>
          </w:p>
        </w:tc>
        <w:tc>
          <w:tcPr>
            <w:tcW w:w="1889" w:type="dxa"/>
            <w:shd w:val="clear" w:color="auto" w:fill="auto"/>
            <w:noWrap/>
          </w:tcPr>
          <w:p w14:paraId="71AFF5EB"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Lari</w:t>
            </w:r>
          </w:p>
        </w:tc>
        <w:tc>
          <w:tcPr>
            <w:tcW w:w="1914" w:type="dxa"/>
            <w:shd w:val="clear" w:color="auto" w:fill="auto"/>
            <w:noWrap/>
          </w:tcPr>
          <w:p w14:paraId="067A234C"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Kijabe</w:t>
            </w:r>
          </w:p>
        </w:tc>
      </w:tr>
      <w:tr w:rsidR="0039483D" w:rsidRPr="00EB11D3" w14:paraId="5CC01F36" w14:textId="77777777" w:rsidTr="007A43C6">
        <w:trPr>
          <w:trHeight w:val="300"/>
        </w:trPr>
        <w:tc>
          <w:tcPr>
            <w:tcW w:w="564" w:type="dxa"/>
            <w:shd w:val="clear" w:color="auto" w:fill="auto"/>
            <w:noWrap/>
          </w:tcPr>
          <w:p w14:paraId="6621E636" w14:textId="77777777" w:rsidR="000A730C" w:rsidRPr="00EB11D3" w:rsidRDefault="000A730C" w:rsidP="000A730C">
            <w:pPr>
              <w:spacing w:after="0" w:line="240" w:lineRule="auto"/>
              <w:jc w:val="left"/>
              <w:rPr>
                <w:rFonts w:eastAsia="Calibri"/>
                <w:sz w:val="22"/>
              </w:rPr>
            </w:pPr>
            <w:r w:rsidRPr="00EB11D3">
              <w:rPr>
                <w:rFonts w:eastAsia="Calibri"/>
                <w:sz w:val="22"/>
              </w:rPr>
              <w:t>102</w:t>
            </w:r>
          </w:p>
        </w:tc>
        <w:tc>
          <w:tcPr>
            <w:tcW w:w="2477" w:type="dxa"/>
            <w:shd w:val="clear" w:color="auto" w:fill="auto"/>
            <w:noWrap/>
          </w:tcPr>
          <w:p w14:paraId="3D899EC7"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AIC Litein Mission Hospital</w:t>
            </w:r>
          </w:p>
        </w:tc>
        <w:tc>
          <w:tcPr>
            <w:tcW w:w="1269" w:type="dxa"/>
            <w:shd w:val="clear" w:color="auto" w:fill="auto"/>
            <w:noWrap/>
          </w:tcPr>
          <w:p w14:paraId="639D071E" w14:textId="77777777" w:rsidR="000A730C" w:rsidRPr="00EB11D3" w:rsidRDefault="000A730C" w:rsidP="000A730C">
            <w:pPr>
              <w:spacing w:after="0" w:line="240" w:lineRule="auto"/>
              <w:jc w:val="center"/>
              <w:rPr>
                <w:rFonts w:eastAsia="Calibri"/>
                <w:sz w:val="22"/>
                <w:lang w:val="zh-CN"/>
              </w:rPr>
            </w:pPr>
            <w:r w:rsidRPr="00EB11D3">
              <w:rPr>
                <w:rFonts w:eastAsia="Calibri"/>
                <w:sz w:val="22"/>
                <w:lang w:val="zh-CN"/>
              </w:rPr>
              <w:t>5</w:t>
            </w:r>
          </w:p>
        </w:tc>
        <w:tc>
          <w:tcPr>
            <w:tcW w:w="1237" w:type="dxa"/>
            <w:shd w:val="clear" w:color="auto" w:fill="auto"/>
            <w:noWrap/>
          </w:tcPr>
          <w:p w14:paraId="1A26E709"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Kericho</w:t>
            </w:r>
          </w:p>
        </w:tc>
        <w:tc>
          <w:tcPr>
            <w:tcW w:w="1889" w:type="dxa"/>
            <w:shd w:val="clear" w:color="auto" w:fill="auto"/>
            <w:noWrap/>
          </w:tcPr>
          <w:p w14:paraId="617A15A4"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Bureti</w:t>
            </w:r>
          </w:p>
        </w:tc>
        <w:tc>
          <w:tcPr>
            <w:tcW w:w="1914" w:type="dxa"/>
            <w:shd w:val="clear" w:color="auto" w:fill="auto"/>
            <w:noWrap/>
          </w:tcPr>
          <w:p w14:paraId="239D1876"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Litein </w:t>
            </w:r>
          </w:p>
        </w:tc>
      </w:tr>
      <w:tr w:rsidR="0039483D" w:rsidRPr="00EB11D3" w14:paraId="10CE66A1" w14:textId="77777777" w:rsidTr="007A43C6">
        <w:trPr>
          <w:trHeight w:val="300"/>
        </w:trPr>
        <w:tc>
          <w:tcPr>
            <w:tcW w:w="564" w:type="dxa"/>
            <w:shd w:val="clear" w:color="auto" w:fill="auto"/>
            <w:noWrap/>
          </w:tcPr>
          <w:p w14:paraId="517A4B3C" w14:textId="77777777" w:rsidR="000A730C" w:rsidRPr="00EB11D3" w:rsidRDefault="000A730C" w:rsidP="000A730C">
            <w:pPr>
              <w:spacing w:after="0" w:line="240" w:lineRule="auto"/>
              <w:jc w:val="left"/>
              <w:rPr>
                <w:rFonts w:eastAsia="Calibri"/>
                <w:sz w:val="22"/>
              </w:rPr>
            </w:pPr>
            <w:r w:rsidRPr="00EB11D3">
              <w:rPr>
                <w:rFonts w:eastAsia="Calibri"/>
                <w:sz w:val="22"/>
              </w:rPr>
              <w:t>10</w:t>
            </w:r>
            <w:r w:rsidR="00706A7E" w:rsidRPr="00EB11D3">
              <w:rPr>
                <w:rFonts w:eastAsia="Calibri"/>
                <w:sz w:val="22"/>
              </w:rPr>
              <w:t>3</w:t>
            </w:r>
          </w:p>
        </w:tc>
        <w:tc>
          <w:tcPr>
            <w:tcW w:w="2477" w:type="dxa"/>
            <w:shd w:val="clear" w:color="auto" w:fill="auto"/>
            <w:noWrap/>
          </w:tcPr>
          <w:p w14:paraId="5BA516DC"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Our Lady of Lourdes Mutomo Hospital</w:t>
            </w:r>
          </w:p>
        </w:tc>
        <w:tc>
          <w:tcPr>
            <w:tcW w:w="1269" w:type="dxa"/>
            <w:shd w:val="clear" w:color="auto" w:fill="auto"/>
            <w:noWrap/>
          </w:tcPr>
          <w:p w14:paraId="676ADC7F" w14:textId="77777777" w:rsidR="000A730C" w:rsidRPr="00EB11D3" w:rsidRDefault="000A730C" w:rsidP="000A730C">
            <w:pPr>
              <w:spacing w:after="0" w:line="240" w:lineRule="auto"/>
              <w:jc w:val="center"/>
              <w:rPr>
                <w:rFonts w:eastAsia="Calibri"/>
                <w:sz w:val="22"/>
                <w:lang w:val="zh-CN"/>
              </w:rPr>
            </w:pPr>
            <w:r w:rsidRPr="00EB11D3">
              <w:rPr>
                <w:rFonts w:eastAsia="Calibri"/>
                <w:sz w:val="22"/>
                <w:lang w:val="zh-CN"/>
              </w:rPr>
              <w:t>5</w:t>
            </w:r>
          </w:p>
        </w:tc>
        <w:tc>
          <w:tcPr>
            <w:tcW w:w="1237" w:type="dxa"/>
            <w:shd w:val="clear" w:color="auto" w:fill="auto"/>
            <w:noWrap/>
          </w:tcPr>
          <w:p w14:paraId="0999E788"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Kitui </w:t>
            </w:r>
          </w:p>
        </w:tc>
        <w:tc>
          <w:tcPr>
            <w:tcW w:w="1889" w:type="dxa"/>
            <w:shd w:val="clear" w:color="auto" w:fill="auto"/>
            <w:noWrap/>
          </w:tcPr>
          <w:p w14:paraId="7053F564"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Kitui </w:t>
            </w:r>
          </w:p>
        </w:tc>
        <w:tc>
          <w:tcPr>
            <w:tcW w:w="1914" w:type="dxa"/>
            <w:shd w:val="clear" w:color="auto" w:fill="auto"/>
            <w:noWrap/>
          </w:tcPr>
          <w:p w14:paraId="5FF9E4E1"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Mutomo</w:t>
            </w:r>
          </w:p>
        </w:tc>
      </w:tr>
      <w:tr w:rsidR="0039483D" w:rsidRPr="00EB11D3" w14:paraId="0512A379" w14:textId="77777777" w:rsidTr="007A43C6">
        <w:trPr>
          <w:trHeight w:val="300"/>
        </w:trPr>
        <w:tc>
          <w:tcPr>
            <w:tcW w:w="564" w:type="dxa"/>
            <w:shd w:val="clear" w:color="auto" w:fill="auto"/>
            <w:noWrap/>
          </w:tcPr>
          <w:p w14:paraId="5943EEA0" w14:textId="77777777" w:rsidR="000A730C" w:rsidRPr="00EB11D3" w:rsidRDefault="000A730C" w:rsidP="000A730C">
            <w:pPr>
              <w:spacing w:after="0" w:line="240" w:lineRule="auto"/>
              <w:jc w:val="left"/>
              <w:rPr>
                <w:rFonts w:eastAsia="Calibri"/>
                <w:sz w:val="22"/>
              </w:rPr>
            </w:pPr>
            <w:r w:rsidRPr="00EB11D3">
              <w:rPr>
                <w:rFonts w:eastAsia="Calibri"/>
                <w:sz w:val="22"/>
              </w:rPr>
              <w:t>10</w:t>
            </w:r>
            <w:r w:rsidR="00706A7E" w:rsidRPr="00EB11D3">
              <w:rPr>
                <w:rFonts w:eastAsia="Calibri"/>
                <w:sz w:val="22"/>
              </w:rPr>
              <w:t>4</w:t>
            </w:r>
          </w:p>
        </w:tc>
        <w:tc>
          <w:tcPr>
            <w:tcW w:w="2477" w:type="dxa"/>
            <w:shd w:val="clear" w:color="auto" w:fill="auto"/>
            <w:noWrap/>
          </w:tcPr>
          <w:p w14:paraId="1E265C8C"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Chogoria (PCEA) Hospital</w:t>
            </w:r>
          </w:p>
        </w:tc>
        <w:tc>
          <w:tcPr>
            <w:tcW w:w="1269" w:type="dxa"/>
            <w:shd w:val="clear" w:color="auto" w:fill="auto"/>
            <w:noWrap/>
          </w:tcPr>
          <w:p w14:paraId="40B93A54" w14:textId="77777777" w:rsidR="000A730C" w:rsidRPr="00EB11D3" w:rsidRDefault="000A730C" w:rsidP="000A730C">
            <w:pPr>
              <w:spacing w:after="0" w:line="240" w:lineRule="auto"/>
              <w:jc w:val="center"/>
              <w:rPr>
                <w:rFonts w:eastAsia="Calibri"/>
                <w:sz w:val="22"/>
                <w:lang w:val="zh-CN"/>
              </w:rPr>
            </w:pPr>
            <w:r w:rsidRPr="00EB11D3">
              <w:rPr>
                <w:rFonts w:eastAsia="Calibri"/>
                <w:sz w:val="22"/>
                <w:lang w:val="zh-CN"/>
              </w:rPr>
              <w:t>5</w:t>
            </w:r>
          </w:p>
        </w:tc>
        <w:tc>
          <w:tcPr>
            <w:tcW w:w="1237" w:type="dxa"/>
            <w:shd w:val="clear" w:color="auto" w:fill="auto"/>
            <w:noWrap/>
          </w:tcPr>
          <w:p w14:paraId="1CFF8FB2"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Tharaka Nithi</w:t>
            </w:r>
          </w:p>
        </w:tc>
        <w:tc>
          <w:tcPr>
            <w:tcW w:w="1889" w:type="dxa"/>
            <w:shd w:val="clear" w:color="auto" w:fill="auto"/>
            <w:noWrap/>
          </w:tcPr>
          <w:p w14:paraId="133857B7"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Mwimbi</w:t>
            </w:r>
          </w:p>
        </w:tc>
        <w:tc>
          <w:tcPr>
            <w:tcW w:w="1914" w:type="dxa"/>
            <w:shd w:val="clear" w:color="auto" w:fill="auto"/>
            <w:noWrap/>
          </w:tcPr>
          <w:p w14:paraId="7389B5DC"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Chogoria </w:t>
            </w:r>
          </w:p>
        </w:tc>
      </w:tr>
      <w:tr w:rsidR="0039483D" w:rsidRPr="00EB11D3" w14:paraId="7EE80640" w14:textId="77777777" w:rsidTr="007A43C6">
        <w:trPr>
          <w:trHeight w:val="300"/>
        </w:trPr>
        <w:tc>
          <w:tcPr>
            <w:tcW w:w="564" w:type="dxa"/>
            <w:shd w:val="clear" w:color="auto" w:fill="auto"/>
            <w:noWrap/>
          </w:tcPr>
          <w:p w14:paraId="371617AC" w14:textId="77777777" w:rsidR="000A730C" w:rsidRPr="00EB11D3" w:rsidRDefault="000A730C" w:rsidP="000A730C">
            <w:pPr>
              <w:spacing w:after="0" w:line="240" w:lineRule="auto"/>
              <w:jc w:val="left"/>
              <w:rPr>
                <w:rFonts w:eastAsia="Calibri"/>
                <w:sz w:val="22"/>
              </w:rPr>
            </w:pPr>
            <w:r w:rsidRPr="00EB11D3">
              <w:rPr>
                <w:rFonts w:eastAsia="Calibri"/>
                <w:sz w:val="22"/>
              </w:rPr>
              <w:t>10</w:t>
            </w:r>
            <w:r w:rsidR="00706A7E" w:rsidRPr="00EB11D3">
              <w:rPr>
                <w:rFonts w:eastAsia="Calibri"/>
                <w:sz w:val="22"/>
              </w:rPr>
              <w:t>5</w:t>
            </w:r>
          </w:p>
        </w:tc>
        <w:tc>
          <w:tcPr>
            <w:tcW w:w="2477" w:type="dxa"/>
            <w:shd w:val="clear" w:color="auto" w:fill="auto"/>
            <w:noWrap/>
          </w:tcPr>
          <w:p w14:paraId="6596FC98"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St Theresa Kiirua Hospital (Kiirua)</w:t>
            </w:r>
          </w:p>
        </w:tc>
        <w:tc>
          <w:tcPr>
            <w:tcW w:w="1269" w:type="dxa"/>
            <w:shd w:val="clear" w:color="auto" w:fill="auto"/>
            <w:noWrap/>
          </w:tcPr>
          <w:p w14:paraId="6C654EA0" w14:textId="77777777" w:rsidR="000A730C" w:rsidRPr="00EB11D3" w:rsidRDefault="000A730C" w:rsidP="000A730C">
            <w:pPr>
              <w:spacing w:after="0" w:line="240" w:lineRule="auto"/>
              <w:jc w:val="center"/>
              <w:rPr>
                <w:rFonts w:eastAsia="Calibri"/>
                <w:sz w:val="22"/>
                <w:lang w:val="zh-CN"/>
              </w:rPr>
            </w:pPr>
            <w:r w:rsidRPr="00EB11D3">
              <w:rPr>
                <w:rFonts w:eastAsia="Calibri"/>
                <w:sz w:val="22"/>
                <w:lang w:val="zh-CN"/>
              </w:rPr>
              <w:t>5</w:t>
            </w:r>
          </w:p>
        </w:tc>
        <w:tc>
          <w:tcPr>
            <w:tcW w:w="1237" w:type="dxa"/>
            <w:shd w:val="clear" w:color="auto" w:fill="auto"/>
            <w:noWrap/>
          </w:tcPr>
          <w:p w14:paraId="05863030"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Meru </w:t>
            </w:r>
          </w:p>
        </w:tc>
        <w:tc>
          <w:tcPr>
            <w:tcW w:w="1889" w:type="dxa"/>
            <w:shd w:val="clear" w:color="auto" w:fill="auto"/>
            <w:noWrap/>
          </w:tcPr>
          <w:p w14:paraId="07F34FAC"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Buuri</w:t>
            </w:r>
          </w:p>
        </w:tc>
        <w:tc>
          <w:tcPr>
            <w:tcW w:w="1914" w:type="dxa"/>
            <w:shd w:val="clear" w:color="auto" w:fill="auto"/>
            <w:noWrap/>
          </w:tcPr>
          <w:p w14:paraId="1C442FBC"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Kiirua/Naar</w:t>
            </w:r>
          </w:p>
        </w:tc>
      </w:tr>
      <w:tr w:rsidR="0039483D" w:rsidRPr="00EB11D3" w14:paraId="2BCDD1A8" w14:textId="77777777" w:rsidTr="007A43C6">
        <w:trPr>
          <w:trHeight w:val="300"/>
        </w:trPr>
        <w:tc>
          <w:tcPr>
            <w:tcW w:w="564" w:type="dxa"/>
            <w:shd w:val="clear" w:color="auto" w:fill="auto"/>
            <w:noWrap/>
          </w:tcPr>
          <w:p w14:paraId="2644C5FB" w14:textId="77777777" w:rsidR="000A730C" w:rsidRPr="00EB11D3" w:rsidRDefault="000A730C" w:rsidP="000A730C">
            <w:pPr>
              <w:spacing w:after="0" w:line="240" w:lineRule="auto"/>
              <w:jc w:val="left"/>
              <w:rPr>
                <w:rFonts w:eastAsia="Calibri"/>
                <w:sz w:val="22"/>
              </w:rPr>
            </w:pPr>
            <w:r w:rsidRPr="00EB11D3">
              <w:rPr>
                <w:rFonts w:eastAsia="Calibri"/>
                <w:sz w:val="22"/>
                <w:lang w:val="zh-CN"/>
              </w:rPr>
              <w:t>10</w:t>
            </w:r>
            <w:r w:rsidR="00706A7E" w:rsidRPr="00EB11D3">
              <w:rPr>
                <w:rFonts w:eastAsia="Calibri"/>
                <w:sz w:val="22"/>
              </w:rPr>
              <w:t>6</w:t>
            </w:r>
          </w:p>
        </w:tc>
        <w:tc>
          <w:tcPr>
            <w:tcW w:w="2477" w:type="dxa"/>
            <w:shd w:val="clear" w:color="auto" w:fill="auto"/>
            <w:noWrap/>
          </w:tcPr>
          <w:p w14:paraId="376BE3E8"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Maua Methodist Hospital</w:t>
            </w:r>
          </w:p>
        </w:tc>
        <w:tc>
          <w:tcPr>
            <w:tcW w:w="1269" w:type="dxa"/>
            <w:shd w:val="clear" w:color="auto" w:fill="auto"/>
            <w:noWrap/>
          </w:tcPr>
          <w:p w14:paraId="41131E30" w14:textId="77777777" w:rsidR="000A730C" w:rsidRPr="00EB11D3" w:rsidRDefault="000A730C" w:rsidP="000A730C">
            <w:pPr>
              <w:spacing w:after="0" w:line="240" w:lineRule="auto"/>
              <w:jc w:val="center"/>
              <w:rPr>
                <w:rFonts w:eastAsia="Calibri"/>
                <w:sz w:val="22"/>
                <w:lang w:val="zh-CN"/>
              </w:rPr>
            </w:pPr>
            <w:r w:rsidRPr="00EB11D3">
              <w:rPr>
                <w:rFonts w:eastAsia="Calibri"/>
                <w:sz w:val="22"/>
                <w:lang w:val="zh-CN"/>
              </w:rPr>
              <w:t>5</w:t>
            </w:r>
          </w:p>
        </w:tc>
        <w:tc>
          <w:tcPr>
            <w:tcW w:w="1237" w:type="dxa"/>
            <w:shd w:val="clear" w:color="auto" w:fill="auto"/>
            <w:noWrap/>
          </w:tcPr>
          <w:p w14:paraId="1579E84A"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Meru </w:t>
            </w:r>
          </w:p>
        </w:tc>
        <w:tc>
          <w:tcPr>
            <w:tcW w:w="1889" w:type="dxa"/>
            <w:shd w:val="clear" w:color="auto" w:fill="auto"/>
            <w:noWrap/>
          </w:tcPr>
          <w:p w14:paraId="00D111FD"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Igembe South</w:t>
            </w:r>
          </w:p>
        </w:tc>
        <w:tc>
          <w:tcPr>
            <w:tcW w:w="1914" w:type="dxa"/>
            <w:shd w:val="clear" w:color="auto" w:fill="auto"/>
            <w:noWrap/>
          </w:tcPr>
          <w:p w14:paraId="6FABC5BD"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Maua</w:t>
            </w:r>
          </w:p>
        </w:tc>
      </w:tr>
      <w:tr w:rsidR="0039483D" w:rsidRPr="00EB11D3" w14:paraId="193F8502" w14:textId="77777777" w:rsidTr="007A43C6">
        <w:trPr>
          <w:trHeight w:val="300"/>
        </w:trPr>
        <w:tc>
          <w:tcPr>
            <w:tcW w:w="564" w:type="dxa"/>
            <w:shd w:val="clear" w:color="auto" w:fill="auto"/>
            <w:noWrap/>
          </w:tcPr>
          <w:p w14:paraId="11F0F1ED" w14:textId="77777777" w:rsidR="000A730C" w:rsidRPr="00EB11D3" w:rsidRDefault="000A730C" w:rsidP="000A730C">
            <w:pPr>
              <w:spacing w:after="0" w:line="240" w:lineRule="auto"/>
              <w:jc w:val="left"/>
              <w:rPr>
                <w:rFonts w:eastAsia="Calibri"/>
                <w:sz w:val="22"/>
              </w:rPr>
            </w:pPr>
            <w:r w:rsidRPr="00EB11D3">
              <w:rPr>
                <w:rFonts w:eastAsia="Calibri"/>
                <w:sz w:val="22"/>
                <w:lang w:val="zh-CN"/>
              </w:rPr>
              <w:t>10</w:t>
            </w:r>
            <w:r w:rsidR="00706A7E" w:rsidRPr="00EB11D3">
              <w:rPr>
                <w:rFonts w:eastAsia="Calibri"/>
                <w:sz w:val="22"/>
              </w:rPr>
              <w:t>7</w:t>
            </w:r>
          </w:p>
        </w:tc>
        <w:tc>
          <w:tcPr>
            <w:tcW w:w="2477" w:type="dxa"/>
            <w:shd w:val="clear" w:color="auto" w:fill="auto"/>
            <w:noWrap/>
          </w:tcPr>
          <w:p w14:paraId="637DC70B"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Coptic Hospital (Ngong Road)</w:t>
            </w:r>
          </w:p>
        </w:tc>
        <w:tc>
          <w:tcPr>
            <w:tcW w:w="1269" w:type="dxa"/>
            <w:shd w:val="clear" w:color="auto" w:fill="auto"/>
            <w:noWrap/>
          </w:tcPr>
          <w:p w14:paraId="6B49E8CE" w14:textId="77777777" w:rsidR="000A730C" w:rsidRPr="00EB11D3" w:rsidRDefault="000A730C" w:rsidP="000A730C">
            <w:pPr>
              <w:spacing w:after="0" w:line="240" w:lineRule="auto"/>
              <w:jc w:val="center"/>
              <w:rPr>
                <w:rFonts w:eastAsia="Calibri"/>
                <w:sz w:val="22"/>
                <w:lang w:val="zh-CN"/>
              </w:rPr>
            </w:pPr>
            <w:r w:rsidRPr="00EB11D3">
              <w:rPr>
                <w:rFonts w:eastAsia="Calibri"/>
                <w:sz w:val="22"/>
                <w:lang w:val="zh-CN"/>
              </w:rPr>
              <w:t>5</w:t>
            </w:r>
          </w:p>
        </w:tc>
        <w:tc>
          <w:tcPr>
            <w:tcW w:w="1237" w:type="dxa"/>
            <w:shd w:val="clear" w:color="auto" w:fill="auto"/>
            <w:noWrap/>
          </w:tcPr>
          <w:p w14:paraId="0D7511B0"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Nairobi</w:t>
            </w:r>
          </w:p>
        </w:tc>
        <w:tc>
          <w:tcPr>
            <w:tcW w:w="1889" w:type="dxa"/>
            <w:shd w:val="clear" w:color="auto" w:fill="auto"/>
            <w:noWrap/>
          </w:tcPr>
          <w:p w14:paraId="5F344129"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Dagoretti North</w:t>
            </w:r>
          </w:p>
        </w:tc>
        <w:tc>
          <w:tcPr>
            <w:tcW w:w="1914" w:type="dxa"/>
            <w:shd w:val="clear" w:color="auto" w:fill="auto"/>
            <w:noWrap/>
          </w:tcPr>
          <w:p w14:paraId="72B4B2E2"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Kilimani </w:t>
            </w:r>
          </w:p>
        </w:tc>
      </w:tr>
      <w:tr w:rsidR="0039483D" w:rsidRPr="00EB11D3" w14:paraId="40997558" w14:textId="77777777" w:rsidTr="007A43C6">
        <w:trPr>
          <w:trHeight w:val="300"/>
        </w:trPr>
        <w:tc>
          <w:tcPr>
            <w:tcW w:w="564" w:type="dxa"/>
            <w:shd w:val="clear" w:color="auto" w:fill="auto"/>
            <w:noWrap/>
          </w:tcPr>
          <w:p w14:paraId="34DE6FC6" w14:textId="77777777" w:rsidR="000A730C" w:rsidRPr="00EB11D3" w:rsidRDefault="000A730C" w:rsidP="000A730C">
            <w:pPr>
              <w:spacing w:after="0" w:line="240" w:lineRule="auto"/>
              <w:jc w:val="left"/>
              <w:rPr>
                <w:rFonts w:eastAsia="Calibri"/>
                <w:sz w:val="22"/>
              </w:rPr>
            </w:pPr>
            <w:r w:rsidRPr="00EB11D3">
              <w:rPr>
                <w:rFonts w:eastAsia="Calibri"/>
                <w:sz w:val="22"/>
                <w:lang w:val="zh-CN"/>
              </w:rPr>
              <w:t>10</w:t>
            </w:r>
            <w:r w:rsidR="00706A7E" w:rsidRPr="00EB11D3">
              <w:rPr>
                <w:rFonts w:eastAsia="Calibri"/>
                <w:sz w:val="22"/>
              </w:rPr>
              <w:t>8</w:t>
            </w:r>
          </w:p>
        </w:tc>
        <w:tc>
          <w:tcPr>
            <w:tcW w:w="2477" w:type="dxa"/>
            <w:shd w:val="clear" w:color="auto" w:fill="auto"/>
            <w:noWrap/>
          </w:tcPr>
          <w:p w14:paraId="5472D4CC"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Sabatia Eye Hospital Mission</w:t>
            </w:r>
          </w:p>
        </w:tc>
        <w:tc>
          <w:tcPr>
            <w:tcW w:w="1269" w:type="dxa"/>
            <w:shd w:val="clear" w:color="auto" w:fill="auto"/>
            <w:noWrap/>
          </w:tcPr>
          <w:p w14:paraId="545A7617" w14:textId="77777777" w:rsidR="000A730C" w:rsidRPr="00EB11D3" w:rsidRDefault="000A730C" w:rsidP="000A730C">
            <w:pPr>
              <w:spacing w:after="0" w:line="240" w:lineRule="auto"/>
              <w:jc w:val="center"/>
              <w:rPr>
                <w:rFonts w:eastAsia="Calibri"/>
                <w:sz w:val="22"/>
                <w:lang w:val="zh-CN"/>
              </w:rPr>
            </w:pPr>
            <w:r w:rsidRPr="00EB11D3">
              <w:rPr>
                <w:rFonts w:eastAsia="Calibri"/>
                <w:sz w:val="22"/>
                <w:lang w:val="zh-CN"/>
              </w:rPr>
              <w:t>5</w:t>
            </w:r>
          </w:p>
        </w:tc>
        <w:tc>
          <w:tcPr>
            <w:tcW w:w="1237" w:type="dxa"/>
            <w:shd w:val="clear" w:color="auto" w:fill="auto"/>
            <w:noWrap/>
          </w:tcPr>
          <w:p w14:paraId="2D714459"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Vihiga </w:t>
            </w:r>
          </w:p>
        </w:tc>
        <w:tc>
          <w:tcPr>
            <w:tcW w:w="1889" w:type="dxa"/>
            <w:shd w:val="clear" w:color="auto" w:fill="auto"/>
            <w:noWrap/>
          </w:tcPr>
          <w:p w14:paraId="6D57C4B3"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Sabatia</w:t>
            </w:r>
          </w:p>
        </w:tc>
        <w:tc>
          <w:tcPr>
            <w:tcW w:w="1914" w:type="dxa"/>
            <w:shd w:val="clear" w:color="auto" w:fill="auto"/>
            <w:noWrap/>
          </w:tcPr>
          <w:p w14:paraId="5B21F3F9"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Wodanga</w:t>
            </w:r>
          </w:p>
        </w:tc>
      </w:tr>
      <w:tr w:rsidR="0039483D" w:rsidRPr="00EB11D3" w14:paraId="27CB6691" w14:textId="77777777" w:rsidTr="007A43C6">
        <w:trPr>
          <w:trHeight w:val="300"/>
        </w:trPr>
        <w:tc>
          <w:tcPr>
            <w:tcW w:w="564" w:type="dxa"/>
            <w:shd w:val="clear" w:color="auto" w:fill="auto"/>
            <w:noWrap/>
          </w:tcPr>
          <w:p w14:paraId="5A377B4C" w14:textId="77777777" w:rsidR="000A730C" w:rsidRPr="00EB11D3" w:rsidRDefault="000A730C" w:rsidP="000A730C">
            <w:pPr>
              <w:spacing w:after="0" w:line="240" w:lineRule="auto"/>
              <w:jc w:val="left"/>
              <w:rPr>
                <w:rFonts w:eastAsia="Calibri"/>
                <w:sz w:val="22"/>
              </w:rPr>
            </w:pPr>
            <w:r w:rsidRPr="00EB11D3">
              <w:rPr>
                <w:rFonts w:eastAsia="Calibri"/>
                <w:sz w:val="22"/>
                <w:lang w:val="zh-CN"/>
              </w:rPr>
              <w:t>1</w:t>
            </w:r>
            <w:r w:rsidR="00706A7E" w:rsidRPr="00EB11D3">
              <w:rPr>
                <w:rFonts w:eastAsia="Calibri"/>
                <w:sz w:val="22"/>
              </w:rPr>
              <w:t>09</w:t>
            </w:r>
          </w:p>
        </w:tc>
        <w:tc>
          <w:tcPr>
            <w:tcW w:w="2477" w:type="dxa"/>
            <w:shd w:val="clear" w:color="auto" w:fill="auto"/>
            <w:noWrap/>
          </w:tcPr>
          <w:p w14:paraId="1D81F3A5"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Kijabe (AIC) Hospital</w:t>
            </w:r>
          </w:p>
        </w:tc>
        <w:tc>
          <w:tcPr>
            <w:tcW w:w="1269" w:type="dxa"/>
            <w:shd w:val="clear" w:color="auto" w:fill="auto"/>
            <w:noWrap/>
          </w:tcPr>
          <w:p w14:paraId="1D6CBD09" w14:textId="77777777" w:rsidR="000A730C" w:rsidRPr="00EB11D3" w:rsidRDefault="000A730C" w:rsidP="000A730C">
            <w:pPr>
              <w:spacing w:after="0" w:line="240" w:lineRule="auto"/>
              <w:jc w:val="center"/>
              <w:rPr>
                <w:rFonts w:eastAsia="Calibri"/>
                <w:sz w:val="22"/>
                <w:lang w:val="zh-CN"/>
              </w:rPr>
            </w:pPr>
            <w:r w:rsidRPr="00EB11D3">
              <w:rPr>
                <w:rFonts w:eastAsia="Calibri"/>
                <w:sz w:val="22"/>
                <w:lang w:val="zh-CN"/>
              </w:rPr>
              <w:t>5</w:t>
            </w:r>
          </w:p>
        </w:tc>
        <w:tc>
          <w:tcPr>
            <w:tcW w:w="1237" w:type="dxa"/>
            <w:shd w:val="clear" w:color="auto" w:fill="auto"/>
            <w:noWrap/>
          </w:tcPr>
          <w:p w14:paraId="6F9CCFAB"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Kiambu</w:t>
            </w:r>
          </w:p>
        </w:tc>
        <w:tc>
          <w:tcPr>
            <w:tcW w:w="1889" w:type="dxa"/>
            <w:shd w:val="clear" w:color="auto" w:fill="auto"/>
            <w:noWrap/>
          </w:tcPr>
          <w:p w14:paraId="6DD7C54F"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Lari</w:t>
            </w:r>
          </w:p>
        </w:tc>
        <w:tc>
          <w:tcPr>
            <w:tcW w:w="1914" w:type="dxa"/>
            <w:shd w:val="clear" w:color="auto" w:fill="auto"/>
            <w:noWrap/>
          </w:tcPr>
          <w:p w14:paraId="09B96103"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Kijabe</w:t>
            </w:r>
          </w:p>
        </w:tc>
      </w:tr>
      <w:tr w:rsidR="0039483D" w:rsidRPr="00EB11D3" w14:paraId="1D4C1C3A" w14:textId="77777777" w:rsidTr="007A43C6">
        <w:trPr>
          <w:trHeight w:val="300"/>
        </w:trPr>
        <w:tc>
          <w:tcPr>
            <w:tcW w:w="564" w:type="dxa"/>
            <w:shd w:val="clear" w:color="auto" w:fill="auto"/>
            <w:noWrap/>
          </w:tcPr>
          <w:p w14:paraId="412A7E2D" w14:textId="77777777" w:rsidR="000A730C" w:rsidRPr="00EB11D3" w:rsidRDefault="000A730C" w:rsidP="000A730C">
            <w:pPr>
              <w:spacing w:after="0" w:line="240" w:lineRule="auto"/>
              <w:jc w:val="left"/>
              <w:rPr>
                <w:rFonts w:eastAsia="Calibri"/>
                <w:sz w:val="22"/>
              </w:rPr>
            </w:pPr>
            <w:r w:rsidRPr="00EB11D3">
              <w:rPr>
                <w:rFonts w:eastAsia="Calibri"/>
                <w:sz w:val="22"/>
                <w:lang w:val="zh-CN"/>
              </w:rPr>
              <w:t>1</w:t>
            </w:r>
            <w:r w:rsidRPr="00EB11D3">
              <w:rPr>
                <w:rFonts w:eastAsia="Calibri"/>
                <w:sz w:val="22"/>
              </w:rPr>
              <w:t>1</w:t>
            </w:r>
            <w:r w:rsidR="00706A7E" w:rsidRPr="00EB11D3">
              <w:rPr>
                <w:rFonts w:eastAsia="Calibri"/>
                <w:sz w:val="22"/>
              </w:rPr>
              <w:t>0</w:t>
            </w:r>
          </w:p>
        </w:tc>
        <w:tc>
          <w:tcPr>
            <w:tcW w:w="2477" w:type="dxa"/>
            <w:shd w:val="clear" w:color="auto" w:fill="auto"/>
            <w:noWrap/>
          </w:tcPr>
          <w:p w14:paraId="1637525A"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Consolata Mission Hospital (Mathari)</w:t>
            </w:r>
          </w:p>
        </w:tc>
        <w:tc>
          <w:tcPr>
            <w:tcW w:w="1269" w:type="dxa"/>
            <w:shd w:val="clear" w:color="auto" w:fill="auto"/>
            <w:noWrap/>
          </w:tcPr>
          <w:p w14:paraId="635EFD8A" w14:textId="77777777" w:rsidR="000A730C" w:rsidRPr="00EB11D3" w:rsidRDefault="000A730C" w:rsidP="000A730C">
            <w:pPr>
              <w:spacing w:after="0" w:line="240" w:lineRule="auto"/>
              <w:jc w:val="center"/>
              <w:rPr>
                <w:rFonts w:eastAsia="Calibri"/>
                <w:sz w:val="22"/>
                <w:lang w:val="zh-CN"/>
              </w:rPr>
            </w:pPr>
            <w:r w:rsidRPr="00EB11D3">
              <w:rPr>
                <w:rFonts w:eastAsia="Calibri"/>
                <w:sz w:val="22"/>
                <w:lang w:val="zh-CN"/>
              </w:rPr>
              <w:t>5</w:t>
            </w:r>
          </w:p>
        </w:tc>
        <w:tc>
          <w:tcPr>
            <w:tcW w:w="1237" w:type="dxa"/>
            <w:shd w:val="clear" w:color="auto" w:fill="auto"/>
            <w:noWrap/>
          </w:tcPr>
          <w:p w14:paraId="4E3195D6"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Nyeri </w:t>
            </w:r>
          </w:p>
        </w:tc>
        <w:tc>
          <w:tcPr>
            <w:tcW w:w="1889" w:type="dxa"/>
            <w:shd w:val="clear" w:color="auto" w:fill="auto"/>
            <w:noWrap/>
          </w:tcPr>
          <w:p w14:paraId="5F4E1280"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Nyeri Central</w:t>
            </w:r>
          </w:p>
        </w:tc>
        <w:tc>
          <w:tcPr>
            <w:tcW w:w="1914" w:type="dxa"/>
            <w:shd w:val="clear" w:color="auto" w:fill="auto"/>
            <w:noWrap/>
          </w:tcPr>
          <w:p w14:paraId="51289795"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Kiganjo/Mathari</w:t>
            </w:r>
          </w:p>
        </w:tc>
      </w:tr>
      <w:tr w:rsidR="0039483D" w:rsidRPr="00EB11D3" w14:paraId="46AE0AFD" w14:textId="77777777" w:rsidTr="007A43C6">
        <w:trPr>
          <w:trHeight w:val="300"/>
        </w:trPr>
        <w:tc>
          <w:tcPr>
            <w:tcW w:w="564" w:type="dxa"/>
            <w:shd w:val="clear" w:color="auto" w:fill="auto"/>
            <w:noWrap/>
          </w:tcPr>
          <w:p w14:paraId="0BE3A288" w14:textId="77777777" w:rsidR="000A730C" w:rsidRPr="00EB11D3" w:rsidRDefault="000A730C" w:rsidP="000A730C">
            <w:pPr>
              <w:spacing w:after="0" w:line="240" w:lineRule="auto"/>
              <w:jc w:val="left"/>
              <w:rPr>
                <w:rFonts w:eastAsia="Calibri"/>
                <w:sz w:val="22"/>
              </w:rPr>
            </w:pPr>
            <w:r w:rsidRPr="00EB11D3">
              <w:rPr>
                <w:rFonts w:eastAsia="Calibri"/>
                <w:sz w:val="22"/>
                <w:lang w:val="zh-CN"/>
              </w:rPr>
              <w:t>1</w:t>
            </w:r>
            <w:r w:rsidRPr="00EB11D3">
              <w:rPr>
                <w:rFonts w:eastAsia="Calibri"/>
                <w:sz w:val="22"/>
              </w:rPr>
              <w:t>1</w:t>
            </w:r>
            <w:r w:rsidR="00706A7E" w:rsidRPr="00EB11D3">
              <w:rPr>
                <w:rFonts w:eastAsia="Calibri"/>
                <w:sz w:val="22"/>
              </w:rPr>
              <w:t>1</w:t>
            </w:r>
          </w:p>
        </w:tc>
        <w:tc>
          <w:tcPr>
            <w:tcW w:w="2477" w:type="dxa"/>
            <w:shd w:val="clear" w:color="auto" w:fill="auto"/>
            <w:noWrap/>
          </w:tcPr>
          <w:p w14:paraId="36DEFD7E" w14:textId="77777777" w:rsidR="000A730C" w:rsidRPr="00EB11D3" w:rsidRDefault="001A7BBD" w:rsidP="000A730C">
            <w:pPr>
              <w:spacing w:after="0" w:line="240" w:lineRule="auto"/>
              <w:jc w:val="left"/>
              <w:rPr>
                <w:rFonts w:eastAsia="Calibri"/>
                <w:sz w:val="22"/>
              </w:rPr>
            </w:pPr>
            <w:r w:rsidRPr="00EB11D3">
              <w:rPr>
                <w:rFonts w:eastAsia="Calibri"/>
                <w:sz w:val="22"/>
              </w:rPr>
              <w:t>Oasis Medical Center</w:t>
            </w:r>
          </w:p>
        </w:tc>
        <w:tc>
          <w:tcPr>
            <w:tcW w:w="1269" w:type="dxa"/>
            <w:shd w:val="clear" w:color="auto" w:fill="auto"/>
            <w:noWrap/>
          </w:tcPr>
          <w:p w14:paraId="23AFAC8F" w14:textId="77777777" w:rsidR="000A730C" w:rsidRPr="00EB11D3" w:rsidRDefault="001A7BBD" w:rsidP="000A730C">
            <w:pPr>
              <w:spacing w:after="0" w:line="240" w:lineRule="auto"/>
              <w:jc w:val="center"/>
              <w:rPr>
                <w:rFonts w:eastAsia="Calibri"/>
                <w:sz w:val="22"/>
              </w:rPr>
            </w:pPr>
            <w:r w:rsidRPr="00EB11D3">
              <w:rPr>
                <w:rFonts w:eastAsia="Calibri"/>
                <w:sz w:val="22"/>
              </w:rPr>
              <w:t>4</w:t>
            </w:r>
          </w:p>
        </w:tc>
        <w:tc>
          <w:tcPr>
            <w:tcW w:w="1237" w:type="dxa"/>
            <w:shd w:val="clear" w:color="auto" w:fill="auto"/>
            <w:noWrap/>
          </w:tcPr>
          <w:p w14:paraId="257B9F00" w14:textId="77777777" w:rsidR="000A730C" w:rsidRPr="00EB11D3" w:rsidRDefault="001A7BBD" w:rsidP="000A730C">
            <w:pPr>
              <w:spacing w:after="0" w:line="240" w:lineRule="auto"/>
              <w:jc w:val="left"/>
              <w:rPr>
                <w:rFonts w:eastAsia="Calibri"/>
                <w:sz w:val="22"/>
              </w:rPr>
            </w:pPr>
            <w:r w:rsidRPr="00EB11D3">
              <w:rPr>
                <w:rFonts w:eastAsia="Calibri"/>
                <w:sz w:val="22"/>
              </w:rPr>
              <w:t>Kilifi</w:t>
            </w:r>
          </w:p>
        </w:tc>
        <w:tc>
          <w:tcPr>
            <w:tcW w:w="1889" w:type="dxa"/>
            <w:shd w:val="clear" w:color="auto" w:fill="auto"/>
            <w:noWrap/>
          </w:tcPr>
          <w:p w14:paraId="128F8D8F" w14:textId="77777777" w:rsidR="000A730C" w:rsidRPr="00EB11D3" w:rsidRDefault="001A7BBD" w:rsidP="000A730C">
            <w:pPr>
              <w:spacing w:after="0" w:line="240" w:lineRule="auto"/>
              <w:jc w:val="left"/>
              <w:rPr>
                <w:rFonts w:eastAsia="Calibri"/>
                <w:sz w:val="22"/>
              </w:rPr>
            </w:pPr>
            <w:r w:rsidRPr="00EB11D3">
              <w:rPr>
                <w:rFonts w:eastAsia="Calibri"/>
                <w:sz w:val="22"/>
              </w:rPr>
              <w:t>Kilifi South</w:t>
            </w:r>
          </w:p>
        </w:tc>
        <w:tc>
          <w:tcPr>
            <w:tcW w:w="1914" w:type="dxa"/>
            <w:shd w:val="clear" w:color="auto" w:fill="auto"/>
            <w:noWrap/>
          </w:tcPr>
          <w:p w14:paraId="28365029" w14:textId="77777777" w:rsidR="000A730C" w:rsidRPr="00EB11D3" w:rsidRDefault="001A7BBD" w:rsidP="000A730C">
            <w:pPr>
              <w:spacing w:after="0" w:line="240" w:lineRule="auto"/>
              <w:jc w:val="left"/>
              <w:rPr>
                <w:rFonts w:eastAsia="Calibri"/>
                <w:sz w:val="22"/>
              </w:rPr>
            </w:pPr>
            <w:r w:rsidRPr="00EB11D3">
              <w:rPr>
                <w:rFonts w:eastAsia="Calibri"/>
                <w:sz w:val="22"/>
              </w:rPr>
              <w:t>Shimo la Tewa</w:t>
            </w:r>
          </w:p>
        </w:tc>
      </w:tr>
      <w:tr w:rsidR="0039483D" w:rsidRPr="00EB11D3" w14:paraId="312618F9" w14:textId="77777777" w:rsidTr="007A43C6">
        <w:trPr>
          <w:trHeight w:val="300"/>
        </w:trPr>
        <w:tc>
          <w:tcPr>
            <w:tcW w:w="564" w:type="dxa"/>
            <w:shd w:val="clear" w:color="auto" w:fill="auto"/>
            <w:noWrap/>
          </w:tcPr>
          <w:p w14:paraId="1DE85A70" w14:textId="77777777" w:rsidR="000A730C" w:rsidRPr="00EB11D3" w:rsidRDefault="000A730C" w:rsidP="000A730C">
            <w:pPr>
              <w:spacing w:after="0" w:line="240" w:lineRule="auto"/>
              <w:jc w:val="left"/>
              <w:rPr>
                <w:rFonts w:eastAsia="Calibri"/>
                <w:sz w:val="22"/>
              </w:rPr>
            </w:pPr>
            <w:r w:rsidRPr="00EB11D3">
              <w:rPr>
                <w:rFonts w:eastAsia="Calibri"/>
                <w:sz w:val="22"/>
                <w:lang w:val="zh-CN"/>
              </w:rPr>
              <w:t>1</w:t>
            </w:r>
            <w:r w:rsidRPr="00EB11D3">
              <w:rPr>
                <w:rFonts w:eastAsia="Calibri"/>
                <w:sz w:val="22"/>
              </w:rPr>
              <w:t>1</w:t>
            </w:r>
            <w:r w:rsidR="00706A7E" w:rsidRPr="00EB11D3">
              <w:rPr>
                <w:rFonts w:eastAsia="Calibri"/>
                <w:sz w:val="22"/>
              </w:rPr>
              <w:t>2</w:t>
            </w:r>
          </w:p>
        </w:tc>
        <w:tc>
          <w:tcPr>
            <w:tcW w:w="2477" w:type="dxa"/>
            <w:shd w:val="clear" w:color="auto" w:fill="auto"/>
            <w:noWrap/>
          </w:tcPr>
          <w:p w14:paraId="75E23BF2"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Kapsowar (AIC) Hospital</w:t>
            </w:r>
          </w:p>
        </w:tc>
        <w:tc>
          <w:tcPr>
            <w:tcW w:w="1269" w:type="dxa"/>
            <w:shd w:val="clear" w:color="auto" w:fill="auto"/>
            <w:noWrap/>
          </w:tcPr>
          <w:p w14:paraId="0322BB23" w14:textId="77777777" w:rsidR="000A730C" w:rsidRPr="00EB11D3" w:rsidRDefault="000A730C" w:rsidP="000A730C">
            <w:pPr>
              <w:spacing w:after="0" w:line="240" w:lineRule="auto"/>
              <w:jc w:val="center"/>
              <w:rPr>
                <w:rFonts w:eastAsia="Calibri"/>
                <w:sz w:val="22"/>
                <w:lang w:val="zh-CN"/>
              </w:rPr>
            </w:pPr>
            <w:r w:rsidRPr="00EB11D3">
              <w:rPr>
                <w:rFonts w:eastAsia="Calibri"/>
                <w:sz w:val="22"/>
                <w:lang w:val="zh-CN"/>
              </w:rPr>
              <w:t>5</w:t>
            </w:r>
          </w:p>
        </w:tc>
        <w:tc>
          <w:tcPr>
            <w:tcW w:w="1237" w:type="dxa"/>
            <w:shd w:val="clear" w:color="auto" w:fill="auto"/>
            <w:noWrap/>
          </w:tcPr>
          <w:p w14:paraId="6671E9BB"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Elgeyo Marakwet </w:t>
            </w:r>
          </w:p>
        </w:tc>
        <w:tc>
          <w:tcPr>
            <w:tcW w:w="1889" w:type="dxa"/>
            <w:shd w:val="clear" w:color="auto" w:fill="auto"/>
            <w:noWrap/>
          </w:tcPr>
          <w:p w14:paraId="3B2097BC"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Marakwet West</w:t>
            </w:r>
          </w:p>
        </w:tc>
        <w:tc>
          <w:tcPr>
            <w:tcW w:w="1914" w:type="dxa"/>
            <w:shd w:val="clear" w:color="auto" w:fill="auto"/>
            <w:noWrap/>
          </w:tcPr>
          <w:p w14:paraId="6C69C7E2"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Kapsowar</w:t>
            </w:r>
          </w:p>
        </w:tc>
      </w:tr>
      <w:tr w:rsidR="0039483D" w:rsidRPr="00EB11D3" w14:paraId="5D8C21B9" w14:textId="77777777" w:rsidTr="007A43C6">
        <w:trPr>
          <w:trHeight w:val="300"/>
        </w:trPr>
        <w:tc>
          <w:tcPr>
            <w:tcW w:w="564" w:type="dxa"/>
            <w:shd w:val="clear" w:color="auto" w:fill="auto"/>
            <w:noWrap/>
          </w:tcPr>
          <w:p w14:paraId="1D98C347" w14:textId="77777777" w:rsidR="000A730C" w:rsidRPr="00EB11D3" w:rsidRDefault="000A730C" w:rsidP="000A730C">
            <w:pPr>
              <w:spacing w:after="0" w:line="240" w:lineRule="auto"/>
              <w:jc w:val="left"/>
              <w:rPr>
                <w:rFonts w:eastAsia="Calibri"/>
                <w:sz w:val="22"/>
              </w:rPr>
            </w:pPr>
            <w:r w:rsidRPr="00EB11D3">
              <w:rPr>
                <w:rFonts w:eastAsia="Calibri"/>
                <w:sz w:val="22"/>
                <w:lang w:val="zh-CN"/>
              </w:rPr>
              <w:t>1</w:t>
            </w:r>
            <w:r w:rsidRPr="00EB11D3">
              <w:rPr>
                <w:rFonts w:eastAsia="Calibri"/>
                <w:sz w:val="22"/>
              </w:rPr>
              <w:t>1</w:t>
            </w:r>
            <w:r w:rsidR="00706A7E" w:rsidRPr="00EB11D3">
              <w:rPr>
                <w:rFonts w:eastAsia="Calibri"/>
                <w:sz w:val="22"/>
              </w:rPr>
              <w:t>3</w:t>
            </w:r>
          </w:p>
        </w:tc>
        <w:tc>
          <w:tcPr>
            <w:tcW w:w="2477" w:type="dxa"/>
            <w:shd w:val="clear" w:color="auto" w:fill="auto"/>
            <w:noWrap/>
          </w:tcPr>
          <w:p w14:paraId="088844D3"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Tenwek Mission Hospital</w:t>
            </w:r>
          </w:p>
        </w:tc>
        <w:tc>
          <w:tcPr>
            <w:tcW w:w="1269" w:type="dxa"/>
            <w:shd w:val="clear" w:color="auto" w:fill="auto"/>
            <w:noWrap/>
          </w:tcPr>
          <w:p w14:paraId="6EC517CF" w14:textId="77777777" w:rsidR="000A730C" w:rsidRPr="00EB11D3" w:rsidRDefault="000A730C" w:rsidP="000A730C">
            <w:pPr>
              <w:spacing w:after="0" w:line="240" w:lineRule="auto"/>
              <w:jc w:val="center"/>
              <w:rPr>
                <w:rFonts w:eastAsia="Calibri"/>
                <w:sz w:val="22"/>
                <w:lang w:val="zh-CN"/>
              </w:rPr>
            </w:pPr>
            <w:r w:rsidRPr="00EB11D3">
              <w:rPr>
                <w:rFonts w:eastAsia="Calibri"/>
                <w:sz w:val="22"/>
                <w:lang w:val="zh-CN"/>
              </w:rPr>
              <w:t>5</w:t>
            </w:r>
          </w:p>
        </w:tc>
        <w:tc>
          <w:tcPr>
            <w:tcW w:w="1237" w:type="dxa"/>
            <w:shd w:val="clear" w:color="auto" w:fill="auto"/>
            <w:noWrap/>
          </w:tcPr>
          <w:p w14:paraId="1A2F5324"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Bomet </w:t>
            </w:r>
          </w:p>
        </w:tc>
        <w:tc>
          <w:tcPr>
            <w:tcW w:w="1889" w:type="dxa"/>
            <w:shd w:val="clear" w:color="auto" w:fill="auto"/>
            <w:noWrap/>
          </w:tcPr>
          <w:p w14:paraId="249557FC"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Bomet Central</w:t>
            </w:r>
          </w:p>
        </w:tc>
        <w:tc>
          <w:tcPr>
            <w:tcW w:w="1914" w:type="dxa"/>
            <w:shd w:val="clear" w:color="auto" w:fill="auto"/>
            <w:noWrap/>
          </w:tcPr>
          <w:p w14:paraId="105D121A" w14:textId="77777777" w:rsidR="000A730C" w:rsidRPr="00EB11D3" w:rsidRDefault="000A730C" w:rsidP="000A730C">
            <w:pPr>
              <w:spacing w:after="0" w:line="240" w:lineRule="auto"/>
              <w:jc w:val="left"/>
              <w:rPr>
                <w:rFonts w:eastAsia="Calibri"/>
                <w:sz w:val="22"/>
                <w:lang w:val="zh-CN"/>
              </w:rPr>
            </w:pPr>
            <w:r w:rsidRPr="00EB11D3">
              <w:rPr>
                <w:rFonts w:eastAsia="Calibri"/>
                <w:sz w:val="22"/>
                <w:lang w:val="zh-CN"/>
              </w:rPr>
              <w:t>Silibwet Township</w:t>
            </w:r>
          </w:p>
        </w:tc>
      </w:tr>
      <w:tr w:rsidR="00D637A3" w:rsidRPr="00EB11D3" w14:paraId="563B0FFF" w14:textId="77777777" w:rsidTr="007A43C6">
        <w:trPr>
          <w:trHeight w:val="300"/>
        </w:trPr>
        <w:tc>
          <w:tcPr>
            <w:tcW w:w="564" w:type="dxa"/>
            <w:shd w:val="clear" w:color="auto" w:fill="auto"/>
            <w:noWrap/>
          </w:tcPr>
          <w:p w14:paraId="63F68B79" w14:textId="77777777" w:rsidR="00D637A3" w:rsidRPr="00EB11D3" w:rsidRDefault="00D637A3" w:rsidP="000A730C">
            <w:pPr>
              <w:spacing w:after="0" w:line="240" w:lineRule="auto"/>
              <w:jc w:val="left"/>
              <w:rPr>
                <w:rFonts w:eastAsia="Calibri"/>
                <w:sz w:val="22"/>
              </w:rPr>
            </w:pPr>
            <w:r w:rsidRPr="00EB11D3">
              <w:rPr>
                <w:rFonts w:eastAsia="Calibri"/>
                <w:sz w:val="22"/>
              </w:rPr>
              <w:t>114</w:t>
            </w:r>
          </w:p>
        </w:tc>
        <w:tc>
          <w:tcPr>
            <w:tcW w:w="2477" w:type="dxa"/>
            <w:shd w:val="clear" w:color="auto" w:fill="auto"/>
            <w:noWrap/>
          </w:tcPr>
          <w:p w14:paraId="045195ED" w14:textId="77777777" w:rsidR="00D637A3" w:rsidRPr="00EB11D3" w:rsidRDefault="00D637A3" w:rsidP="000A730C">
            <w:pPr>
              <w:spacing w:after="0" w:line="240" w:lineRule="auto"/>
              <w:jc w:val="left"/>
              <w:rPr>
                <w:rFonts w:eastAsia="Calibri"/>
                <w:sz w:val="22"/>
              </w:rPr>
            </w:pPr>
            <w:r w:rsidRPr="00EB11D3">
              <w:rPr>
                <w:rFonts w:eastAsia="Calibri"/>
                <w:sz w:val="22"/>
              </w:rPr>
              <w:t>St. John of God Tingania</w:t>
            </w:r>
          </w:p>
        </w:tc>
        <w:tc>
          <w:tcPr>
            <w:tcW w:w="1269" w:type="dxa"/>
            <w:shd w:val="clear" w:color="auto" w:fill="auto"/>
            <w:noWrap/>
          </w:tcPr>
          <w:p w14:paraId="48F146F7" w14:textId="77777777" w:rsidR="00D637A3" w:rsidRPr="00EB11D3" w:rsidRDefault="00D637A3" w:rsidP="000A730C">
            <w:pPr>
              <w:spacing w:after="0" w:line="240" w:lineRule="auto"/>
              <w:jc w:val="center"/>
              <w:rPr>
                <w:rFonts w:eastAsia="Calibri"/>
                <w:sz w:val="22"/>
              </w:rPr>
            </w:pPr>
            <w:r w:rsidRPr="00EB11D3">
              <w:rPr>
                <w:rFonts w:eastAsia="Calibri"/>
                <w:sz w:val="22"/>
              </w:rPr>
              <w:t>4</w:t>
            </w:r>
          </w:p>
        </w:tc>
        <w:tc>
          <w:tcPr>
            <w:tcW w:w="1237" w:type="dxa"/>
            <w:shd w:val="clear" w:color="auto" w:fill="auto"/>
            <w:noWrap/>
          </w:tcPr>
          <w:p w14:paraId="6B3C4F77" w14:textId="77777777" w:rsidR="00D637A3" w:rsidRPr="00EB11D3" w:rsidRDefault="00D637A3" w:rsidP="000A730C">
            <w:pPr>
              <w:spacing w:after="0" w:line="240" w:lineRule="auto"/>
              <w:jc w:val="left"/>
              <w:rPr>
                <w:rFonts w:eastAsia="Calibri"/>
                <w:sz w:val="22"/>
              </w:rPr>
            </w:pPr>
            <w:r w:rsidRPr="00EB11D3">
              <w:rPr>
                <w:rFonts w:eastAsia="Calibri"/>
                <w:sz w:val="22"/>
              </w:rPr>
              <w:t>Meru</w:t>
            </w:r>
          </w:p>
        </w:tc>
        <w:tc>
          <w:tcPr>
            <w:tcW w:w="1889" w:type="dxa"/>
            <w:shd w:val="clear" w:color="auto" w:fill="auto"/>
            <w:noWrap/>
          </w:tcPr>
          <w:p w14:paraId="03C16AFD" w14:textId="77777777" w:rsidR="00D637A3" w:rsidRPr="00EB11D3" w:rsidRDefault="00D637A3" w:rsidP="000A730C">
            <w:pPr>
              <w:spacing w:after="0" w:line="240" w:lineRule="auto"/>
              <w:jc w:val="left"/>
              <w:rPr>
                <w:rFonts w:eastAsia="Calibri"/>
                <w:sz w:val="22"/>
              </w:rPr>
            </w:pPr>
            <w:r w:rsidRPr="00EB11D3">
              <w:rPr>
                <w:rFonts w:eastAsia="Calibri"/>
                <w:sz w:val="22"/>
              </w:rPr>
              <w:t>Tigania East</w:t>
            </w:r>
          </w:p>
        </w:tc>
        <w:tc>
          <w:tcPr>
            <w:tcW w:w="1914" w:type="dxa"/>
            <w:shd w:val="clear" w:color="auto" w:fill="auto"/>
            <w:noWrap/>
          </w:tcPr>
          <w:p w14:paraId="2E322ED3" w14:textId="77777777" w:rsidR="00D637A3" w:rsidRPr="00EB11D3" w:rsidRDefault="00D637A3" w:rsidP="000A730C">
            <w:pPr>
              <w:spacing w:after="0" w:line="240" w:lineRule="auto"/>
              <w:jc w:val="left"/>
              <w:rPr>
                <w:rFonts w:eastAsia="DengXian"/>
                <w:sz w:val="22"/>
                <w:lang w:eastAsia="zh-CN"/>
              </w:rPr>
            </w:pPr>
            <w:r w:rsidRPr="00EB11D3">
              <w:rPr>
                <w:rFonts w:eastAsia="DengXian"/>
                <w:sz w:val="22"/>
                <w:lang w:eastAsia="zh-CN"/>
              </w:rPr>
              <w:t>Muthara</w:t>
            </w:r>
          </w:p>
        </w:tc>
      </w:tr>
      <w:tr w:rsidR="00301D6C" w:rsidRPr="00EB11D3" w14:paraId="4737F40A" w14:textId="77777777" w:rsidTr="007A43C6">
        <w:trPr>
          <w:trHeight w:val="300"/>
        </w:trPr>
        <w:tc>
          <w:tcPr>
            <w:tcW w:w="564" w:type="dxa"/>
            <w:shd w:val="clear" w:color="auto" w:fill="auto"/>
            <w:noWrap/>
          </w:tcPr>
          <w:p w14:paraId="32E17E15" w14:textId="77777777" w:rsidR="00301D6C" w:rsidRPr="00EB11D3" w:rsidRDefault="00301D6C" w:rsidP="000A730C">
            <w:pPr>
              <w:spacing w:after="0" w:line="240" w:lineRule="auto"/>
              <w:jc w:val="left"/>
              <w:rPr>
                <w:rFonts w:eastAsia="Calibri"/>
                <w:sz w:val="22"/>
              </w:rPr>
            </w:pPr>
            <w:r w:rsidRPr="00EB11D3">
              <w:rPr>
                <w:rFonts w:eastAsia="Calibri"/>
                <w:sz w:val="22"/>
              </w:rPr>
              <w:t>115</w:t>
            </w:r>
          </w:p>
        </w:tc>
        <w:tc>
          <w:tcPr>
            <w:tcW w:w="2477" w:type="dxa"/>
            <w:shd w:val="clear" w:color="auto" w:fill="auto"/>
            <w:noWrap/>
          </w:tcPr>
          <w:p w14:paraId="0FAEBA4F" w14:textId="77777777" w:rsidR="00301D6C" w:rsidRPr="00EB11D3" w:rsidRDefault="00301D6C" w:rsidP="000A730C">
            <w:pPr>
              <w:spacing w:after="0" w:line="240" w:lineRule="auto"/>
              <w:jc w:val="left"/>
              <w:rPr>
                <w:rFonts w:eastAsia="Calibri"/>
                <w:sz w:val="22"/>
              </w:rPr>
            </w:pPr>
            <w:r w:rsidRPr="00EB11D3">
              <w:rPr>
                <w:rFonts w:eastAsia="Calibri"/>
                <w:sz w:val="22"/>
              </w:rPr>
              <w:t xml:space="preserve">Dolphil Nursing and </w:t>
            </w:r>
            <w:r w:rsidR="002F13F2" w:rsidRPr="00EB11D3">
              <w:rPr>
                <w:rFonts w:eastAsia="Calibri"/>
                <w:sz w:val="22"/>
              </w:rPr>
              <w:t>Maternity</w:t>
            </w:r>
            <w:r w:rsidRPr="00EB11D3">
              <w:rPr>
                <w:rFonts w:eastAsia="Calibri"/>
                <w:sz w:val="22"/>
              </w:rPr>
              <w:t xml:space="preserve"> Home</w:t>
            </w:r>
          </w:p>
        </w:tc>
        <w:tc>
          <w:tcPr>
            <w:tcW w:w="1269" w:type="dxa"/>
            <w:shd w:val="clear" w:color="auto" w:fill="auto"/>
            <w:noWrap/>
          </w:tcPr>
          <w:p w14:paraId="3D2E1189" w14:textId="77777777" w:rsidR="00301D6C" w:rsidRPr="00EB11D3" w:rsidRDefault="00301D6C" w:rsidP="000A730C">
            <w:pPr>
              <w:spacing w:after="0" w:line="240" w:lineRule="auto"/>
              <w:jc w:val="center"/>
              <w:rPr>
                <w:rFonts w:eastAsia="Calibri"/>
                <w:sz w:val="22"/>
              </w:rPr>
            </w:pPr>
            <w:r w:rsidRPr="00EB11D3">
              <w:rPr>
                <w:rFonts w:eastAsia="Calibri"/>
                <w:sz w:val="22"/>
              </w:rPr>
              <w:t>4</w:t>
            </w:r>
          </w:p>
        </w:tc>
        <w:tc>
          <w:tcPr>
            <w:tcW w:w="1237" w:type="dxa"/>
            <w:shd w:val="clear" w:color="auto" w:fill="auto"/>
            <w:noWrap/>
          </w:tcPr>
          <w:p w14:paraId="2B638E63" w14:textId="77777777" w:rsidR="00301D6C" w:rsidRPr="00EB11D3" w:rsidRDefault="00301D6C" w:rsidP="000A730C">
            <w:pPr>
              <w:spacing w:after="0" w:line="240" w:lineRule="auto"/>
              <w:jc w:val="left"/>
              <w:rPr>
                <w:rFonts w:eastAsia="Calibri"/>
                <w:sz w:val="22"/>
              </w:rPr>
            </w:pPr>
            <w:r w:rsidRPr="00EB11D3">
              <w:rPr>
                <w:rFonts w:eastAsia="Calibri"/>
                <w:sz w:val="22"/>
              </w:rPr>
              <w:t>Siaya</w:t>
            </w:r>
          </w:p>
        </w:tc>
        <w:tc>
          <w:tcPr>
            <w:tcW w:w="1889" w:type="dxa"/>
            <w:shd w:val="clear" w:color="auto" w:fill="auto"/>
            <w:noWrap/>
          </w:tcPr>
          <w:p w14:paraId="255A28BC" w14:textId="77777777" w:rsidR="00301D6C" w:rsidRPr="00EB11D3" w:rsidRDefault="00301D6C" w:rsidP="000A730C">
            <w:pPr>
              <w:spacing w:after="0" w:line="240" w:lineRule="auto"/>
              <w:jc w:val="left"/>
              <w:rPr>
                <w:rFonts w:eastAsia="Calibri"/>
                <w:sz w:val="22"/>
              </w:rPr>
            </w:pPr>
            <w:r w:rsidRPr="00EB11D3">
              <w:rPr>
                <w:rFonts w:eastAsia="Calibri"/>
                <w:sz w:val="22"/>
              </w:rPr>
              <w:t>Gem</w:t>
            </w:r>
          </w:p>
        </w:tc>
        <w:tc>
          <w:tcPr>
            <w:tcW w:w="1914" w:type="dxa"/>
            <w:shd w:val="clear" w:color="auto" w:fill="auto"/>
            <w:noWrap/>
          </w:tcPr>
          <w:p w14:paraId="0ED973B1" w14:textId="77777777" w:rsidR="00301D6C" w:rsidRPr="00EB11D3" w:rsidRDefault="00301D6C" w:rsidP="000A730C">
            <w:pPr>
              <w:spacing w:after="0" w:line="240" w:lineRule="auto"/>
              <w:jc w:val="left"/>
              <w:rPr>
                <w:rFonts w:eastAsia="DengXian"/>
                <w:sz w:val="22"/>
                <w:lang w:eastAsia="zh-CN"/>
              </w:rPr>
            </w:pPr>
            <w:r w:rsidRPr="00EB11D3">
              <w:rPr>
                <w:rFonts w:eastAsia="DengXian"/>
                <w:sz w:val="22"/>
                <w:lang w:eastAsia="zh-CN"/>
              </w:rPr>
              <w:t>East Gem</w:t>
            </w:r>
          </w:p>
        </w:tc>
      </w:tr>
    </w:tbl>
    <w:p w14:paraId="4899F9F3" w14:textId="77777777" w:rsidR="00DC0D7C" w:rsidRPr="00AD2981" w:rsidRDefault="00212BDF">
      <w:pPr>
        <w:spacing w:line="259" w:lineRule="auto"/>
        <w:jc w:val="left"/>
        <w:rPr>
          <w:b/>
          <w:szCs w:val="24"/>
        </w:rPr>
      </w:pPr>
      <w:r w:rsidRPr="00EB11D3">
        <w:rPr>
          <w:b/>
          <w:szCs w:val="24"/>
        </w:rPr>
        <w:t>Source: Kenya Master Health Facility List (</w:t>
      </w:r>
      <w:r w:rsidR="00D775DE" w:rsidRPr="00EB11D3">
        <w:rPr>
          <w:b/>
          <w:szCs w:val="24"/>
        </w:rPr>
        <w:t>2023</w:t>
      </w:r>
      <w:r w:rsidRPr="00EB11D3">
        <w:rPr>
          <w:b/>
          <w:szCs w:val="24"/>
        </w:rPr>
        <w:t>)</w:t>
      </w:r>
    </w:p>
    <w:p w14:paraId="5616C2B5" w14:textId="77777777" w:rsidR="00DC0D7C" w:rsidRPr="00AD2981" w:rsidRDefault="00DC0D7C">
      <w:pPr>
        <w:spacing w:before="59" w:after="0"/>
        <w:rPr>
          <w:szCs w:val="24"/>
        </w:rPr>
      </w:pPr>
    </w:p>
    <w:p w14:paraId="42387504" w14:textId="77777777" w:rsidR="00DC0D7C" w:rsidRPr="00AD2981" w:rsidRDefault="00DC0D7C">
      <w:pPr>
        <w:rPr>
          <w:szCs w:val="24"/>
        </w:rPr>
      </w:pPr>
    </w:p>
    <w:p w14:paraId="0AEDFD70" w14:textId="77777777" w:rsidR="00DC0D7C" w:rsidRPr="00AD2981" w:rsidRDefault="00DC0D7C">
      <w:pPr>
        <w:rPr>
          <w:szCs w:val="24"/>
        </w:rPr>
      </w:pPr>
    </w:p>
    <w:sectPr w:rsidR="00DC0D7C" w:rsidRPr="00AD2981" w:rsidSect="005F6C6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1E553EA" w14:textId="77777777" w:rsidR="00FA37F8" w:rsidRDefault="00FA37F8">
      <w:pPr>
        <w:spacing w:line="240" w:lineRule="auto"/>
      </w:pPr>
      <w:r>
        <w:separator/>
      </w:r>
    </w:p>
  </w:endnote>
  <w:endnote w:type="continuationSeparator" w:id="0">
    <w:p w14:paraId="5CF07E3F" w14:textId="77777777" w:rsidR="00FA37F8" w:rsidRDefault="00FA37F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DengXian Light">
    <w:panose1 w:val="02010600030101010101"/>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n-ea">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A6320E" w14:textId="77777777" w:rsidR="00BF7C29" w:rsidRDefault="00BF7C29">
    <w:pPr>
      <w:pStyle w:val="Footer"/>
      <w:jc w:val="center"/>
      <w:rPr>
        <w:szCs w:val="24"/>
      </w:rPr>
    </w:pPr>
    <w:r>
      <w:rPr>
        <w:szCs w:val="24"/>
      </w:rPr>
      <w:fldChar w:fldCharType="begin"/>
    </w:r>
    <w:r>
      <w:rPr>
        <w:szCs w:val="24"/>
      </w:rPr>
      <w:instrText xml:space="preserve"> PAGE   \* MERGEFORMAT </w:instrText>
    </w:r>
    <w:r>
      <w:rPr>
        <w:szCs w:val="24"/>
      </w:rPr>
      <w:fldChar w:fldCharType="separate"/>
    </w:r>
    <w:r w:rsidR="00843793">
      <w:rPr>
        <w:noProof/>
        <w:szCs w:val="24"/>
      </w:rPr>
      <w:t>xi</w:t>
    </w:r>
    <w:r>
      <w:rPr>
        <w:szCs w:val="24"/>
      </w:rPr>
      <w:fldChar w:fldCharType="end"/>
    </w:r>
  </w:p>
  <w:p w14:paraId="3BDAF7C3" w14:textId="77777777" w:rsidR="00BF7C29" w:rsidRDefault="00BF7C2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9F1230" w14:textId="77777777" w:rsidR="00BF7C29" w:rsidRDefault="00BF7C29">
    <w:pPr>
      <w:pStyle w:val="Footer"/>
      <w:jc w:val="center"/>
    </w:pPr>
    <w:r>
      <w:fldChar w:fldCharType="begin"/>
    </w:r>
    <w:r>
      <w:instrText xml:space="preserve"> PAGE   \* MERGEFORMAT </w:instrText>
    </w:r>
    <w:r>
      <w:fldChar w:fldCharType="separate"/>
    </w:r>
    <w:r w:rsidR="00843793">
      <w:rPr>
        <w:noProof/>
      </w:rPr>
      <w:t>37</w:t>
    </w:r>
    <w:r>
      <w:fldChar w:fldCharType="end"/>
    </w:r>
  </w:p>
  <w:p w14:paraId="3F898FA8" w14:textId="77777777" w:rsidR="00BF7C29" w:rsidRDefault="00BF7C29">
    <w:pPr>
      <w:spacing w:line="0" w:lineRule="atLeast"/>
      <w:rPr>
        <w:sz w:val="0"/>
        <w:szCs w:val="0"/>
      </w:rPr>
    </w:pPr>
  </w:p>
  <w:p w14:paraId="1B59002B" w14:textId="77777777" w:rsidR="00BF7C29" w:rsidRDefault="00BF7C2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0687837" w14:textId="77777777" w:rsidR="00FA37F8" w:rsidRDefault="00FA37F8">
      <w:pPr>
        <w:spacing w:after="0"/>
      </w:pPr>
      <w:r>
        <w:separator/>
      </w:r>
    </w:p>
  </w:footnote>
  <w:footnote w:type="continuationSeparator" w:id="0">
    <w:p w14:paraId="007E7EC7" w14:textId="77777777" w:rsidR="00FA37F8" w:rsidRDefault="00FA37F8">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7F084C"/>
    <w:multiLevelType w:val="hybridMultilevel"/>
    <w:tmpl w:val="AD02AD8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14FB0B34"/>
    <w:multiLevelType w:val="multilevel"/>
    <w:tmpl w:val="14FB0B34"/>
    <w:lvl w:ilvl="0">
      <w:start w:val="1"/>
      <w:numFmt w:val="lowerRoman"/>
      <w:lvlText w:val="%1."/>
      <w:lvlJc w:val="righ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3F99156B"/>
    <w:multiLevelType w:val="hybridMultilevel"/>
    <w:tmpl w:val="49268D5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7AA734FD"/>
    <w:multiLevelType w:val="hybridMultilevel"/>
    <w:tmpl w:val="1B96B3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36010695">
    <w:abstractNumId w:val="1"/>
  </w:num>
  <w:num w:numId="2" w16cid:durableId="1046176432">
    <w:abstractNumId w:val="0"/>
  </w:num>
  <w:num w:numId="3" w16cid:durableId="1247302456">
    <w:abstractNumId w:val="2"/>
  </w:num>
  <w:num w:numId="4" w16cid:durableId="1624995527">
    <w:abstractNumId w:val="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8"/>
  <w:attachedTemplate r:id="rId1"/>
  <w:defaultTabStop w:val="720"/>
  <w:characterSpacingControl w:val="doNotCompress"/>
  <w:hdrShapeDefaults>
    <o:shapedefaults v:ext="edit" spidmax="2073" fillcolor="white">
      <v:fill color="white"/>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jMyB2IzSwsDc3MjIyUdpeDU4uLM/DyQAiOjWgAC51b3LQAAAA=="/>
  </w:docVars>
  <w:rsids>
    <w:rsidRoot w:val="006B3D84"/>
    <w:rsid w:val="0000002B"/>
    <w:rsid w:val="0000059C"/>
    <w:rsid w:val="00000C66"/>
    <w:rsid w:val="000010D3"/>
    <w:rsid w:val="000010E9"/>
    <w:rsid w:val="00002DE6"/>
    <w:rsid w:val="0000436C"/>
    <w:rsid w:val="0000462C"/>
    <w:rsid w:val="00004F82"/>
    <w:rsid w:val="000058F4"/>
    <w:rsid w:val="00006083"/>
    <w:rsid w:val="0000641A"/>
    <w:rsid w:val="0000661C"/>
    <w:rsid w:val="000070C7"/>
    <w:rsid w:val="000077AC"/>
    <w:rsid w:val="00007E09"/>
    <w:rsid w:val="00010734"/>
    <w:rsid w:val="00010A16"/>
    <w:rsid w:val="00010BAF"/>
    <w:rsid w:val="000118DF"/>
    <w:rsid w:val="0001196C"/>
    <w:rsid w:val="00011D67"/>
    <w:rsid w:val="0001411F"/>
    <w:rsid w:val="0001440B"/>
    <w:rsid w:val="000169ED"/>
    <w:rsid w:val="00016BD0"/>
    <w:rsid w:val="00017BB6"/>
    <w:rsid w:val="000209E4"/>
    <w:rsid w:val="00020C78"/>
    <w:rsid w:val="00021EDA"/>
    <w:rsid w:val="0002206B"/>
    <w:rsid w:val="000244D6"/>
    <w:rsid w:val="0002522A"/>
    <w:rsid w:val="00025950"/>
    <w:rsid w:val="000265C6"/>
    <w:rsid w:val="00027DAF"/>
    <w:rsid w:val="0003052E"/>
    <w:rsid w:val="0003097B"/>
    <w:rsid w:val="00032DEB"/>
    <w:rsid w:val="00033935"/>
    <w:rsid w:val="000347DC"/>
    <w:rsid w:val="00034EBC"/>
    <w:rsid w:val="00035239"/>
    <w:rsid w:val="00035B2F"/>
    <w:rsid w:val="000368A9"/>
    <w:rsid w:val="00037D8C"/>
    <w:rsid w:val="00040553"/>
    <w:rsid w:val="00041F01"/>
    <w:rsid w:val="000424DD"/>
    <w:rsid w:val="00042AB7"/>
    <w:rsid w:val="000436E0"/>
    <w:rsid w:val="00043A6D"/>
    <w:rsid w:val="00043B2E"/>
    <w:rsid w:val="00044112"/>
    <w:rsid w:val="00044EA9"/>
    <w:rsid w:val="00046AB1"/>
    <w:rsid w:val="00047E40"/>
    <w:rsid w:val="00050679"/>
    <w:rsid w:val="00050900"/>
    <w:rsid w:val="00051326"/>
    <w:rsid w:val="0005231E"/>
    <w:rsid w:val="00052363"/>
    <w:rsid w:val="00052672"/>
    <w:rsid w:val="00052AD2"/>
    <w:rsid w:val="00052E68"/>
    <w:rsid w:val="000549E5"/>
    <w:rsid w:val="000551D9"/>
    <w:rsid w:val="0005551C"/>
    <w:rsid w:val="000568C6"/>
    <w:rsid w:val="00057D11"/>
    <w:rsid w:val="00060454"/>
    <w:rsid w:val="0006129D"/>
    <w:rsid w:val="00061CF7"/>
    <w:rsid w:val="00061E42"/>
    <w:rsid w:val="00062729"/>
    <w:rsid w:val="00062FE3"/>
    <w:rsid w:val="00064E53"/>
    <w:rsid w:val="00065140"/>
    <w:rsid w:val="000656E5"/>
    <w:rsid w:val="00065B34"/>
    <w:rsid w:val="00066328"/>
    <w:rsid w:val="00067477"/>
    <w:rsid w:val="00067840"/>
    <w:rsid w:val="000678E6"/>
    <w:rsid w:val="000704D6"/>
    <w:rsid w:val="00070707"/>
    <w:rsid w:val="00071213"/>
    <w:rsid w:val="000715AB"/>
    <w:rsid w:val="00072AD1"/>
    <w:rsid w:val="00072F70"/>
    <w:rsid w:val="000737CE"/>
    <w:rsid w:val="0007436E"/>
    <w:rsid w:val="00074F4C"/>
    <w:rsid w:val="000754B9"/>
    <w:rsid w:val="0007583A"/>
    <w:rsid w:val="000760FC"/>
    <w:rsid w:val="000769D8"/>
    <w:rsid w:val="00076A33"/>
    <w:rsid w:val="0007742A"/>
    <w:rsid w:val="00077624"/>
    <w:rsid w:val="00077AB7"/>
    <w:rsid w:val="00077DC8"/>
    <w:rsid w:val="00077DDD"/>
    <w:rsid w:val="00080B3D"/>
    <w:rsid w:val="00081CE8"/>
    <w:rsid w:val="00082DDD"/>
    <w:rsid w:val="00083F07"/>
    <w:rsid w:val="00084262"/>
    <w:rsid w:val="00084870"/>
    <w:rsid w:val="000870A7"/>
    <w:rsid w:val="00087C48"/>
    <w:rsid w:val="00090C25"/>
    <w:rsid w:val="00090D43"/>
    <w:rsid w:val="00091C8D"/>
    <w:rsid w:val="00091F58"/>
    <w:rsid w:val="000922C6"/>
    <w:rsid w:val="00092B22"/>
    <w:rsid w:val="0009422E"/>
    <w:rsid w:val="00094AFC"/>
    <w:rsid w:val="00094CDA"/>
    <w:rsid w:val="000953E2"/>
    <w:rsid w:val="0009683A"/>
    <w:rsid w:val="00097404"/>
    <w:rsid w:val="00097CEE"/>
    <w:rsid w:val="000A0421"/>
    <w:rsid w:val="000A1238"/>
    <w:rsid w:val="000A18D7"/>
    <w:rsid w:val="000A27FB"/>
    <w:rsid w:val="000A2D67"/>
    <w:rsid w:val="000A3CC0"/>
    <w:rsid w:val="000A3D4D"/>
    <w:rsid w:val="000A49C7"/>
    <w:rsid w:val="000A4ADF"/>
    <w:rsid w:val="000A4BA3"/>
    <w:rsid w:val="000A5CE5"/>
    <w:rsid w:val="000A5FBD"/>
    <w:rsid w:val="000A6001"/>
    <w:rsid w:val="000A6181"/>
    <w:rsid w:val="000A64E7"/>
    <w:rsid w:val="000A6BBD"/>
    <w:rsid w:val="000A6ED6"/>
    <w:rsid w:val="000A730C"/>
    <w:rsid w:val="000A76DE"/>
    <w:rsid w:val="000A77F0"/>
    <w:rsid w:val="000A7DB4"/>
    <w:rsid w:val="000B0826"/>
    <w:rsid w:val="000B1367"/>
    <w:rsid w:val="000B167D"/>
    <w:rsid w:val="000B17B2"/>
    <w:rsid w:val="000B234D"/>
    <w:rsid w:val="000B28DE"/>
    <w:rsid w:val="000B2FC5"/>
    <w:rsid w:val="000B3466"/>
    <w:rsid w:val="000B35F0"/>
    <w:rsid w:val="000B4D4E"/>
    <w:rsid w:val="000B5128"/>
    <w:rsid w:val="000B5937"/>
    <w:rsid w:val="000B60EA"/>
    <w:rsid w:val="000B61D7"/>
    <w:rsid w:val="000B78D6"/>
    <w:rsid w:val="000B7F91"/>
    <w:rsid w:val="000C09FC"/>
    <w:rsid w:val="000C0BD7"/>
    <w:rsid w:val="000C0E7D"/>
    <w:rsid w:val="000C0F99"/>
    <w:rsid w:val="000C322C"/>
    <w:rsid w:val="000C4DB0"/>
    <w:rsid w:val="000C509A"/>
    <w:rsid w:val="000C5833"/>
    <w:rsid w:val="000C589F"/>
    <w:rsid w:val="000C65B3"/>
    <w:rsid w:val="000C6E04"/>
    <w:rsid w:val="000C751B"/>
    <w:rsid w:val="000C7A90"/>
    <w:rsid w:val="000D07C5"/>
    <w:rsid w:val="000D1015"/>
    <w:rsid w:val="000D2220"/>
    <w:rsid w:val="000D3576"/>
    <w:rsid w:val="000D4B40"/>
    <w:rsid w:val="000D4EDF"/>
    <w:rsid w:val="000D5564"/>
    <w:rsid w:val="000D666C"/>
    <w:rsid w:val="000E0003"/>
    <w:rsid w:val="000E1941"/>
    <w:rsid w:val="000E20B9"/>
    <w:rsid w:val="000E21B0"/>
    <w:rsid w:val="000E2390"/>
    <w:rsid w:val="000E2461"/>
    <w:rsid w:val="000E276A"/>
    <w:rsid w:val="000E2C14"/>
    <w:rsid w:val="000E4015"/>
    <w:rsid w:val="000E47F3"/>
    <w:rsid w:val="000E48AA"/>
    <w:rsid w:val="000E5602"/>
    <w:rsid w:val="000E638C"/>
    <w:rsid w:val="000E75C4"/>
    <w:rsid w:val="000E76DB"/>
    <w:rsid w:val="000F1549"/>
    <w:rsid w:val="000F1A06"/>
    <w:rsid w:val="000F1E1D"/>
    <w:rsid w:val="000F1EE3"/>
    <w:rsid w:val="000F276F"/>
    <w:rsid w:val="000F2AE7"/>
    <w:rsid w:val="000F2F75"/>
    <w:rsid w:val="000F3778"/>
    <w:rsid w:val="000F47B0"/>
    <w:rsid w:val="000F4B75"/>
    <w:rsid w:val="000F4C11"/>
    <w:rsid w:val="000F5749"/>
    <w:rsid w:val="000F6988"/>
    <w:rsid w:val="000F6AC2"/>
    <w:rsid w:val="000F78DD"/>
    <w:rsid w:val="000F7F0E"/>
    <w:rsid w:val="001005E9"/>
    <w:rsid w:val="00101C05"/>
    <w:rsid w:val="00101E74"/>
    <w:rsid w:val="00103FD2"/>
    <w:rsid w:val="00104903"/>
    <w:rsid w:val="00110F0D"/>
    <w:rsid w:val="00111039"/>
    <w:rsid w:val="0011177F"/>
    <w:rsid w:val="00111FE5"/>
    <w:rsid w:val="001148D9"/>
    <w:rsid w:val="00114998"/>
    <w:rsid w:val="00114D39"/>
    <w:rsid w:val="00116539"/>
    <w:rsid w:val="00116D7F"/>
    <w:rsid w:val="001173FD"/>
    <w:rsid w:val="00117D2F"/>
    <w:rsid w:val="00120818"/>
    <w:rsid w:val="00120E32"/>
    <w:rsid w:val="00120EAE"/>
    <w:rsid w:val="00121011"/>
    <w:rsid w:val="001215DC"/>
    <w:rsid w:val="00121718"/>
    <w:rsid w:val="0012198E"/>
    <w:rsid w:val="001222D9"/>
    <w:rsid w:val="00122B09"/>
    <w:rsid w:val="00122C67"/>
    <w:rsid w:val="00124B2C"/>
    <w:rsid w:val="00125875"/>
    <w:rsid w:val="00125934"/>
    <w:rsid w:val="00125B47"/>
    <w:rsid w:val="00125D9B"/>
    <w:rsid w:val="00125FC2"/>
    <w:rsid w:val="001270DE"/>
    <w:rsid w:val="001275E7"/>
    <w:rsid w:val="00127DA3"/>
    <w:rsid w:val="00127F1D"/>
    <w:rsid w:val="00127FE9"/>
    <w:rsid w:val="0013138C"/>
    <w:rsid w:val="0013281F"/>
    <w:rsid w:val="00132B2A"/>
    <w:rsid w:val="00132CAB"/>
    <w:rsid w:val="0013370F"/>
    <w:rsid w:val="001342B9"/>
    <w:rsid w:val="00134524"/>
    <w:rsid w:val="00134B5A"/>
    <w:rsid w:val="001364C1"/>
    <w:rsid w:val="00136E4E"/>
    <w:rsid w:val="00136F7F"/>
    <w:rsid w:val="0013756B"/>
    <w:rsid w:val="00137CBE"/>
    <w:rsid w:val="00137E9C"/>
    <w:rsid w:val="00140342"/>
    <w:rsid w:val="00141585"/>
    <w:rsid w:val="00141F11"/>
    <w:rsid w:val="0014257B"/>
    <w:rsid w:val="00142793"/>
    <w:rsid w:val="00142C89"/>
    <w:rsid w:val="00142F99"/>
    <w:rsid w:val="001438F4"/>
    <w:rsid w:val="0014460A"/>
    <w:rsid w:val="00144C74"/>
    <w:rsid w:val="00145BB1"/>
    <w:rsid w:val="00146C48"/>
    <w:rsid w:val="00147158"/>
    <w:rsid w:val="00147BC6"/>
    <w:rsid w:val="00152FDA"/>
    <w:rsid w:val="001531AE"/>
    <w:rsid w:val="0015344A"/>
    <w:rsid w:val="001538AC"/>
    <w:rsid w:val="00153B80"/>
    <w:rsid w:val="00154652"/>
    <w:rsid w:val="00156159"/>
    <w:rsid w:val="001577DC"/>
    <w:rsid w:val="00160EAE"/>
    <w:rsid w:val="00160FD5"/>
    <w:rsid w:val="001614B2"/>
    <w:rsid w:val="001624B2"/>
    <w:rsid w:val="00162CDB"/>
    <w:rsid w:val="00162E7C"/>
    <w:rsid w:val="0016491E"/>
    <w:rsid w:val="00164CE6"/>
    <w:rsid w:val="00165C6F"/>
    <w:rsid w:val="00166211"/>
    <w:rsid w:val="00170E8B"/>
    <w:rsid w:val="001715B6"/>
    <w:rsid w:val="001719D5"/>
    <w:rsid w:val="00174F25"/>
    <w:rsid w:val="001754DA"/>
    <w:rsid w:val="00175658"/>
    <w:rsid w:val="00176112"/>
    <w:rsid w:val="0017782A"/>
    <w:rsid w:val="00177963"/>
    <w:rsid w:val="00177DD8"/>
    <w:rsid w:val="00180149"/>
    <w:rsid w:val="00181290"/>
    <w:rsid w:val="0018175B"/>
    <w:rsid w:val="001821E2"/>
    <w:rsid w:val="00182646"/>
    <w:rsid w:val="001830DC"/>
    <w:rsid w:val="00183635"/>
    <w:rsid w:val="00183867"/>
    <w:rsid w:val="00183DF1"/>
    <w:rsid w:val="00184577"/>
    <w:rsid w:val="00184834"/>
    <w:rsid w:val="00184F6A"/>
    <w:rsid w:val="00185AA0"/>
    <w:rsid w:val="0018617E"/>
    <w:rsid w:val="00186623"/>
    <w:rsid w:val="001903B2"/>
    <w:rsid w:val="00191C3F"/>
    <w:rsid w:val="00191E64"/>
    <w:rsid w:val="00192AC6"/>
    <w:rsid w:val="00192D27"/>
    <w:rsid w:val="0019359D"/>
    <w:rsid w:val="00193AA3"/>
    <w:rsid w:val="00194370"/>
    <w:rsid w:val="001944E5"/>
    <w:rsid w:val="0019452B"/>
    <w:rsid w:val="001950AD"/>
    <w:rsid w:val="00195AA6"/>
    <w:rsid w:val="00195B09"/>
    <w:rsid w:val="00196FFC"/>
    <w:rsid w:val="0019729B"/>
    <w:rsid w:val="00197732"/>
    <w:rsid w:val="001A05D0"/>
    <w:rsid w:val="001A0CE8"/>
    <w:rsid w:val="001A0D90"/>
    <w:rsid w:val="001A0EFC"/>
    <w:rsid w:val="001A1540"/>
    <w:rsid w:val="001A1D1B"/>
    <w:rsid w:val="001A200A"/>
    <w:rsid w:val="001A24A9"/>
    <w:rsid w:val="001A2C73"/>
    <w:rsid w:val="001A3FC5"/>
    <w:rsid w:val="001A46A9"/>
    <w:rsid w:val="001A49CD"/>
    <w:rsid w:val="001A58DD"/>
    <w:rsid w:val="001A7756"/>
    <w:rsid w:val="001A7BBD"/>
    <w:rsid w:val="001A7F39"/>
    <w:rsid w:val="001B09F1"/>
    <w:rsid w:val="001B112B"/>
    <w:rsid w:val="001B11AC"/>
    <w:rsid w:val="001B199B"/>
    <w:rsid w:val="001B2B8B"/>
    <w:rsid w:val="001B3E81"/>
    <w:rsid w:val="001B4045"/>
    <w:rsid w:val="001B665C"/>
    <w:rsid w:val="001C038B"/>
    <w:rsid w:val="001C147F"/>
    <w:rsid w:val="001C14E9"/>
    <w:rsid w:val="001C2626"/>
    <w:rsid w:val="001C2675"/>
    <w:rsid w:val="001C2DA3"/>
    <w:rsid w:val="001C3405"/>
    <w:rsid w:val="001C3CF2"/>
    <w:rsid w:val="001C4587"/>
    <w:rsid w:val="001C4C15"/>
    <w:rsid w:val="001C5B7F"/>
    <w:rsid w:val="001C6075"/>
    <w:rsid w:val="001C6FD8"/>
    <w:rsid w:val="001D0079"/>
    <w:rsid w:val="001D02CE"/>
    <w:rsid w:val="001D0899"/>
    <w:rsid w:val="001D0A78"/>
    <w:rsid w:val="001D0B60"/>
    <w:rsid w:val="001D1337"/>
    <w:rsid w:val="001D1EB2"/>
    <w:rsid w:val="001D279B"/>
    <w:rsid w:val="001D2874"/>
    <w:rsid w:val="001D2A7C"/>
    <w:rsid w:val="001D2CB4"/>
    <w:rsid w:val="001D391F"/>
    <w:rsid w:val="001D3B37"/>
    <w:rsid w:val="001D467E"/>
    <w:rsid w:val="001D4CD6"/>
    <w:rsid w:val="001D6873"/>
    <w:rsid w:val="001D6AA7"/>
    <w:rsid w:val="001D7A04"/>
    <w:rsid w:val="001D7E57"/>
    <w:rsid w:val="001E0504"/>
    <w:rsid w:val="001E1D15"/>
    <w:rsid w:val="001E286C"/>
    <w:rsid w:val="001E4027"/>
    <w:rsid w:val="001E4D08"/>
    <w:rsid w:val="001E54D7"/>
    <w:rsid w:val="001E6561"/>
    <w:rsid w:val="001E683D"/>
    <w:rsid w:val="001E78D1"/>
    <w:rsid w:val="001F094B"/>
    <w:rsid w:val="001F1127"/>
    <w:rsid w:val="001F15A6"/>
    <w:rsid w:val="001F1E3C"/>
    <w:rsid w:val="001F21AD"/>
    <w:rsid w:val="001F2910"/>
    <w:rsid w:val="001F2ECB"/>
    <w:rsid w:val="001F3D16"/>
    <w:rsid w:val="001F4732"/>
    <w:rsid w:val="001F4F61"/>
    <w:rsid w:val="001F59F7"/>
    <w:rsid w:val="001F647B"/>
    <w:rsid w:val="001F6730"/>
    <w:rsid w:val="001F710F"/>
    <w:rsid w:val="001F734B"/>
    <w:rsid w:val="00200C33"/>
    <w:rsid w:val="00200C5B"/>
    <w:rsid w:val="0020261E"/>
    <w:rsid w:val="00202CFB"/>
    <w:rsid w:val="0020364B"/>
    <w:rsid w:val="00204F7F"/>
    <w:rsid w:val="00205457"/>
    <w:rsid w:val="00205C1A"/>
    <w:rsid w:val="00206467"/>
    <w:rsid w:val="00210160"/>
    <w:rsid w:val="00211BB8"/>
    <w:rsid w:val="00212768"/>
    <w:rsid w:val="00212BDF"/>
    <w:rsid w:val="00212D1E"/>
    <w:rsid w:val="00212D79"/>
    <w:rsid w:val="0021327A"/>
    <w:rsid w:val="00213D65"/>
    <w:rsid w:val="00213ED9"/>
    <w:rsid w:val="00213F8D"/>
    <w:rsid w:val="00214057"/>
    <w:rsid w:val="00214334"/>
    <w:rsid w:val="00214B5B"/>
    <w:rsid w:val="00215117"/>
    <w:rsid w:val="00215639"/>
    <w:rsid w:val="0021577C"/>
    <w:rsid w:val="00215E8A"/>
    <w:rsid w:val="00216840"/>
    <w:rsid w:val="00216C27"/>
    <w:rsid w:val="00217775"/>
    <w:rsid w:val="00217C9F"/>
    <w:rsid w:val="00217E51"/>
    <w:rsid w:val="00220FB5"/>
    <w:rsid w:val="002210BF"/>
    <w:rsid w:val="00221996"/>
    <w:rsid w:val="00222594"/>
    <w:rsid w:val="002228FC"/>
    <w:rsid w:val="00222A14"/>
    <w:rsid w:val="00222A5A"/>
    <w:rsid w:val="00223DD7"/>
    <w:rsid w:val="00224876"/>
    <w:rsid w:val="00224D44"/>
    <w:rsid w:val="00224F33"/>
    <w:rsid w:val="00224FCE"/>
    <w:rsid w:val="0022529E"/>
    <w:rsid w:val="0022641A"/>
    <w:rsid w:val="0022665C"/>
    <w:rsid w:val="0022672D"/>
    <w:rsid w:val="002269F3"/>
    <w:rsid w:val="00226D60"/>
    <w:rsid w:val="00227359"/>
    <w:rsid w:val="00227DA9"/>
    <w:rsid w:val="00227F58"/>
    <w:rsid w:val="002301F7"/>
    <w:rsid w:val="0023036C"/>
    <w:rsid w:val="00230FDE"/>
    <w:rsid w:val="0023106F"/>
    <w:rsid w:val="00231B3C"/>
    <w:rsid w:val="00231C33"/>
    <w:rsid w:val="00231FBE"/>
    <w:rsid w:val="00232EF5"/>
    <w:rsid w:val="00234668"/>
    <w:rsid w:val="002353FB"/>
    <w:rsid w:val="002366B6"/>
    <w:rsid w:val="00236D35"/>
    <w:rsid w:val="0023764D"/>
    <w:rsid w:val="002404EE"/>
    <w:rsid w:val="00242960"/>
    <w:rsid w:val="00244A9E"/>
    <w:rsid w:val="00244BEB"/>
    <w:rsid w:val="002453AD"/>
    <w:rsid w:val="002455B9"/>
    <w:rsid w:val="0024570B"/>
    <w:rsid w:val="002458AE"/>
    <w:rsid w:val="00245C0F"/>
    <w:rsid w:val="00246FDC"/>
    <w:rsid w:val="002474A6"/>
    <w:rsid w:val="00247823"/>
    <w:rsid w:val="00247BAA"/>
    <w:rsid w:val="00247E77"/>
    <w:rsid w:val="00247F50"/>
    <w:rsid w:val="00250A8F"/>
    <w:rsid w:val="00250CF7"/>
    <w:rsid w:val="002514DD"/>
    <w:rsid w:val="00252309"/>
    <w:rsid w:val="002537CE"/>
    <w:rsid w:val="00253A17"/>
    <w:rsid w:val="00253D10"/>
    <w:rsid w:val="002549CF"/>
    <w:rsid w:val="002556C7"/>
    <w:rsid w:val="00257048"/>
    <w:rsid w:val="00257815"/>
    <w:rsid w:val="002602B1"/>
    <w:rsid w:val="002609F2"/>
    <w:rsid w:val="002611D4"/>
    <w:rsid w:val="002623AE"/>
    <w:rsid w:val="00262999"/>
    <w:rsid w:val="0026304B"/>
    <w:rsid w:val="00263823"/>
    <w:rsid w:val="00263829"/>
    <w:rsid w:val="00264474"/>
    <w:rsid w:val="00264539"/>
    <w:rsid w:val="00265BC0"/>
    <w:rsid w:val="00265C86"/>
    <w:rsid w:val="00266275"/>
    <w:rsid w:val="002665FB"/>
    <w:rsid w:val="00267A52"/>
    <w:rsid w:val="00267DD6"/>
    <w:rsid w:val="0027043B"/>
    <w:rsid w:val="0027056C"/>
    <w:rsid w:val="00271CAD"/>
    <w:rsid w:val="002721C8"/>
    <w:rsid w:val="0027262D"/>
    <w:rsid w:val="0027297D"/>
    <w:rsid w:val="002740A2"/>
    <w:rsid w:val="0027444D"/>
    <w:rsid w:val="00274A7C"/>
    <w:rsid w:val="00274C28"/>
    <w:rsid w:val="00275366"/>
    <w:rsid w:val="002765E8"/>
    <w:rsid w:val="00276683"/>
    <w:rsid w:val="00276EEC"/>
    <w:rsid w:val="0027710E"/>
    <w:rsid w:val="0027755D"/>
    <w:rsid w:val="002775ED"/>
    <w:rsid w:val="002778F9"/>
    <w:rsid w:val="00277977"/>
    <w:rsid w:val="00277CB5"/>
    <w:rsid w:val="00280058"/>
    <w:rsid w:val="00280765"/>
    <w:rsid w:val="00280985"/>
    <w:rsid w:val="00280C07"/>
    <w:rsid w:val="002816DF"/>
    <w:rsid w:val="00282491"/>
    <w:rsid w:val="002827AA"/>
    <w:rsid w:val="00282D6E"/>
    <w:rsid w:val="0028371A"/>
    <w:rsid w:val="0028379D"/>
    <w:rsid w:val="00283960"/>
    <w:rsid w:val="00284F70"/>
    <w:rsid w:val="002852E0"/>
    <w:rsid w:val="00285D04"/>
    <w:rsid w:val="002864A7"/>
    <w:rsid w:val="00286BFE"/>
    <w:rsid w:val="002873E9"/>
    <w:rsid w:val="00287515"/>
    <w:rsid w:val="002875C0"/>
    <w:rsid w:val="00290ED4"/>
    <w:rsid w:val="0029258A"/>
    <w:rsid w:val="00292E95"/>
    <w:rsid w:val="002931CB"/>
    <w:rsid w:val="0029417A"/>
    <w:rsid w:val="00295276"/>
    <w:rsid w:val="00295320"/>
    <w:rsid w:val="0029586F"/>
    <w:rsid w:val="0029610E"/>
    <w:rsid w:val="00296995"/>
    <w:rsid w:val="00296D41"/>
    <w:rsid w:val="002970D4"/>
    <w:rsid w:val="00297917"/>
    <w:rsid w:val="002979CF"/>
    <w:rsid w:val="002A0E92"/>
    <w:rsid w:val="002A0EF0"/>
    <w:rsid w:val="002A0F4B"/>
    <w:rsid w:val="002A1FC9"/>
    <w:rsid w:val="002A2738"/>
    <w:rsid w:val="002A2BB5"/>
    <w:rsid w:val="002A2F26"/>
    <w:rsid w:val="002A41E5"/>
    <w:rsid w:val="002A55DE"/>
    <w:rsid w:val="002A572C"/>
    <w:rsid w:val="002A5ADE"/>
    <w:rsid w:val="002A5F00"/>
    <w:rsid w:val="002A7DB3"/>
    <w:rsid w:val="002B08D8"/>
    <w:rsid w:val="002B09F4"/>
    <w:rsid w:val="002B14A5"/>
    <w:rsid w:val="002B41C3"/>
    <w:rsid w:val="002B4393"/>
    <w:rsid w:val="002B4F0C"/>
    <w:rsid w:val="002B4F9D"/>
    <w:rsid w:val="002B5CDA"/>
    <w:rsid w:val="002B6DA3"/>
    <w:rsid w:val="002B7BA1"/>
    <w:rsid w:val="002C0DD3"/>
    <w:rsid w:val="002C0FD0"/>
    <w:rsid w:val="002C30EA"/>
    <w:rsid w:val="002C375E"/>
    <w:rsid w:val="002C4579"/>
    <w:rsid w:val="002C632D"/>
    <w:rsid w:val="002C7858"/>
    <w:rsid w:val="002D0206"/>
    <w:rsid w:val="002D06DE"/>
    <w:rsid w:val="002D090A"/>
    <w:rsid w:val="002D097D"/>
    <w:rsid w:val="002D11B8"/>
    <w:rsid w:val="002D244E"/>
    <w:rsid w:val="002D29AC"/>
    <w:rsid w:val="002D32FD"/>
    <w:rsid w:val="002D6089"/>
    <w:rsid w:val="002D7561"/>
    <w:rsid w:val="002D7D7E"/>
    <w:rsid w:val="002E04E5"/>
    <w:rsid w:val="002E194E"/>
    <w:rsid w:val="002E196F"/>
    <w:rsid w:val="002E202B"/>
    <w:rsid w:val="002E298F"/>
    <w:rsid w:val="002E34FE"/>
    <w:rsid w:val="002E3545"/>
    <w:rsid w:val="002E3EC7"/>
    <w:rsid w:val="002E520C"/>
    <w:rsid w:val="002E5E99"/>
    <w:rsid w:val="002E5F67"/>
    <w:rsid w:val="002E5F85"/>
    <w:rsid w:val="002E6A84"/>
    <w:rsid w:val="002E70AE"/>
    <w:rsid w:val="002E716A"/>
    <w:rsid w:val="002E7C15"/>
    <w:rsid w:val="002F0A36"/>
    <w:rsid w:val="002F13F2"/>
    <w:rsid w:val="002F2553"/>
    <w:rsid w:val="002F2936"/>
    <w:rsid w:val="002F2B0F"/>
    <w:rsid w:val="002F56D6"/>
    <w:rsid w:val="002F60DC"/>
    <w:rsid w:val="002F68A3"/>
    <w:rsid w:val="002F6D9C"/>
    <w:rsid w:val="002F7265"/>
    <w:rsid w:val="002F7A3B"/>
    <w:rsid w:val="0030034D"/>
    <w:rsid w:val="00300980"/>
    <w:rsid w:val="00301D6C"/>
    <w:rsid w:val="003025FF"/>
    <w:rsid w:val="00302904"/>
    <w:rsid w:val="00302E81"/>
    <w:rsid w:val="00302EF0"/>
    <w:rsid w:val="00303AD1"/>
    <w:rsid w:val="00303F88"/>
    <w:rsid w:val="003043C4"/>
    <w:rsid w:val="00304464"/>
    <w:rsid w:val="003054A8"/>
    <w:rsid w:val="00305BB6"/>
    <w:rsid w:val="00305BB9"/>
    <w:rsid w:val="00306A32"/>
    <w:rsid w:val="00306E0B"/>
    <w:rsid w:val="003072BD"/>
    <w:rsid w:val="00307CF5"/>
    <w:rsid w:val="00310054"/>
    <w:rsid w:val="00310126"/>
    <w:rsid w:val="00310CEC"/>
    <w:rsid w:val="003112BC"/>
    <w:rsid w:val="003114E1"/>
    <w:rsid w:val="00311559"/>
    <w:rsid w:val="00312639"/>
    <w:rsid w:val="00312986"/>
    <w:rsid w:val="003133E0"/>
    <w:rsid w:val="0031462F"/>
    <w:rsid w:val="00314D12"/>
    <w:rsid w:val="00314F67"/>
    <w:rsid w:val="00315730"/>
    <w:rsid w:val="00315796"/>
    <w:rsid w:val="00316056"/>
    <w:rsid w:val="00316270"/>
    <w:rsid w:val="003173F1"/>
    <w:rsid w:val="00320AF3"/>
    <w:rsid w:val="0032138D"/>
    <w:rsid w:val="003224DE"/>
    <w:rsid w:val="00322CFD"/>
    <w:rsid w:val="003255F4"/>
    <w:rsid w:val="003269B7"/>
    <w:rsid w:val="00327863"/>
    <w:rsid w:val="00330022"/>
    <w:rsid w:val="00330362"/>
    <w:rsid w:val="00330621"/>
    <w:rsid w:val="003316C3"/>
    <w:rsid w:val="00331D1D"/>
    <w:rsid w:val="00333407"/>
    <w:rsid w:val="00333724"/>
    <w:rsid w:val="00333ACF"/>
    <w:rsid w:val="003347FC"/>
    <w:rsid w:val="003351B9"/>
    <w:rsid w:val="003368C7"/>
    <w:rsid w:val="003372E5"/>
    <w:rsid w:val="00337D29"/>
    <w:rsid w:val="00337F2F"/>
    <w:rsid w:val="00340313"/>
    <w:rsid w:val="00340921"/>
    <w:rsid w:val="00340A44"/>
    <w:rsid w:val="00340BAB"/>
    <w:rsid w:val="00341CA6"/>
    <w:rsid w:val="00341D15"/>
    <w:rsid w:val="00342225"/>
    <w:rsid w:val="0034394C"/>
    <w:rsid w:val="00343B53"/>
    <w:rsid w:val="00344FD0"/>
    <w:rsid w:val="003455F9"/>
    <w:rsid w:val="00345E05"/>
    <w:rsid w:val="00345EA9"/>
    <w:rsid w:val="00346339"/>
    <w:rsid w:val="00347C80"/>
    <w:rsid w:val="003501AD"/>
    <w:rsid w:val="0035325C"/>
    <w:rsid w:val="00353419"/>
    <w:rsid w:val="003536FF"/>
    <w:rsid w:val="003537EC"/>
    <w:rsid w:val="00353DA4"/>
    <w:rsid w:val="003546CC"/>
    <w:rsid w:val="00355508"/>
    <w:rsid w:val="003556B7"/>
    <w:rsid w:val="00355CA1"/>
    <w:rsid w:val="00355F73"/>
    <w:rsid w:val="00356768"/>
    <w:rsid w:val="00357584"/>
    <w:rsid w:val="0035788C"/>
    <w:rsid w:val="00357E9F"/>
    <w:rsid w:val="00361086"/>
    <w:rsid w:val="00362193"/>
    <w:rsid w:val="003624CA"/>
    <w:rsid w:val="00362BD7"/>
    <w:rsid w:val="003632DD"/>
    <w:rsid w:val="00363517"/>
    <w:rsid w:val="00364BD0"/>
    <w:rsid w:val="0036610E"/>
    <w:rsid w:val="003662E4"/>
    <w:rsid w:val="00366DF6"/>
    <w:rsid w:val="00367582"/>
    <w:rsid w:val="00370F0D"/>
    <w:rsid w:val="003711EE"/>
    <w:rsid w:val="00372C2D"/>
    <w:rsid w:val="00372DD4"/>
    <w:rsid w:val="00372DDF"/>
    <w:rsid w:val="00373587"/>
    <w:rsid w:val="00373A2C"/>
    <w:rsid w:val="003754B6"/>
    <w:rsid w:val="00375AB1"/>
    <w:rsid w:val="00375C3D"/>
    <w:rsid w:val="003767C5"/>
    <w:rsid w:val="003800AF"/>
    <w:rsid w:val="0038019E"/>
    <w:rsid w:val="00380DCC"/>
    <w:rsid w:val="00380FFF"/>
    <w:rsid w:val="003814B6"/>
    <w:rsid w:val="00381F56"/>
    <w:rsid w:val="003820A9"/>
    <w:rsid w:val="00382467"/>
    <w:rsid w:val="00382EEC"/>
    <w:rsid w:val="00383481"/>
    <w:rsid w:val="003834F6"/>
    <w:rsid w:val="003835F1"/>
    <w:rsid w:val="0038418D"/>
    <w:rsid w:val="00384560"/>
    <w:rsid w:val="003845AF"/>
    <w:rsid w:val="00384664"/>
    <w:rsid w:val="003859C9"/>
    <w:rsid w:val="00385DC6"/>
    <w:rsid w:val="0038635C"/>
    <w:rsid w:val="00386C2C"/>
    <w:rsid w:val="00387C56"/>
    <w:rsid w:val="003903A8"/>
    <w:rsid w:val="0039205D"/>
    <w:rsid w:val="00392DF4"/>
    <w:rsid w:val="00393121"/>
    <w:rsid w:val="0039483D"/>
    <w:rsid w:val="00394A63"/>
    <w:rsid w:val="00395096"/>
    <w:rsid w:val="003959BA"/>
    <w:rsid w:val="003960D3"/>
    <w:rsid w:val="003978B2"/>
    <w:rsid w:val="00397D90"/>
    <w:rsid w:val="003A0374"/>
    <w:rsid w:val="003A04B3"/>
    <w:rsid w:val="003A064D"/>
    <w:rsid w:val="003A1DAF"/>
    <w:rsid w:val="003A2015"/>
    <w:rsid w:val="003A3C8E"/>
    <w:rsid w:val="003A402B"/>
    <w:rsid w:val="003A6047"/>
    <w:rsid w:val="003A722A"/>
    <w:rsid w:val="003A7912"/>
    <w:rsid w:val="003A7C69"/>
    <w:rsid w:val="003A7F2E"/>
    <w:rsid w:val="003B01E0"/>
    <w:rsid w:val="003B0C74"/>
    <w:rsid w:val="003B12C7"/>
    <w:rsid w:val="003B1C65"/>
    <w:rsid w:val="003B2344"/>
    <w:rsid w:val="003B2358"/>
    <w:rsid w:val="003B26D0"/>
    <w:rsid w:val="003B27B8"/>
    <w:rsid w:val="003B28FB"/>
    <w:rsid w:val="003B2EB7"/>
    <w:rsid w:val="003B351F"/>
    <w:rsid w:val="003B3533"/>
    <w:rsid w:val="003B4082"/>
    <w:rsid w:val="003B41C4"/>
    <w:rsid w:val="003B41D7"/>
    <w:rsid w:val="003B4775"/>
    <w:rsid w:val="003B60AE"/>
    <w:rsid w:val="003B6372"/>
    <w:rsid w:val="003B767F"/>
    <w:rsid w:val="003B7C5D"/>
    <w:rsid w:val="003C0625"/>
    <w:rsid w:val="003C0EE9"/>
    <w:rsid w:val="003C0EF2"/>
    <w:rsid w:val="003C0F1F"/>
    <w:rsid w:val="003C10E9"/>
    <w:rsid w:val="003C2930"/>
    <w:rsid w:val="003C2EB8"/>
    <w:rsid w:val="003C3AE6"/>
    <w:rsid w:val="003C4921"/>
    <w:rsid w:val="003C4CAF"/>
    <w:rsid w:val="003C5420"/>
    <w:rsid w:val="003C5844"/>
    <w:rsid w:val="003C58AE"/>
    <w:rsid w:val="003C5FDB"/>
    <w:rsid w:val="003C7791"/>
    <w:rsid w:val="003C79D4"/>
    <w:rsid w:val="003C7A57"/>
    <w:rsid w:val="003C7B26"/>
    <w:rsid w:val="003D07DC"/>
    <w:rsid w:val="003D1B1F"/>
    <w:rsid w:val="003D2F6C"/>
    <w:rsid w:val="003D50F6"/>
    <w:rsid w:val="003D651E"/>
    <w:rsid w:val="003D65F0"/>
    <w:rsid w:val="003E005F"/>
    <w:rsid w:val="003E199D"/>
    <w:rsid w:val="003E1ADD"/>
    <w:rsid w:val="003E2129"/>
    <w:rsid w:val="003E2224"/>
    <w:rsid w:val="003E3167"/>
    <w:rsid w:val="003E4C88"/>
    <w:rsid w:val="003E4F0A"/>
    <w:rsid w:val="003E56A7"/>
    <w:rsid w:val="003E5E78"/>
    <w:rsid w:val="003E6338"/>
    <w:rsid w:val="003E71EC"/>
    <w:rsid w:val="003E78FC"/>
    <w:rsid w:val="003F047F"/>
    <w:rsid w:val="003F0499"/>
    <w:rsid w:val="003F04CD"/>
    <w:rsid w:val="003F0603"/>
    <w:rsid w:val="003F0A05"/>
    <w:rsid w:val="003F13A9"/>
    <w:rsid w:val="003F1E55"/>
    <w:rsid w:val="003F2A96"/>
    <w:rsid w:val="003F307D"/>
    <w:rsid w:val="003F49D1"/>
    <w:rsid w:val="003F581D"/>
    <w:rsid w:val="003F616B"/>
    <w:rsid w:val="003F7107"/>
    <w:rsid w:val="003F7300"/>
    <w:rsid w:val="003F7681"/>
    <w:rsid w:val="003F7B21"/>
    <w:rsid w:val="003F7D1E"/>
    <w:rsid w:val="00400284"/>
    <w:rsid w:val="00400CC3"/>
    <w:rsid w:val="0040103C"/>
    <w:rsid w:val="0040140A"/>
    <w:rsid w:val="00401683"/>
    <w:rsid w:val="00403161"/>
    <w:rsid w:val="0040489F"/>
    <w:rsid w:val="00405139"/>
    <w:rsid w:val="00405301"/>
    <w:rsid w:val="00405FCB"/>
    <w:rsid w:val="004065D3"/>
    <w:rsid w:val="00406A30"/>
    <w:rsid w:val="004073E1"/>
    <w:rsid w:val="0040745B"/>
    <w:rsid w:val="00407865"/>
    <w:rsid w:val="00407AAA"/>
    <w:rsid w:val="00407C91"/>
    <w:rsid w:val="00411FA6"/>
    <w:rsid w:val="00414A6F"/>
    <w:rsid w:val="0041566C"/>
    <w:rsid w:val="00415FE0"/>
    <w:rsid w:val="004176C8"/>
    <w:rsid w:val="00417BFA"/>
    <w:rsid w:val="0042166B"/>
    <w:rsid w:val="00422152"/>
    <w:rsid w:val="0042248C"/>
    <w:rsid w:val="0042291C"/>
    <w:rsid w:val="00426198"/>
    <w:rsid w:val="004262FE"/>
    <w:rsid w:val="004274C6"/>
    <w:rsid w:val="004277AD"/>
    <w:rsid w:val="004300E8"/>
    <w:rsid w:val="00430214"/>
    <w:rsid w:val="0043064F"/>
    <w:rsid w:val="00431996"/>
    <w:rsid w:val="00431D65"/>
    <w:rsid w:val="00431DCB"/>
    <w:rsid w:val="00432042"/>
    <w:rsid w:val="00432ABD"/>
    <w:rsid w:val="00432ABE"/>
    <w:rsid w:val="0043444B"/>
    <w:rsid w:val="00434C0F"/>
    <w:rsid w:val="00435880"/>
    <w:rsid w:val="00436596"/>
    <w:rsid w:val="004373D8"/>
    <w:rsid w:val="00437766"/>
    <w:rsid w:val="00440139"/>
    <w:rsid w:val="0044049E"/>
    <w:rsid w:val="004420EA"/>
    <w:rsid w:val="00442A39"/>
    <w:rsid w:val="00442E36"/>
    <w:rsid w:val="004431DB"/>
    <w:rsid w:val="0044348F"/>
    <w:rsid w:val="004448A1"/>
    <w:rsid w:val="00444AAA"/>
    <w:rsid w:val="00444C11"/>
    <w:rsid w:val="00446AE0"/>
    <w:rsid w:val="00446CD7"/>
    <w:rsid w:val="00446FF7"/>
    <w:rsid w:val="00447992"/>
    <w:rsid w:val="00447B32"/>
    <w:rsid w:val="00451087"/>
    <w:rsid w:val="00452122"/>
    <w:rsid w:val="004525B2"/>
    <w:rsid w:val="004534B6"/>
    <w:rsid w:val="0045372E"/>
    <w:rsid w:val="0045373A"/>
    <w:rsid w:val="004537AA"/>
    <w:rsid w:val="004545BE"/>
    <w:rsid w:val="00454D32"/>
    <w:rsid w:val="004554BC"/>
    <w:rsid w:val="00455B04"/>
    <w:rsid w:val="00455F2E"/>
    <w:rsid w:val="0045620D"/>
    <w:rsid w:val="00456B30"/>
    <w:rsid w:val="00456E69"/>
    <w:rsid w:val="004617EA"/>
    <w:rsid w:val="00461CD4"/>
    <w:rsid w:val="00461DCC"/>
    <w:rsid w:val="004624B4"/>
    <w:rsid w:val="004640EF"/>
    <w:rsid w:val="00464DD8"/>
    <w:rsid w:val="00465250"/>
    <w:rsid w:val="004661E1"/>
    <w:rsid w:val="00466DDF"/>
    <w:rsid w:val="00470288"/>
    <w:rsid w:val="00470AE6"/>
    <w:rsid w:val="00470B94"/>
    <w:rsid w:val="00471FFE"/>
    <w:rsid w:val="004733F7"/>
    <w:rsid w:val="00474C6A"/>
    <w:rsid w:val="00475249"/>
    <w:rsid w:val="00475318"/>
    <w:rsid w:val="004754FC"/>
    <w:rsid w:val="00475E10"/>
    <w:rsid w:val="004774ED"/>
    <w:rsid w:val="0047768B"/>
    <w:rsid w:val="0048039B"/>
    <w:rsid w:val="00480D67"/>
    <w:rsid w:val="00483BFD"/>
    <w:rsid w:val="00483E01"/>
    <w:rsid w:val="004844F2"/>
    <w:rsid w:val="00484A4C"/>
    <w:rsid w:val="0048504C"/>
    <w:rsid w:val="00485509"/>
    <w:rsid w:val="004855BD"/>
    <w:rsid w:val="0048706A"/>
    <w:rsid w:val="0048782D"/>
    <w:rsid w:val="004900E5"/>
    <w:rsid w:val="00490184"/>
    <w:rsid w:val="004923BA"/>
    <w:rsid w:val="004934DA"/>
    <w:rsid w:val="004947F6"/>
    <w:rsid w:val="00494AAE"/>
    <w:rsid w:val="00495282"/>
    <w:rsid w:val="00495490"/>
    <w:rsid w:val="004954A7"/>
    <w:rsid w:val="004954C8"/>
    <w:rsid w:val="0049612A"/>
    <w:rsid w:val="004963A9"/>
    <w:rsid w:val="0049665B"/>
    <w:rsid w:val="004A0094"/>
    <w:rsid w:val="004A0720"/>
    <w:rsid w:val="004A0818"/>
    <w:rsid w:val="004A1316"/>
    <w:rsid w:val="004A22C3"/>
    <w:rsid w:val="004A3F27"/>
    <w:rsid w:val="004A42D2"/>
    <w:rsid w:val="004A49F0"/>
    <w:rsid w:val="004A4C6B"/>
    <w:rsid w:val="004A56C2"/>
    <w:rsid w:val="004A576A"/>
    <w:rsid w:val="004A5958"/>
    <w:rsid w:val="004A5B19"/>
    <w:rsid w:val="004A5ECF"/>
    <w:rsid w:val="004A61CA"/>
    <w:rsid w:val="004A6513"/>
    <w:rsid w:val="004A662E"/>
    <w:rsid w:val="004A6EAF"/>
    <w:rsid w:val="004B2A1F"/>
    <w:rsid w:val="004B4008"/>
    <w:rsid w:val="004B43AA"/>
    <w:rsid w:val="004B5DD6"/>
    <w:rsid w:val="004B65A8"/>
    <w:rsid w:val="004B6F29"/>
    <w:rsid w:val="004B7ED1"/>
    <w:rsid w:val="004C014E"/>
    <w:rsid w:val="004C1AC0"/>
    <w:rsid w:val="004C1FD5"/>
    <w:rsid w:val="004C3802"/>
    <w:rsid w:val="004C3983"/>
    <w:rsid w:val="004C4BF1"/>
    <w:rsid w:val="004C58D3"/>
    <w:rsid w:val="004C5F95"/>
    <w:rsid w:val="004C710A"/>
    <w:rsid w:val="004C73C7"/>
    <w:rsid w:val="004D0585"/>
    <w:rsid w:val="004D061D"/>
    <w:rsid w:val="004D0F31"/>
    <w:rsid w:val="004D0F7A"/>
    <w:rsid w:val="004D151D"/>
    <w:rsid w:val="004D178E"/>
    <w:rsid w:val="004D1AA6"/>
    <w:rsid w:val="004D39B2"/>
    <w:rsid w:val="004D3F1B"/>
    <w:rsid w:val="004D4538"/>
    <w:rsid w:val="004D4737"/>
    <w:rsid w:val="004D57B3"/>
    <w:rsid w:val="004D5D21"/>
    <w:rsid w:val="004D62E0"/>
    <w:rsid w:val="004D6A34"/>
    <w:rsid w:val="004D74E3"/>
    <w:rsid w:val="004E005E"/>
    <w:rsid w:val="004E07F9"/>
    <w:rsid w:val="004E17F7"/>
    <w:rsid w:val="004E2277"/>
    <w:rsid w:val="004E232D"/>
    <w:rsid w:val="004E33B4"/>
    <w:rsid w:val="004E4171"/>
    <w:rsid w:val="004E448C"/>
    <w:rsid w:val="004E48A0"/>
    <w:rsid w:val="004E49B8"/>
    <w:rsid w:val="004E4C92"/>
    <w:rsid w:val="004E559C"/>
    <w:rsid w:val="004E6BB5"/>
    <w:rsid w:val="004E6C36"/>
    <w:rsid w:val="004E7BD0"/>
    <w:rsid w:val="004E7DDF"/>
    <w:rsid w:val="004F18D8"/>
    <w:rsid w:val="004F1E31"/>
    <w:rsid w:val="004F2FB6"/>
    <w:rsid w:val="004F368D"/>
    <w:rsid w:val="004F383C"/>
    <w:rsid w:val="004F43CE"/>
    <w:rsid w:val="004F4E60"/>
    <w:rsid w:val="004F5138"/>
    <w:rsid w:val="004F595D"/>
    <w:rsid w:val="004F5AD4"/>
    <w:rsid w:val="004F5D1C"/>
    <w:rsid w:val="004F754C"/>
    <w:rsid w:val="004F7C33"/>
    <w:rsid w:val="00500725"/>
    <w:rsid w:val="00501160"/>
    <w:rsid w:val="00501FA2"/>
    <w:rsid w:val="00502DAF"/>
    <w:rsid w:val="00503099"/>
    <w:rsid w:val="005034F5"/>
    <w:rsid w:val="00503B9D"/>
    <w:rsid w:val="00503BD1"/>
    <w:rsid w:val="00504598"/>
    <w:rsid w:val="00505325"/>
    <w:rsid w:val="0050560F"/>
    <w:rsid w:val="00506205"/>
    <w:rsid w:val="00506F09"/>
    <w:rsid w:val="005071BA"/>
    <w:rsid w:val="005077C5"/>
    <w:rsid w:val="0051044B"/>
    <w:rsid w:val="00510CE8"/>
    <w:rsid w:val="00510FD9"/>
    <w:rsid w:val="00511EC9"/>
    <w:rsid w:val="00512539"/>
    <w:rsid w:val="00513C5F"/>
    <w:rsid w:val="0051477F"/>
    <w:rsid w:val="005147F4"/>
    <w:rsid w:val="005166A8"/>
    <w:rsid w:val="005175BE"/>
    <w:rsid w:val="005201D8"/>
    <w:rsid w:val="005204D9"/>
    <w:rsid w:val="005208EE"/>
    <w:rsid w:val="0052212B"/>
    <w:rsid w:val="0052221D"/>
    <w:rsid w:val="00524E0F"/>
    <w:rsid w:val="0052532F"/>
    <w:rsid w:val="005261F2"/>
    <w:rsid w:val="005266B2"/>
    <w:rsid w:val="00527704"/>
    <w:rsid w:val="00530579"/>
    <w:rsid w:val="00530C79"/>
    <w:rsid w:val="00531A7C"/>
    <w:rsid w:val="005336A7"/>
    <w:rsid w:val="00533A97"/>
    <w:rsid w:val="00533E6C"/>
    <w:rsid w:val="00533F22"/>
    <w:rsid w:val="00535959"/>
    <w:rsid w:val="00536A63"/>
    <w:rsid w:val="00537066"/>
    <w:rsid w:val="00540060"/>
    <w:rsid w:val="005406EF"/>
    <w:rsid w:val="00541186"/>
    <w:rsid w:val="0054138F"/>
    <w:rsid w:val="00541963"/>
    <w:rsid w:val="00542DD9"/>
    <w:rsid w:val="00544767"/>
    <w:rsid w:val="00544AF7"/>
    <w:rsid w:val="00545D6E"/>
    <w:rsid w:val="005467BC"/>
    <w:rsid w:val="00550178"/>
    <w:rsid w:val="00550EBB"/>
    <w:rsid w:val="005513D2"/>
    <w:rsid w:val="00551B53"/>
    <w:rsid w:val="00551F03"/>
    <w:rsid w:val="00551F48"/>
    <w:rsid w:val="00552A3D"/>
    <w:rsid w:val="00552EC9"/>
    <w:rsid w:val="005532EA"/>
    <w:rsid w:val="00553AEA"/>
    <w:rsid w:val="005544FC"/>
    <w:rsid w:val="005547F0"/>
    <w:rsid w:val="00554EB8"/>
    <w:rsid w:val="005551F5"/>
    <w:rsid w:val="0055722C"/>
    <w:rsid w:val="00557487"/>
    <w:rsid w:val="0056003B"/>
    <w:rsid w:val="00560760"/>
    <w:rsid w:val="005622A5"/>
    <w:rsid w:val="00562329"/>
    <w:rsid w:val="0056293B"/>
    <w:rsid w:val="00562B2C"/>
    <w:rsid w:val="00563F37"/>
    <w:rsid w:val="00565E47"/>
    <w:rsid w:val="005665AF"/>
    <w:rsid w:val="00567260"/>
    <w:rsid w:val="005679E3"/>
    <w:rsid w:val="00567A8F"/>
    <w:rsid w:val="00567D13"/>
    <w:rsid w:val="0057052F"/>
    <w:rsid w:val="00571321"/>
    <w:rsid w:val="00571618"/>
    <w:rsid w:val="00572164"/>
    <w:rsid w:val="005741E2"/>
    <w:rsid w:val="005751CE"/>
    <w:rsid w:val="005753FF"/>
    <w:rsid w:val="005757FB"/>
    <w:rsid w:val="005759AC"/>
    <w:rsid w:val="00577916"/>
    <w:rsid w:val="0058059D"/>
    <w:rsid w:val="00580B3F"/>
    <w:rsid w:val="00580FDF"/>
    <w:rsid w:val="00581609"/>
    <w:rsid w:val="00581CB0"/>
    <w:rsid w:val="00581F53"/>
    <w:rsid w:val="0058341D"/>
    <w:rsid w:val="00583995"/>
    <w:rsid w:val="00585C7C"/>
    <w:rsid w:val="005870B1"/>
    <w:rsid w:val="005871E7"/>
    <w:rsid w:val="00587413"/>
    <w:rsid w:val="0059022B"/>
    <w:rsid w:val="005903D6"/>
    <w:rsid w:val="005907A1"/>
    <w:rsid w:val="0059163F"/>
    <w:rsid w:val="00593650"/>
    <w:rsid w:val="00593E24"/>
    <w:rsid w:val="0059412F"/>
    <w:rsid w:val="005944B3"/>
    <w:rsid w:val="00596099"/>
    <w:rsid w:val="005978E8"/>
    <w:rsid w:val="005A24D7"/>
    <w:rsid w:val="005A2DCF"/>
    <w:rsid w:val="005A31C6"/>
    <w:rsid w:val="005A3CCA"/>
    <w:rsid w:val="005A409E"/>
    <w:rsid w:val="005A42FA"/>
    <w:rsid w:val="005A4B2F"/>
    <w:rsid w:val="005A4BCA"/>
    <w:rsid w:val="005A5087"/>
    <w:rsid w:val="005A646D"/>
    <w:rsid w:val="005A75F9"/>
    <w:rsid w:val="005B0CFA"/>
    <w:rsid w:val="005B1A67"/>
    <w:rsid w:val="005B1C49"/>
    <w:rsid w:val="005B207B"/>
    <w:rsid w:val="005B20DD"/>
    <w:rsid w:val="005B2A4F"/>
    <w:rsid w:val="005B3E83"/>
    <w:rsid w:val="005B5742"/>
    <w:rsid w:val="005B7668"/>
    <w:rsid w:val="005B7962"/>
    <w:rsid w:val="005B7BF1"/>
    <w:rsid w:val="005B7F56"/>
    <w:rsid w:val="005C0981"/>
    <w:rsid w:val="005C33D6"/>
    <w:rsid w:val="005C369B"/>
    <w:rsid w:val="005C3867"/>
    <w:rsid w:val="005C3D6A"/>
    <w:rsid w:val="005C4849"/>
    <w:rsid w:val="005C4CBF"/>
    <w:rsid w:val="005C51E4"/>
    <w:rsid w:val="005C53B9"/>
    <w:rsid w:val="005C551C"/>
    <w:rsid w:val="005C681A"/>
    <w:rsid w:val="005C6D5E"/>
    <w:rsid w:val="005C7CC3"/>
    <w:rsid w:val="005D01F9"/>
    <w:rsid w:val="005D04F1"/>
    <w:rsid w:val="005D0F9D"/>
    <w:rsid w:val="005D1B41"/>
    <w:rsid w:val="005D260C"/>
    <w:rsid w:val="005D2E00"/>
    <w:rsid w:val="005D3D5D"/>
    <w:rsid w:val="005D463A"/>
    <w:rsid w:val="005D54BD"/>
    <w:rsid w:val="005D6627"/>
    <w:rsid w:val="005D7B25"/>
    <w:rsid w:val="005E01CA"/>
    <w:rsid w:val="005E1BB7"/>
    <w:rsid w:val="005E1E0B"/>
    <w:rsid w:val="005E4196"/>
    <w:rsid w:val="005E4547"/>
    <w:rsid w:val="005E5012"/>
    <w:rsid w:val="005E5CE6"/>
    <w:rsid w:val="005E6391"/>
    <w:rsid w:val="005E727B"/>
    <w:rsid w:val="005E72F5"/>
    <w:rsid w:val="005E7564"/>
    <w:rsid w:val="005F013F"/>
    <w:rsid w:val="005F23E2"/>
    <w:rsid w:val="005F2C10"/>
    <w:rsid w:val="005F2D49"/>
    <w:rsid w:val="005F2D91"/>
    <w:rsid w:val="005F4610"/>
    <w:rsid w:val="005F5A3E"/>
    <w:rsid w:val="005F5F46"/>
    <w:rsid w:val="005F674E"/>
    <w:rsid w:val="005F6C66"/>
    <w:rsid w:val="005F6DA0"/>
    <w:rsid w:val="005F719B"/>
    <w:rsid w:val="005F778B"/>
    <w:rsid w:val="006011B1"/>
    <w:rsid w:val="0060162E"/>
    <w:rsid w:val="00601DFA"/>
    <w:rsid w:val="006027F5"/>
    <w:rsid w:val="00602EFE"/>
    <w:rsid w:val="006056A2"/>
    <w:rsid w:val="00605BCE"/>
    <w:rsid w:val="00606B96"/>
    <w:rsid w:val="00606D98"/>
    <w:rsid w:val="00607B78"/>
    <w:rsid w:val="00607BA0"/>
    <w:rsid w:val="00607D1E"/>
    <w:rsid w:val="00610928"/>
    <w:rsid w:val="00611197"/>
    <w:rsid w:val="006121D9"/>
    <w:rsid w:val="00612C7F"/>
    <w:rsid w:val="006136A8"/>
    <w:rsid w:val="00613AC6"/>
    <w:rsid w:val="00613C99"/>
    <w:rsid w:val="006145DC"/>
    <w:rsid w:val="006147BA"/>
    <w:rsid w:val="006147DC"/>
    <w:rsid w:val="00614B32"/>
    <w:rsid w:val="00615D60"/>
    <w:rsid w:val="00615D89"/>
    <w:rsid w:val="00617103"/>
    <w:rsid w:val="00620E2D"/>
    <w:rsid w:val="00620E7C"/>
    <w:rsid w:val="00621ECE"/>
    <w:rsid w:val="0062298B"/>
    <w:rsid w:val="00622BEF"/>
    <w:rsid w:val="006233D1"/>
    <w:rsid w:val="006236B8"/>
    <w:rsid w:val="006244F7"/>
    <w:rsid w:val="00630097"/>
    <w:rsid w:val="00630AA9"/>
    <w:rsid w:val="006315B8"/>
    <w:rsid w:val="00631DA7"/>
    <w:rsid w:val="00632715"/>
    <w:rsid w:val="00632E5F"/>
    <w:rsid w:val="00633A51"/>
    <w:rsid w:val="0063407B"/>
    <w:rsid w:val="00634735"/>
    <w:rsid w:val="0063495C"/>
    <w:rsid w:val="00635D61"/>
    <w:rsid w:val="00636BA5"/>
    <w:rsid w:val="0063741F"/>
    <w:rsid w:val="0063789B"/>
    <w:rsid w:val="00637E4C"/>
    <w:rsid w:val="006403F0"/>
    <w:rsid w:val="00640AC0"/>
    <w:rsid w:val="00641CF0"/>
    <w:rsid w:val="00641D23"/>
    <w:rsid w:val="00641F58"/>
    <w:rsid w:val="006435C7"/>
    <w:rsid w:val="00643BCE"/>
    <w:rsid w:val="00643E65"/>
    <w:rsid w:val="00644E52"/>
    <w:rsid w:val="0064504C"/>
    <w:rsid w:val="00650567"/>
    <w:rsid w:val="00650F99"/>
    <w:rsid w:val="006510A8"/>
    <w:rsid w:val="0065251F"/>
    <w:rsid w:val="00652578"/>
    <w:rsid w:val="00652D6A"/>
    <w:rsid w:val="0065342A"/>
    <w:rsid w:val="00653B3F"/>
    <w:rsid w:val="00655B23"/>
    <w:rsid w:val="00656988"/>
    <w:rsid w:val="00656B0B"/>
    <w:rsid w:val="00656E5C"/>
    <w:rsid w:val="00657C99"/>
    <w:rsid w:val="00657DE5"/>
    <w:rsid w:val="006600B2"/>
    <w:rsid w:val="0066253C"/>
    <w:rsid w:val="00662EAF"/>
    <w:rsid w:val="00662EBE"/>
    <w:rsid w:val="0066377C"/>
    <w:rsid w:val="0066387A"/>
    <w:rsid w:val="0066409F"/>
    <w:rsid w:val="00664558"/>
    <w:rsid w:val="006648FA"/>
    <w:rsid w:val="00666123"/>
    <w:rsid w:val="0066658F"/>
    <w:rsid w:val="0067101A"/>
    <w:rsid w:val="00671A6F"/>
    <w:rsid w:val="00672046"/>
    <w:rsid w:val="0067244C"/>
    <w:rsid w:val="006724DD"/>
    <w:rsid w:val="00673839"/>
    <w:rsid w:val="006742E0"/>
    <w:rsid w:val="006747C7"/>
    <w:rsid w:val="006749F3"/>
    <w:rsid w:val="00675258"/>
    <w:rsid w:val="006758CB"/>
    <w:rsid w:val="00675D0F"/>
    <w:rsid w:val="006762D9"/>
    <w:rsid w:val="00676D2F"/>
    <w:rsid w:val="00677118"/>
    <w:rsid w:val="006776B1"/>
    <w:rsid w:val="006778ED"/>
    <w:rsid w:val="00682781"/>
    <w:rsid w:val="00682897"/>
    <w:rsid w:val="00682A86"/>
    <w:rsid w:val="00682C3E"/>
    <w:rsid w:val="00682C40"/>
    <w:rsid w:val="0068365E"/>
    <w:rsid w:val="0068411D"/>
    <w:rsid w:val="006847A7"/>
    <w:rsid w:val="00684E8B"/>
    <w:rsid w:val="00684EF1"/>
    <w:rsid w:val="006852A1"/>
    <w:rsid w:val="00685A87"/>
    <w:rsid w:val="00686A6C"/>
    <w:rsid w:val="00687789"/>
    <w:rsid w:val="006877D0"/>
    <w:rsid w:val="006906DC"/>
    <w:rsid w:val="00690F37"/>
    <w:rsid w:val="0069138B"/>
    <w:rsid w:val="0069148D"/>
    <w:rsid w:val="00691B04"/>
    <w:rsid w:val="00691E69"/>
    <w:rsid w:val="00692C7A"/>
    <w:rsid w:val="00693938"/>
    <w:rsid w:val="00693A40"/>
    <w:rsid w:val="00693D56"/>
    <w:rsid w:val="00694837"/>
    <w:rsid w:val="006948FF"/>
    <w:rsid w:val="00695BD5"/>
    <w:rsid w:val="00696D47"/>
    <w:rsid w:val="006971C9"/>
    <w:rsid w:val="006976BC"/>
    <w:rsid w:val="00697A13"/>
    <w:rsid w:val="00697C8F"/>
    <w:rsid w:val="006A003C"/>
    <w:rsid w:val="006A0517"/>
    <w:rsid w:val="006A1A0F"/>
    <w:rsid w:val="006A2067"/>
    <w:rsid w:val="006A3536"/>
    <w:rsid w:val="006A3567"/>
    <w:rsid w:val="006A405B"/>
    <w:rsid w:val="006A4AE4"/>
    <w:rsid w:val="006A507F"/>
    <w:rsid w:val="006A5090"/>
    <w:rsid w:val="006A63FF"/>
    <w:rsid w:val="006A657D"/>
    <w:rsid w:val="006A7615"/>
    <w:rsid w:val="006A7649"/>
    <w:rsid w:val="006A7E84"/>
    <w:rsid w:val="006B0257"/>
    <w:rsid w:val="006B0AAB"/>
    <w:rsid w:val="006B15D0"/>
    <w:rsid w:val="006B2510"/>
    <w:rsid w:val="006B2583"/>
    <w:rsid w:val="006B30E2"/>
    <w:rsid w:val="006B3305"/>
    <w:rsid w:val="006B338B"/>
    <w:rsid w:val="006B3D84"/>
    <w:rsid w:val="006B3EDC"/>
    <w:rsid w:val="006B4905"/>
    <w:rsid w:val="006B5406"/>
    <w:rsid w:val="006B584A"/>
    <w:rsid w:val="006B60A7"/>
    <w:rsid w:val="006C000F"/>
    <w:rsid w:val="006C028C"/>
    <w:rsid w:val="006C06FB"/>
    <w:rsid w:val="006C0BF2"/>
    <w:rsid w:val="006C0FDC"/>
    <w:rsid w:val="006C1626"/>
    <w:rsid w:val="006C196B"/>
    <w:rsid w:val="006C1E31"/>
    <w:rsid w:val="006C3575"/>
    <w:rsid w:val="006C435F"/>
    <w:rsid w:val="006C45A2"/>
    <w:rsid w:val="006C489B"/>
    <w:rsid w:val="006C5112"/>
    <w:rsid w:val="006C5C39"/>
    <w:rsid w:val="006C65F3"/>
    <w:rsid w:val="006C70BC"/>
    <w:rsid w:val="006C7929"/>
    <w:rsid w:val="006C7E82"/>
    <w:rsid w:val="006D1162"/>
    <w:rsid w:val="006D1F39"/>
    <w:rsid w:val="006D251A"/>
    <w:rsid w:val="006D2915"/>
    <w:rsid w:val="006D451D"/>
    <w:rsid w:val="006D5C62"/>
    <w:rsid w:val="006D6034"/>
    <w:rsid w:val="006D606A"/>
    <w:rsid w:val="006D6AF8"/>
    <w:rsid w:val="006D7273"/>
    <w:rsid w:val="006D76CD"/>
    <w:rsid w:val="006E0226"/>
    <w:rsid w:val="006E0E04"/>
    <w:rsid w:val="006E2E46"/>
    <w:rsid w:val="006E327A"/>
    <w:rsid w:val="006E32B6"/>
    <w:rsid w:val="006E3343"/>
    <w:rsid w:val="006E4629"/>
    <w:rsid w:val="006E4E0B"/>
    <w:rsid w:val="006E50A4"/>
    <w:rsid w:val="006E590A"/>
    <w:rsid w:val="006E6422"/>
    <w:rsid w:val="006E64C2"/>
    <w:rsid w:val="006E71FE"/>
    <w:rsid w:val="006E7BF6"/>
    <w:rsid w:val="006F0057"/>
    <w:rsid w:val="006F10ED"/>
    <w:rsid w:val="006F210C"/>
    <w:rsid w:val="006F29C1"/>
    <w:rsid w:val="006F3F01"/>
    <w:rsid w:val="006F574E"/>
    <w:rsid w:val="006F6DD9"/>
    <w:rsid w:val="006F74DA"/>
    <w:rsid w:val="006F74FA"/>
    <w:rsid w:val="006F7C9B"/>
    <w:rsid w:val="006F7EAD"/>
    <w:rsid w:val="00701359"/>
    <w:rsid w:val="0070146B"/>
    <w:rsid w:val="00701976"/>
    <w:rsid w:val="00701BD4"/>
    <w:rsid w:val="00701FF7"/>
    <w:rsid w:val="0070335D"/>
    <w:rsid w:val="00704AF7"/>
    <w:rsid w:val="00704B37"/>
    <w:rsid w:val="007050CE"/>
    <w:rsid w:val="00705A58"/>
    <w:rsid w:val="00705AEC"/>
    <w:rsid w:val="00705D45"/>
    <w:rsid w:val="00705FC2"/>
    <w:rsid w:val="007063A7"/>
    <w:rsid w:val="00706A7E"/>
    <w:rsid w:val="007076EF"/>
    <w:rsid w:val="00710569"/>
    <w:rsid w:val="00710D02"/>
    <w:rsid w:val="00710D3E"/>
    <w:rsid w:val="00710FF0"/>
    <w:rsid w:val="00712842"/>
    <w:rsid w:val="00712E4A"/>
    <w:rsid w:val="007130A6"/>
    <w:rsid w:val="00713465"/>
    <w:rsid w:val="00713A4B"/>
    <w:rsid w:val="0071496F"/>
    <w:rsid w:val="00714E57"/>
    <w:rsid w:val="00715DE1"/>
    <w:rsid w:val="00717223"/>
    <w:rsid w:val="0071732B"/>
    <w:rsid w:val="0072060E"/>
    <w:rsid w:val="0072178F"/>
    <w:rsid w:val="00722583"/>
    <w:rsid w:val="007228F9"/>
    <w:rsid w:val="00722AAB"/>
    <w:rsid w:val="00722FEE"/>
    <w:rsid w:val="007234A6"/>
    <w:rsid w:val="00723A3C"/>
    <w:rsid w:val="00723F2B"/>
    <w:rsid w:val="00724E9A"/>
    <w:rsid w:val="00725CE4"/>
    <w:rsid w:val="00726ED6"/>
    <w:rsid w:val="00730BB2"/>
    <w:rsid w:val="00730D48"/>
    <w:rsid w:val="007319A1"/>
    <w:rsid w:val="00731AD0"/>
    <w:rsid w:val="00731C66"/>
    <w:rsid w:val="00732C46"/>
    <w:rsid w:val="007336FE"/>
    <w:rsid w:val="00734C9E"/>
    <w:rsid w:val="00734EFD"/>
    <w:rsid w:val="0073517D"/>
    <w:rsid w:val="00735CD4"/>
    <w:rsid w:val="00736115"/>
    <w:rsid w:val="00736F2F"/>
    <w:rsid w:val="007374BF"/>
    <w:rsid w:val="0074106C"/>
    <w:rsid w:val="00741A88"/>
    <w:rsid w:val="00741D67"/>
    <w:rsid w:val="00743FD8"/>
    <w:rsid w:val="007441FE"/>
    <w:rsid w:val="007447D6"/>
    <w:rsid w:val="0074482E"/>
    <w:rsid w:val="00744AEA"/>
    <w:rsid w:val="0074531B"/>
    <w:rsid w:val="007453A7"/>
    <w:rsid w:val="00745AB7"/>
    <w:rsid w:val="007472DC"/>
    <w:rsid w:val="007504EC"/>
    <w:rsid w:val="00750EDE"/>
    <w:rsid w:val="007513E6"/>
    <w:rsid w:val="007513ED"/>
    <w:rsid w:val="007528CD"/>
    <w:rsid w:val="00753BC4"/>
    <w:rsid w:val="00753F3E"/>
    <w:rsid w:val="00754923"/>
    <w:rsid w:val="00754ECA"/>
    <w:rsid w:val="007550F9"/>
    <w:rsid w:val="007557D9"/>
    <w:rsid w:val="007559DF"/>
    <w:rsid w:val="00755EF4"/>
    <w:rsid w:val="00756108"/>
    <w:rsid w:val="007564D5"/>
    <w:rsid w:val="007573AF"/>
    <w:rsid w:val="007577F5"/>
    <w:rsid w:val="00757967"/>
    <w:rsid w:val="0076027F"/>
    <w:rsid w:val="007606C0"/>
    <w:rsid w:val="00760FFE"/>
    <w:rsid w:val="00762917"/>
    <w:rsid w:val="007644EC"/>
    <w:rsid w:val="00764531"/>
    <w:rsid w:val="00764F84"/>
    <w:rsid w:val="00765C89"/>
    <w:rsid w:val="0076732F"/>
    <w:rsid w:val="00770320"/>
    <w:rsid w:val="00771C77"/>
    <w:rsid w:val="0077228A"/>
    <w:rsid w:val="00773150"/>
    <w:rsid w:val="00774714"/>
    <w:rsid w:val="00775C8D"/>
    <w:rsid w:val="00775E0C"/>
    <w:rsid w:val="007761C4"/>
    <w:rsid w:val="007804CB"/>
    <w:rsid w:val="00780521"/>
    <w:rsid w:val="00781EF1"/>
    <w:rsid w:val="00782A50"/>
    <w:rsid w:val="00783BC9"/>
    <w:rsid w:val="007841AC"/>
    <w:rsid w:val="0078464A"/>
    <w:rsid w:val="00785F3E"/>
    <w:rsid w:val="00786627"/>
    <w:rsid w:val="007867FE"/>
    <w:rsid w:val="0078782F"/>
    <w:rsid w:val="007911D0"/>
    <w:rsid w:val="007916C8"/>
    <w:rsid w:val="0079224E"/>
    <w:rsid w:val="0079268B"/>
    <w:rsid w:val="00793A7E"/>
    <w:rsid w:val="00793CA9"/>
    <w:rsid w:val="00794BFE"/>
    <w:rsid w:val="00794D6B"/>
    <w:rsid w:val="00795B3C"/>
    <w:rsid w:val="00796065"/>
    <w:rsid w:val="00796C44"/>
    <w:rsid w:val="00797809"/>
    <w:rsid w:val="007A0173"/>
    <w:rsid w:val="007A106A"/>
    <w:rsid w:val="007A1295"/>
    <w:rsid w:val="007A1D6F"/>
    <w:rsid w:val="007A20F2"/>
    <w:rsid w:val="007A25EE"/>
    <w:rsid w:val="007A29C4"/>
    <w:rsid w:val="007A29E6"/>
    <w:rsid w:val="007A43C6"/>
    <w:rsid w:val="007A4773"/>
    <w:rsid w:val="007A489F"/>
    <w:rsid w:val="007A5DBE"/>
    <w:rsid w:val="007A6441"/>
    <w:rsid w:val="007A7F64"/>
    <w:rsid w:val="007B04D2"/>
    <w:rsid w:val="007B0CEF"/>
    <w:rsid w:val="007B1B52"/>
    <w:rsid w:val="007B1C99"/>
    <w:rsid w:val="007B1CD7"/>
    <w:rsid w:val="007B21DC"/>
    <w:rsid w:val="007B22F1"/>
    <w:rsid w:val="007B248E"/>
    <w:rsid w:val="007B323E"/>
    <w:rsid w:val="007B513F"/>
    <w:rsid w:val="007B6CE5"/>
    <w:rsid w:val="007B75A1"/>
    <w:rsid w:val="007B7A23"/>
    <w:rsid w:val="007C011D"/>
    <w:rsid w:val="007C09D3"/>
    <w:rsid w:val="007C0AE7"/>
    <w:rsid w:val="007C1000"/>
    <w:rsid w:val="007C118D"/>
    <w:rsid w:val="007C2DDA"/>
    <w:rsid w:val="007C40C6"/>
    <w:rsid w:val="007C46AB"/>
    <w:rsid w:val="007C4CAB"/>
    <w:rsid w:val="007C5ACC"/>
    <w:rsid w:val="007C5E32"/>
    <w:rsid w:val="007C68B4"/>
    <w:rsid w:val="007C6996"/>
    <w:rsid w:val="007C71E6"/>
    <w:rsid w:val="007C7BC0"/>
    <w:rsid w:val="007D093B"/>
    <w:rsid w:val="007D1013"/>
    <w:rsid w:val="007D1B8F"/>
    <w:rsid w:val="007D23F6"/>
    <w:rsid w:val="007D2849"/>
    <w:rsid w:val="007D2BE9"/>
    <w:rsid w:val="007D2C05"/>
    <w:rsid w:val="007D2EFA"/>
    <w:rsid w:val="007D3A53"/>
    <w:rsid w:val="007D4630"/>
    <w:rsid w:val="007D4958"/>
    <w:rsid w:val="007D4A8E"/>
    <w:rsid w:val="007D4F0B"/>
    <w:rsid w:val="007D52D3"/>
    <w:rsid w:val="007D54CC"/>
    <w:rsid w:val="007D6535"/>
    <w:rsid w:val="007D73ED"/>
    <w:rsid w:val="007D7E34"/>
    <w:rsid w:val="007E07FE"/>
    <w:rsid w:val="007E0AFF"/>
    <w:rsid w:val="007E13C7"/>
    <w:rsid w:val="007E1BEC"/>
    <w:rsid w:val="007E215C"/>
    <w:rsid w:val="007E268B"/>
    <w:rsid w:val="007E2976"/>
    <w:rsid w:val="007E41E1"/>
    <w:rsid w:val="007E4453"/>
    <w:rsid w:val="007E4D5E"/>
    <w:rsid w:val="007E4F57"/>
    <w:rsid w:val="007E5821"/>
    <w:rsid w:val="007E5E4A"/>
    <w:rsid w:val="007E60EA"/>
    <w:rsid w:val="007E6FF2"/>
    <w:rsid w:val="007F0BCA"/>
    <w:rsid w:val="007F19FE"/>
    <w:rsid w:val="007F24F0"/>
    <w:rsid w:val="007F268E"/>
    <w:rsid w:val="007F2906"/>
    <w:rsid w:val="007F2E13"/>
    <w:rsid w:val="007F4266"/>
    <w:rsid w:val="007F47D8"/>
    <w:rsid w:val="007F4868"/>
    <w:rsid w:val="007F5298"/>
    <w:rsid w:val="007F7F6C"/>
    <w:rsid w:val="00800E69"/>
    <w:rsid w:val="0080135D"/>
    <w:rsid w:val="00801662"/>
    <w:rsid w:val="00802348"/>
    <w:rsid w:val="008027B0"/>
    <w:rsid w:val="00802912"/>
    <w:rsid w:val="00802BC6"/>
    <w:rsid w:val="0080394B"/>
    <w:rsid w:val="00804584"/>
    <w:rsid w:val="0080459F"/>
    <w:rsid w:val="00804C3A"/>
    <w:rsid w:val="00805339"/>
    <w:rsid w:val="0080547C"/>
    <w:rsid w:val="008063BF"/>
    <w:rsid w:val="0080734E"/>
    <w:rsid w:val="00807C9A"/>
    <w:rsid w:val="00810750"/>
    <w:rsid w:val="00812FA1"/>
    <w:rsid w:val="00813B05"/>
    <w:rsid w:val="00813B07"/>
    <w:rsid w:val="00813DAE"/>
    <w:rsid w:val="00813F2C"/>
    <w:rsid w:val="00814019"/>
    <w:rsid w:val="00815503"/>
    <w:rsid w:val="008162F3"/>
    <w:rsid w:val="00820114"/>
    <w:rsid w:val="008226FF"/>
    <w:rsid w:val="00822DB3"/>
    <w:rsid w:val="008236A5"/>
    <w:rsid w:val="0082377C"/>
    <w:rsid w:val="00823A89"/>
    <w:rsid w:val="00823CEA"/>
    <w:rsid w:val="00824E03"/>
    <w:rsid w:val="00824EEC"/>
    <w:rsid w:val="00825A79"/>
    <w:rsid w:val="00825BE1"/>
    <w:rsid w:val="00825E5D"/>
    <w:rsid w:val="00825F13"/>
    <w:rsid w:val="0082650A"/>
    <w:rsid w:val="00827553"/>
    <w:rsid w:val="0083217B"/>
    <w:rsid w:val="00833331"/>
    <w:rsid w:val="00833A7B"/>
    <w:rsid w:val="00833CD3"/>
    <w:rsid w:val="00835041"/>
    <w:rsid w:val="008402C9"/>
    <w:rsid w:val="00840AB1"/>
    <w:rsid w:val="00842254"/>
    <w:rsid w:val="00843240"/>
    <w:rsid w:val="00843793"/>
    <w:rsid w:val="008442AC"/>
    <w:rsid w:val="00844643"/>
    <w:rsid w:val="00844890"/>
    <w:rsid w:val="00844C09"/>
    <w:rsid w:val="00844DBC"/>
    <w:rsid w:val="008456DA"/>
    <w:rsid w:val="008459B0"/>
    <w:rsid w:val="00846B85"/>
    <w:rsid w:val="00847FB7"/>
    <w:rsid w:val="0085081D"/>
    <w:rsid w:val="00851463"/>
    <w:rsid w:val="0085231A"/>
    <w:rsid w:val="00852A21"/>
    <w:rsid w:val="00852C74"/>
    <w:rsid w:val="0085394E"/>
    <w:rsid w:val="008539E2"/>
    <w:rsid w:val="00853B6E"/>
    <w:rsid w:val="008542BA"/>
    <w:rsid w:val="00854D16"/>
    <w:rsid w:val="00855392"/>
    <w:rsid w:val="008553A5"/>
    <w:rsid w:val="00855A42"/>
    <w:rsid w:val="00855FA2"/>
    <w:rsid w:val="00856629"/>
    <w:rsid w:val="00856784"/>
    <w:rsid w:val="008571DF"/>
    <w:rsid w:val="0085750B"/>
    <w:rsid w:val="00857766"/>
    <w:rsid w:val="00857A05"/>
    <w:rsid w:val="008600D7"/>
    <w:rsid w:val="008608FB"/>
    <w:rsid w:val="00860C0E"/>
    <w:rsid w:val="0086115B"/>
    <w:rsid w:val="00861DA7"/>
    <w:rsid w:val="00861F66"/>
    <w:rsid w:val="00862C6F"/>
    <w:rsid w:val="008642A5"/>
    <w:rsid w:val="0086491F"/>
    <w:rsid w:val="008656C0"/>
    <w:rsid w:val="00865D56"/>
    <w:rsid w:val="00865D7E"/>
    <w:rsid w:val="008660F6"/>
    <w:rsid w:val="008677F5"/>
    <w:rsid w:val="00867A5F"/>
    <w:rsid w:val="0087097E"/>
    <w:rsid w:val="00870B05"/>
    <w:rsid w:val="00871000"/>
    <w:rsid w:val="00871B43"/>
    <w:rsid w:val="00873501"/>
    <w:rsid w:val="008741EC"/>
    <w:rsid w:val="008741FB"/>
    <w:rsid w:val="00875780"/>
    <w:rsid w:val="00875F28"/>
    <w:rsid w:val="00876054"/>
    <w:rsid w:val="00876CE9"/>
    <w:rsid w:val="0087739E"/>
    <w:rsid w:val="008778FE"/>
    <w:rsid w:val="00877AA1"/>
    <w:rsid w:val="00877E69"/>
    <w:rsid w:val="00880424"/>
    <w:rsid w:val="00880B03"/>
    <w:rsid w:val="00880CCD"/>
    <w:rsid w:val="0088251C"/>
    <w:rsid w:val="00883185"/>
    <w:rsid w:val="0088428A"/>
    <w:rsid w:val="00884EB0"/>
    <w:rsid w:val="00885866"/>
    <w:rsid w:val="00885D46"/>
    <w:rsid w:val="00886277"/>
    <w:rsid w:val="00886823"/>
    <w:rsid w:val="008877E3"/>
    <w:rsid w:val="00890223"/>
    <w:rsid w:val="008902EA"/>
    <w:rsid w:val="00890B62"/>
    <w:rsid w:val="00892E73"/>
    <w:rsid w:val="00892F71"/>
    <w:rsid w:val="00893DBD"/>
    <w:rsid w:val="00893EA5"/>
    <w:rsid w:val="008950C1"/>
    <w:rsid w:val="00896662"/>
    <w:rsid w:val="00896900"/>
    <w:rsid w:val="00897183"/>
    <w:rsid w:val="008973C6"/>
    <w:rsid w:val="008A0650"/>
    <w:rsid w:val="008A065A"/>
    <w:rsid w:val="008A09BE"/>
    <w:rsid w:val="008A0E39"/>
    <w:rsid w:val="008A1438"/>
    <w:rsid w:val="008A20F2"/>
    <w:rsid w:val="008A3790"/>
    <w:rsid w:val="008A3C52"/>
    <w:rsid w:val="008A3F24"/>
    <w:rsid w:val="008A4C56"/>
    <w:rsid w:val="008A6B5A"/>
    <w:rsid w:val="008A7513"/>
    <w:rsid w:val="008A79BD"/>
    <w:rsid w:val="008B0C6C"/>
    <w:rsid w:val="008B0E38"/>
    <w:rsid w:val="008B11C8"/>
    <w:rsid w:val="008B13DF"/>
    <w:rsid w:val="008B15CD"/>
    <w:rsid w:val="008B1B2D"/>
    <w:rsid w:val="008B1B3C"/>
    <w:rsid w:val="008B1F54"/>
    <w:rsid w:val="008B2EE1"/>
    <w:rsid w:val="008B3B18"/>
    <w:rsid w:val="008B4719"/>
    <w:rsid w:val="008B4A7A"/>
    <w:rsid w:val="008B4E35"/>
    <w:rsid w:val="008B505E"/>
    <w:rsid w:val="008B5E53"/>
    <w:rsid w:val="008B6704"/>
    <w:rsid w:val="008B7A37"/>
    <w:rsid w:val="008B7BFD"/>
    <w:rsid w:val="008C0277"/>
    <w:rsid w:val="008C067C"/>
    <w:rsid w:val="008C06C9"/>
    <w:rsid w:val="008C0C3B"/>
    <w:rsid w:val="008C2B73"/>
    <w:rsid w:val="008C4D61"/>
    <w:rsid w:val="008C4F80"/>
    <w:rsid w:val="008C51C1"/>
    <w:rsid w:val="008C5B44"/>
    <w:rsid w:val="008C6850"/>
    <w:rsid w:val="008C73DE"/>
    <w:rsid w:val="008C7BE5"/>
    <w:rsid w:val="008C7D70"/>
    <w:rsid w:val="008D09FB"/>
    <w:rsid w:val="008D152E"/>
    <w:rsid w:val="008D2286"/>
    <w:rsid w:val="008D3420"/>
    <w:rsid w:val="008D3604"/>
    <w:rsid w:val="008D5243"/>
    <w:rsid w:val="008D53F8"/>
    <w:rsid w:val="008D5ADA"/>
    <w:rsid w:val="008D6031"/>
    <w:rsid w:val="008D60CB"/>
    <w:rsid w:val="008D63A1"/>
    <w:rsid w:val="008D6461"/>
    <w:rsid w:val="008D6946"/>
    <w:rsid w:val="008D7A06"/>
    <w:rsid w:val="008E024D"/>
    <w:rsid w:val="008E1414"/>
    <w:rsid w:val="008E1D88"/>
    <w:rsid w:val="008E22DE"/>
    <w:rsid w:val="008E28AF"/>
    <w:rsid w:val="008E4C88"/>
    <w:rsid w:val="008E618D"/>
    <w:rsid w:val="008E6822"/>
    <w:rsid w:val="008E6E27"/>
    <w:rsid w:val="008E7626"/>
    <w:rsid w:val="008E7AC8"/>
    <w:rsid w:val="008F0CF5"/>
    <w:rsid w:val="008F1B12"/>
    <w:rsid w:val="008F1DF3"/>
    <w:rsid w:val="008F1DFB"/>
    <w:rsid w:val="008F1E3D"/>
    <w:rsid w:val="008F2C02"/>
    <w:rsid w:val="008F2E03"/>
    <w:rsid w:val="008F2E81"/>
    <w:rsid w:val="008F4AA2"/>
    <w:rsid w:val="008F4BFB"/>
    <w:rsid w:val="008F538F"/>
    <w:rsid w:val="008F5FBC"/>
    <w:rsid w:val="008F63DC"/>
    <w:rsid w:val="00900088"/>
    <w:rsid w:val="009001C1"/>
    <w:rsid w:val="00900447"/>
    <w:rsid w:val="009010DA"/>
    <w:rsid w:val="009018B5"/>
    <w:rsid w:val="00901DB0"/>
    <w:rsid w:val="00901EC5"/>
    <w:rsid w:val="00902790"/>
    <w:rsid w:val="00902BCC"/>
    <w:rsid w:val="00903842"/>
    <w:rsid w:val="00903B40"/>
    <w:rsid w:val="009047CB"/>
    <w:rsid w:val="009049B8"/>
    <w:rsid w:val="00904A51"/>
    <w:rsid w:val="00905C6B"/>
    <w:rsid w:val="009064E3"/>
    <w:rsid w:val="00907443"/>
    <w:rsid w:val="0091018C"/>
    <w:rsid w:val="009104C3"/>
    <w:rsid w:val="00910CD0"/>
    <w:rsid w:val="00911821"/>
    <w:rsid w:val="00912243"/>
    <w:rsid w:val="00913F67"/>
    <w:rsid w:val="00914D8B"/>
    <w:rsid w:val="0091507C"/>
    <w:rsid w:val="009152AE"/>
    <w:rsid w:val="009155A8"/>
    <w:rsid w:val="00917540"/>
    <w:rsid w:val="00922254"/>
    <w:rsid w:val="00924448"/>
    <w:rsid w:val="00924552"/>
    <w:rsid w:val="0092497D"/>
    <w:rsid w:val="00924A25"/>
    <w:rsid w:val="00924DAA"/>
    <w:rsid w:val="009255C7"/>
    <w:rsid w:val="00930824"/>
    <w:rsid w:val="009308A0"/>
    <w:rsid w:val="009318D9"/>
    <w:rsid w:val="00932166"/>
    <w:rsid w:val="00932620"/>
    <w:rsid w:val="00933921"/>
    <w:rsid w:val="00933F7A"/>
    <w:rsid w:val="00934063"/>
    <w:rsid w:val="009341D0"/>
    <w:rsid w:val="00934776"/>
    <w:rsid w:val="0093491D"/>
    <w:rsid w:val="00935286"/>
    <w:rsid w:val="00936425"/>
    <w:rsid w:val="00936620"/>
    <w:rsid w:val="009368C9"/>
    <w:rsid w:val="00940144"/>
    <w:rsid w:val="009406FF"/>
    <w:rsid w:val="00940D0E"/>
    <w:rsid w:val="00941108"/>
    <w:rsid w:val="00942730"/>
    <w:rsid w:val="00943384"/>
    <w:rsid w:val="009442B8"/>
    <w:rsid w:val="00944B16"/>
    <w:rsid w:val="00945A41"/>
    <w:rsid w:val="00946D64"/>
    <w:rsid w:val="00947D7E"/>
    <w:rsid w:val="0095032F"/>
    <w:rsid w:val="00950867"/>
    <w:rsid w:val="00950B2A"/>
    <w:rsid w:val="00951E6F"/>
    <w:rsid w:val="00951FF8"/>
    <w:rsid w:val="00952287"/>
    <w:rsid w:val="00952392"/>
    <w:rsid w:val="00953B2B"/>
    <w:rsid w:val="0095411C"/>
    <w:rsid w:val="00954189"/>
    <w:rsid w:val="00955072"/>
    <w:rsid w:val="0095551E"/>
    <w:rsid w:val="00955EE4"/>
    <w:rsid w:val="00956EEA"/>
    <w:rsid w:val="00957719"/>
    <w:rsid w:val="00957E0D"/>
    <w:rsid w:val="00960BC8"/>
    <w:rsid w:val="00961829"/>
    <w:rsid w:val="00962417"/>
    <w:rsid w:val="0096247A"/>
    <w:rsid w:val="0096323F"/>
    <w:rsid w:val="009641B1"/>
    <w:rsid w:val="009665C3"/>
    <w:rsid w:val="009666EE"/>
    <w:rsid w:val="009670B7"/>
    <w:rsid w:val="00970D3A"/>
    <w:rsid w:val="00971B74"/>
    <w:rsid w:val="00972904"/>
    <w:rsid w:val="00974B7A"/>
    <w:rsid w:val="00976370"/>
    <w:rsid w:val="0098088F"/>
    <w:rsid w:val="00980AFA"/>
    <w:rsid w:val="00980B28"/>
    <w:rsid w:val="009818A2"/>
    <w:rsid w:val="00982ACA"/>
    <w:rsid w:val="00983387"/>
    <w:rsid w:val="009836C7"/>
    <w:rsid w:val="00983EF7"/>
    <w:rsid w:val="00984862"/>
    <w:rsid w:val="00984B5E"/>
    <w:rsid w:val="00984BDE"/>
    <w:rsid w:val="00985271"/>
    <w:rsid w:val="00985EA3"/>
    <w:rsid w:val="00986047"/>
    <w:rsid w:val="00987648"/>
    <w:rsid w:val="009900C8"/>
    <w:rsid w:val="0099057D"/>
    <w:rsid w:val="0099141B"/>
    <w:rsid w:val="0099165F"/>
    <w:rsid w:val="009916C9"/>
    <w:rsid w:val="00992760"/>
    <w:rsid w:val="00993108"/>
    <w:rsid w:val="00994ABC"/>
    <w:rsid w:val="00994EB9"/>
    <w:rsid w:val="00994FDB"/>
    <w:rsid w:val="009971DB"/>
    <w:rsid w:val="0099734B"/>
    <w:rsid w:val="0099786E"/>
    <w:rsid w:val="00997A22"/>
    <w:rsid w:val="009A024B"/>
    <w:rsid w:val="009A1203"/>
    <w:rsid w:val="009A12B3"/>
    <w:rsid w:val="009A1666"/>
    <w:rsid w:val="009A1EEB"/>
    <w:rsid w:val="009A2CAC"/>
    <w:rsid w:val="009A31B8"/>
    <w:rsid w:val="009A35E7"/>
    <w:rsid w:val="009A4084"/>
    <w:rsid w:val="009A4281"/>
    <w:rsid w:val="009A48DD"/>
    <w:rsid w:val="009A4F40"/>
    <w:rsid w:val="009A5649"/>
    <w:rsid w:val="009A572F"/>
    <w:rsid w:val="009A5FD1"/>
    <w:rsid w:val="009A6450"/>
    <w:rsid w:val="009A659B"/>
    <w:rsid w:val="009A6CBE"/>
    <w:rsid w:val="009A7A41"/>
    <w:rsid w:val="009B00B4"/>
    <w:rsid w:val="009B14D7"/>
    <w:rsid w:val="009B15E6"/>
    <w:rsid w:val="009B17F9"/>
    <w:rsid w:val="009B1811"/>
    <w:rsid w:val="009B2944"/>
    <w:rsid w:val="009B2B56"/>
    <w:rsid w:val="009B4283"/>
    <w:rsid w:val="009B433B"/>
    <w:rsid w:val="009B4821"/>
    <w:rsid w:val="009B55F0"/>
    <w:rsid w:val="009B5CB3"/>
    <w:rsid w:val="009B5FC1"/>
    <w:rsid w:val="009B60BB"/>
    <w:rsid w:val="009B664F"/>
    <w:rsid w:val="009B6679"/>
    <w:rsid w:val="009C01A0"/>
    <w:rsid w:val="009C0296"/>
    <w:rsid w:val="009C1B41"/>
    <w:rsid w:val="009C1FDD"/>
    <w:rsid w:val="009C2C19"/>
    <w:rsid w:val="009C34B2"/>
    <w:rsid w:val="009C3D5F"/>
    <w:rsid w:val="009C430F"/>
    <w:rsid w:val="009C4505"/>
    <w:rsid w:val="009C5121"/>
    <w:rsid w:val="009C5E5A"/>
    <w:rsid w:val="009C5FA4"/>
    <w:rsid w:val="009C695E"/>
    <w:rsid w:val="009C7119"/>
    <w:rsid w:val="009C7BC6"/>
    <w:rsid w:val="009D028C"/>
    <w:rsid w:val="009D0656"/>
    <w:rsid w:val="009D0762"/>
    <w:rsid w:val="009D1B8A"/>
    <w:rsid w:val="009D2663"/>
    <w:rsid w:val="009D2805"/>
    <w:rsid w:val="009D2F55"/>
    <w:rsid w:val="009D30CE"/>
    <w:rsid w:val="009D33EE"/>
    <w:rsid w:val="009D508A"/>
    <w:rsid w:val="009D7540"/>
    <w:rsid w:val="009E0AF5"/>
    <w:rsid w:val="009E109F"/>
    <w:rsid w:val="009E2A9B"/>
    <w:rsid w:val="009E415D"/>
    <w:rsid w:val="009E51F2"/>
    <w:rsid w:val="009E603E"/>
    <w:rsid w:val="009F1797"/>
    <w:rsid w:val="009F262B"/>
    <w:rsid w:val="009F2A00"/>
    <w:rsid w:val="009F2A64"/>
    <w:rsid w:val="009F3088"/>
    <w:rsid w:val="009F353E"/>
    <w:rsid w:val="009F4C62"/>
    <w:rsid w:val="009F5337"/>
    <w:rsid w:val="009F570C"/>
    <w:rsid w:val="009F64DE"/>
    <w:rsid w:val="009F691B"/>
    <w:rsid w:val="009F7E4B"/>
    <w:rsid w:val="00A00206"/>
    <w:rsid w:val="00A0055F"/>
    <w:rsid w:val="00A028AA"/>
    <w:rsid w:val="00A03D1E"/>
    <w:rsid w:val="00A04620"/>
    <w:rsid w:val="00A054A5"/>
    <w:rsid w:val="00A0592E"/>
    <w:rsid w:val="00A05BF1"/>
    <w:rsid w:val="00A062BA"/>
    <w:rsid w:val="00A067B5"/>
    <w:rsid w:val="00A074C2"/>
    <w:rsid w:val="00A07ECD"/>
    <w:rsid w:val="00A1008F"/>
    <w:rsid w:val="00A105B8"/>
    <w:rsid w:val="00A106EA"/>
    <w:rsid w:val="00A10F30"/>
    <w:rsid w:val="00A12C32"/>
    <w:rsid w:val="00A13118"/>
    <w:rsid w:val="00A141B3"/>
    <w:rsid w:val="00A14A2D"/>
    <w:rsid w:val="00A1533F"/>
    <w:rsid w:val="00A20045"/>
    <w:rsid w:val="00A21069"/>
    <w:rsid w:val="00A2132C"/>
    <w:rsid w:val="00A21E88"/>
    <w:rsid w:val="00A220D9"/>
    <w:rsid w:val="00A22486"/>
    <w:rsid w:val="00A225B3"/>
    <w:rsid w:val="00A22E85"/>
    <w:rsid w:val="00A234AC"/>
    <w:rsid w:val="00A2481A"/>
    <w:rsid w:val="00A24936"/>
    <w:rsid w:val="00A25B43"/>
    <w:rsid w:val="00A26605"/>
    <w:rsid w:val="00A275CD"/>
    <w:rsid w:val="00A27750"/>
    <w:rsid w:val="00A27C40"/>
    <w:rsid w:val="00A31FA5"/>
    <w:rsid w:val="00A324FE"/>
    <w:rsid w:val="00A32BF9"/>
    <w:rsid w:val="00A32FDD"/>
    <w:rsid w:val="00A33B75"/>
    <w:rsid w:val="00A34B88"/>
    <w:rsid w:val="00A35B7A"/>
    <w:rsid w:val="00A36740"/>
    <w:rsid w:val="00A368CE"/>
    <w:rsid w:val="00A36A6B"/>
    <w:rsid w:val="00A36C46"/>
    <w:rsid w:val="00A37955"/>
    <w:rsid w:val="00A40336"/>
    <w:rsid w:val="00A40528"/>
    <w:rsid w:val="00A40B2F"/>
    <w:rsid w:val="00A4124C"/>
    <w:rsid w:val="00A42430"/>
    <w:rsid w:val="00A42A2E"/>
    <w:rsid w:val="00A43D7B"/>
    <w:rsid w:val="00A45C2C"/>
    <w:rsid w:val="00A461D5"/>
    <w:rsid w:val="00A47353"/>
    <w:rsid w:val="00A47B88"/>
    <w:rsid w:val="00A47C56"/>
    <w:rsid w:val="00A506C6"/>
    <w:rsid w:val="00A51242"/>
    <w:rsid w:val="00A523C2"/>
    <w:rsid w:val="00A52CD0"/>
    <w:rsid w:val="00A543E1"/>
    <w:rsid w:val="00A554CF"/>
    <w:rsid w:val="00A57175"/>
    <w:rsid w:val="00A57498"/>
    <w:rsid w:val="00A57DCC"/>
    <w:rsid w:val="00A6007D"/>
    <w:rsid w:val="00A608CD"/>
    <w:rsid w:val="00A60B9B"/>
    <w:rsid w:val="00A6107F"/>
    <w:rsid w:val="00A61B42"/>
    <w:rsid w:val="00A61E39"/>
    <w:rsid w:val="00A637E3"/>
    <w:rsid w:val="00A63A93"/>
    <w:rsid w:val="00A63C75"/>
    <w:rsid w:val="00A64D6E"/>
    <w:rsid w:val="00A65718"/>
    <w:rsid w:val="00A66F4A"/>
    <w:rsid w:val="00A67CD9"/>
    <w:rsid w:val="00A707FA"/>
    <w:rsid w:val="00A70884"/>
    <w:rsid w:val="00A71606"/>
    <w:rsid w:val="00A7254C"/>
    <w:rsid w:val="00A729FB"/>
    <w:rsid w:val="00A72CF9"/>
    <w:rsid w:val="00A7560E"/>
    <w:rsid w:val="00A80224"/>
    <w:rsid w:val="00A80EA6"/>
    <w:rsid w:val="00A80F81"/>
    <w:rsid w:val="00A81BC3"/>
    <w:rsid w:val="00A821E7"/>
    <w:rsid w:val="00A822A7"/>
    <w:rsid w:val="00A823AA"/>
    <w:rsid w:val="00A83712"/>
    <w:rsid w:val="00A849C4"/>
    <w:rsid w:val="00A8502E"/>
    <w:rsid w:val="00A856A2"/>
    <w:rsid w:val="00A85E43"/>
    <w:rsid w:val="00A8700C"/>
    <w:rsid w:val="00A87160"/>
    <w:rsid w:val="00A87FAE"/>
    <w:rsid w:val="00A90613"/>
    <w:rsid w:val="00A90802"/>
    <w:rsid w:val="00A92ABB"/>
    <w:rsid w:val="00A92C54"/>
    <w:rsid w:val="00A931F7"/>
    <w:rsid w:val="00A9369A"/>
    <w:rsid w:val="00A93AD6"/>
    <w:rsid w:val="00A93BA2"/>
    <w:rsid w:val="00A940B4"/>
    <w:rsid w:val="00A941B5"/>
    <w:rsid w:val="00A949F6"/>
    <w:rsid w:val="00A9506A"/>
    <w:rsid w:val="00A95674"/>
    <w:rsid w:val="00A9624F"/>
    <w:rsid w:val="00AA093C"/>
    <w:rsid w:val="00AA0D6E"/>
    <w:rsid w:val="00AA1206"/>
    <w:rsid w:val="00AA1F93"/>
    <w:rsid w:val="00AA3050"/>
    <w:rsid w:val="00AA306A"/>
    <w:rsid w:val="00AA47F7"/>
    <w:rsid w:val="00AA4A43"/>
    <w:rsid w:val="00AA4B55"/>
    <w:rsid w:val="00AA4B66"/>
    <w:rsid w:val="00AA51CF"/>
    <w:rsid w:val="00AA54CA"/>
    <w:rsid w:val="00AA583A"/>
    <w:rsid w:val="00AA5A18"/>
    <w:rsid w:val="00AA5EF6"/>
    <w:rsid w:val="00AA624E"/>
    <w:rsid w:val="00AA6738"/>
    <w:rsid w:val="00AA68F9"/>
    <w:rsid w:val="00AA6900"/>
    <w:rsid w:val="00AA6A02"/>
    <w:rsid w:val="00AA6F2D"/>
    <w:rsid w:val="00AA7ABA"/>
    <w:rsid w:val="00AB027E"/>
    <w:rsid w:val="00AB078E"/>
    <w:rsid w:val="00AB0ACA"/>
    <w:rsid w:val="00AB15FE"/>
    <w:rsid w:val="00AB1893"/>
    <w:rsid w:val="00AB18CF"/>
    <w:rsid w:val="00AB1AD6"/>
    <w:rsid w:val="00AB2A49"/>
    <w:rsid w:val="00AB4A05"/>
    <w:rsid w:val="00AB4C43"/>
    <w:rsid w:val="00AB50F6"/>
    <w:rsid w:val="00AC0797"/>
    <w:rsid w:val="00AC149F"/>
    <w:rsid w:val="00AC3608"/>
    <w:rsid w:val="00AC3ADF"/>
    <w:rsid w:val="00AC3B91"/>
    <w:rsid w:val="00AC488F"/>
    <w:rsid w:val="00AC4FC6"/>
    <w:rsid w:val="00AC595C"/>
    <w:rsid w:val="00AC7AC2"/>
    <w:rsid w:val="00AC7E85"/>
    <w:rsid w:val="00AD1CB7"/>
    <w:rsid w:val="00AD2981"/>
    <w:rsid w:val="00AD2C80"/>
    <w:rsid w:val="00AD2E75"/>
    <w:rsid w:val="00AD4BD1"/>
    <w:rsid w:val="00AD4CE1"/>
    <w:rsid w:val="00AD6E1F"/>
    <w:rsid w:val="00AE35EC"/>
    <w:rsid w:val="00AE474F"/>
    <w:rsid w:val="00AE4B5E"/>
    <w:rsid w:val="00AE4CBF"/>
    <w:rsid w:val="00AE57A4"/>
    <w:rsid w:val="00AE63C0"/>
    <w:rsid w:val="00AE65AA"/>
    <w:rsid w:val="00AE6748"/>
    <w:rsid w:val="00AE6BCA"/>
    <w:rsid w:val="00AF05D7"/>
    <w:rsid w:val="00AF0700"/>
    <w:rsid w:val="00AF2CDF"/>
    <w:rsid w:val="00AF2FBE"/>
    <w:rsid w:val="00AF3563"/>
    <w:rsid w:val="00AF4252"/>
    <w:rsid w:val="00AF757B"/>
    <w:rsid w:val="00AF7964"/>
    <w:rsid w:val="00AF7B4D"/>
    <w:rsid w:val="00B012CB"/>
    <w:rsid w:val="00B019E7"/>
    <w:rsid w:val="00B02E03"/>
    <w:rsid w:val="00B04047"/>
    <w:rsid w:val="00B04E3B"/>
    <w:rsid w:val="00B0538A"/>
    <w:rsid w:val="00B06F38"/>
    <w:rsid w:val="00B07147"/>
    <w:rsid w:val="00B11A1D"/>
    <w:rsid w:val="00B11AA1"/>
    <w:rsid w:val="00B1224A"/>
    <w:rsid w:val="00B12EFA"/>
    <w:rsid w:val="00B134B1"/>
    <w:rsid w:val="00B13867"/>
    <w:rsid w:val="00B1391F"/>
    <w:rsid w:val="00B13E09"/>
    <w:rsid w:val="00B1535C"/>
    <w:rsid w:val="00B15F0B"/>
    <w:rsid w:val="00B16368"/>
    <w:rsid w:val="00B16A8C"/>
    <w:rsid w:val="00B17244"/>
    <w:rsid w:val="00B17538"/>
    <w:rsid w:val="00B1789E"/>
    <w:rsid w:val="00B204C1"/>
    <w:rsid w:val="00B20DAC"/>
    <w:rsid w:val="00B20F0C"/>
    <w:rsid w:val="00B21F0F"/>
    <w:rsid w:val="00B22743"/>
    <w:rsid w:val="00B228C3"/>
    <w:rsid w:val="00B22980"/>
    <w:rsid w:val="00B23C35"/>
    <w:rsid w:val="00B241F6"/>
    <w:rsid w:val="00B25DB7"/>
    <w:rsid w:val="00B25DBD"/>
    <w:rsid w:val="00B25E83"/>
    <w:rsid w:val="00B25FE3"/>
    <w:rsid w:val="00B268CF"/>
    <w:rsid w:val="00B306B8"/>
    <w:rsid w:val="00B30F66"/>
    <w:rsid w:val="00B32358"/>
    <w:rsid w:val="00B323F6"/>
    <w:rsid w:val="00B32C5A"/>
    <w:rsid w:val="00B34024"/>
    <w:rsid w:val="00B3406D"/>
    <w:rsid w:val="00B3443D"/>
    <w:rsid w:val="00B34443"/>
    <w:rsid w:val="00B34BD2"/>
    <w:rsid w:val="00B351E2"/>
    <w:rsid w:val="00B36895"/>
    <w:rsid w:val="00B376B1"/>
    <w:rsid w:val="00B40772"/>
    <w:rsid w:val="00B41D4F"/>
    <w:rsid w:val="00B426DF"/>
    <w:rsid w:val="00B43DB8"/>
    <w:rsid w:val="00B43DFD"/>
    <w:rsid w:val="00B43FB4"/>
    <w:rsid w:val="00B440F4"/>
    <w:rsid w:val="00B447BF"/>
    <w:rsid w:val="00B44CFE"/>
    <w:rsid w:val="00B45752"/>
    <w:rsid w:val="00B46BC4"/>
    <w:rsid w:val="00B47497"/>
    <w:rsid w:val="00B47C96"/>
    <w:rsid w:val="00B47C9D"/>
    <w:rsid w:val="00B47CF0"/>
    <w:rsid w:val="00B50027"/>
    <w:rsid w:val="00B50DAF"/>
    <w:rsid w:val="00B5127D"/>
    <w:rsid w:val="00B51D0F"/>
    <w:rsid w:val="00B528AC"/>
    <w:rsid w:val="00B534E9"/>
    <w:rsid w:val="00B53713"/>
    <w:rsid w:val="00B53D4E"/>
    <w:rsid w:val="00B5606E"/>
    <w:rsid w:val="00B568B1"/>
    <w:rsid w:val="00B57CEB"/>
    <w:rsid w:val="00B60548"/>
    <w:rsid w:val="00B60CD7"/>
    <w:rsid w:val="00B611B4"/>
    <w:rsid w:val="00B61439"/>
    <w:rsid w:val="00B619C0"/>
    <w:rsid w:val="00B62CE7"/>
    <w:rsid w:val="00B63F24"/>
    <w:rsid w:val="00B64491"/>
    <w:rsid w:val="00B644D1"/>
    <w:rsid w:val="00B64BF1"/>
    <w:rsid w:val="00B65082"/>
    <w:rsid w:val="00B661E1"/>
    <w:rsid w:val="00B67320"/>
    <w:rsid w:val="00B7066C"/>
    <w:rsid w:val="00B71095"/>
    <w:rsid w:val="00B733E3"/>
    <w:rsid w:val="00B7408F"/>
    <w:rsid w:val="00B745E1"/>
    <w:rsid w:val="00B75CF0"/>
    <w:rsid w:val="00B76596"/>
    <w:rsid w:val="00B76EAD"/>
    <w:rsid w:val="00B7740D"/>
    <w:rsid w:val="00B77696"/>
    <w:rsid w:val="00B77B28"/>
    <w:rsid w:val="00B80101"/>
    <w:rsid w:val="00B8051C"/>
    <w:rsid w:val="00B80B10"/>
    <w:rsid w:val="00B80C33"/>
    <w:rsid w:val="00B81493"/>
    <w:rsid w:val="00B81993"/>
    <w:rsid w:val="00B82737"/>
    <w:rsid w:val="00B8423F"/>
    <w:rsid w:val="00B86213"/>
    <w:rsid w:val="00B910FE"/>
    <w:rsid w:val="00B91FA0"/>
    <w:rsid w:val="00B9215B"/>
    <w:rsid w:val="00B92605"/>
    <w:rsid w:val="00B93FC4"/>
    <w:rsid w:val="00B946B0"/>
    <w:rsid w:val="00B947B7"/>
    <w:rsid w:val="00B94AAB"/>
    <w:rsid w:val="00B957D3"/>
    <w:rsid w:val="00B96B24"/>
    <w:rsid w:val="00B96E96"/>
    <w:rsid w:val="00B973B9"/>
    <w:rsid w:val="00BA061C"/>
    <w:rsid w:val="00BA0AD9"/>
    <w:rsid w:val="00BA0C5C"/>
    <w:rsid w:val="00BA0CC1"/>
    <w:rsid w:val="00BA1D8E"/>
    <w:rsid w:val="00BA1F70"/>
    <w:rsid w:val="00BA2D8A"/>
    <w:rsid w:val="00BA3DE7"/>
    <w:rsid w:val="00BA43AA"/>
    <w:rsid w:val="00BA51AB"/>
    <w:rsid w:val="00BA57B1"/>
    <w:rsid w:val="00BA6709"/>
    <w:rsid w:val="00BA6A32"/>
    <w:rsid w:val="00BA7C6E"/>
    <w:rsid w:val="00BA7D20"/>
    <w:rsid w:val="00BB06D1"/>
    <w:rsid w:val="00BB0C95"/>
    <w:rsid w:val="00BB1030"/>
    <w:rsid w:val="00BB2460"/>
    <w:rsid w:val="00BB2496"/>
    <w:rsid w:val="00BB2E5E"/>
    <w:rsid w:val="00BB418C"/>
    <w:rsid w:val="00BB4654"/>
    <w:rsid w:val="00BB51A4"/>
    <w:rsid w:val="00BB592B"/>
    <w:rsid w:val="00BB5B8F"/>
    <w:rsid w:val="00BB6C59"/>
    <w:rsid w:val="00BB7ED2"/>
    <w:rsid w:val="00BC023F"/>
    <w:rsid w:val="00BC0989"/>
    <w:rsid w:val="00BC0F06"/>
    <w:rsid w:val="00BC1464"/>
    <w:rsid w:val="00BC1903"/>
    <w:rsid w:val="00BC2395"/>
    <w:rsid w:val="00BC28E3"/>
    <w:rsid w:val="00BC4C63"/>
    <w:rsid w:val="00BC68A5"/>
    <w:rsid w:val="00BC79B2"/>
    <w:rsid w:val="00BC7F4C"/>
    <w:rsid w:val="00BD02CB"/>
    <w:rsid w:val="00BD167F"/>
    <w:rsid w:val="00BD17B1"/>
    <w:rsid w:val="00BD2368"/>
    <w:rsid w:val="00BD2F2A"/>
    <w:rsid w:val="00BD3541"/>
    <w:rsid w:val="00BD40DA"/>
    <w:rsid w:val="00BD4AE1"/>
    <w:rsid w:val="00BD4B51"/>
    <w:rsid w:val="00BD4DE2"/>
    <w:rsid w:val="00BD78F8"/>
    <w:rsid w:val="00BE0068"/>
    <w:rsid w:val="00BE0A4A"/>
    <w:rsid w:val="00BE0CEA"/>
    <w:rsid w:val="00BE0F99"/>
    <w:rsid w:val="00BE1B62"/>
    <w:rsid w:val="00BE2909"/>
    <w:rsid w:val="00BE3A5D"/>
    <w:rsid w:val="00BE458B"/>
    <w:rsid w:val="00BE45D5"/>
    <w:rsid w:val="00BE5575"/>
    <w:rsid w:val="00BE65E5"/>
    <w:rsid w:val="00BE65F2"/>
    <w:rsid w:val="00BE6931"/>
    <w:rsid w:val="00BE6A2D"/>
    <w:rsid w:val="00BE70AA"/>
    <w:rsid w:val="00BE7236"/>
    <w:rsid w:val="00BF054D"/>
    <w:rsid w:val="00BF1285"/>
    <w:rsid w:val="00BF1A1E"/>
    <w:rsid w:val="00BF1DED"/>
    <w:rsid w:val="00BF2BE6"/>
    <w:rsid w:val="00BF2C4E"/>
    <w:rsid w:val="00BF48F6"/>
    <w:rsid w:val="00BF50CC"/>
    <w:rsid w:val="00BF5348"/>
    <w:rsid w:val="00BF6C8F"/>
    <w:rsid w:val="00BF7968"/>
    <w:rsid w:val="00BF7A43"/>
    <w:rsid w:val="00BF7C29"/>
    <w:rsid w:val="00C001A1"/>
    <w:rsid w:val="00C00455"/>
    <w:rsid w:val="00C00756"/>
    <w:rsid w:val="00C008C7"/>
    <w:rsid w:val="00C01D36"/>
    <w:rsid w:val="00C020C9"/>
    <w:rsid w:val="00C02A45"/>
    <w:rsid w:val="00C02D07"/>
    <w:rsid w:val="00C03016"/>
    <w:rsid w:val="00C03034"/>
    <w:rsid w:val="00C03581"/>
    <w:rsid w:val="00C03D44"/>
    <w:rsid w:val="00C05FDB"/>
    <w:rsid w:val="00C06DEE"/>
    <w:rsid w:val="00C10864"/>
    <w:rsid w:val="00C10AED"/>
    <w:rsid w:val="00C15121"/>
    <w:rsid w:val="00C15A04"/>
    <w:rsid w:val="00C15AED"/>
    <w:rsid w:val="00C16603"/>
    <w:rsid w:val="00C20312"/>
    <w:rsid w:val="00C21257"/>
    <w:rsid w:val="00C21C67"/>
    <w:rsid w:val="00C22167"/>
    <w:rsid w:val="00C22C85"/>
    <w:rsid w:val="00C23216"/>
    <w:rsid w:val="00C23726"/>
    <w:rsid w:val="00C23B37"/>
    <w:rsid w:val="00C24CED"/>
    <w:rsid w:val="00C2737F"/>
    <w:rsid w:val="00C30E7A"/>
    <w:rsid w:val="00C31B79"/>
    <w:rsid w:val="00C33E94"/>
    <w:rsid w:val="00C345EF"/>
    <w:rsid w:val="00C36901"/>
    <w:rsid w:val="00C36C6C"/>
    <w:rsid w:val="00C37293"/>
    <w:rsid w:val="00C37F69"/>
    <w:rsid w:val="00C41CF4"/>
    <w:rsid w:val="00C42914"/>
    <w:rsid w:val="00C42E72"/>
    <w:rsid w:val="00C43755"/>
    <w:rsid w:val="00C43DEE"/>
    <w:rsid w:val="00C43E59"/>
    <w:rsid w:val="00C4475D"/>
    <w:rsid w:val="00C44B15"/>
    <w:rsid w:val="00C44F82"/>
    <w:rsid w:val="00C45190"/>
    <w:rsid w:val="00C45731"/>
    <w:rsid w:val="00C45AC3"/>
    <w:rsid w:val="00C47267"/>
    <w:rsid w:val="00C47FB7"/>
    <w:rsid w:val="00C500FE"/>
    <w:rsid w:val="00C5184C"/>
    <w:rsid w:val="00C5198E"/>
    <w:rsid w:val="00C51C3B"/>
    <w:rsid w:val="00C528D4"/>
    <w:rsid w:val="00C52CF0"/>
    <w:rsid w:val="00C52D00"/>
    <w:rsid w:val="00C544C5"/>
    <w:rsid w:val="00C550A3"/>
    <w:rsid w:val="00C55A9E"/>
    <w:rsid w:val="00C55FED"/>
    <w:rsid w:val="00C56542"/>
    <w:rsid w:val="00C56E77"/>
    <w:rsid w:val="00C61FC7"/>
    <w:rsid w:val="00C64B3D"/>
    <w:rsid w:val="00C670E3"/>
    <w:rsid w:val="00C67229"/>
    <w:rsid w:val="00C677C9"/>
    <w:rsid w:val="00C70863"/>
    <w:rsid w:val="00C71E09"/>
    <w:rsid w:val="00C71EE8"/>
    <w:rsid w:val="00C73B80"/>
    <w:rsid w:val="00C743ED"/>
    <w:rsid w:val="00C74F01"/>
    <w:rsid w:val="00C750DC"/>
    <w:rsid w:val="00C75308"/>
    <w:rsid w:val="00C7563C"/>
    <w:rsid w:val="00C75CAB"/>
    <w:rsid w:val="00C75FD7"/>
    <w:rsid w:val="00C777AD"/>
    <w:rsid w:val="00C777B8"/>
    <w:rsid w:val="00C77C59"/>
    <w:rsid w:val="00C77EAD"/>
    <w:rsid w:val="00C805DC"/>
    <w:rsid w:val="00C81402"/>
    <w:rsid w:val="00C82DEF"/>
    <w:rsid w:val="00C82FAD"/>
    <w:rsid w:val="00C83017"/>
    <w:rsid w:val="00C838C9"/>
    <w:rsid w:val="00C839BA"/>
    <w:rsid w:val="00C83AB2"/>
    <w:rsid w:val="00C84F85"/>
    <w:rsid w:val="00C85C3E"/>
    <w:rsid w:val="00C862FA"/>
    <w:rsid w:val="00C8754A"/>
    <w:rsid w:val="00C87ACB"/>
    <w:rsid w:val="00C87E11"/>
    <w:rsid w:val="00C90115"/>
    <w:rsid w:val="00C9078D"/>
    <w:rsid w:val="00C90DC9"/>
    <w:rsid w:val="00C91C3D"/>
    <w:rsid w:val="00C91CD9"/>
    <w:rsid w:val="00C92458"/>
    <w:rsid w:val="00C92FED"/>
    <w:rsid w:val="00C94274"/>
    <w:rsid w:val="00C947A6"/>
    <w:rsid w:val="00C94BA1"/>
    <w:rsid w:val="00C94E50"/>
    <w:rsid w:val="00C95328"/>
    <w:rsid w:val="00C95B87"/>
    <w:rsid w:val="00C95BA5"/>
    <w:rsid w:val="00C95CC6"/>
    <w:rsid w:val="00C9610D"/>
    <w:rsid w:val="00C962F7"/>
    <w:rsid w:val="00C964F7"/>
    <w:rsid w:val="00C977CE"/>
    <w:rsid w:val="00C97943"/>
    <w:rsid w:val="00CA0258"/>
    <w:rsid w:val="00CA0262"/>
    <w:rsid w:val="00CA0DEA"/>
    <w:rsid w:val="00CA1483"/>
    <w:rsid w:val="00CA17D9"/>
    <w:rsid w:val="00CA1E78"/>
    <w:rsid w:val="00CA21B2"/>
    <w:rsid w:val="00CA2E33"/>
    <w:rsid w:val="00CA317D"/>
    <w:rsid w:val="00CA3348"/>
    <w:rsid w:val="00CA3677"/>
    <w:rsid w:val="00CA39DE"/>
    <w:rsid w:val="00CA52A6"/>
    <w:rsid w:val="00CA5B47"/>
    <w:rsid w:val="00CA5D0F"/>
    <w:rsid w:val="00CA6302"/>
    <w:rsid w:val="00CA6F02"/>
    <w:rsid w:val="00CA7708"/>
    <w:rsid w:val="00CA771A"/>
    <w:rsid w:val="00CB1040"/>
    <w:rsid w:val="00CB14A6"/>
    <w:rsid w:val="00CB1953"/>
    <w:rsid w:val="00CB2D0D"/>
    <w:rsid w:val="00CB3943"/>
    <w:rsid w:val="00CB3B1B"/>
    <w:rsid w:val="00CB4F17"/>
    <w:rsid w:val="00CB5644"/>
    <w:rsid w:val="00CB6632"/>
    <w:rsid w:val="00CB66C7"/>
    <w:rsid w:val="00CB6856"/>
    <w:rsid w:val="00CB6A81"/>
    <w:rsid w:val="00CB6C86"/>
    <w:rsid w:val="00CB6DA6"/>
    <w:rsid w:val="00CB7C04"/>
    <w:rsid w:val="00CC0AB3"/>
    <w:rsid w:val="00CC0D6C"/>
    <w:rsid w:val="00CC1174"/>
    <w:rsid w:val="00CC124D"/>
    <w:rsid w:val="00CC1570"/>
    <w:rsid w:val="00CC209D"/>
    <w:rsid w:val="00CC2685"/>
    <w:rsid w:val="00CC41DF"/>
    <w:rsid w:val="00CC4488"/>
    <w:rsid w:val="00CC46B1"/>
    <w:rsid w:val="00CC473C"/>
    <w:rsid w:val="00CC4A7D"/>
    <w:rsid w:val="00CC6982"/>
    <w:rsid w:val="00CC6C4F"/>
    <w:rsid w:val="00CD0A43"/>
    <w:rsid w:val="00CD16AE"/>
    <w:rsid w:val="00CD2C7F"/>
    <w:rsid w:val="00CD32B3"/>
    <w:rsid w:val="00CD3B4D"/>
    <w:rsid w:val="00CD3F8C"/>
    <w:rsid w:val="00CD4715"/>
    <w:rsid w:val="00CD4CCC"/>
    <w:rsid w:val="00CD4D32"/>
    <w:rsid w:val="00CD5AF8"/>
    <w:rsid w:val="00CD671A"/>
    <w:rsid w:val="00CD6BB9"/>
    <w:rsid w:val="00CD7952"/>
    <w:rsid w:val="00CD7D02"/>
    <w:rsid w:val="00CE0546"/>
    <w:rsid w:val="00CE0743"/>
    <w:rsid w:val="00CE1705"/>
    <w:rsid w:val="00CE1966"/>
    <w:rsid w:val="00CE19E7"/>
    <w:rsid w:val="00CE1BC7"/>
    <w:rsid w:val="00CE1E4B"/>
    <w:rsid w:val="00CE207A"/>
    <w:rsid w:val="00CE38FA"/>
    <w:rsid w:val="00CE3AFB"/>
    <w:rsid w:val="00CE3D3E"/>
    <w:rsid w:val="00CE3FB6"/>
    <w:rsid w:val="00CE410E"/>
    <w:rsid w:val="00CE4FDC"/>
    <w:rsid w:val="00CE5C66"/>
    <w:rsid w:val="00CE688B"/>
    <w:rsid w:val="00CE6D17"/>
    <w:rsid w:val="00CF0282"/>
    <w:rsid w:val="00CF1848"/>
    <w:rsid w:val="00CF1C42"/>
    <w:rsid w:val="00CF2A16"/>
    <w:rsid w:val="00CF3597"/>
    <w:rsid w:val="00CF41BC"/>
    <w:rsid w:val="00CF44AE"/>
    <w:rsid w:val="00CF472A"/>
    <w:rsid w:val="00CF51C5"/>
    <w:rsid w:val="00CF5F5B"/>
    <w:rsid w:val="00CF647A"/>
    <w:rsid w:val="00CF662B"/>
    <w:rsid w:val="00CF7293"/>
    <w:rsid w:val="00CF7766"/>
    <w:rsid w:val="00D00932"/>
    <w:rsid w:val="00D01974"/>
    <w:rsid w:val="00D01E89"/>
    <w:rsid w:val="00D026C0"/>
    <w:rsid w:val="00D02CAC"/>
    <w:rsid w:val="00D03093"/>
    <w:rsid w:val="00D0388F"/>
    <w:rsid w:val="00D03AD3"/>
    <w:rsid w:val="00D0461E"/>
    <w:rsid w:val="00D05451"/>
    <w:rsid w:val="00D05E9B"/>
    <w:rsid w:val="00D06BD6"/>
    <w:rsid w:val="00D07026"/>
    <w:rsid w:val="00D07A60"/>
    <w:rsid w:val="00D105E7"/>
    <w:rsid w:val="00D11051"/>
    <w:rsid w:val="00D11793"/>
    <w:rsid w:val="00D11EA7"/>
    <w:rsid w:val="00D12063"/>
    <w:rsid w:val="00D1253D"/>
    <w:rsid w:val="00D125B2"/>
    <w:rsid w:val="00D12841"/>
    <w:rsid w:val="00D12952"/>
    <w:rsid w:val="00D1492A"/>
    <w:rsid w:val="00D14FC8"/>
    <w:rsid w:val="00D1550F"/>
    <w:rsid w:val="00D15ADE"/>
    <w:rsid w:val="00D1694F"/>
    <w:rsid w:val="00D174DE"/>
    <w:rsid w:val="00D20DE8"/>
    <w:rsid w:val="00D2187D"/>
    <w:rsid w:val="00D21EA2"/>
    <w:rsid w:val="00D22BF8"/>
    <w:rsid w:val="00D23687"/>
    <w:rsid w:val="00D23D6D"/>
    <w:rsid w:val="00D24FC5"/>
    <w:rsid w:val="00D2721E"/>
    <w:rsid w:val="00D302FF"/>
    <w:rsid w:val="00D305D1"/>
    <w:rsid w:val="00D31E71"/>
    <w:rsid w:val="00D32B17"/>
    <w:rsid w:val="00D32B2C"/>
    <w:rsid w:val="00D3322C"/>
    <w:rsid w:val="00D33567"/>
    <w:rsid w:val="00D34165"/>
    <w:rsid w:val="00D35DA8"/>
    <w:rsid w:val="00D366AA"/>
    <w:rsid w:val="00D36BAC"/>
    <w:rsid w:val="00D373DB"/>
    <w:rsid w:val="00D3753E"/>
    <w:rsid w:val="00D37C2B"/>
    <w:rsid w:val="00D40764"/>
    <w:rsid w:val="00D40B92"/>
    <w:rsid w:val="00D40C05"/>
    <w:rsid w:val="00D40FA3"/>
    <w:rsid w:val="00D41539"/>
    <w:rsid w:val="00D41B11"/>
    <w:rsid w:val="00D41B66"/>
    <w:rsid w:val="00D41E2F"/>
    <w:rsid w:val="00D42354"/>
    <w:rsid w:val="00D428EC"/>
    <w:rsid w:val="00D43225"/>
    <w:rsid w:val="00D43AC9"/>
    <w:rsid w:val="00D43CD9"/>
    <w:rsid w:val="00D456A0"/>
    <w:rsid w:val="00D45BF6"/>
    <w:rsid w:val="00D45F38"/>
    <w:rsid w:val="00D460B8"/>
    <w:rsid w:val="00D46BCB"/>
    <w:rsid w:val="00D47F99"/>
    <w:rsid w:val="00D51483"/>
    <w:rsid w:val="00D515A9"/>
    <w:rsid w:val="00D5237E"/>
    <w:rsid w:val="00D54294"/>
    <w:rsid w:val="00D550C4"/>
    <w:rsid w:val="00D553C8"/>
    <w:rsid w:val="00D55989"/>
    <w:rsid w:val="00D579F5"/>
    <w:rsid w:val="00D57C8D"/>
    <w:rsid w:val="00D6059E"/>
    <w:rsid w:val="00D61436"/>
    <w:rsid w:val="00D6160A"/>
    <w:rsid w:val="00D620A8"/>
    <w:rsid w:val="00D637A3"/>
    <w:rsid w:val="00D63983"/>
    <w:rsid w:val="00D64619"/>
    <w:rsid w:val="00D65106"/>
    <w:rsid w:val="00D65493"/>
    <w:rsid w:val="00D66C2D"/>
    <w:rsid w:val="00D66DCF"/>
    <w:rsid w:val="00D674D6"/>
    <w:rsid w:val="00D675E9"/>
    <w:rsid w:val="00D70920"/>
    <w:rsid w:val="00D71EA0"/>
    <w:rsid w:val="00D7224C"/>
    <w:rsid w:val="00D72BF5"/>
    <w:rsid w:val="00D7391C"/>
    <w:rsid w:val="00D73D79"/>
    <w:rsid w:val="00D74539"/>
    <w:rsid w:val="00D74B92"/>
    <w:rsid w:val="00D7569B"/>
    <w:rsid w:val="00D75D96"/>
    <w:rsid w:val="00D762E2"/>
    <w:rsid w:val="00D775DE"/>
    <w:rsid w:val="00D77E3D"/>
    <w:rsid w:val="00D80287"/>
    <w:rsid w:val="00D80B87"/>
    <w:rsid w:val="00D82A84"/>
    <w:rsid w:val="00D832A6"/>
    <w:rsid w:val="00D83B38"/>
    <w:rsid w:val="00D83C5C"/>
    <w:rsid w:val="00D85A82"/>
    <w:rsid w:val="00D85F4B"/>
    <w:rsid w:val="00D86BAE"/>
    <w:rsid w:val="00D871B8"/>
    <w:rsid w:val="00D903AB"/>
    <w:rsid w:val="00D91493"/>
    <w:rsid w:val="00D915F8"/>
    <w:rsid w:val="00D91EE3"/>
    <w:rsid w:val="00D9259E"/>
    <w:rsid w:val="00D92708"/>
    <w:rsid w:val="00D933F2"/>
    <w:rsid w:val="00D93871"/>
    <w:rsid w:val="00D94ADD"/>
    <w:rsid w:val="00D9649E"/>
    <w:rsid w:val="00D96513"/>
    <w:rsid w:val="00D966AD"/>
    <w:rsid w:val="00D9721B"/>
    <w:rsid w:val="00DA0162"/>
    <w:rsid w:val="00DA01E8"/>
    <w:rsid w:val="00DA094C"/>
    <w:rsid w:val="00DA2781"/>
    <w:rsid w:val="00DA2D46"/>
    <w:rsid w:val="00DA3A3E"/>
    <w:rsid w:val="00DA46A9"/>
    <w:rsid w:val="00DA6DEB"/>
    <w:rsid w:val="00DA6F09"/>
    <w:rsid w:val="00DA7A16"/>
    <w:rsid w:val="00DA7FCE"/>
    <w:rsid w:val="00DB08A6"/>
    <w:rsid w:val="00DB14AD"/>
    <w:rsid w:val="00DB18E6"/>
    <w:rsid w:val="00DB21FB"/>
    <w:rsid w:val="00DB41AA"/>
    <w:rsid w:val="00DB437E"/>
    <w:rsid w:val="00DB43F4"/>
    <w:rsid w:val="00DB502E"/>
    <w:rsid w:val="00DB5E00"/>
    <w:rsid w:val="00DB5E23"/>
    <w:rsid w:val="00DB6428"/>
    <w:rsid w:val="00DB6E1C"/>
    <w:rsid w:val="00DB74F1"/>
    <w:rsid w:val="00DC0D7C"/>
    <w:rsid w:val="00DC1C52"/>
    <w:rsid w:val="00DC233B"/>
    <w:rsid w:val="00DC2A0C"/>
    <w:rsid w:val="00DC4070"/>
    <w:rsid w:val="00DC5261"/>
    <w:rsid w:val="00DC6684"/>
    <w:rsid w:val="00DC692C"/>
    <w:rsid w:val="00DC6AD3"/>
    <w:rsid w:val="00DC73BA"/>
    <w:rsid w:val="00DC7FF1"/>
    <w:rsid w:val="00DD12D8"/>
    <w:rsid w:val="00DD2A5C"/>
    <w:rsid w:val="00DD2A72"/>
    <w:rsid w:val="00DD3690"/>
    <w:rsid w:val="00DD4D43"/>
    <w:rsid w:val="00DD507F"/>
    <w:rsid w:val="00DD5288"/>
    <w:rsid w:val="00DD5BEC"/>
    <w:rsid w:val="00DD612A"/>
    <w:rsid w:val="00DD71D1"/>
    <w:rsid w:val="00DD7209"/>
    <w:rsid w:val="00DD78DC"/>
    <w:rsid w:val="00DE0765"/>
    <w:rsid w:val="00DE0DCC"/>
    <w:rsid w:val="00DE0E7E"/>
    <w:rsid w:val="00DE310E"/>
    <w:rsid w:val="00DE4144"/>
    <w:rsid w:val="00DE4268"/>
    <w:rsid w:val="00DE46F5"/>
    <w:rsid w:val="00DE57C4"/>
    <w:rsid w:val="00DE6032"/>
    <w:rsid w:val="00DE6101"/>
    <w:rsid w:val="00DE6DB4"/>
    <w:rsid w:val="00DE7001"/>
    <w:rsid w:val="00DE7358"/>
    <w:rsid w:val="00DE795F"/>
    <w:rsid w:val="00DF052B"/>
    <w:rsid w:val="00DF0AA9"/>
    <w:rsid w:val="00DF15E3"/>
    <w:rsid w:val="00DF2421"/>
    <w:rsid w:val="00DF26F9"/>
    <w:rsid w:val="00DF2B69"/>
    <w:rsid w:val="00DF33D2"/>
    <w:rsid w:val="00DF3EE9"/>
    <w:rsid w:val="00DF5319"/>
    <w:rsid w:val="00DF5F05"/>
    <w:rsid w:val="00DF6018"/>
    <w:rsid w:val="00DF715C"/>
    <w:rsid w:val="00E0045C"/>
    <w:rsid w:val="00E0082B"/>
    <w:rsid w:val="00E013FA"/>
    <w:rsid w:val="00E027E8"/>
    <w:rsid w:val="00E042A2"/>
    <w:rsid w:val="00E048BC"/>
    <w:rsid w:val="00E04BFE"/>
    <w:rsid w:val="00E04E70"/>
    <w:rsid w:val="00E05A6A"/>
    <w:rsid w:val="00E0675F"/>
    <w:rsid w:val="00E06EC2"/>
    <w:rsid w:val="00E07364"/>
    <w:rsid w:val="00E079A0"/>
    <w:rsid w:val="00E102F1"/>
    <w:rsid w:val="00E10707"/>
    <w:rsid w:val="00E10BA7"/>
    <w:rsid w:val="00E11CF7"/>
    <w:rsid w:val="00E13ABF"/>
    <w:rsid w:val="00E1572D"/>
    <w:rsid w:val="00E15ED5"/>
    <w:rsid w:val="00E168A0"/>
    <w:rsid w:val="00E16B72"/>
    <w:rsid w:val="00E17A77"/>
    <w:rsid w:val="00E2054B"/>
    <w:rsid w:val="00E21344"/>
    <w:rsid w:val="00E22319"/>
    <w:rsid w:val="00E23A66"/>
    <w:rsid w:val="00E243D2"/>
    <w:rsid w:val="00E244D1"/>
    <w:rsid w:val="00E24537"/>
    <w:rsid w:val="00E261BB"/>
    <w:rsid w:val="00E26C36"/>
    <w:rsid w:val="00E27201"/>
    <w:rsid w:val="00E27B8F"/>
    <w:rsid w:val="00E27E19"/>
    <w:rsid w:val="00E3023B"/>
    <w:rsid w:val="00E30E8D"/>
    <w:rsid w:val="00E30EA7"/>
    <w:rsid w:val="00E30FBE"/>
    <w:rsid w:val="00E3105D"/>
    <w:rsid w:val="00E3320E"/>
    <w:rsid w:val="00E34182"/>
    <w:rsid w:val="00E348B0"/>
    <w:rsid w:val="00E34DC0"/>
    <w:rsid w:val="00E3531E"/>
    <w:rsid w:val="00E368B3"/>
    <w:rsid w:val="00E37375"/>
    <w:rsid w:val="00E373DE"/>
    <w:rsid w:val="00E37F5A"/>
    <w:rsid w:val="00E4001B"/>
    <w:rsid w:val="00E411F2"/>
    <w:rsid w:val="00E42D73"/>
    <w:rsid w:val="00E42E8D"/>
    <w:rsid w:val="00E43E0F"/>
    <w:rsid w:val="00E449A6"/>
    <w:rsid w:val="00E47936"/>
    <w:rsid w:val="00E50970"/>
    <w:rsid w:val="00E5151E"/>
    <w:rsid w:val="00E51745"/>
    <w:rsid w:val="00E52511"/>
    <w:rsid w:val="00E53691"/>
    <w:rsid w:val="00E53AB7"/>
    <w:rsid w:val="00E540F7"/>
    <w:rsid w:val="00E54EE7"/>
    <w:rsid w:val="00E5508C"/>
    <w:rsid w:val="00E5546B"/>
    <w:rsid w:val="00E55C2D"/>
    <w:rsid w:val="00E5647C"/>
    <w:rsid w:val="00E56FD3"/>
    <w:rsid w:val="00E57AEB"/>
    <w:rsid w:val="00E57EE0"/>
    <w:rsid w:val="00E600CF"/>
    <w:rsid w:val="00E6036D"/>
    <w:rsid w:val="00E6080C"/>
    <w:rsid w:val="00E61AB9"/>
    <w:rsid w:val="00E62100"/>
    <w:rsid w:val="00E62C1C"/>
    <w:rsid w:val="00E62C20"/>
    <w:rsid w:val="00E63793"/>
    <w:rsid w:val="00E659EE"/>
    <w:rsid w:val="00E65BC6"/>
    <w:rsid w:val="00E667D4"/>
    <w:rsid w:val="00E66F1F"/>
    <w:rsid w:val="00E67367"/>
    <w:rsid w:val="00E676CF"/>
    <w:rsid w:val="00E679C6"/>
    <w:rsid w:val="00E70030"/>
    <w:rsid w:val="00E7068D"/>
    <w:rsid w:val="00E70D07"/>
    <w:rsid w:val="00E70E24"/>
    <w:rsid w:val="00E72ECB"/>
    <w:rsid w:val="00E73324"/>
    <w:rsid w:val="00E757FC"/>
    <w:rsid w:val="00E76E5A"/>
    <w:rsid w:val="00E77228"/>
    <w:rsid w:val="00E77402"/>
    <w:rsid w:val="00E77F48"/>
    <w:rsid w:val="00E80573"/>
    <w:rsid w:val="00E8070B"/>
    <w:rsid w:val="00E811AC"/>
    <w:rsid w:val="00E811B1"/>
    <w:rsid w:val="00E81332"/>
    <w:rsid w:val="00E8195B"/>
    <w:rsid w:val="00E82BB2"/>
    <w:rsid w:val="00E83936"/>
    <w:rsid w:val="00E83AC5"/>
    <w:rsid w:val="00E83ADC"/>
    <w:rsid w:val="00E83C5B"/>
    <w:rsid w:val="00E83C89"/>
    <w:rsid w:val="00E84A59"/>
    <w:rsid w:val="00E85321"/>
    <w:rsid w:val="00E85C5C"/>
    <w:rsid w:val="00E9022A"/>
    <w:rsid w:val="00E917F2"/>
    <w:rsid w:val="00E92614"/>
    <w:rsid w:val="00E97327"/>
    <w:rsid w:val="00E9753F"/>
    <w:rsid w:val="00EA0577"/>
    <w:rsid w:val="00EA0C75"/>
    <w:rsid w:val="00EA1091"/>
    <w:rsid w:val="00EA1B72"/>
    <w:rsid w:val="00EA2DAE"/>
    <w:rsid w:val="00EA3AF9"/>
    <w:rsid w:val="00EA418F"/>
    <w:rsid w:val="00EA43CD"/>
    <w:rsid w:val="00EA4834"/>
    <w:rsid w:val="00EA4C12"/>
    <w:rsid w:val="00EA4CA0"/>
    <w:rsid w:val="00EA5158"/>
    <w:rsid w:val="00EA5EB2"/>
    <w:rsid w:val="00EA62CC"/>
    <w:rsid w:val="00EA78C1"/>
    <w:rsid w:val="00EA7AB8"/>
    <w:rsid w:val="00EA7AE7"/>
    <w:rsid w:val="00EA7F60"/>
    <w:rsid w:val="00EB01C7"/>
    <w:rsid w:val="00EB0893"/>
    <w:rsid w:val="00EB0E91"/>
    <w:rsid w:val="00EB11D3"/>
    <w:rsid w:val="00EB1AA1"/>
    <w:rsid w:val="00EB2799"/>
    <w:rsid w:val="00EB3377"/>
    <w:rsid w:val="00EB40C0"/>
    <w:rsid w:val="00EB4E3F"/>
    <w:rsid w:val="00EB6639"/>
    <w:rsid w:val="00EB6BE1"/>
    <w:rsid w:val="00EB6F24"/>
    <w:rsid w:val="00EB7013"/>
    <w:rsid w:val="00EC007A"/>
    <w:rsid w:val="00EC053B"/>
    <w:rsid w:val="00EC09B2"/>
    <w:rsid w:val="00EC0A64"/>
    <w:rsid w:val="00EC1840"/>
    <w:rsid w:val="00EC35E9"/>
    <w:rsid w:val="00EC48F4"/>
    <w:rsid w:val="00EC5AFB"/>
    <w:rsid w:val="00EC6ED9"/>
    <w:rsid w:val="00EC7458"/>
    <w:rsid w:val="00EC7CCE"/>
    <w:rsid w:val="00ED05B2"/>
    <w:rsid w:val="00ED0865"/>
    <w:rsid w:val="00ED0A25"/>
    <w:rsid w:val="00ED129D"/>
    <w:rsid w:val="00ED20F0"/>
    <w:rsid w:val="00ED25CA"/>
    <w:rsid w:val="00ED29C9"/>
    <w:rsid w:val="00ED2D45"/>
    <w:rsid w:val="00ED305B"/>
    <w:rsid w:val="00ED3C4B"/>
    <w:rsid w:val="00ED4A8A"/>
    <w:rsid w:val="00ED4D0B"/>
    <w:rsid w:val="00ED4DE6"/>
    <w:rsid w:val="00ED591D"/>
    <w:rsid w:val="00ED6046"/>
    <w:rsid w:val="00ED6567"/>
    <w:rsid w:val="00ED6727"/>
    <w:rsid w:val="00ED6A62"/>
    <w:rsid w:val="00ED7E32"/>
    <w:rsid w:val="00EE4D8B"/>
    <w:rsid w:val="00EE58A6"/>
    <w:rsid w:val="00EE653E"/>
    <w:rsid w:val="00EE6AF2"/>
    <w:rsid w:val="00EE7465"/>
    <w:rsid w:val="00EF0427"/>
    <w:rsid w:val="00EF1D9A"/>
    <w:rsid w:val="00EF23EE"/>
    <w:rsid w:val="00EF367F"/>
    <w:rsid w:val="00EF46E6"/>
    <w:rsid w:val="00EF549E"/>
    <w:rsid w:val="00EF5785"/>
    <w:rsid w:val="00EF5C9C"/>
    <w:rsid w:val="00EF6193"/>
    <w:rsid w:val="00EF641A"/>
    <w:rsid w:val="00EF6976"/>
    <w:rsid w:val="00EF748D"/>
    <w:rsid w:val="00EF7B79"/>
    <w:rsid w:val="00EF7CD2"/>
    <w:rsid w:val="00EF7E07"/>
    <w:rsid w:val="00F016F6"/>
    <w:rsid w:val="00F022AA"/>
    <w:rsid w:val="00F037B5"/>
    <w:rsid w:val="00F047B6"/>
    <w:rsid w:val="00F048D5"/>
    <w:rsid w:val="00F0649A"/>
    <w:rsid w:val="00F06AC5"/>
    <w:rsid w:val="00F06AFE"/>
    <w:rsid w:val="00F0711F"/>
    <w:rsid w:val="00F103ED"/>
    <w:rsid w:val="00F10BE9"/>
    <w:rsid w:val="00F10E4A"/>
    <w:rsid w:val="00F11220"/>
    <w:rsid w:val="00F12EA1"/>
    <w:rsid w:val="00F13477"/>
    <w:rsid w:val="00F13C53"/>
    <w:rsid w:val="00F14CD0"/>
    <w:rsid w:val="00F1547A"/>
    <w:rsid w:val="00F15912"/>
    <w:rsid w:val="00F15BB1"/>
    <w:rsid w:val="00F16554"/>
    <w:rsid w:val="00F16C88"/>
    <w:rsid w:val="00F209A0"/>
    <w:rsid w:val="00F20D07"/>
    <w:rsid w:val="00F22DB6"/>
    <w:rsid w:val="00F2405F"/>
    <w:rsid w:val="00F24455"/>
    <w:rsid w:val="00F257CF"/>
    <w:rsid w:val="00F25DC2"/>
    <w:rsid w:val="00F265AF"/>
    <w:rsid w:val="00F267C6"/>
    <w:rsid w:val="00F26FE5"/>
    <w:rsid w:val="00F27E51"/>
    <w:rsid w:val="00F32A46"/>
    <w:rsid w:val="00F33115"/>
    <w:rsid w:val="00F34256"/>
    <w:rsid w:val="00F34F94"/>
    <w:rsid w:val="00F35996"/>
    <w:rsid w:val="00F35F17"/>
    <w:rsid w:val="00F36E5A"/>
    <w:rsid w:val="00F36EB0"/>
    <w:rsid w:val="00F36F74"/>
    <w:rsid w:val="00F36FF1"/>
    <w:rsid w:val="00F37E00"/>
    <w:rsid w:val="00F37EE6"/>
    <w:rsid w:val="00F40139"/>
    <w:rsid w:val="00F407C4"/>
    <w:rsid w:val="00F40AE3"/>
    <w:rsid w:val="00F41F03"/>
    <w:rsid w:val="00F41FB8"/>
    <w:rsid w:val="00F434BB"/>
    <w:rsid w:val="00F44F5B"/>
    <w:rsid w:val="00F44F86"/>
    <w:rsid w:val="00F4523F"/>
    <w:rsid w:val="00F455C8"/>
    <w:rsid w:val="00F45702"/>
    <w:rsid w:val="00F462EA"/>
    <w:rsid w:val="00F46597"/>
    <w:rsid w:val="00F4765D"/>
    <w:rsid w:val="00F479A8"/>
    <w:rsid w:val="00F47D8C"/>
    <w:rsid w:val="00F50341"/>
    <w:rsid w:val="00F51F33"/>
    <w:rsid w:val="00F52142"/>
    <w:rsid w:val="00F527A5"/>
    <w:rsid w:val="00F52F86"/>
    <w:rsid w:val="00F531BD"/>
    <w:rsid w:val="00F531F5"/>
    <w:rsid w:val="00F547FD"/>
    <w:rsid w:val="00F5492B"/>
    <w:rsid w:val="00F551CF"/>
    <w:rsid w:val="00F5565F"/>
    <w:rsid w:val="00F5606F"/>
    <w:rsid w:val="00F57920"/>
    <w:rsid w:val="00F6072F"/>
    <w:rsid w:val="00F625E2"/>
    <w:rsid w:val="00F6377D"/>
    <w:rsid w:val="00F63B2D"/>
    <w:rsid w:val="00F65647"/>
    <w:rsid w:val="00F65A49"/>
    <w:rsid w:val="00F65B4D"/>
    <w:rsid w:val="00F6658D"/>
    <w:rsid w:val="00F6722F"/>
    <w:rsid w:val="00F67452"/>
    <w:rsid w:val="00F7054F"/>
    <w:rsid w:val="00F70714"/>
    <w:rsid w:val="00F71136"/>
    <w:rsid w:val="00F7199B"/>
    <w:rsid w:val="00F72542"/>
    <w:rsid w:val="00F739E4"/>
    <w:rsid w:val="00F73A07"/>
    <w:rsid w:val="00F73E28"/>
    <w:rsid w:val="00F74945"/>
    <w:rsid w:val="00F74F54"/>
    <w:rsid w:val="00F75EC8"/>
    <w:rsid w:val="00F77608"/>
    <w:rsid w:val="00F77CAB"/>
    <w:rsid w:val="00F811F0"/>
    <w:rsid w:val="00F8133A"/>
    <w:rsid w:val="00F82206"/>
    <w:rsid w:val="00F8301D"/>
    <w:rsid w:val="00F83341"/>
    <w:rsid w:val="00F83903"/>
    <w:rsid w:val="00F857CA"/>
    <w:rsid w:val="00F863A6"/>
    <w:rsid w:val="00F865BE"/>
    <w:rsid w:val="00F871B9"/>
    <w:rsid w:val="00F87E1A"/>
    <w:rsid w:val="00F92AFB"/>
    <w:rsid w:val="00F92DBD"/>
    <w:rsid w:val="00F92F3D"/>
    <w:rsid w:val="00F93518"/>
    <w:rsid w:val="00F9358B"/>
    <w:rsid w:val="00F9435D"/>
    <w:rsid w:val="00F94DC3"/>
    <w:rsid w:val="00F94E32"/>
    <w:rsid w:val="00F957F1"/>
    <w:rsid w:val="00F9684A"/>
    <w:rsid w:val="00F97534"/>
    <w:rsid w:val="00F979DF"/>
    <w:rsid w:val="00F97D9E"/>
    <w:rsid w:val="00F97EA0"/>
    <w:rsid w:val="00FA09EF"/>
    <w:rsid w:val="00FA0B96"/>
    <w:rsid w:val="00FA2A37"/>
    <w:rsid w:val="00FA2B0E"/>
    <w:rsid w:val="00FA3480"/>
    <w:rsid w:val="00FA37F8"/>
    <w:rsid w:val="00FA3E64"/>
    <w:rsid w:val="00FA4120"/>
    <w:rsid w:val="00FA4A97"/>
    <w:rsid w:val="00FA5A53"/>
    <w:rsid w:val="00FA5CA2"/>
    <w:rsid w:val="00FA63F6"/>
    <w:rsid w:val="00FA668C"/>
    <w:rsid w:val="00FA6AAC"/>
    <w:rsid w:val="00FA6DA5"/>
    <w:rsid w:val="00FA7054"/>
    <w:rsid w:val="00FA7691"/>
    <w:rsid w:val="00FA7816"/>
    <w:rsid w:val="00FB09FC"/>
    <w:rsid w:val="00FB0B30"/>
    <w:rsid w:val="00FB1A9A"/>
    <w:rsid w:val="00FB1B6F"/>
    <w:rsid w:val="00FB1F6E"/>
    <w:rsid w:val="00FB30A1"/>
    <w:rsid w:val="00FB4FD5"/>
    <w:rsid w:val="00FB5152"/>
    <w:rsid w:val="00FB5CB0"/>
    <w:rsid w:val="00FB6503"/>
    <w:rsid w:val="00FB6528"/>
    <w:rsid w:val="00FB6DA5"/>
    <w:rsid w:val="00FB7D81"/>
    <w:rsid w:val="00FC0092"/>
    <w:rsid w:val="00FC1220"/>
    <w:rsid w:val="00FC1556"/>
    <w:rsid w:val="00FC27BD"/>
    <w:rsid w:val="00FC2F57"/>
    <w:rsid w:val="00FC3237"/>
    <w:rsid w:val="00FC3C69"/>
    <w:rsid w:val="00FC5BC5"/>
    <w:rsid w:val="00FC75E0"/>
    <w:rsid w:val="00FD0B23"/>
    <w:rsid w:val="00FD255C"/>
    <w:rsid w:val="00FD30BB"/>
    <w:rsid w:val="00FD395F"/>
    <w:rsid w:val="00FD3FCE"/>
    <w:rsid w:val="00FD5357"/>
    <w:rsid w:val="00FD5DEE"/>
    <w:rsid w:val="00FD7457"/>
    <w:rsid w:val="00FD77BA"/>
    <w:rsid w:val="00FD78C3"/>
    <w:rsid w:val="00FD7B2F"/>
    <w:rsid w:val="00FD7F54"/>
    <w:rsid w:val="00FE1B6E"/>
    <w:rsid w:val="00FE29E6"/>
    <w:rsid w:val="00FE5160"/>
    <w:rsid w:val="00FE51E5"/>
    <w:rsid w:val="00FE7399"/>
    <w:rsid w:val="00FE78E7"/>
    <w:rsid w:val="00FE7A0B"/>
    <w:rsid w:val="00FF0539"/>
    <w:rsid w:val="00FF0F57"/>
    <w:rsid w:val="00FF21B4"/>
    <w:rsid w:val="00FF24DC"/>
    <w:rsid w:val="00FF35F2"/>
    <w:rsid w:val="00FF38A0"/>
    <w:rsid w:val="00FF5268"/>
    <w:rsid w:val="00FF592D"/>
    <w:rsid w:val="00FF6C53"/>
    <w:rsid w:val="00FF7689"/>
    <w:rsid w:val="00FF7A53"/>
    <w:rsid w:val="00FF7B85"/>
    <w:rsid w:val="4C3869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73" fillcolor="white">
      <v:fill color="white"/>
    </o:shapedefaults>
    <o:shapelayout v:ext="edit">
      <o:idmap v:ext="edit" data="2"/>
    </o:shapelayout>
  </w:shapeDefaults>
  <w:decimalSymbol w:val="."/>
  <w:listSeparator w:val=","/>
  <w14:docId w14:val="4F427F4B"/>
  <w15:docId w15:val="{24D94BD7-FB28-B343-BE35-3663FCC4B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DengXian" w:eastAsia="SimSun" w:hAnsi="DengXi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semiHidden="1" w:uiPriority="9" w:unhideWhenUsed="1" w:qFormat="1"/>
    <w:lsdException w:name="heading 6" w:uiPriority="0" w:qFormat="1"/>
    <w:lsdException w:name="heading 7" w:uiPriority="9" w:unhideWhenUsed="1" w:qFormat="1"/>
    <w:lsdException w:name="heading 8"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Normal Indent" w:semiHidden="1" w:unhideWhenUsed="1"/>
    <w:lsdException w:name="footnote text" w:semiHidden="1" w:unhideWhenUsed="1"/>
    <w:lsdException w:name="annotation text" w:unhideWhenUsed="1" w:qFormat="1"/>
    <w:lsdException w:name="header" w:unhideWhenUsed="1" w:qFormat="1"/>
    <w:lsdException w:name="footer" w:unhideWhenUsed="1" w:qFormat="1"/>
    <w:lsdException w:name="index heading" w:semiHidden="1" w:unhideWhenUsed="1"/>
    <w:lsdException w:name="caption" w:uiPriority="35" w:unhideWhenUsed="1" w:qFormat="1"/>
    <w:lsdException w:name="table of figures" w:unhideWhenUsed="1"/>
    <w:lsdException w:name="envelope address" w:semiHidden="1" w:unhideWhenUsed="1"/>
    <w:lsdException w:name="envelope return" w:semiHidden="1" w:unhideWhenUsed="1"/>
    <w:lsdException w:name="footnote reference" w:semiHidden="1" w:unhideWhenUsed="1"/>
    <w:lsdException w:name="annotation reference"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unhideWhenUsed="1" w:qFormat="1"/>
    <w:lsdException w:name="Body Text Indent 2" w:uiPriority="0" w:qFormat="1"/>
    <w:lsdException w:name="Body Text Indent 3" w:semiHidden="1" w:unhideWhenUsed="1"/>
    <w:lsdException w:name="Block Text" w:semiHidden="1" w:unhideWhenUsed="1"/>
    <w:lsdException w:name="Hyperlink" w:unhideWhenUsed="1" w:qFormat="1"/>
    <w:lsdException w:name="FollowedHyperlink"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jc w:val="both"/>
    </w:pPr>
    <w:rPr>
      <w:rFonts w:ascii="Times New Roman" w:hAnsi="Times New Roman"/>
      <w:sz w:val="24"/>
      <w:szCs w:val="22"/>
      <w:lang w:val="en-US" w:eastAsia="en-US"/>
    </w:rPr>
  </w:style>
  <w:style w:type="paragraph" w:styleId="Heading1">
    <w:name w:val="heading 1"/>
    <w:basedOn w:val="Normal"/>
    <w:next w:val="Normal"/>
    <w:link w:val="Heading1Char"/>
    <w:uiPriority w:val="9"/>
    <w:qFormat/>
    <w:pPr>
      <w:keepNext/>
      <w:keepLines/>
      <w:spacing w:before="240" w:after="0"/>
      <w:jc w:val="center"/>
      <w:outlineLvl w:val="0"/>
    </w:pPr>
    <w:rPr>
      <w:rFonts w:eastAsia="DengXian Light"/>
      <w:b/>
      <w:szCs w:val="32"/>
    </w:rPr>
  </w:style>
  <w:style w:type="paragraph" w:styleId="Heading2">
    <w:name w:val="heading 2"/>
    <w:basedOn w:val="Normal"/>
    <w:next w:val="Normal"/>
    <w:link w:val="Heading2Char"/>
    <w:uiPriority w:val="9"/>
    <w:unhideWhenUsed/>
    <w:qFormat/>
    <w:pPr>
      <w:keepNext/>
      <w:keepLines/>
      <w:spacing w:before="40" w:after="0"/>
      <w:jc w:val="left"/>
      <w:outlineLvl w:val="1"/>
    </w:pPr>
    <w:rPr>
      <w:rFonts w:eastAsia="DengXian Light"/>
      <w:b/>
      <w:szCs w:val="26"/>
    </w:rPr>
  </w:style>
  <w:style w:type="paragraph" w:styleId="Heading3">
    <w:name w:val="heading 3"/>
    <w:basedOn w:val="Normal"/>
    <w:next w:val="Normal"/>
    <w:link w:val="Heading3Char"/>
    <w:uiPriority w:val="9"/>
    <w:unhideWhenUsed/>
    <w:qFormat/>
    <w:rsid w:val="00AD1CB7"/>
    <w:pPr>
      <w:keepNext/>
      <w:keepLines/>
      <w:spacing w:before="40" w:after="0" w:line="360" w:lineRule="auto"/>
      <w:outlineLvl w:val="2"/>
    </w:pPr>
    <w:rPr>
      <w:rFonts w:eastAsia="DengXian Light"/>
      <w:b/>
      <w:szCs w:val="24"/>
      <w:lang w:val="en-GB" w:eastAsia="zh-CN"/>
    </w:rPr>
  </w:style>
  <w:style w:type="paragraph" w:styleId="Heading4">
    <w:name w:val="heading 4"/>
    <w:basedOn w:val="Normal"/>
    <w:next w:val="Normal"/>
    <w:link w:val="Heading4Char"/>
    <w:uiPriority w:val="9"/>
    <w:unhideWhenUsed/>
    <w:qFormat/>
    <w:rsid w:val="00C03D44"/>
    <w:pPr>
      <w:keepNext/>
      <w:keepLines/>
      <w:spacing w:before="40" w:after="0" w:line="360" w:lineRule="auto"/>
      <w:outlineLvl w:val="3"/>
    </w:pPr>
    <w:rPr>
      <w:rFonts w:eastAsia="DengXian Light"/>
      <w:b/>
      <w:bCs/>
      <w:iCs/>
    </w:rPr>
  </w:style>
  <w:style w:type="paragraph" w:styleId="Heading5">
    <w:name w:val="heading 5"/>
    <w:basedOn w:val="Normal"/>
    <w:next w:val="Normal"/>
    <w:link w:val="Heading5Char"/>
    <w:uiPriority w:val="9"/>
    <w:semiHidden/>
    <w:unhideWhenUsed/>
    <w:qFormat/>
    <w:pPr>
      <w:tabs>
        <w:tab w:val="left" w:pos="3600"/>
      </w:tabs>
      <w:spacing w:before="240" w:after="60" w:line="240" w:lineRule="auto"/>
      <w:ind w:left="3600" w:hanging="720"/>
      <w:jc w:val="left"/>
      <w:outlineLvl w:val="4"/>
    </w:pPr>
    <w:rPr>
      <w:rFonts w:ascii="DengXian" w:eastAsia="DengXian" w:hAnsi="DengXian"/>
      <w:b/>
      <w:bCs/>
      <w:i/>
      <w:iCs/>
      <w:sz w:val="26"/>
      <w:szCs w:val="26"/>
    </w:rPr>
  </w:style>
  <w:style w:type="paragraph" w:styleId="Heading6">
    <w:name w:val="heading 6"/>
    <w:basedOn w:val="Normal"/>
    <w:next w:val="Normal"/>
    <w:link w:val="Heading6Char"/>
    <w:qFormat/>
    <w:pPr>
      <w:tabs>
        <w:tab w:val="left" w:pos="4320"/>
      </w:tabs>
      <w:spacing w:before="240" w:after="60" w:line="240" w:lineRule="auto"/>
      <w:ind w:left="4320" w:hanging="720"/>
      <w:jc w:val="left"/>
      <w:outlineLvl w:val="5"/>
    </w:pPr>
    <w:rPr>
      <w:rFonts w:eastAsia="Times New Roman"/>
      <w:b/>
      <w:bCs/>
      <w:sz w:val="22"/>
    </w:rPr>
  </w:style>
  <w:style w:type="paragraph" w:styleId="Heading7">
    <w:name w:val="heading 7"/>
    <w:basedOn w:val="Normal"/>
    <w:next w:val="Normal"/>
    <w:link w:val="Heading7Char"/>
    <w:uiPriority w:val="9"/>
    <w:unhideWhenUsed/>
    <w:qFormat/>
    <w:pPr>
      <w:tabs>
        <w:tab w:val="left" w:pos="5040"/>
      </w:tabs>
      <w:spacing w:before="240" w:after="60" w:line="240" w:lineRule="auto"/>
      <w:ind w:left="5040" w:hanging="720"/>
      <w:jc w:val="left"/>
      <w:outlineLvl w:val="6"/>
    </w:pPr>
    <w:rPr>
      <w:rFonts w:ascii="DengXian" w:eastAsia="DengXian" w:hAnsi="DengXian"/>
      <w:szCs w:val="24"/>
    </w:rPr>
  </w:style>
  <w:style w:type="paragraph" w:styleId="Heading8">
    <w:name w:val="heading 8"/>
    <w:basedOn w:val="Normal"/>
    <w:next w:val="Normal"/>
    <w:link w:val="Heading8Char"/>
    <w:uiPriority w:val="9"/>
    <w:unhideWhenUsed/>
    <w:qFormat/>
    <w:pPr>
      <w:tabs>
        <w:tab w:val="left" w:pos="5760"/>
      </w:tabs>
      <w:spacing w:before="240" w:after="60" w:line="240" w:lineRule="auto"/>
      <w:ind w:left="5760" w:hanging="720"/>
      <w:jc w:val="left"/>
      <w:outlineLvl w:val="7"/>
    </w:pPr>
    <w:rPr>
      <w:rFonts w:ascii="DengXian" w:eastAsia="DengXian" w:hAnsi="DengXian"/>
      <w:i/>
      <w:iCs/>
      <w:szCs w:val="24"/>
    </w:rPr>
  </w:style>
  <w:style w:type="paragraph" w:styleId="Heading9">
    <w:name w:val="heading 9"/>
    <w:basedOn w:val="Normal"/>
    <w:next w:val="Normal"/>
    <w:link w:val="Heading9Char"/>
    <w:uiPriority w:val="9"/>
    <w:semiHidden/>
    <w:unhideWhenUsed/>
    <w:qFormat/>
    <w:pPr>
      <w:tabs>
        <w:tab w:val="left" w:pos="6480"/>
      </w:tabs>
      <w:spacing w:before="240" w:after="60" w:line="240" w:lineRule="auto"/>
      <w:ind w:left="6480" w:hanging="720"/>
      <w:jc w:val="left"/>
      <w:outlineLvl w:val="8"/>
    </w:pPr>
    <w:rPr>
      <w:rFonts w:ascii="DengXian Light" w:eastAsia="DengXian Light" w:hAnsi="DengXian Light"/>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unhideWhenUsed/>
    <w:qFormat/>
    <w:pPr>
      <w:spacing w:after="0" w:line="240" w:lineRule="auto"/>
    </w:pPr>
    <w:rPr>
      <w:rFonts w:ascii="Tahoma" w:hAnsi="Tahoma" w:cs="Tahoma"/>
      <w:sz w:val="16"/>
      <w:szCs w:val="16"/>
      <w:lang w:val="zh-CN"/>
    </w:rPr>
  </w:style>
  <w:style w:type="paragraph" w:styleId="BodyText3">
    <w:name w:val="Body Text 3"/>
    <w:basedOn w:val="Normal"/>
    <w:link w:val="BodyText3Char"/>
    <w:uiPriority w:val="99"/>
    <w:unhideWhenUsed/>
    <w:qFormat/>
    <w:pPr>
      <w:spacing w:after="120" w:line="360" w:lineRule="auto"/>
    </w:pPr>
    <w:rPr>
      <w:rFonts w:eastAsia="DengXian"/>
      <w:color w:val="222222"/>
      <w:sz w:val="16"/>
      <w:szCs w:val="16"/>
      <w:lang w:val="zh-CN"/>
    </w:rPr>
  </w:style>
  <w:style w:type="paragraph" w:styleId="BodyTextIndent2">
    <w:name w:val="Body Text Indent 2"/>
    <w:basedOn w:val="Normal"/>
    <w:link w:val="BodyTextIndent2Char"/>
    <w:qFormat/>
    <w:pPr>
      <w:spacing w:after="0" w:line="240" w:lineRule="auto"/>
      <w:ind w:left="1080" w:hanging="360"/>
      <w:jc w:val="left"/>
    </w:pPr>
    <w:rPr>
      <w:rFonts w:eastAsia="Times New Roman"/>
      <w:szCs w:val="24"/>
    </w:rPr>
  </w:style>
  <w:style w:type="paragraph" w:styleId="Caption">
    <w:name w:val="caption"/>
    <w:basedOn w:val="Normal"/>
    <w:next w:val="Normal"/>
    <w:uiPriority w:val="35"/>
    <w:unhideWhenUsed/>
    <w:qFormat/>
    <w:pPr>
      <w:spacing w:line="240" w:lineRule="auto"/>
      <w:jc w:val="left"/>
    </w:pPr>
    <w:rPr>
      <w:rFonts w:ascii="Calibri" w:eastAsia="Calibri" w:hAnsi="Calibri"/>
      <w:b/>
      <w:bCs/>
      <w:color w:val="4F81BD"/>
      <w:sz w:val="18"/>
      <w:szCs w:val="18"/>
    </w:rPr>
  </w:style>
  <w:style w:type="character" w:styleId="CommentReference">
    <w:name w:val="annotation reference"/>
    <w:uiPriority w:val="99"/>
    <w:unhideWhenUsed/>
    <w:rPr>
      <w:sz w:val="16"/>
      <w:szCs w:val="16"/>
    </w:rPr>
  </w:style>
  <w:style w:type="paragraph" w:styleId="CommentText">
    <w:name w:val="annotation text"/>
    <w:basedOn w:val="Normal"/>
    <w:link w:val="CommentTextChar"/>
    <w:uiPriority w:val="99"/>
    <w:unhideWhenUsed/>
    <w:qFormat/>
    <w:pPr>
      <w:spacing w:line="240" w:lineRule="auto"/>
    </w:pPr>
    <w:rPr>
      <w:sz w:val="20"/>
      <w:szCs w:val="20"/>
    </w:rPr>
  </w:style>
  <w:style w:type="paragraph" w:styleId="CommentSubject">
    <w:name w:val="annotation subject"/>
    <w:basedOn w:val="CommentText"/>
    <w:next w:val="CommentText"/>
    <w:link w:val="CommentSubjectChar"/>
    <w:uiPriority w:val="99"/>
    <w:unhideWhenUsed/>
    <w:qFormat/>
    <w:rPr>
      <w:b/>
      <w:bCs/>
    </w:rPr>
  </w:style>
  <w:style w:type="character" w:styleId="Emphasis">
    <w:name w:val="Emphasis"/>
    <w:uiPriority w:val="20"/>
    <w:qFormat/>
    <w:rPr>
      <w:i/>
      <w:iCs/>
    </w:rPr>
  </w:style>
  <w:style w:type="character" w:styleId="FollowedHyperlink">
    <w:name w:val="FollowedHyperlink"/>
    <w:uiPriority w:val="99"/>
    <w:unhideWhenUsed/>
    <w:qFormat/>
    <w:rPr>
      <w:color w:val="954F72"/>
      <w:u w:val="single"/>
    </w:rPr>
  </w:style>
  <w:style w:type="paragraph" w:styleId="Footer">
    <w:name w:val="footer"/>
    <w:basedOn w:val="Normal"/>
    <w:link w:val="FooterChar"/>
    <w:uiPriority w:val="99"/>
    <w:unhideWhenUsed/>
    <w:qFormat/>
    <w:pPr>
      <w:tabs>
        <w:tab w:val="center" w:pos="4680"/>
        <w:tab w:val="right" w:pos="9360"/>
      </w:tabs>
      <w:spacing w:after="0" w:line="240" w:lineRule="auto"/>
    </w:pPr>
    <w:rPr>
      <w:lang w:val="zh-CN"/>
    </w:rPr>
  </w:style>
  <w:style w:type="paragraph" w:styleId="Header">
    <w:name w:val="header"/>
    <w:basedOn w:val="Normal"/>
    <w:link w:val="HeaderChar"/>
    <w:uiPriority w:val="99"/>
    <w:unhideWhenUsed/>
    <w:qFormat/>
    <w:pPr>
      <w:tabs>
        <w:tab w:val="center" w:pos="4680"/>
        <w:tab w:val="right" w:pos="9360"/>
      </w:tabs>
      <w:spacing w:after="0" w:line="240" w:lineRule="auto"/>
    </w:pPr>
    <w:rPr>
      <w:lang w:val="zh-CN"/>
    </w:rPr>
  </w:style>
  <w:style w:type="character" w:styleId="Hyperlink">
    <w:name w:val="Hyperlink"/>
    <w:uiPriority w:val="99"/>
    <w:unhideWhenUsed/>
    <w:qFormat/>
    <w:rPr>
      <w:color w:val="0563C1"/>
      <w:u w:val="single"/>
    </w:rPr>
  </w:style>
  <w:style w:type="paragraph" w:styleId="NormalWeb">
    <w:name w:val="Normal (Web)"/>
    <w:basedOn w:val="Normal"/>
    <w:link w:val="NormalWebChar"/>
    <w:uiPriority w:val="99"/>
    <w:unhideWhenUsed/>
    <w:qFormat/>
    <w:pPr>
      <w:spacing w:before="100" w:beforeAutospacing="1" w:after="100" w:afterAutospacing="1" w:line="240" w:lineRule="auto"/>
      <w:jc w:val="left"/>
    </w:pPr>
    <w:rPr>
      <w:rFonts w:eastAsia="Times New Roman"/>
      <w:szCs w:val="24"/>
    </w:rPr>
  </w:style>
  <w:style w:type="character" w:styleId="Strong">
    <w:name w:val="Strong"/>
    <w:uiPriority w:val="22"/>
    <w:qFormat/>
    <w:rPr>
      <w:b/>
      <w:bCs/>
    </w:rPr>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pPr>
      <w:spacing w:after="0"/>
    </w:pPr>
  </w:style>
  <w:style w:type="paragraph" w:styleId="Title">
    <w:name w:val="Title"/>
    <w:basedOn w:val="Normal"/>
    <w:next w:val="Normal"/>
    <w:link w:val="TitleChar"/>
    <w:uiPriority w:val="10"/>
    <w:qFormat/>
    <w:pPr>
      <w:spacing w:after="0" w:line="240" w:lineRule="auto"/>
      <w:contextualSpacing/>
    </w:pPr>
    <w:rPr>
      <w:rFonts w:ascii="DengXian Light" w:eastAsia="DengXian Light" w:hAnsi="DengXian Light"/>
      <w:spacing w:val="-10"/>
      <w:kern w:val="28"/>
      <w:sz w:val="56"/>
      <w:szCs w:val="56"/>
    </w:rPr>
  </w:style>
  <w:style w:type="paragraph" w:styleId="TOC1">
    <w:name w:val="toc 1"/>
    <w:basedOn w:val="Normal"/>
    <w:next w:val="Normal"/>
    <w:uiPriority w:val="39"/>
    <w:unhideWhenUsed/>
    <w:qFormat/>
    <w:pPr>
      <w:tabs>
        <w:tab w:val="right" w:leader="dot" w:pos="9350"/>
      </w:tabs>
      <w:spacing w:after="100"/>
    </w:pPr>
    <w:rPr>
      <w:b/>
      <w:bCs/>
    </w:rPr>
  </w:style>
  <w:style w:type="paragraph" w:styleId="TOC2">
    <w:name w:val="toc 2"/>
    <w:basedOn w:val="Normal"/>
    <w:next w:val="Normal"/>
    <w:uiPriority w:val="39"/>
    <w:unhideWhenUsed/>
    <w:qFormat/>
    <w:pPr>
      <w:spacing w:after="100"/>
      <w:ind w:left="240"/>
    </w:pPr>
  </w:style>
  <w:style w:type="paragraph" w:styleId="TOC3">
    <w:name w:val="toc 3"/>
    <w:basedOn w:val="Normal"/>
    <w:next w:val="Normal"/>
    <w:uiPriority w:val="39"/>
    <w:unhideWhenUsed/>
    <w:qFormat/>
    <w:pPr>
      <w:spacing w:after="100"/>
      <w:ind w:left="480"/>
    </w:pPr>
  </w:style>
  <w:style w:type="paragraph" w:styleId="TOC4">
    <w:name w:val="toc 4"/>
    <w:basedOn w:val="Normal"/>
    <w:next w:val="Normal"/>
    <w:uiPriority w:val="39"/>
    <w:unhideWhenUsed/>
    <w:pPr>
      <w:spacing w:after="0" w:line="360" w:lineRule="auto"/>
      <w:ind w:left="720"/>
      <w:jc w:val="left"/>
    </w:pPr>
    <w:rPr>
      <w:rFonts w:ascii="Calibri" w:eastAsia="DengXian" w:hAnsi="Calibri" w:cs="Calibri"/>
      <w:color w:val="222222"/>
      <w:sz w:val="18"/>
      <w:szCs w:val="18"/>
      <w:lang w:val="zh-CN"/>
    </w:rPr>
  </w:style>
  <w:style w:type="paragraph" w:styleId="TOC5">
    <w:name w:val="toc 5"/>
    <w:basedOn w:val="Normal"/>
    <w:next w:val="Normal"/>
    <w:uiPriority w:val="39"/>
    <w:unhideWhenUsed/>
    <w:pPr>
      <w:spacing w:after="0" w:line="360" w:lineRule="auto"/>
      <w:ind w:left="960"/>
      <w:jc w:val="left"/>
    </w:pPr>
    <w:rPr>
      <w:rFonts w:ascii="Calibri" w:eastAsia="DengXian" w:hAnsi="Calibri" w:cs="Calibri"/>
      <w:color w:val="222222"/>
      <w:sz w:val="18"/>
      <w:szCs w:val="18"/>
      <w:lang w:val="zh-CN"/>
    </w:rPr>
  </w:style>
  <w:style w:type="paragraph" w:styleId="TOC6">
    <w:name w:val="toc 6"/>
    <w:basedOn w:val="Normal"/>
    <w:next w:val="Normal"/>
    <w:uiPriority w:val="39"/>
    <w:unhideWhenUsed/>
    <w:pPr>
      <w:spacing w:after="0" w:line="360" w:lineRule="auto"/>
      <w:ind w:left="1200"/>
      <w:jc w:val="left"/>
    </w:pPr>
    <w:rPr>
      <w:rFonts w:ascii="Calibri" w:eastAsia="DengXian" w:hAnsi="Calibri" w:cs="Calibri"/>
      <w:color w:val="222222"/>
      <w:sz w:val="18"/>
      <w:szCs w:val="18"/>
      <w:lang w:val="zh-CN"/>
    </w:rPr>
  </w:style>
  <w:style w:type="paragraph" w:styleId="TOC7">
    <w:name w:val="toc 7"/>
    <w:basedOn w:val="Normal"/>
    <w:next w:val="Normal"/>
    <w:uiPriority w:val="39"/>
    <w:unhideWhenUsed/>
    <w:pPr>
      <w:spacing w:after="0" w:line="360" w:lineRule="auto"/>
      <w:ind w:left="1440"/>
      <w:jc w:val="left"/>
    </w:pPr>
    <w:rPr>
      <w:rFonts w:ascii="Calibri" w:eastAsia="DengXian" w:hAnsi="Calibri" w:cs="Calibri"/>
      <w:color w:val="222222"/>
      <w:sz w:val="18"/>
      <w:szCs w:val="18"/>
      <w:lang w:val="zh-CN"/>
    </w:rPr>
  </w:style>
  <w:style w:type="paragraph" w:styleId="TOC8">
    <w:name w:val="toc 8"/>
    <w:basedOn w:val="Normal"/>
    <w:next w:val="Normal"/>
    <w:uiPriority w:val="39"/>
    <w:unhideWhenUsed/>
    <w:pPr>
      <w:spacing w:after="0" w:line="360" w:lineRule="auto"/>
      <w:ind w:left="1680"/>
      <w:jc w:val="left"/>
    </w:pPr>
    <w:rPr>
      <w:rFonts w:ascii="Calibri" w:eastAsia="DengXian" w:hAnsi="Calibri" w:cs="Calibri"/>
      <w:color w:val="222222"/>
      <w:sz w:val="18"/>
      <w:szCs w:val="18"/>
      <w:lang w:val="zh-CN"/>
    </w:rPr>
  </w:style>
  <w:style w:type="paragraph" w:styleId="TOC9">
    <w:name w:val="toc 9"/>
    <w:basedOn w:val="Normal"/>
    <w:next w:val="Normal"/>
    <w:uiPriority w:val="39"/>
    <w:unhideWhenUsed/>
    <w:pPr>
      <w:spacing w:after="0" w:line="360" w:lineRule="auto"/>
      <w:ind w:left="1920"/>
      <w:jc w:val="left"/>
    </w:pPr>
    <w:rPr>
      <w:rFonts w:ascii="Calibri" w:eastAsia="DengXian" w:hAnsi="Calibri" w:cs="Calibri"/>
      <w:color w:val="222222"/>
      <w:sz w:val="18"/>
      <w:szCs w:val="18"/>
      <w:lang w:val="zh-CN"/>
    </w:rPr>
  </w:style>
  <w:style w:type="character" w:customStyle="1" w:styleId="Heading1Char">
    <w:name w:val="Heading 1 Char"/>
    <w:link w:val="Heading1"/>
    <w:uiPriority w:val="9"/>
    <w:qFormat/>
    <w:rPr>
      <w:rFonts w:ascii="Times New Roman" w:eastAsia="DengXian Light" w:hAnsi="Times New Roman" w:cs="Times New Roman"/>
      <w:b/>
      <w:sz w:val="24"/>
      <w:szCs w:val="32"/>
      <w:lang w:val="en-US"/>
    </w:rPr>
  </w:style>
  <w:style w:type="character" w:customStyle="1" w:styleId="Heading2Char">
    <w:name w:val="Heading 2 Char"/>
    <w:link w:val="Heading2"/>
    <w:uiPriority w:val="9"/>
    <w:qFormat/>
    <w:rPr>
      <w:rFonts w:ascii="Times New Roman" w:eastAsia="DengXian Light" w:hAnsi="Times New Roman" w:cs="Times New Roman"/>
      <w:b/>
      <w:sz w:val="24"/>
      <w:szCs w:val="26"/>
      <w:lang w:val="en-US"/>
    </w:rPr>
  </w:style>
  <w:style w:type="character" w:customStyle="1" w:styleId="Heading3Char">
    <w:name w:val="Heading 3 Char"/>
    <w:link w:val="Heading3"/>
    <w:uiPriority w:val="9"/>
    <w:qFormat/>
    <w:rsid w:val="00AD1CB7"/>
    <w:rPr>
      <w:rFonts w:ascii="Times New Roman" w:eastAsia="DengXian Light" w:hAnsi="Times New Roman"/>
      <w:b/>
      <w:sz w:val="24"/>
      <w:szCs w:val="24"/>
      <w:lang w:val="en-GB" w:eastAsia="zh-CN"/>
    </w:rPr>
  </w:style>
  <w:style w:type="character" w:customStyle="1" w:styleId="Heading4Char">
    <w:name w:val="Heading 4 Char"/>
    <w:link w:val="Heading4"/>
    <w:uiPriority w:val="9"/>
    <w:qFormat/>
    <w:rsid w:val="00C03D44"/>
    <w:rPr>
      <w:rFonts w:ascii="Times New Roman" w:eastAsia="DengXian Light" w:hAnsi="Times New Roman"/>
      <w:b/>
      <w:bCs/>
      <w:iCs/>
      <w:sz w:val="24"/>
      <w:szCs w:val="22"/>
    </w:rPr>
  </w:style>
  <w:style w:type="character" w:customStyle="1" w:styleId="Heading5Char">
    <w:name w:val="Heading 5 Char"/>
    <w:link w:val="Heading5"/>
    <w:uiPriority w:val="9"/>
    <w:semiHidden/>
    <w:rPr>
      <w:rFonts w:eastAsia="DengXian"/>
      <w:b/>
      <w:bCs/>
      <w:i/>
      <w:iCs/>
      <w:sz w:val="26"/>
      <w:szCs w:val="26"/>
      <w:lang w:val="en-US"/>
    </w:rPr>
  </w:style>
  <w:style w:type="character" w:customStyle="1" w:styleId="Heading6Char">
    <w:name w:val="Heading 6 Char"/>
    <w:link w:val="Heading6"/>
    <w:qFormat/>
    <w:rPr>
      <w:rFonts w:ascii="Times New Roman" w:eastAsia="Times New Roman" w:hAnsi="Times New Roman" w:cs="Times New Roman"/>
      <w:b/>
      <w:bCs/>
      <w:lang w:val="en-US"/>
    </w:rPr>
  </w:style>
  <w:style w:type="character" w:customStyle="1" w:styleId="Heading7Char">
    <w:name w:val="Heading 7 Char"/>
    <w:link w:val="Heading7"/>
    <w:uiPriority w:val="9"/>
    <w:rPr>
      <w:rFonts w:eastAsia="DengXian"/>
      <w:sz w:val="24"/>
      <w:szCs w:val="24"/>
      <w:lang w:val="en-US"/>
    </w:rPr>
  </w:style>
  <w:style w:type="character" w:customStyle="1" w:styleId="Heading8Char">
    <w:name w:val="Heading 8 Char"/>
    <w:link w:val="Heading8"/>
    <w:uiPriority w:val="9"/>
    <w:rPr>
      <w:rFonts w:eastAsia="DengXian"/>
      <w:i/>
      <w:iCs/>
      <w:sz w:val="24"/>
      <w:szCs w:val="24"/>
      <w:lang w:val="en-US"/>
    </w:rPr>
  </w:style>
  <w:style w:type="character" w:customStyle="1" w:styleId="Heading9Char">
    <w:name w:val="Heading 9 Char"/>
    <w:link w:val="Heading9"/>
    <w:uiPriority w:val="9"/>
    <w:semiHidden/>
    <w:rPr>
      <w:rFonts w:ascii="DengXian Light" w:eastAsia="DengXian Light" w:hAnsi="DengXian Light" w:cs="Times New Roman"/>
      <w:lang w:val="en-US"/>
    </w:rPr>
  </w:style>
  <w:style w:type="paragraph" w:customStyle="1" w:styleId="msonormal0">
    <w:name w:val="msonormal"/>
    <w:basedOn w:val="Normal"/>
    <w:qFormat/>
    <w:pPr>
      <w:spacing w:before="100" w:beforeAutospacing="1" w:after="100" w:afterAutospacing="1" w:line="240" w:lineRule="auto"/>
      <w:jc w:val="left"/>
    </w:pPr>
    <w:rPr>
      <w:rFonts w:eastAsia="Times New Roman"/>
      <w:szCs w:val="24"/>
    </w:rPr>
  </w:style>
  <w:style w:type="character" w:customStyle="1" w:styleId="CommentTextChar">
    <w:name w:val="Comment Text Char"/>
    <w:link w:val="CommentText"/>
    <w:uiPriority w:val="99"/>
    <w:qFormat/>
    <w:rPr>
      <w:rFonts w:ascii="Times New Roman" w:hAnsi="Times New Roman"/>
      <w:sz w:val="20"/>
      <w:szCs w:val="20"/>
      <w:lang w:val="en-US"/>
    </w:rPr>
  </w:style>
  <w:style w:type="character" w:customStyle="1" w:styleId="HeaderChar">
    <w:name w:val="Header Char"/>
    <w:link w:val="Header"/>
    <w:uiPriority w:val="99"/>
    <w:qFormat/>
    <w:rPr>
      <w:rFonts w:ascii="Times New Roman" w:hAnsi="Times New Roman"/>
      <w:sz w:val="24"/>
    </w:rPr>
  </w:style>
  <w:style w:type="character" w:customStyle="1" w:styleId="HeaderChar1">
    <w:name w:val="Header Char1"/>
    <w:uiPriority w:val="99"/>
    <w:semiHidden/>
    <w:rPr>
      <w:rFonts w:ascii="Times New Roman" w:hAnsi="Times New Roman"/>
      <w:sz w:val="24"/>
      <w:lang w:val="en-US"/>
    </w:rPr>
  </w:style>
  <w:style w:type="character" w:customStyle="1" w:styleId="FooterChar">
    <w:name w:val="Footer Char"/>
    <w:link w:val="Footer"/>
    <w:uiPriority w:val="99"/>
    <w:qFormat/>
    <w:rPr>
      <w:rFonts w:ascii="Times New Roman" w:hAnsi="Times New Roman"/>
      <w:sz w:val="24"/>
    </w:rPr>
  </w:style>
  <w:style w:type="character" w:customStyle="1" w:styleId="FooterChar1">
    <w:name w:val="Footer Char1"/>
    <w:uiPriority w:val="99"/>
    <w:semiHidden/>
    <w:rPr>
      <w:rFonts w:ascii="Times New Roman" w:hAnsi="Times New Roman"/>
      <w:sz w:val="24"/>
      <w:lang w:val="en-US"/>
    </w:rPr>
  </w:style>
  <w:style w:type="character" w:customStyle="1" w:styleId="TitleChar">
    <w:name w:val="Title Char"/>
    <w:link w:val="Title"/>
    <w:uiPriority w:val="10"/>
    <w:qFormat/>
    <w:rPr>
      <w:rFonts w:ascii="DengXian Light" w:eastAsia="DengXian Light" w:hAnsi="DengXian Light" w:cs="Times New Roman"/>
      <w:spacing w:val="-10"/>
      <w:kern w:val="28"/>
      <w:sz w:val="56"/>
      <w:szCs w:val="56"/>
      <w:lang w:val="en-US"/>
    </w:rPr>
  </w:style>
  <w:style w:type="character" w:customStyle="1" w:styleId="CommentSubjectChar">
    <w:name w:val="Comment Subject Char"/>
    <w:link w:val="CommentSubject"/>
    <w:uiPriority w:val="99"/>
    <w:qFormat/>
    <w:rPr>
      <w:rFonts w:ascii="Times New Roman" w:hAnsi="Times New Roman"/>
      <w:b/>
      <w:bCs/>
      <w:sz w:val="20"/>
      <w:szCs w:val="20"/>
      <w:lang w:val="en-US"/>
    </w:rPr>
  </w:style>
  <w:style w:type="character" w:customStyle="1" w:styleId="CommentSubjectChar1">
    <w:name w:val="Comment Subject Char1"/>
    <w:uiPriority w:val="99"/>
    <w:semiHidden/>
    <w:rPr>
      <w:rFonts w:ascii="Times New Roman" w:hAnsi="Times New Roman"/>
      <w:b/>
      <w:bCs/>
      <w:sz w:val="20"/>
      <w:szCs w:val="20"/>
      <w:lang w:val="en-US"/>
    </w:rPr>
  </w:style>
  <w:style w:type="character" w:customStyle="1" w:styleId="BalloonTextChar">
    <w:name w:val="Balloon Text Char"/>
    <w:link w:val="BalloonText"/>
    <w:uiPriority w:val="99"/>
    <w:qFormat/>
    <w:rPr>
      <w:rFonts w:ascii="Tahoma" w:hAnsi="Tahoma" w:cs="Tahoma"/>
      <w:sz w:val="16"/>
      <w:szCs w:val="16"/>
    </w:rPr>
  </w:style>
  <w:style w:type="character" w:customStyle="1" w:styleId="BalloonTextChar1">
    <w:name w:val="Balloon Text Char1"/>
    <w:uiPriority w:val="99"/>
    <w:semiHidden/>
    <w:qFormat/>
    <w:rPr>
      <w:rFonts w:ascii="Segoe UI" w:hAnsi="Segoe UI" w:cs="Segoe UI"/>
      <w:sz w:val="18"/>
      <w:szCs w:val="18"/>
      <w:lang w:val="en-US"/>
    </w:rPr>
  </w:style>
  <w:style w:type="paragraph" w:styleId="NoSpacing">
    <w:name w:val="No Spacing"/>
    <w:uiPriority w:val="1"/>
    <w:qFormat/>
    <w:pPr>
      <w:jc w:val="both"/>
    </w:pPr>
    <w:rPr>
      <w:rFonts w:ascii="Times New Roman" w:hAnsi="Times New Roman"/>
      <w:sz w:val="24"/>
      <w:szCs w:val="22"/>
      <w:lang w:val="en-US" w:eastAsia="en-US"/>
    </w:rPr>
  </w:style>
  <w:style w:type="paragraph" w:styleId="ListParagraph">
    <w:name w:val="List Paragraph"/>
    <w:basedOn w:val="Normal"/>
    <w:link w:val="ListParagraphChar"/>
    <w:uiPriority w:val="34"/>
    <w:qFormat/>
    <w:pPr>
      <w:ind w:left="720"/>
      <w:contextualSpacing/>
    </w:pPr>
  </w:style>
  <w:style w:type="character" w:customStyle="1" w:styleId="author">
    <w:name w:val="author"/>
    <w:basedOn w:val="DefaultParagraphFont"/>
    <w:qFormat/>
  </w:style>
  <w:style w:type="character" w:customStyle="1" w:styleId="pubyear">
    <w:name w:val="pubyear"/>
    <w:basedOn w:val="DefaultParagraphFont"/>
    <w:qFormat/>
  </w:style>
  <w:style w:type="character" w:customStyle="1" w:styleId="articletitle">
    <w:name w:val="articletitle"/>
    <w:basedOn w:val="DefaultParagraphFont"/>
  </w:style>
  <w:style w:type="character" w:customStyle="1" w:styleId="vol">
    <w:name w:val="vol"/>
    <w:basedOn w:val="DefaultParagraphFont"/>
  </w:style>
  <w:style w:type="character" w:customStyle="1" w:styleId="citedissue">
    <w:name w:val="citedissue"/>
    <w:basedOn w:val="DefaultParagraphFont"/>
    <w:qFormat/>
  </w:style>
  <w:style w:type="character" w:customStyle="1" w:styleId="pagefirst">
    <w:name w:val="pagefirst"/>
    <w:basedOn w:val="DefaultParagraphFont"/>
  </w:style>
  <w:style w:type="character" w:customStyle="1" w:styleId="pagelast">
    <w:name w:val="pagelast"/>
    <w:basedOn w:val="DefaultParagraphFont"/>
    <w:qFormat/>
  </w:style>
  <w:style w:type="character" w:customStyle="1" w:styleId="booktitle">
    <w:name w:val="booktitle"/>
    <w:basedOn w:val="DefaultParagraphFont"/>
    <w:qFormat/>
  </w:style>
  <w:style w:type="character" w:customStyle="1" w:styleId="editor">
    <w:name w:val="editor"/>
    <w:basedOn w:val="DefaultParagraphFont"/>
  </w:style>
  <w:style w:type="character" w:customStyle="1" w:styleId="UnresolvedMention1">
    <w:name w:val="Unresolved Mention1"/>
    <w:uiPriority w:val="99"/>
    <w:semiHidden/>
    <w:unhideWhenUsed/>
    <w:qFormat/>
    <w:rPr>
      <w:color w:val="605E5C"/>
      <w:shd w:val="clear" w:color="auto" w:fill="E1DFDD"/>
    </w:rPr>
  </w:style>
  <w:style w:type="character" w:customStyle="1" w:styleId="anchor-text">
    <w:name w:val="anchor-text"/>
    <w:basedOn w:val="DefaultParagraphFont"/>
  </w:style>
  <w:style w:type="character" w:customStyle="1" w:styleId="hlfld-contribauthor">
    <w:name w:val="hlfld-contribauthor"/>
    <w:basedOn w:val="DefaultParagraphFont"/>
  </w:style>
  <w:style w:type="character" w:customStyle="1" w:styleId="nlmgiven-names">
    <w:name w:val="nlm_given-names"/>
    <w:basedOn w:val="DefaultParagraphFont"/>
    <w:qFormat/>
  </w:style>
  <w:style w:type="character" w:customStyle="1" w:styleId="nlmyear">
    <w:name w:val="nlm_year"/>
    <w:basedOn w:val="DefaultParagraphFont"/>
    <w:qFormat/>
  </w:style>
  <w:style w:type="character" w:customStyle="1" w:styleId="nlmedition">
    <w:name w:val="nlm_edition"/>
    <w:basedOn w:val="DefaultParagraphFont"/>
    <w:qFormat/>
  </w:style>
  <w:style w:type="character" w:customStyle="1" w:styleId="nlmpublisher-loc">
    <w:name w:val="nlm_publisher-loc"/>
    <w:basedOn w:val="DefaultParagraphFont"/>
    <w:qFormat/>
  </w:style>
  <w:style w:type="character" w:customStyle="1" w:styleId="nlmpublisher-name">
    <w:name w:val="nlm_publisher-name"/>
    <w:basedOn w:val="DefaultParagraphFont"/>
    <w:qFormat/>
  </w:style>
  <w:style w:type="character" w:customStyle="1" w:styleId="NormalWebChar">
    <w:name w:val="Normal (Web) Char"/>
    <w:link w:val="NormalWeb"/>
    <w:uiPriority w:val="99"/>
    <w:rPr>
      <w:rFonts w:ascii="Times New Roman" w:eastAsia="Times New Roman" w:hAnsi="Times New Roman" w:cs="Times New Roman"/>
      <w:sz w:val="24"/>
      <w:szCs w:val="24"/>
      <w:lang w:val="en-US"/>
    </w:rPr>
  </w:style>
  <w:style w:type="character" w:customStyle="1" w:styleId="ListParagraphChar">
    <w:name w:val="List Paragraph Char"/>
    <w:link w:val="ListParagraph"/>
    <w:uiPriority w:val="34"/>
    <w:qFormat/>
    <w:rPr>
      <w:rFonts w:ascii="Times New Roman" w:hAnsi="Times New Roman"/>
      <w:sz w:val="24"/>
      <w:lang w:val="en-US"/>
    </w:rPr>
  </w:style>
  <w:style w:type="character" w:customStyle="1" w:styleId="BodyText3Char">
    <w:name w:val="Body Text 3 Char"/>
    <w:link w:val="BodyText3"/>
    <w:uiPriority w:val="99"/>
    <w:qFormat/>
    <w:rPr>
      <w:rFonts w:ascii="Times New Roman" w:eastAsia="DengXian" w:hAnsi="Times New Roman" w:cs="Times New Roman"/>
      <w:color w:val="222222"/>
      <w:sz w:val="16"/>
      <w:szCs w:val="16"/>
      <w:lang w:val="zh-CN"/>
    </w:rPr>
  </w:style>
  <w:style w:type="character" w:customStyle="1" w:styleId="BodyTextIndent2Char">
    <w:name w:val="Body Text Indent 2 Char"/>
    <w:link w:val="BodyTextIndent2"/>
    <w:qFormat/>
    <w:rPr>
      <w:rFonts w:ascii="Times New Roman" w:eastAsia="Times New Roman" w:hAnsi="Times New Roman" w:cs="Times New Roman"/>
      <w:sz w:val="24"/>
      <w:szCs w:val="24"/>
      <w:lang w:val="en-US"/>
    </w:rPr>
  </w:style>
  <w:style w:type="paragraph" w:customStyle="1" w:styleId="TOCHeading1">
    <w:name w:val="TOC Heading1"/>
    <w:basedOn w:val="Heading1"/>
    <w:next w:val="Normal"/>
    <w:uiPriority w:val="39"/>
    <w:qFormat/>
    <w:pPr>
      <w:keepNext w:val="0"/>
      <w:shd w:val="clear" w:color="auto" w:fill="FCFCFC"/>
      <w:spacing w:before="0" w:line="259" w:lineRule="auto"/>
      <w:outlineLvl w:val="9"/>
    </w:pPr>
    <w:rPr>
      <w:rFonts w:eastAsia="DengXian"/>
      <w:b w:val="0"/>
      <w:color w:val="365F91"/>
      <w:szCs w:val="24"/>
      <w:lang w:val="zh-CN" w:eastAsia="zh-CN"/>
    </w:rPr>
  </w:style>
  <w:style w:type="paragraph" w:customStyle="1" w:styleId="Default">
    <w:name w:val="Default"/>
    <w:qFormat/>
    <w:pPr>
      <w:autoSpaceDE w:val="0"/>
      <w:autoSpaceDN w:val="0"/>
      <w:adjustRightInd w:val="0"/>
    </w:pPr>
    <w:rPr>
      <w:rFonts w:ascii="Times New Roman" w:eastAsia="Calibri" w:hAnsi="Times New Roman"/>
      <w:color w:val="000000"/>
      <w:sz w:val="24"/>
      <w:szCs w:val="24"/>
      <w:lang w:val="en-US" w:eastAsia="en-US"/>
    </w:rPr>
  </w:style>
  <w:style w:type="paragraph" w:customStyle="1" w:styleId="Pa11">
    <w:name w:val="Pa11"/>
    <w:basedOn w:val="Default"/>
    <w:next w:val="Default"/>
    <w:uiPriority w:val="99"/>
    <w:qFormat/>
    <w:pPr>
      <w:spacing w:line="201" w:lineRule="atLeast"/>
    </w:pPr>
    <w:rPr>
      <w:color w:val="auto"/>
    </w:rPr>
  </w:style>
  <w:style w:type="paragraph" w:customStyle="1" w:styleId="Bibliography1">
    <w:name w:val="Bibliography1"/>
    <w:basedOn w:val="Normal"/>
    <w:next w:val="Normal"/>
    <w:uiPriority w:val="37"/>
    <w:unhideWhenUsed/>
    <w:qFormat/>
    <w:pPr>
      <w:spacing w:after="0" w:line="480" w:lineRule="auto"/>
      <w:ind w:left="720" w:hanging="720"/>
      <w:jc w:val="left"/>
    </w:pPr>
    <w:rPr>
      <w:rFonts w:ascii="Calibri" w:eastAsia="Calibri" w:hAnsi="Calibri"/>
      <w:sz w:val="22"/>
    </w:rPr>
  </w:style>
  <w:style w:type="character" w:customStyle="1" w:styleId="e24kjd">
    <w:name w:val="e24kjd"/>
    <w:qFormat/>
  </w:style>
  <w:style w:type="paragraph" w:customStyle="1" w:styleId="contentsegment">
    <w:name w:val="content__segment"/>
    <w:basedOn w:val="Normal"/>
    <w:qFormat/>
    <w:pPr>
      <w:spacing w:before="100" w:beforeAutospacing="1" w:after="100" w:afterAutospacing="1" w:line="240" w:lineRule="auto"/>
      <w:jc w:val="left"/>
    </w:pPr>
    <w:rPr>
      <w:rFonts w:eastAsia="Times New Roman"/>
      <w:szCs w:val="24"/>
    </w:rPr>
  </w:style>
  <w:style w:type="table" w:customStyle="1" w:styleId="LightShading1">
    <w:name w:val="Light Shading1"/>
    <w:basedOn w:val="TableNormal"/>
    <w:uiPriority w:val="60"/>
    <w:qFormat/>
    <w:rPr>
      <w:rFonts w:ascii="Calibri" w:eastAsia="Calibri" w:hAnsi="Calibri"/>
      <w:color w:val="000000"/>
      <w:lang w:eastAsia="zh-CN"/>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single" w:sz="8" w:space="0" w:color="000000"/>
          <w:bottom w:val="nil"/>
          <w:right w:val="nil"/>
          <w:insideH w:val="nil"/>
          <w:insideV w:val="nil"/>
          <w:tl2br w:val="nil"/>
          <w:tr2bl w:val="nil"/>
        </w:tcBorders>
      </w:tcPr>
    </w:tblStylePr>
    <w:tblStylePr w:type="lastRow">
      <w:pPr>
        <w:spacing w:before="0" w:after="0" w:line="240" w:lineRule="auto"/>
      </w:pPr>
      <w:rPr>
        <w:b/>
        <w:bCs/>
      </w:rPr>
      <w:tblPr/>
      <w:tcPr>
        <w:tcBorders>
          <w:top w:val="single" w:sz="8" w:space="0" w:color="000000"/>
          <w:left w:val="single" w:sz="8" w:space="0" w:color="000000"/>
          <w:bottom w:val="nil"/>
          <w:right w:val="nil"/>
          <w:insideH w:val="nil"/>
          <w:insideV w:val="nil"/>
          <w:tl2br w:val="nil"/>
          <w:tr2bl w:val="nil"/>
        </w:tcBorders>
      </w:tcPr>
    </w:tblStylePr>
    <w:tblStylePr w:type="firstCol">
      <w:rPr>
        <w:b/>
        <w:bCs/>
      </w:rPr>
    </w:tblStylePr>
    <w:tblStylePr w:type="lastCol">
      <w:rPr>
        <w:b/>
        <w:bCs/>
      </w:rPr>
    </w:tblStylePr>
    <w:tblStylePr w:type="band1Vert">
      <w:tblPr/>
      <w:tcPr>
        <w:tcBorders>
          <w:top w:val="nil"/>
          <w:left w:val="nil"/>
          <w:bottom w:val="nil"/>
          <w:right w:val="nil"/>
          <w:insideH w:val="nil"/>
          <w:insideV w:val="nil"/>
          <w:tl2br w:val="nil"/>
          <w:tr2bl w:val="nil"/>
        </w:tcBorders>
        <w:shd w:val="clear" w:color="auto" w:fill="C0C0C0"/>
      </w:tcPr>
    </w:tblStylePr>
    <w:tblStylePr w:type="band1Horz">
      <w:tblPr/>
      <w:tcPr>
        <w:tcBorders>
          <w:top w:val="nil"/>
          <w:left w:val="nil"/>
          <w:bottom w:val="nil"/>
          <w:right w:val="nil"/>
          <w:insideH w:val="nil"/>
          <w:insideV w:val="nil"/>
          <w:tl2br w:val="nil"/>
          <w:tr2bl w:val="nil"/>
        </w:tcBorders>
        <w:shd w:val="clear" w:color="auto" w:fill="C0C0C0"/>
      </w:tcPr>
    </w:tblStylePr>
  </w:style>
  <w:style w:type="table" w:customStyle="1" w:styleId="TableGrid1">
    <w:name w:val="Table Grid1"/>
    <w:basedOn w:val="TableNormal"/>
    <w:uiPriority w:val="39"/>
    <w:qFormat/>
    <w:rPr>
      <w:rFonts w:ascii="Calibri" w:eastAsia="Calibri" w:hAnsi="Calibri"/>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5">
    <w:name w:val="xl65"/>
    <w:basedOn w:val="Normal"/>
    <w:qFormat/>
    <w:pPr>
      <w:spacing w:before="100" w:beforeAutospacing="1" w:after="100" w:afterAutospacing="1" w:line="240" w:lineRule="auto"/>
      <w:jc w:val="left"/>
    </w:pPr>
    <w:rPr>
      <w:rFonts w:eastAsia="Times New Roman"/>
      <w:b/>
      <w:bCs/>
      <w:szCs w:val="24"/>
      <w:lang w:val="zh-CN" w:eastAsia="zh-CN"/>
    </w:rPr>
  </w:style>
  <w:style w:type="paragraph" w:customStyle="1" w:styleId="xl66">
    <w:name w:val="xl66"/>
    <w:basedOn w:val="Normal"/>
    <w:qFormat/>
    <w:pPr>
      <w:spacing w:before="100" w:beforeAutospacing="1" w:after="100" w:afterAutospacing="1" w:line="240" w:lineRule="auto"/>
      <w:jc w:val="left"/>
    </w:pPr>
    <w:rPr>
      <w:rFonts w:eastAsia="Times New Roman"/>
      <w:color w:val="000000"/>
      <w:szCs w:val="24"/>
      <w:lang w:val="zh-CN" w:eastAsia="zh-CN"/>
    </w:rPr>
  </w:style>
  <w:style w:type="paragraph" w:customStyle="1" w:styleId="xl67">
    <w:name w:val="xl67"/>
    <w:basedOn w:val="Normal"/>
    <w:qFormat/>
    <w:pPr>
      <w:spacing w:before="100" w:beforeAutospacing="1" w:after="100" w:afterAutospacing="1" w:line="240" w:lineRule="auto"/>
      <w:jc w:val="left"/>
    </w:pPr>
    <w:rPr>
      <w:rFonts w:eastAsia="Times New Roman"/>
      <w:color w:val="000000"/>
      <w:szCs w:val="24"/>
      <w:lang w:val="zh-CN" w:eastAsia="zh-CN"/>
    </w:rPr>
  </w:style>
  <w:style w:type="paragraph" w:customStyle="1" w:styleId="xl68">
    <w:name w:val="xl68"/>
    <w:basedOn w:val="Normal"/>
    <w:qFormat/>
    <w:pPr>
      <w:spacing w:before="100" w:beforeAutospacing="1" w:after="100" w:afterAutospacing="1" w:line="240" w:lineRule="auto"/>
      <w:jc w:val="left"/>
    </w:pPr>
    <w:rPr>
      <w:rFonts w:eastAsia="Times New Roman"/>
      <w:szCs w:val="24"/>
      <w:lang w:val="zh-CN" w:eastAsia="zh-CN"/>
    </w:rPr>
  </w:style>
  <w:style w:type="table" w:customStyle="1" w:styleId="TableGrid2">
    <w:name w:val="Table Grid2"/>
    <w:basedOn w:val="TableNormal"/>
    <w:uiPriority w:val="39"/>
    <w:qFormat/>
    <w:rPr>
      <w:rFonts w:ascii="Calibri" w:eastAsia="Calibri" w:hAnsi="Calibri"/>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uiPriority w:val="39"/>
    <w:qFormat/>
    <w:rPr>
      <w:rFonts w:ascii="Calibri" w:eastAsia="Calibri" w:hAnsi="Calibri"/>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vision1">
    <w:name w:val="Revision1"/>
    <w:uiPriority w:val="99"/>
    <w:unhideWhenUsed/>
    <w:qFormat/>
    <w:rPr>
      <w:rFonts w:ascii="Times New Roman" w:eastAsia="DengXian" w:hAnsi="Times New Roman"/>
      <w:color w:val="222222"/>
      <w:sz w:val="24"/>
      <w:szCs w:val="24"/>
      <w:lang w:val="zh-CN" w:eastAsia="en-US"/>
    </w:rPr>
  </w:style>
  <w:style w:type="character" w:customStyle="1" w:styleId="personname">
    <w:name w:val="person_name"/>
  </w:style>
  <w:style w:type="table" w:customStyle="1" w:styleId="TableGrid11">
    <w:name w:val="Table Grid11"/>
    <w:basedOn w:val="TableNormal"/>
    <w:uiPriority w:val="39"/>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uiPriority w:val="39"/>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uiPriority w:val="39"/>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vision2">
    <w:name w:val="Revision2"/>
    <w:hidden/>
    <w:uiPriority w:val="99"/>
    <w:unhideWhenUsed/>
    <w:rPr>
      <w:rFonts w:ascii="Times New Roman" w:eastAsia="DengXian" w:hAnsi="Times New Roman"/>
      <w:color w:val="222222"/>
      <w:sz w:val="24"/>
      <w:szCs w:val="24"/>
      <w:lang w:val="zh-CN" w:eastAsia="en-US"/>
    </w:rPr>
  </w:style>
  <w:style w:type="table" w:customStyle="1" w:styleId="GridTable21">
    <w:name w:val="Grid Table 21"/>
    <w:basedOn w:val="TableNormal"/>
    <w:uiPriority w:val="47"/>
    <w:rPr>
      <w:rFonts w:ascii="Times New Roman" w:hAnsi="Times New Roman"/>
      <w:lang w:eastAsia="zh-CN"/>
    </w:rPr>
    <w:tblPr>
      <w:tblBorders>
        <w:top w:val="single" w:sz="2" w:space="0" w:color="666666"/>
        <w:bottom w:val="single" w:sz="2" w:space="0" w:color="666666"/>
        <w:insideH w:val="single" w:sz="2" w:space="0" w:color="666666"/>
        <w:insideV w:val="single" w:sz="2" w:space="0" w:color="666666"/>
      </w:tblBorders>
    </w:tblPr>
    <w:tblStylePr w:type="firstRow">
      <w:rPr>
        <w:b/>
        <w:bCs/>
      </w:rPr>
      <w:tblPr/>
      <w:tcPr>
        <w:tcBorders>
          <w:top w:val="nil"/>
          <w:bottom w:val="single" w:sz="12" w:space="0" w:color="666666"/>
          <w:insideH w:val="nil"/>
          <w:insideV w:val="nil"/>
        </w:tcBorders>
        <w:shd w:val="clear" w:color="auto" w:fill="FFFFFF"/>
      </w:tcPr>
    </w:tblStylePr>
    <w:tblStylePr w:type="lastRow">
      <w:rPr>
        <w:b/>
        <w:bCs/>
      </w:rPr>
      <w:tblPr/>
      <w:tcPr>
        <w:tcBorders>
          <w:top w:val="double" w:sz="2" w:space="0" w:color="6666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41">
    <w:name w:val="Grid Table 41"/>
    <w:basedOn w:val="TableNormal"/>
    <w:uiPriority w:val="49"/>
    <w:rPr>
      <w:rFonts w:ascii="Times New Roman" w:hAnsi="Times New Roman"/>
      <w:lang w:eastAsia="zh-CN"/>
    </w:rPr>
    <w:tblPr>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1Light1">
    <w:name w:val="Grid Table 1 Light1"/>
    <w:basedOn w:val="TableNormal"/>
    <w:uiPriority w:val="46"/>
    <w:qFormat/>
    <w:rPr>
      <w:rFonts w:ascii="Times New Roman" w:hAnsi="Times New Roman"/>
      <w:lang w:eastAsia="zh-CN"/>
    </w:rPr>
    <w:tblPr>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styleId="UnresolvedMention">
    <w:name w:val="Unresolved Mention"/>
    <w:uiPriority w:val="99"/>
    <w:semiHidden/>
    <w:unhideWhenUsed/>
    <w:rsid w:val="00DF2421"/>
    <w:rPr>
      <w:color w:val="605E5C"/>
      <w:shd w:val="clear" w:color="auto" w:fill="E1DFDD"/>
    </w:rPr>
  </w:style>
  <w:style w:type="character" w:customStyle="1" w:styleId="nlmarticle-title">
    <w:name w:val="nlm_article-title"/>
    <w:basedOn w:val="DefaultParagraphFont"/>
    <w:rsid w:val="00BB6C59"/>
  </w:style>
  <w:style w:type="character" w:customStyle="1" w:styleId="nlmfpage">
    <w:name w:val="nlm_fpage"/>
    <w:basedOn w:val="DefaultParagraphFont"/>
    <w:rsid w:val="00BB6C59"/>
  </w:style>
  <w:style w:type="character" w:customStyle="1" w:styleId="nlmlpage">
    <w:name w:val="nlm_lpage"/>
    <w:basedOn w:val="DefaultParagraphFont"/>
    <w:rsid w:val="00BB6C59"/>
  </w:style>
  <w:style w:type="character" w:customStyle="1" w:styleId="ref-lnk">
    <w:name w:val="ref-lnk"/>
    <w:basedOn w:val="DefaultParagraphFont"/>
    <w:rsid w:val="00DC2A0C"/>
  </w:style>
  <w:style w:type="character" w:customStyle="1" w:styleId="off-screen">
    <w:name w:val="off-screen"/>
    <w:basedOn w:val="DefaultParagraphFont"/>
    <w:rsid w:val="00DC2A0C"/>
  </w:style>
  <w:style w:type="table" w:styleId="PlainTable2">
    <w:name w:val="Plain Table 2"/>
    <w:basedOn w:val="TableNormal"/>
    <w:uiPriority w:val="42"/>
    <w:rsid w:val="00B21F0F"/>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PlainTable4">
    <w:name w:val="Plain Table 4"/>
    <w:basedOn w:val="TableNormal"/>
    <w:uiPriority w:val="44"/>
    <w:rsid w:val="00B21F0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Revision">
    <w:name w:val="Revision"/>
    <w:hidden/>
    <w:uiPriority w:val="99"/>
    <w:semiHidden/>
    <w:rsid w:val="006F74DA"/>
    <w:rPr>
      <w:rFonts w:ascii="Times New Roman" w:hAnsi="Times New Roman"/>
      <w:sz w:val="24"/>
      <w:szCs w:val="22"/>
      <w:lang w:val="en-US" w:eastAsia="en-US"/>
    </w:rPr>
  </w:style>
  <w:style w:type="character" w:customStyle="1" w:styleId="selectable-text">
    <w:name w:val="selectable-text"/>
    <w:basedOn w:val="DefaultParagraphFont"/>
    <w:rsid w:val="00F26FE5"/>
  </w:style>
  <w:style w:type="numbering" w:customStyle="1" w:styleId="NoList1">
    <w:name w:val="No List1"/>
    <w:next w:val="NoList"/>
    <w:uiPriority w:val="99"/>
    <w:semiHidden/>
    <w:unhideWhenUsed/>
    <w:rsid w:val="003859C9"/>
  </w:style>
  <w:style w:type="table" w:customStyle="1" w:styleId="APA7TH">
    <w:name w:val="APA 7TH"/>
    <w:basedOn w:val="TableNormal"/>
    <w:uiPriority w:val="99"/>
    <w:rsid w:val="003859C9"/>
    <w:rPr>
      <w:rFonts w:ascii="Calibri" w:hAnsi="Calibri"/>
      <w:sz w:val="22"/>
      <w:szCs w:val="22"/>
    </w:rPr>
    <w:tblPr/>
  </w:style>
  <w:style w:type="table" w:customStyle="1" w:styleId="LightShading11">
    <w:name w:val="Light Shading11"/>
    <w:basedOn w:val="TableNormal"/>
    <w:uiPriority w:val="60"/>
    <w:rsid w:val="003859C9"/>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111">
    <w:name w:val="Light Shading111"/>
    <w:basedOn w:val="TableNormal"/>
    <w:uiPriority w:val="60"/>
    <w:rsid w:val="003859C9"/>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citationsource-journal">
    <w:name w:val="citation_source-journal"/>
    <w:basedOn w:val="DefaultParagraphFont"/>
    <w:rsid w:val="004E33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332901">
      <w:bodyDiv w:val="1"/>
      <w:marLeft w:val="0"/>
      <w:marRight w:val="0"/>
      <w:marTop w:val="0"/>
      <w:marBottom w:val="0"/>
      <w:divBdr>
        <w:top w:val="none" w:sz="0" w:space="0" w:color="auto"/>
        <w:left w:val="none" w:sz="0" w:space="0" w:color="auto"/>
        <w:bottom w:val="none" w:sz="0" w:space="0" w:color="auto"/>
        <w:right w:val="none" w:sz="0" w:space="0" w:color="auto"/>
      </w:divBdr>
    </w:div>
    <w:div w:id="26029190">
      <w:bodyDiv w:val="1"/>
      <w:marLeft w:val="0"/>
      <w:marRight w:val="0"/>
      <w:marTop w:val="0"/>
      <w:marBottom w:val="0"/>
      <w:divBdr>
        <w:top w:val="none" w:sz="0" w:space="0" w:color="auto"/>
        <w:left w:val="none" w:sz="0" w:space="0" w:color="auto"/>
        <w:bottom w:val="none" w:sz="0" w:space="0" w:color="auto"/>
        <w:right w:val="none" w:sz="0" w:space="0" w:color="auto"/>
      </w:divBdr>
    </w:div>
    <w:div w:id="61026649">
      <w:bodyDiv w:val="1"/>
      <w:marLeft w:val="0"/>
      <w:marRight w:val="0"/>
      <w:marTop w:val="0"/>
      <w:marBottom w:val="0"/>
      <w:divBdr>
        <w:top w:val="none" w:sz="0" w:space="0" w:color="auto"/>
        <w:left w:val="none" w:sz="0" w:space="0" w:color="auto"/>
        <w:bottom w:val="none" w:sz="0" w:space="0" w:color="auto"/>
        <w:right w:val="none" w:sz="0" w:space="0" w:color="auto"/>
      </w:divBdr>
    </w:div>
    <w:div w:id="125701374">
      <w:bodyDiv w:val="1"/>
      <w:marLeft w:val="0"/>
      <w:marRight w:val="0"/>
      <w:marTop w:val="0"/>
      <w:marBottom w:val="0"/>
      <w:divBdr>
        <w:top w:val="none" w:sz="0" w:space="0" w:color="auto"/>
        <w:left w:val="none" w:sz="0" w:space="0" w:color="auto"/>
        <w:bottom w:val="none" w:sz="0" w:space="0" w:color="auto"/>
        <w:right w:val="none" w:sz="0" w:space="0" w:color="auto"/>
      </w:divBdr>
    </w:div>
    <w:div w:id="159928781">
      <w:bodyDiv w:val="1"/>
      <w:marLeft w:val="0"/>
      <w:marRight w:val="0"/>
      <w:marTop w:val="0"/>
      <w:marBottom w:val="0"/>
      <w:divBdr>
        <w:top w:val="none" w:sz="0" w:space="0" w:color="auto"/>
        <w:left w:val="none" w:sz="0" w:space="0" w:color="auto"/>
        <w:bottom w:val="none" w:sz="0" w:space="0" w:color="auto"/>
        <w:right w:val="none" w:sz="0" w:space="0" w:color="auto"/>
      </w:divBdr>
    </w:div>
    <w:div w:id="170029898">
      <w:bodyDiv w:val="1"/>
      <w:marLeft w:val="0"/>
      <w:marRight w:val="0"/>
      <w:marTop w:val="0"/>
      <w:marBottom w:val="0"/>
      <w:divBdr>
        <w:top w:val="none" w:sz="0" w:space="0" w:color="auto"/>
        <w:left w:val="none" w:sz="0" w:space="0" w:color="auto"/>
        <w:bottom w:val="none" w:sz="0" w:space="0" w:color="auto"/>
        <w:right w:val="none" w:sz="0" w:space="0" w:color="auto"/>
      </w:divBdr>
    </w:div>
    <w:div w:id="178473077">
      <w:bodyDiv w:val="1"/>
      <w:marLeft w:val="0"/>
      <w:marRight w:val="0"/>
      <w:marTop w:val="0"/>
      <w:marBottom w:val="0"/>
      <w:divBdr>
        <w:top w:val="none" w:sz="0" w:space="0" w:color="auto"/>
        <w:left w:val="none" w:sz="0" w:space="0" w:color="auto"/>
        <w:bottom w:val="none" w:sz="0" w:space="0" w:color="auto"/>
        <w:right w:val="none" w:sz="0" w:space="0" w:color="auto"/>
      </w:divBdr>
    </w:div>
    <w:div w:id="186917863">
      <w:bodyDiv w:val="1"/>
      <w:marLeft w:val="0"/>
      <w:marRight w:val="0"/>
      <w:marTop w:val="0"/>
      <w:marBottom w:val="0"/>
      <w:divBdr>
        <w:top w:val="none" w:sz="0" w:space="0" w:color="auto"/>
        <w:left w:val="none" w:sz="0" w:space="0" w:color="auto"/>
        <w:bottom w:val="none" w:sz="0" w:space="0" w:color="auto"/>
        <w:right w:val="none" w:sz="0" w:space="0" w:color="auto"/>
      </w:divBdr>
    </w:div>
    <w:div w:id="198784642">
      <w:bodyDiv w:val="1"/>
      <w:marLeft w:val="0"/>
      <w:marRight w:val="0"/>
      <w:marTop w:val="0"/>
      <w:marBottom w:val="0"/>
      <w:divBdr>
        <w:top w:val="none" w:sz="0" w:space="0" w:color="auto"/>
        <w:left w:val="none" w:sz="0" w:space="0" w:color="auto"/>
        <w:bottom w:val="none" w:sz="0" w:space="0" w:color="auto"/>
        <w:right w:val="none" w:sz="0" w:space="0" w:color="auto"/>
      </w:divBdr>
    </w:div>
    <w:div w:id="200173155">
      <w:bodyDiv w:val="1"/>
      <w:marLeft w:val="0"/>
      <w:marRight w:val="0"/>
      <w:marTop w:val="0"/>
      <w:marBottom w:val="0"/>
      <w:divBdr>
        <w:top w:val="none" w:sz="0" w:space="0" w:color="auto"/>
        <w:left w:val="none" w:sz="0" w:space="0" w:color="auto"/>
        <w:bottom w:val="none" w:sz="0" w:space="0" w:color="auto"/>
        <w:right w:val="none" w:sz="0" w:space="0" w:color="auto"/>
      </w:divBdr>
    </w:div>
    <w:div w:id="236861220">
      <w:bodyDiv w:val="1"/>
      <w:marLeft w:val="0"/>
      <w:marRight w:val="0"/>
      <w:marTop w:val="0"/>
      <w:marBottom w:val="0"/>
      <w:divBdr>
        <w:top w:val="none" w:sz="0" w:space="0" w:color="auto"/>
        <w:left w:val="none" w:sz="0" w:space="0" w:color="auto"/>
        <w:bottom w:val="none" w:sz="0" w:space="0" w:color="auto"/>
        <w:right w:val="none" w:sz="0" w:space="0" w:color="auto"/>
      </w:divBdr>
    </w:div>
    <w:div w:id="272635048">
      <w:bodyDiv w:val="1"/>
      <w:marLeft w:val="0"/>
      <w:marRight w:val="0"/>
      <w:marTop w:val="0"/>
      <w:marBottom w:val="0"/>
      <w:divBdr>
        <w:top w:val="none" w:sz="0" w:space="0" w:color="auto"/>
        <w:left w:val="none" w:sz="0" w:space="0" w:color="auto"/>
        <w:bottom w:val="none" w:sz="0" w:space="0" w:color="auto"/>
        <w:right w:val="none" w:sz="0" w:space="0" w:color="auto"/>
      </w:divBdr>
    </w:div>
    <w:div w:id="284049572">
      <w:bodyDiv w:val="1"/>
      <w:marLeft w:val="0"/>
      <w:marRight w:val="0"/>
      <w:marTop w:val="0"/>
      <w:marBottom w:val="0"/>
      <w:divBdr>
        <w:top w:val="none" w:sz="0" w:space="0" w:color="auto"/>
        <w:left w:val="none" w:sz="0" w:space="0" w:color="auto"/>
        <w:bottom w:val="none" w:sz="0" w:space="0" w:color="auto"/>
        <w:right w:val="none" w:sz="0" w:space="0" w:color="auto"/>
      </w:divBdr>
    </w:div>
    <w:div w:id="284894770">
      <w:bodyDiv w:val="1"/>
      <w:marLeft w:val="0"/>
      <w:marRight w:val="0"/>
      <w:marTop w:val="0"/>
      <w:marBottom w:val="0"/>
      <w:divBdr>
        <w:top w:val="none" w:sz="0" w:space="0" w:color="auto"/>
        <w:left w:val="none" w:sz="0" w:space="0" w:color="auto"/>
        <w:bottom w:val="none" w:sz="0" w:space="0" w:color="auto"/>
        <w:right w:val="none" w:sz="0" w:space="0" w:color="auto"/>
      </w:divBdr>
    </w:div>
    <w:div w:id="294992951">
      <w:bodyDiv w:val="1"/>
      <w:marLeft w:val="0"/>
      <w:marRight w:val="0"/>
      <w:marTop w:val="0"/>
      <w:marBottom w:val="0"/>
      <w:divBdr>
        <w:top w:val="none" w:sz="0" w:space="0" w:color="auto"/>
        <w:left w:val="none" w:sz="0" w:space="0" w:color="auto"/>
        <w:bottom w:val="none" w:sz="0" w:space="0" w:color="auto"/>
        <w:right w:val="none" w:sz="0" w:space="0" w:color="auto"/>
      </w:divBdr>
    </w:div>
    <w:div w:id="297958992">
      <w:bodyDiv w:val="1"/>
      <w:marLeft w:val="0"/>
      <w:marRight w:val="0"/>
      <w:marTop w:val="0"/>
      <w:marBottom w:val="0"/>
      <w:divBdr>
        <w:top w:val="none" w:sz="0" w:space="0" w:color="auto"/>
        <w:left w:val="none" w:sz="0" w:space="0" w:color="auto"/>
        <w:bottom w:val="none" w:sz="0" w:space="0" w:color="auto"/>
        <w:right w:val="none" w:sz="0" w:space="0" w:color="auto"/>
      </w:divBdr>
      <w:divsChild>
        <w:div w:id="781726584">
          <w:marLeft w:val="0"/>
          <w:marRight w:val="0"/>
          <w:marTop w:val="0"/>
          <w:marBottom w:val="0"/>
          <w:divBdr>
            <w:top w:val="none" w:sz="0" w:space="0" w:color="auto"/>
            <w:left w:val="none" w:sz="0" w:space="0" w:color="auto"/>
            <w:bottom w:val="none" w:sz="0" w:space="0" w:color="auto"/>
            <w:right w:val="none" w:sz="0" w:space="0" w:color="auto"/>
          </w:divBdr>
        </w:div>
      </w:divsChild>
    </w:div>
    <w:div w:id="317810472">
      <w:bodyDiv w:val="1"/>
      <w:marLeft w:val="0"/>
      <w:marRight w:val="0"/>
      <w:marTop w:val="0"/>
      <w:marBottom w:val="0"/>
      <w:divBdr>
        <w:top w:val="none" w:sz="0" w:space="0" w:color="auto"/>
        <w:left w:val="none" w:sz="0" w:space="0" w:color="auto"/>
        <w:bottom w:val="none" w:sz="0" w:space="0" w:color="auto"/>
        <w:right w:val="none" w:sz="0" w:space="0" w:color="auto"/>
      </w:divBdr>
    </w:div>
    <w:div w:id="325792307">
      <w:bodyDiv w:val="1"/>
      <w:marLeft w:val="0"/>
      <w:marRight w:val="0"/>
      <w:marTop w:val="0"/>
      <w:marBottom w:val="0"/>
      <w:divBdr>
        <w:top w:val="none" w:sz="0" w:space="0" w:color="auto"/>
        <w:left w:val="none" w:sz="0" w:space="0" w:color="auto"/>
        <w:bottom w:val="none" w:sz="0" w:space="0" w:color="auto"/>
        <w:right w:val="none" w:sz="0" w:space="0" w:color="auto"/>
      </w:divBdr>
    </w:div>
    <w:div w:id="373386650">
      <w:bodyDiv w:val="1"/>
      <w:marLeft w:val="0"/>
      <w:marRight w:val="0"/>
      <w:marTop w:val="0"/>
      <w:marBottom w:val="0"/>
      <w:divBdr>
        <w:top w:val="none" w:sz="0" w:space="0" w:color="auto"/>
        <w:left w:val="none" w:sz="0" w:space="0" w:color="auto"/>
        <w:bottom w:val="none" w:sz="0" w:space="0" w:color="auto"/>
        <w:right w:val="none" w:sz="0" w:space="0" w:color="auto"/>
      </w:divBdr>
    </w:div>
    <w:div w:id="411465803">
      <w:bodyDiv w:val="1"/>
      <w:marLeft w:val="0"/>
      <w:marRight w:val="0"/>
      <w:marTop w:val="0"/>
      <w:marBottom w:val="0"/>
      <w:divBdr>
        <w:top w:val="none" w:sz="0" w:space="0" w:color="auto"/>
        <w:left w:val="none" w:sz="0" w:space="0" w:color="auto"/>
        <w:bottom w:val="none" w:sz="0" w:space="0" w:color="auto"/>
        <w:right w:val="none" w:sz="0" w:space="0" w:color="auto"/>
      </w:divBdr>
    </w:div>
    <w:div w:id="415830286">
      <w:bodyDiv w:val="1"/>
      <w:marLeft w:val="0"/>
      <w:marRight w:val="0"/>
      <w:marTop w:val="0"/>
      <w:marBottom w:val="0"/>
      <w:divBdr>
        <w:top w:val="none" w:sz="0" w:space="0" w:color="auto"/>
        <w:left w:val="none" w:sz="0" w:space="0" w:color="auto"/>
        <w:bottom w:val="none" w:sz="0" w:space="0" w:color="auto"/>
        <w:right w:val="none" w:sz="0" w:space="0" w:color="auto"/>
      </w:divBdr>
    </w:div>
    <w:div w:id="420760706">
      <w:bodyDiv w:val="1"/>
      <w:marLeft w:val="0"/>
      <w:marRight w:val="0"/>
      <w:marTop w:val="0"/>
      <w:marBottom w:val="0"/>
      <w:divBdr>
        <w:top w:val="none" w:sz="0" w:space="0" w:color="auto"/>
        <w:left w:val="none" w:sz="0" w:space="0" w:color="auto"/>
        <w:bottom w:val="none" w:sz="0" w:space="0" w:color="auto"/>
        <w:right w:val="none" w:sz="0" w:space="0" w:color="auto"/>
      </w:divBdr>
    </w:div>
    <w:div w:id="438794976">
      <w:bodyDiv w:val="1"/>
      <w:marLeft w:val="0"/>
      <w:marRight w:val="0"/>
      <w:marTop w:val="0"/>
      <w:marBottom w:val="0"/>
      <w:divBdr>
        <w:top w:val="none" w:sz="0" w:space="0" w:color="auto"/>
        <w:left w:val="none" w:sz="0" w:space="0" w:color="auto"/>
        <w:bottom w:val="none" w:sz="0" w:space="0" w:color="auto"/>
        <w:right w:val="none" w:sz="0" w:space="0" w:color="auto"/>
      </w:divBdr>
    </w:div>
    <w:div w:id="440496073">
      <w:bodyDiv w:val="1"/>
      <w:marLeft w:val="0"/>
      <w:marRight w:val="0"/>
      <w:marTop w:val="0"/>
      <w:marBottom w:val="0"/>
      <w:divBdr>
        <w:top w:val="none" w:sz="0" w:space="0" w:color="auto"/>
        <w:left w:val="none" w:sz="0" w:space="0" w:color="auto"/>
        <w:bottom w:val="none" w:sz="0" w:space="0" w:color="auto"/>
        <w:right w:val="none" w:sz="0" w:space="0" w:color="auto"/>
      </w:divBdr>
    </w:div>
    <w:div w:id="456025564">
      <w:bodyDiv w:val="1"/>
      <w:marLeft w:val="0"/>
      <w:marRight w:val="0"/>
      <w:marTop w:val="0"/>
      <w:marBottom w:val="0"/>
      <w:divBdr>
        <w:top w:val="none" w:sz="0" w:space="0" w:color="auto"/>
        <w:left w:val="none" w:sz="0" w:space="0" w:color="auto"/>
        <w:bottom w:val="none" w:sz="0" w:space="0" w:color="auto"/>
        <w:right w:val="none" w:sz="0" w:space="0" w:color="auto"/>
      </w:divBdr>
    </w:div>
    <w:div w:id="465584074">
      <w:bodyDiv w:val="1"/>
      <w:marLeft w:val="0"/>
      <w:marRight w:val="0"/>
      <w:marTop w:val="0"/>
      <w:marBottom w:val="0"/>
      <w:divBdr>
        <w:top w:val="none" w:sz="0" w:space="0" w:color="auto"/>
        <w:left w:val="none" w:sz="0" w:space="0" w:color="auto"/>
        <w:bottom w:val="none" w:sz="0" w:space="0" w:color="auto"/>
        <w:right w:val="none" w:sz="0" w:space="0" w:color="auto"/>
      </w:divBdr>
    </w:div>
    <w:div w:id="510292360">
      <w:bodyDiv w:val="1"/>
      <w:marLeft w:val="0"/>
      <w:marRight w:val="0"/>
      <w:marTop w:val="0"/>
      <w:marBottom w:val="0"/>
      <w:divBdr>
        <w:top w:val="none" w:sz="0" w:space="0" w:color="auto"/>
        <w:left w:val="none" w:sz="0" w:space="0" w:color="auto"/>
        <w:bottom w:val="none" w:sz="0" w:space="0" w:color="auto"/>
        <w:right w:val="none" w:sz="0" w:space="0" w:color="auto"/>
      </w:divBdr>
    </w:div>
    <w:div w:id="545607970">
      <w:bodyDiv w:val="1"/>
      <w:marLeft w:val="0"/>
      <w:marRight w:val="0"/>
      <w:marTop w:val="0"/>
      <w:marBottom w:val="0"/>
      <w:divBdr>
        <w:top w:val="none" w:sz="0" w:space="0" w:color="auto"/>
        <w:left w:val="none" w:sz="0" w:space="0" w:color="auto"/>
        <w:bottom w:val="none" w:sz="0" w:space="0" w:color="auto"/>
        <w:right w:val="none" w:sz="0" w:space="0" w:color="auto"/>
      </w:divBdr>
    </w:div>
    <w:div w:id="547692449">
      <w:bodyDiv w:val="1"/>
      <w:marLeft w:val="0"/>
      <w:marRight w:val="0"/>
      <w:marTop w:val="0"/>
      <w:marBottom w:val="0"/>
      <w:divBdr>
        <w:top w:val="none" w:sz="0" w:space="0" w:color="auto"/>
        <w:left w:val="none" w:sz="0" w:space="0" w:color="auto"/>
        <w:bottom w:val="none" w:sz="0" w:space="0" w:color="auto"/>
        <w:right w:val="none" w:sz="0" w:space="0" w:color="auto"/>
      </w:divBdr>
    </w:div>
    <w:div w:id="684862290">
      <w:bodyDiv w:val="1"/>
      <w:marLeft w:val="0"/>
      <w:marRight w:val="0"/>
      <w:marTop w:val="0"/>
      <w:marBottom w:val="0"/>
      <w:divBdr>
        <w:top w:val="none" w:sz="0" w:space="0" w:color="auto"/>
        <w:left w:val="none" w:sz="0" w:space="0" w:color="auto"/>
        <w:bottom w:val="none" w:sz="0" w:space="0" w:color="auto"/>
        <w:right w:val="none" w:sz="0" w:space="0" w:color="auto"/>
      </w:divBdr>
    </w:div>
    <w:div w:id="701825792">
      <w:bodyDiv w:val="1"/>
      <w:marLeft w:val="0"/>
      <w:marRight w:val="0"/>
      <w:marTop w:val="0"/>
      <w:marBottom w:val="0"/>
      <w:divBdr>
        <w:top w:val="none" w:sz="0" w:space="0" w:color="auto"/>
        <w:left w:val="none" w:sz="0" w:space="0" w:color="auto"/>
        <w:bottom w:val="none" w:sz="0" w:space="0" w:color="auto"/>
        <w:right w:val="none" w:sz="0" w:space="0" w:color="auto"/>
      </w:divBdr>
    </w:div>
    <w:div w:id="753285053">
      <w:bodyDiv w:val="1"/>
      <w:marLeft w:val="0"/>
      <w:marRight w:val="0"/>
      <w:marTop w:val="0"/>
      <w:marBottom w:val="0"/>
      <w:divBdr>
        <w:top w:val="none" w:sz="0" w:space="0" w:color="auto"/>
        <w:left w:val="none" w:sz="0" w:space="0" w:color="auto"/>
        <w:bottom w:val="none" w:sz="0" w:space="0" w:color="auto"/>
        <w:right w:val="none" w:sz="0" w:space="0" w:color="auto"/>
      </w:divBdr>
    </w:div>
    <w:div w:id="773984000">
      <w:bodyDiv w:val="1"/>
      <w:marLeft w:val="0"/>
      <w:marRight w:val="0"/>
      <w:marTop w:val="0"/>
      <w:marBottom w:val="0"/>
      <w:divBdr>
        <w:top w:val="none" w:sz="0" w:space="0" w:color="auto"/>
        <w:left w:val="none" w:sz="0" w:space="0" w:color="auto"/>
        <w:bottom w:val="none" w:sz="0" w:space="0" w:color="auto"/>
        <w:right w:val="none" w:sz="0" w:space="0" w:color="auto"/>
      </w:divBdr>
    </w:div>
    <w:div w:id="780536851">
      <w:bodyDiv w:val="1"/>
      <w:marLeft w:val="0"/>
      <w:marRight w:val="0"/>
      <w:marTop w:val="0"/>
      <w:marBottom w:val="0"/>
      <w:divBdr>
        <w:top w:val="none" w:sz="0" w:space="0" w:color="auto"/>
        <w:left w:val="none" w:sz="0" w:space="0" w:color="auto"/>
        <w:bottom w:val="none" w:sz="0" w:space="0" w:color="auto"/>
        <w:right w:val="none" w:sz="0" w:space="0" w:color="auto"/>
      </w:divBdr>
    </w:div>
    <w:div w:id="780880228">
      <w:bodyDiv w:val="1"/>
      <w:marLeft w:val="0"/>
      <w:marRight w:val="0"/>
      <w:marTop w:val="0"/>
      <w:marBottom w:val="0"/>
      <w:divBdr>
        <w:top w:val="none" w:sz="0" w:space="0" w:color="auto"/>
        <w:left w:val="none" w:sz="0" w:space="0" w:color="auto"/>
        <w:bottom w:val="none" w:sz="0" w:space="0" w:color="auto"/>
        <w:right w:val="none" w:sz="0" w:space="0" w:color="auto"/>
      </w:divBdr>
    </w:div>
    <w:div w:id="797718521">
      <w:bodyDiv w:val="1"/>
      <w:marLeft w:val="0"/>
      <w:marRight w:val="0"/>
      <w:marTop w:val="0"/>
      <w:marBottom w:val="0"/>
      <w:divBdr>
        <w:top w:val="none" w:sz="0" w:space="0" w:color="auto"/>
        <w:left w:val="none" w:sz="0" w:space="0" w:color="auto"/>
        <w:bottom w:val="none" w:sz="0" w:space="0" w:color="auto"/>
        <w:right w:val="none" w:sz="0" w:space="0" w:color="auto"/>
      </w:divBdr>
    </w:div>
    <w:div w:id="826744851">
      <w:bodyDiv w:val="1"/>
      <w:marLeft w:val="0"/>
      <w:marRight w:val="0"/>
      <w:marTop w:val="0"/>
      <w:marBottom w:val="0"/>
      <w:divBdr>
        <w:top w:val="none" w:sz="0" w:space="0" w:color="auto"/>
        <w:left w:val="none" w:sz="0" w:space="0" w:color="auto"/>
        <w:bottom w:val="none" w:sz="0" w:space="0" w:color="auto"/>
        <w:right w:val="none" w:sz="0" w:space="0" w:color="auto"/>
      </w:divBdr>
    </w:div>
    <w:div w:id="852459071">
      <w:bodyDiv w:val="1"/>
      <w:marLeft w:val="0"/>
      <w:marRight w:val="0"/>
      <w:marTop w:val="0"/>
      <w:marBottom w:val="0"/>
      <w:divBdr>
        <w:top w:val="none" w:sz="0" w:space="0" w:color="auto"/>
        <w:left w:val="none" w:sz="0" w:space="0" w:color="auto"/>
        <w:bottom w:val="none" w:sz="0" w:space="0" w:color="auto"/>
        <w:right w:val="none" w:sz="0" w:space="0" w:color="auto"/>
      </w:divBdr>
    </w:div>
    <w:div w:id="855654257">
      <w:bodyDiv w:val="1"/>
      <w:marLeft w:val="0"/>
      <w:marRight w:val="0"/>
      <w:marTop w:val="0"/>
      <w:marBottom w:val="0"/>
      <w:divBdr>
        <w:top w:val="none" w:sz="0" w:space="0" w:color="auto"/>
        <w:left w:val="none" w:sz="0" w:space="0" w:color="auto"/>
        <w:bottom w:val="none" w:sz="0" w:space="0" w:color="auto"/>
        <w:right w:val="none" w:sz="0" w:space="0" w:color="auto"/>
      </w:divBdr>
    </w:div>
    <w:div w:id="856120565">
      <w:bodyDiv w:val="1"/>
      <w:marLeft w:val="0"/>
      <w:marRight w:val="0"/>
      <w:marTop w:val="0"/>
      <w:marBottom w:val="0"/>
      <w:divBdr>
        <w:top w:val="none" w:sz="0" w:space="0" w:color="auto"/>
        <w:left w:val="none" w:sz="0" w:space="0" w:color="auto"/>
        <w:bottom w:val="none" w:sz="0" w:space="0" w:color="auto"/>
        <w:right w:val="none" w:sz="0" w:space="0" w:color="auto"/>
      </w:divBdr>
    </w:div>
    <w:div w:id="866017121">
      <w:bodyDiv w:val="1"/>
      <w:marLeft w:val="0"/>
      <w:marRight w:val="0"/>
      <w:marTop w:val="0"/>
      <w:marBottom w:val="0"/>
      <w:divBdr>
        <w:top w:val="none" w:sz="0" w:space="0" w:color="auto"/>
        <w:left w:val="none" w:sz="0" w:space="0" w:color="auto"/>
        <w:bottom w:val="none" w:sz="0" w:space="0" w:color="auto"/>
        <w:right w:val="none" w:sz="0" w:space="0" w:color="auto"/>
      </w:divBdr>
    </w:div>
    <w:div w:id="929392859">
      <w:bodyDiv w:val="1"/>
      <w:marLeft w:val="0"/>
      <w:marRight w:val="0"/>
      <w:marTop w:val="0"/>
      <w:marBottom w:val="0"/>
      <w:divBdr>
        <w:top w:val="none" w:sz="0" w:space="0" w:color="auto"/>
        <w:left w:val="none" w:sz="0" w:space="0" w:color="auto"/>
        <w:bottom w:val="none" w:sz="0" w:space="0" w:color="auto"/>
        <w:right w:val="none" w:sz="0" w:space="0" w:color="auto"/>
      </w:divBdr>
    </w:div>
    <w:div w:id="951283155">
      <w:bodyDiv w:val="1"/>
      <w:marLeft w:val="0"/>
      <w:marRight w:val="0"/>
      <w:marTop w:val="0"/>
      <w:marBottom w:val="0"/>
      <w:divBdr>
        <w:top w:val="none" w:sz="0" w:space="0" w:color="auto"/>
        <w:left w:val="none" w:sz="0" w:space="0" w:color="auto"/>
        <w:bottom w:val="none" w:sz="0" w:space="0" w:color="auto"/>
        <w:right w:val="none" w:sz="0" w:space="0" w:color="auto"/>
      </w:divBdr>
      <w:divsChild>
        <w:div w:id="1999070029">
          <w:marLeft w:val="0"/>
          <w:marRight w:val="0"/>
          <w:marTop w:val="0"/>
          <w:marBottom w:val="0"/>
          <w:divBdr>
            <w:top w:val="none" w:sz="0" w:space="0" w:color="auto"/>
            <w:left w:val="none" w:sz="0" w:space="0" w:color="auto"/>
            <w:bottom w:val="none" w:sz="0" w:space="0" w:color="auto"/>
            <w:right w:val="none" w:sz="0" w:space="0" w:color="auto"/>
          </w:divBdr>
        </w:div>
      </w:divsChild>
    </w:div>
    <w:div w:id="963539397">
      <w:bodyDiv w:val="1"/>
      <w:marLeft w:val="0"/>
      <w:marRight w:val="0"/>
      <w:marTop w:val="0"/>
      <w:marBottom w:val="0"/>
      <w:divBdr>
        <w:top w:val="none" w:sz="0" w:space="0" w:color="auto"/>
        <w:left w:val="none" w:sz="0" w:space="0" w:color="auto"/>
        <w:bottom w:val="none" w:sz="0" w:space="0" w:color="auto"/>
        <w:right w:val="none" w:sz="0" w:space="0" w:color="auto"/>
      </w:divBdr>
    </w:div>
    <w:div w:id="997148104">
      <w:bodyDiv w:val="1"/>
      <w:marLeft w:val="0"/>
      <w:marRight w:val="0"/>
      <w:marTop w:val="0"/>
      <w:marBottom w:val="0"/>
      <w:divBdr>
        <w:top w:val="none" w:sz="0" w:space="0" w:color="auto"/>
        <w:left w:val="none" w:sz="0" w:space="0" w:color="auto"/>
        <w:bottom w:val="none" w:sz="0" w:space="0" w:color="auto"/>
        <w:right w:val="none" w:sz="0" w:space="0" w:color="auto"/>
      </w:divBdr>
    </w:div>
    <w:div w:id="1029188242">
      <w:bodyDiv w:val="1"/>
      <w:marLeft w:val="0"/>
      <w:marRight w:val="0"/>
      <w:marTop w:val="0"/>
      <w:marBottom w:val="0"/>
      <w:divBdr>
        <w:top w:val="none" w:sz="0" w:space="0" w:color="auto"/>
        <w:left w:val="none" w:sz="0" w:space="0" w:color="auto"/>
        <w:bottom w:val="none" w:sz="0" w:space="0" w:color="auto"/>
        <w:right w:val="none" w:sz="0" w:space="0" w:color="auto"/>
      </w:divBdr>
    </w:div>
    <w:div w:id="1036782274">
      <w:bodyDiv w:val="1"/>
      <w:marLeft w:val="0"/>
      <w:marRight w:val="0"/>
      <w:marTop w:val="0"/>
      <w:marBottom w:val="0"/>
      <w:divBdr>
        <w:top w:val="none" w:sz="0" w:space="0" w:color="auto"/>
        <w:left w:val="none" w:sz="0" w:space="0" w:color="auto"/>
        <w:bottom w:val="none" w:sz="0" w:space="0" w:color="auto"/>
        <w:right w:val="none" w:sz="0" w:space="0" w:color="auto"/>
      </w:divBdr>
    </w:div>
    <w:div w:id="1074888336">
      <w:bodyDiv w:val="1"/>
      <w:marLeft w:val="0"/>
      <w:marRight w:val="0"/>
      <w:marTop w:val="0"/>
      <w:marBottom w:val="0"/>
      <w:divBdr>
        <w:top w:val="none" w:sz="0" w:space="0" w:color="auto"/>
        <w:left w:val="none" w:sz="0" w:space="0" w:color="auto"/>
        <w:bottom w:val="none" w:sz="0" w:space="0" w:color="auto"/>
        <w:right w:val="none" w:sz="0" w:space="0" w:color="auto"/>
      </w:divBdr>
    </w:div>
    <w:div w:id="1103761898">
      <w:bodyDiv w:val="1"/>
      <w:marLeft w:val="0"/>
      <w:marRight w:val="0"/>
      <w:marTop w:val="0"/>
      <w:marBottom w:val="0"/>
      <w:divBdr>
        <w:top w:val="none" w:sz="0" w:space="0" w:color="auto"/>
        <w:left w:val="none" w:sz="0" w:space="0" w:color="auto"/>
        <w:bottom w:val="none" w:sz="0" w:space="0" w:color="auto"/>
        <w:right w:val="none" w:sz="0" w:space="0" w:color="auto"/>
      </w:divBdr>
    </w:div>
    <w:div w:id="1128357102">
      <w:bodyDiv w:val="1"/>
      <w:marLeft w:val="0"/>
      <w:marRight w:val="0"/>
      <w:marTop w:val="0"/>
      <w:marBottom w:val="0"/>
      <w:divBdr>
        <w:top w:val="none" w:sz="0" w:space="0" w:color="auto"/>
        <w:left w:val="none" w:sz="0" w:space="0" w:color="auto"/>
        <w:bottom w:val="none" w:sz="0" w:space="0" w:color="auto"/>
        <w:right w:val="none" w:sz="0" w:space="0" w:color="auto"/>
      </w:divBdr>
    </w:div>
    <w:div w:id="1135757927">
      <w:bodyDiv w:val="1"/>
      <w:marLeft w:val="0"/>
      <w:marRight w:val="0"/>
      <w:marTop w:val="0"/>
      <w:marBottom w:val="0"/>
      <w:divBdr>
        <w:top w:val="none" w:sz="0" w:space="0" w:color="auto"/>
        <w:left w:val="none" w:sz="0" w:space="0" w:color="auto"/>
        <w:bottom w:val="none" w:sz="0" w:space="0" w:color="auto"/>
        <w:right w:val="none" w:sz="0" w:space="0" w:color="auto"/>
      </w:divBdr>
    </w:div>
    <w:div w:id="1173225508">
      <w:bodyDiv w:val="1"/>
      <w:marLeft w:val="0"/>
      <w:marRight w:val="0"/>
      <w:marTop w:val="0"/>
      <w:marBottom w:val="0"/>
      <w:divBdr>
        <w:top w:val="none" w:sz="0" w:space="0" w:color="auto"/>
        <w:left w:val="none" w:sz="0" w:space="0" w:color="auto"/>
        <w:bottom w:val="none" w:sz="0" w:space="0" w:color="auto"/>
        <w:right w:val="none" w:sz="0" w:space="0" w:color="auto"/>
      </w:divBdr>
    </w:div>
    <w:div w:id="1197961960">
      <w:bodyDiv w:val="1"/>
      <w:marLeft w:val="0"/>
      <w:marRight w:val="0"/>
      <w:marTop w:val="0"/>
      <w:marBottom w:val="0"/>
      <w:divBdr>
        <w:top w:val="none" w:sz="0" w:space="0" w:color="auto"/>
        <w:left w:val="none" w:sz="0" w:space="0" w:color="auto"/>
        <w:bottom w:val="none" w:sz="0" w:space="0" w:color="auto"/>
        <w:right w:val="none" w:sz="0" w:space="0" w:color="auto"/>
      </w:divBdr>
    </w:div>
    <w:div w:id="1212033762">
      <w:bodyDiv w:val="1"/>
      <w:marLeft w:val="0"/>
      <w:marRight w:val="0"/>
      <w:marTop w:val="0"/>
      <w:marBottom w:val="0"/>
      <w:divBdr>
        <w:top w:val="none" w:sz="0" w:space="0" w:color="auto"/>
        <w:left w:val="none" w:sz="0" w:space="0" w:color="auto"/>
        <w:bottom w:val="none" w:sz="0" w:space="0" w:color="auto"/>
        <w:right w:val="none" w:sz="0" w:space="0" w:color="auto"/>
      </w:divBdr>
    </w:div>
    <w:div w:id="1220477457">
      <w:bodyDiv w:val="1"/>
      <w:marLeft w:val="0"/>
      <w:marRight w:val="0"/>
      <w:marTop w:val="0"/>
      <w:marBottom w:val="0"/>
      <w:divBdr>
        <w:top w:val="none" w:sz="0" w:space="0" w:color="auto"/>
        <w:left w:val="none" w:sz="0" w:space="0" w:color="auto"/>
        <w:bottom w:val="none" w:sz="0" w:space="0" w:color="auto"/>
        <w:right w:val="none" w:sz="0" w:space="0" w:color="auto"/>
      </w:divBdr>
    </w:div>
    <w:div w:id="1224828815">
      <w:bodyDiv w:val="1"/>
      <w:marLeft w:val="0"/>
      <w:marRight w:val="0"/>
      <w:marTop w:val="0"/>
      <w:marBottom w:val="0"/>
      <w:divBdr>
        <w:top w:val="none" w:sz="0" w:space="0" w:color="auto"/>
        <w:left w:val="none" w:sz="0" w:space="0" w:color="auto"/>
        <w:bottom w:val="none" w:sz="0" w:space="0" w:color="auto"/>
        <w:right w:val="none" w:sz="0" w:space="0" w:color="auto"/>
      </w:divBdr>
    </w:div>
    <w:div w:id="1262643731">
      <w:bodyDiv w:val="1"/>
      <w:marLeft w:val="0"/>
      <w:marRight w:val="0"/>
      <w:marTop w:val="0"/>
      <w:marBottom w:val="0"/>
      <w:divBdr>
        <w:top w:val="none" w:sz="0" w:space="0" w:color="auto"/>
        <w:left w:val="none" w:sz="0" w:space="0" w:color="auto"/>
        <w:bottom w:val="none" w:sz="0" w:space="0" w:color="auto"/>
        <w:right w:val="none" w:sz="0" w:space="0" w:color="auto"/>
      </w:divBdr>
    </w:div>
    <w:div w:id="1269389972">
      <w:bodyDiv w:val="1"/>
      <w:marLeft w:val="0"/>
      <w:marRight w:val="0"/>
      <w:marTop w:val="0"/>
      <w:marBottom w:val="0"/>
      <w:divBdr>
        <w:top w:val="none" w:sz="0" w:space="0" w:color="auto"/>
        <w:left w:val="none" w:sz="0" w:space="0" w:color="auto"/>
        <w:bottom w:val="none" w:sz="0" w:space="0" w:color="auto"/>
        <w:right w:val="none" w:sz="0" w:space="0" w:color="auto"/>
      </w:divBdr>
    </w:div>
    <w:div w:id="1271551448">
      <w:bodyDiv w:val="1"/>
      <w:marLeft w:val="0"/>
      <w:marRight w:val="0"/>
      <w:marTop w:val="0"/>
      <w:marBottom w:val="0"/>
      <w:divBdr>
        <w:top w:val="none" w:sz="0" w:space="0" w:color="auto"/>
        <w:left w:val="none" w:sz="0" w:space="0" w:color="auto"/>
        <w:bottom w:val="none" w:sz="0" w:space="0" w:color="auto"/>
        <w:right w:val="none" w:sz="0" w:space="0" w:color="auto"/>
      </w:divBdr>
    </w:div>
    <w:div w:id="1289050350">
      <w:bodyDiv w:val="1"/>
      <w:marLeft w:val="0"/>
      <w:marRight w:val="0"/>
      <w:marTop w:val="0"/>
      <w:marBottom w:val="0"/>
      <w:divBdr>
        <w:top w:val="none" w:sz="0" w:space="0" w:color="auto"/>
        <w:left w:val="none" w:sz="0" w:space="0" w:color="auto"/>
        <w:bottom w:val="none" w:sz="0" w:space="0" w:color="auto"/>
        <w:right w:val="none" w:sz="0" w:space="0" w:color="auto"/>
      </w:divBdr>
    </w:div>
    <w:div w:id="1294798284">
      <w:bodyDiv w:val="1"/>
      <w:marLeft w:val="0"/>
      <w:marRight w:val="0"/>
      <w:marTop w:val="0"/>
      <w:marBottom w:val="0"/>
      <w:divBdr>
        <w:top w:val="none" w:sz="0" w:space="0" w:color="auto"/>
        <w:left w:val="none" w:sz="0" w:space="0" w:color="auto"/>
        <w:bottom w:val="none" w:sz="0" w:space="0" w:color="auto"/>
        <w:right w:val="none" w:sz="0" w:space="0" w:color="auto"/>
      </w:divBdr>
    </w:div>
    <w:div w:id="1300719313">
      <w:bodyDiv w:val="1"/>
      <w:marLeft w:val="0"/>
      <w:marRight w:val="0"/>
      <w:marTop w:val="0"/>
      <w:marBottom w:val="0"/>
      <w:divBdr>
        <w:top w:val="none" w:sz="0" w:space="0" w:color="auto"/>
        <w:left w:val="none" w:sz="0" w:space="0" w:color="auto"/>
        <w:bottom w:val="none" w:sz="0" w:space="0" w:color="auto"/>
        <w:right w:val="none" w:sz="0" w:space="0" w:color="auto"/>
      </w:divBdr>
    </w:div>
    <w:div w:id="1309552342">
      <w:bodyDiv w:val="1"/>
      <w:marLeft w:val="0"/>
      <w:marRight w:val="0"/>
      <w:marTop w:val="0"/>
      <w:marBottom w:val="0"/>
      <w:divBdr>
        <w:top w:val="none" w:sz="0" w:space="0" w:color="auto"/>
        <w:left w:val="none" w:sz="0" w:space="0" w:color="auto"/>
        <w:bottom w:val="none" w:sz="0" w:space="0" w:color="auto"/>
        <w:right w:val="none" w:sz="0" w:space="0" w:color="auto"/>
      </w:divBdr>
    </w:div>
    <w:div w:id="1315374323">
      <w:bodyDiv w:val="1"/>
      <w:marLeft w:val="0"/>
      <w:marRight w:val="0"/>
      <w:marTop w:val="0"/>
      <w:marBottom w:val="0"/>
      <w:divBdr>
        <w:top w:val="none" w:sz="0" w:space="0" w:color="auto"/>
        <w:left w:val="none" w:sz="0" w:space="0" w:color="auto"/>
        <w:bottom w:val="none" w:sz="0" w:space="0" w:color="auto"/>
        <w:right w:val="none" w:sz="0" w:space="0" w:color="auto"/>
      </w:divBdr>
    </w:div>
    <w:div w:id="1328746949">
      <w:bodyDiv w:val="1"/>
      <w:marLeft w:val="0"/>
      <w:marRight w:val="0"/>
      <w:marTop w:val="0"/>
      <w:marBottom w:val="0"/>
      <w:divBdr>
        <w:top w:val="none" w:sz="0" w:space="0" w:color="auto"/>
        <w:left w:val="none" w:sz="0" w:space="0" w:color="auto"/>
        <w:bottom w:val="none" w:sz="0" w:space="0" w:color="auto"/>
        <w:right w:val="none" w:sz="0" w:space="0" w:color="auto"/>
      </w:divBdr>
    </w:div>
    <w:div w:id="1360592917">
      <w:bodyDiv w:val="1"/>
      <w:marLeft w:val="0"/>
      <w:marRight w:val="0"/>
      <w:marTop w:val="0"/>
      <w:marBottom w:val="0"/>
      <w:divBdr>
        <w:top w:val="none" w:sz="0" w:space="0" w:color="auto"/>
        <w:left w:val="none" w:sz="0" w:space="0" w:color="auto"/>
        <w:bottom w:val="none" w:sz="0" w:space="0" w:color="auto"/>
        <w:right w:val="none" w:sz="0" w:space="0" w:color="auto"/>
      </w:divBdr>
    </w:div>
    <w:div w:id="1365671710">
      <w:bodyDiv w:val="1"/>
      <w:marLeft w:val="0"/>
      <w:marRight w:val="0"/>
      <w:marTop w:val="0"/>
      <w:marBottom w:val="0"/>
      <w:divBdr>
        <w:top w:val="none" w:sz="0" w:space="0" w:color="auto"/>
        <w:left w:val="none" w:sz="0" w:space="0" w:color="auto"/>
        <w:bottom w:val="none" w:sz="0" w:space="0" w:color="auto"/>
        <w:right w:val="none" w:sz="0" w:space="0" w:color="auto"/>
      </w:divBdr>
    </w:div>
    <w:div w:id="1381974129">
      <w:bodyDiv w:val="1"/>
      <w:marLeft w:val="0"/>
      <w:marRight w:val="0"/>
      <w:marTop w:val="0"/>
      <w:marBottom w:val="0"/>
      <w:divBdr>
        <w:top w:val="none" w:sz="0" w:space="0" w:color="auto"/>
        <w:left w:val="none" w:sz="0" w:space="0" w:color="auto"/>
        <w:bottom w:val="none" w:sz="0" w:space="0" w:color="auto"/>
        <w:right w:val="none" w:sz="0" w:space="0" w:color="auto"/>
      </w:divBdr>
    </w:div>
    <w:div w:id="1393239767">
      <w:bodyDiv w:val="1"/>
      <w:marLeft w:val="0"/>
      <w:marRight w:val="0"/>
      <w:marTop w:val="0"/>
      <w:marBottom w:val="0"/>
      <w:divBdr>
        <w:top w:val="none" w:sz="0" w:space="0" w:color="auto"/>
        <w:left w:val="none" w:sz="0" w:space="0" w:color="auto"/>
        <w:bottom w:val="none" w:sz="0" w:space="0" w:color="auto"/>
        <w:right w:val="none" w:sz="0" w:space="0" w:color="auto"/>
      </w:divBdr>
      <w:divsChild>
        <w:div w:id="759645346">
          <w:marLeft w:val="0"/>
          <w:marRight w:val="0"/>
          <w:marTop w:val="0"/>
          <w:marBottom w:val="0"/>
          <w:divBdr>
            <w:top w:val="none" w:sz="0" w:space="0" w:color="auto"/>
            <w:left w:val="none" w:sz="0" w:space="0" w:color="auto"/>
            <w:bottom w:val="none" w:sz="0" w:space="0" w:color="auto"/>
            <w:right w:val="none" w:sz="0" w:space="0" w:color="auto"/>
          </w:divBdr>
        </w:div>
      </w:divsChild>
    </w:div>
    <w:div w:id="1404059164">
      <w:bodyDiv w:val="1"/>
      <w:marLeft w:val="0"/>
      <w:marRight w:val="0"/>
      <w:marTop w:val="0"/>
      <w:marBottom w:val="0"/>
      <w:divBdr>
        <w:top w:val="none" w:sz="0" w:space="0" w:color="auto"/>
        <w:left w:val="none" w:sz="0" w:space="0" w:color="auto"/>
        <w:bottom w:val="none" w:sz="0" w:space="0" w:color="auto"/>
        <w:right w:val="none" w:sz="0" w:space="0" w:color="auto"/>
      </w:divBdr>
    </w:div>
    <w:div w:id="1404639111">
      <w:bodyDiv w:val="1"/>
      <w:marLeft w:val="0"/>
      <w:marRight w:val="0"/>
      <w:marTop w:val="0"/>
      <w:marBottom w:val="0"/>
      <w:divBdr>
        <w:top w:val="none" w:sz="0" w:space="0" w:color="auto"/>
        <w:left w:val="none" w:sz="0" w:space="0" w:color="auto"/>
        <w:bottom w:val="none" w:sz="0" w:space="0" w:color="auto"/>
        <w:right w:val="none" w:sz="0" w:space="0" w:color="auto"/>
      </w:divBdr>
    </w:div>
    <w:div w:id="1451242083">
      <w:bodyDiv w:val="1"/>
      <w:marLeft w:val="0"/>
      <w:marRight w:val="0"/>
      <w:marTop w:val="0"/>
      <w:marBottom w:val="0"/>
      <w:divBdr>
        <w:top w:val="none" w:sz="0" w:space="0" w:color="auto"/>
        <w:left w:val="none" w:sz="0" w:space="0" w:color="auto"/>
        <w:bottom w:val="none" w:sz="0" w:space="0" w:color="auto"/>
        <w:right w:val="none" w:sz="0" w:space="0" w:color="auto"/>
      </w:divBdr>
    </w:div>
    <w:div w:id="1462962878">
      <w:bodyDiv w:val="1"/>
      <w:marLeft w:val="0"/>
      <w:marRight w:val="0"/>
      <w:marTop w:val="0"/>
      <w:marBottom w:val="0"/>
      <w:divBdr>
        <w:top w:val="none" w:sz="0" w:space="0" w:color="auto"/>
        <w:left w:val="none" w:sz="0" w:space="0" w:color="auto"/>
        <w:bottom w:val="none" w:sz="0" w:space="0" w:color="auto"/>
        <w:right w:val="none" w:sz="0" w:space="0" w:color="auto"/>
      </w:divBdr>
    </w:div>
    <w:div w:id="1467969995">
      <w:bodyDiv w:val="1"/>
      <w:marLeft w:val="0"/>
      <w:marRight w:val="0"/>
      <w:marTop w:val="0"/>
      <w:marBottom w:val="0"/>
      <w:divBdr>
        <w:top w:val="none" w:sz="0" w:space="0" w:color="auto"/>
        <w:left w:val="none" w:sz="0" w:space="0" w:color="auto"/>
        <w:bottom w:val="none" w:sz="0" w:space="0" w:color="auto"/>
        <w:right w:val="none" w:sz="0" w:space="0" w:color="auto"/>
      </w:divBdr>
    </w:div>
    <w:div w:id="1469467932">
      <w:bodyDiv w:val="1"/>
      <w:marLeft w:val="0"/>
      <w:marRight w:val="0"/>
      <w:marTop w:val="0"/>
      <w:marBottom w:val="0"/>
      <w:divBdr>
        <w:top w:val="none" w:sz="0" w:space="0" w:color="auto"/>
        <w:left w:val="none" w:sz="0" w:space="0" w:color="auto"/>
        <w:bottom w:val="none" w:sz="0" w:space="0" w:color="auto"/>
        <w:right w:val="none" w:sz="0" w:space="0" w:color="auto"/>
      </w:divBdr>
      <w:divsChild>
        <w:div w:id="128745433">
          <w:marLeft w:val="0"/>
          <w:marRight w:val="0"/>
          <w:marTop w:val="0"/>
          <w:marBottom w:val="0"/>
          <w:divBdr>
            <w:top w:val="none" w:sz="0" w:space="0" w:color="auto"/>
            <w:left w:val="none" w:sz="0" w:space="0" w:color="auto"/>
            <w:bottom w:val="none" w:sz="0" w:space="0" w:color="auto"/>
            <w:right w:val="none" w:sz="0" w:space="0" w:color="auto"/>
          </w:divBdr>
        </w:div>
        <w:div w:id="245772932">
          <w:marLeft w:val="0"/>
          <w:marRight w:val="0"/>
          <w:marTop w:val="0"/>
          <w:marBottom w:val="0"/>
          <w:divBdr>
            <w:top w:val="none" w:sz="0" w:space="0" w:color="auto"/>
            <w:left w:val="none" w:sz="0" w:space="0" w:color="auto"/>
            <w:bottom w:val="none" w:sz="0" w:space="0" w:color="auto"/>
            <w:right w:val="none" w:sz="0" w:space="0" w:color="auto"/>
          </w:divBdr>
        </w:div>
        <w:div w:id="1429422313">
          <w:marLeft w:val="0"/>
          <w:marRight w:val="0"/>
          <w:marTop w:val="0"/>
          <w:marBottom w:val="0"/>
          <w:divBdr>
            <w:top w:val="none" w:sz="0" w:space="0" w:color="auto"/>
            <w:left w:val="none" w:sz="0" w:space="0" w:color="auto"/>
            <w:bottom w:val="none" w:sz="0" w:space="0" w:color="auto"/>
            <w:right w:val="none" w:sz="0" w:space="0" w:color="auto"/>
          </w:divBdr>
        </w:div>
      </w:divsChild>
    </w:div>
    <w:div w:id="1471440341">
      <w:bodyDiv w:val="1"/>
      <w:marLeft w:val="0"/>
      <w:marRight w:val="0"/>
      <w:marTop w:val="0"/>
      <w:marBottom w:val="0"/>
      <w:divBdr>
        <w:top w:val="none" w:sz="0" w:space="0" w:color="auto"/>
        <w:left w:val="none" w:sz="0" w:space="0" w:color="auto"/>
        <w:bottom w:val="none" w:sz="0" w:space="0" w:color="auto"/>
        <w:right w:val="none" w:sz="0" w:space="0" w:color="auto"/>
      </w:divBdr>
    </w:div>
    <w:div w:id="1485050628">
      <w:bodyDiv w:val="1"/>
      <w:marLeft w:val="0"/>
      <w:marRight w:val="0"/>
      <w:marTop w:val="0"/>
      <w:marBottom w:val="0"/>
      <w:divBdr>
        <w:top w:val="none" w:sz="0" w:space="0" w:color="auto"/>
        <w:left w:val="none" w:sz="0" w:space="0" w:color="auto"/>
        <w:bottom w:val="none" w:sz="0" w:space="0" w:color="auto"/>
        <w:right w:val="none" w:sz="0" w:space="0" w:color="auto"/>
      </w:divBdr>
    </w:div>
    <w:div w:id="1488978615">
      <w:bodyDiv w:val="1"/>
      <w:marLeft w:val="0"/>
      <w:marRight w:val="0"/>
      <w:marTop w:val="0"/>
      <w:marBottom w:val="0"/>
      <w:divBdr>
        <w:top w:val="none" w:sz="0" w:space="0" w:color="auto"/>
        <w:left w:val="none" w:sz="0" w:space="0" w:color="auto"/>
        <w:bottom w:val="none" w:sz="0" w:space="0" w:color="auto"/>
        <w:right w:val="none" w:sz="0" w:space="0" w:color="auto"/>
      </w:divBdr>
    </w:div>
    <w:div w:id="1500922163">
      <w:bodyDiv w:val="1"/>
      <w:marLeft w:val="0"/>
      <w:marRight w:val="0"/>
      <w:marTop w:val="0"/>
      <w:marBottom w:val="0"/>
      <w:divBdr>
        <w:top w:val="none" w:sz="0" w:space="0" w:color="auto"/>
        <w:left w:val="none" w:sz="0" w:space="0" w:color="auto"/>
        <w:bottom w:val="none" w:sz="0" w:space="0" w:color="auto"/>
        <w:right w:val="none" w:sz="0" w:space="0" w:color="auto"/>
      </w:divBdr>
    </w:div>
    <w:div w:id="1505320579">
      <w:bodyDiv w:val="1"/>
      <w:marLeft w:val="0"/>
      <w:marRight w:val="0"/>
      <w:marTop w:val="0"/>
      <w:marBottom w:val="0"/>
      <w:divBdr>
        <w:top w:val="none" w:sz="0" w:space="0" w:color="auto"/>
        <w:left w:val="none" w:sz="0" w:space="0" w:color="auto"/>
        <w:bottom w:val="none" w:sz="0" w:space="0" w:color="auto"/>
        <w:right w:val="none" w:sz="0" w:space="0" w:color="auto"/>
      </w:divBdr>
    </w:div>
    <w:div w:id="1511601943">
      <w:bodyDiv w:val="1"/>
      <w:marLeft w:val="0"/>
      <w:marRight w:val="0"/>
      <w:marTop w:val="0"/>
      <w:marBottom w:val="0"/>
      <w:divBdr>
        <w:top w:val="none" w:sz="0" w:space="0" w:color="auto"/>
        <w:left w:val="none" w:sz="0" w:space="0" w:color="auto"/>
        <w:bottom w:val="none" w:sz="0" w:space="0" w:color="auto"/>
        <w:right w:val="none" w:sz="0" w:space="0" w:color="auto"/>
      </w:divBdr>
    </w:div>
    <w:div w:id="1511718955">
      <w:bodyDiv w:val="1"/>
      <w:marLeft w:val="0"/>
      <w:marRight w:val="0"/>
      <w:marTop w:val="0"/>
      <w:marBottom w:val="0"/>
      <w:divBdr>
        <w:top w:val="none" w:sz="0" w:space="0" w:color="auto"/>
        <w:left w:val="none" w:sz="0" w:space="0" w:color="auto"/>
        <w:bottom w:val="none" w:sz="0" w:space="0" w:color="auto"/>
        <w:right w:val="none" w:sz="0" w:space="0" w:color="auto"/>
      </w:divBdr>
    </w:div>
    <w:div w:id="1514151662">
      <w:bodyDiv w:val="1"/>
      <w:marLeft w:val="0"/>
      <w:marRight w:val="0"/>
      <w:marTop w:val="0"/>
      <w:marBottom w:val="0"/>
      <w:divBdr>
        <w:top w:val="none" w:sz="0" w:space="0" w:color="auto"/>
        <w:left w:val="none" w:sz="0" w:space="0" w:color="auto"/>
        <w:bottom w:val="none" w:sz="0" w:space="0" w:color="auto"/>
        <w:right w:val="none" w:sz="0" w:space="0" w:color="auto"/>
      </w:divBdr>
    </w:div>
    <w:div w:id="1525098869">
      <w:bodyDiv w:val="1"/>
      <w:marLeft w:val="0"/>
      <w:marRight w:val="0"/>
      <w:marTop w:val="0"/>
      <w:marBottom w:val="0"/>
      <w:divBdr>
        <w:top w:val="none" w:sz="0" w:space="0" w:color="auto"/>
        <w:left w:val="none" w:sz="0" w:space="0" w:color="auto"/>
        <w:bottom w:val="none" w:sz="0" w:space="0" w:color="auto"/>
        <w:right w:val="none" w:sz="0" w:space="0" w:color="auto"/>
      </w:divBdr>
    </w:div>
    <w:div w:id="1549535787">
      <w:bodyDiv w:val="1"/>
      <w:marLeft w:val="0"/>
      <w:marRight w:val="0"/>
      <w:marTop w:val="0"/>
      <w:marBottom w:val="0"/>
      <w:divBdr>
        <w:top w:val="none" w:sz="0" w:space="0" w:color="auto"/>
        <w:left w:val="none" w:sz="0" w:space="0" w:color="auto"/>
        <w:bottom w:val="none" w:sz="0" w:space="0" w:color="auto"/>
        <w:right w:val="none" w:sz="0" w:space="0" w:color="auto"/>
      </w:divBdr>
    </w:div>
    <w:div w:id="1589999989">
      <w:bodyDiv w:val="1"/>
      <w:marLeft w:val="0"/>
      <w:marRight w:val="0"/>
      <w:marTop w:val="0"/>
      <w:marBottom w:val="0"/>
      <w:divBdr>
        <w:top w:val="none" w:sz="0" w:space="0" w:color="auto"/>
        <w:left w:val="none" w:sz="0" w:space="0" w:color="auto"/>
        <w:bottom w:val="none" w:sz="0" w:space="0" w:color="auto"/>
        <w:right w:val="none" w:sz="0" w:space="0" w:color="auto"/>
      </w:divBdr>
    </w:div>
    <w:div w:id="1623265986">
      <w:bodyDiv w:val="1"/>
      <w:marLeft w:val="0"/>
      <w:marRight w:val="0"/>
      <w:marTop w:val="0"/>
      <w:marBottom w:val="0"/>
      <w:divBdr>
        <w:top w:val="none" w:sz="0" w:space="0" w:color="auto"/>
        <w:left w:val="none" w:sz="0" w:space="0" w:color="auto"/>
        <w:bottom w:val="none" w:sz="0" w:space="0" w:color="auto"/>
        <w:right w:val="none" w:sz="0" w:space="0" w:color="auto"/>
      </w:divBdr>
    </w:div>
    <w:div w:id="1634218340">
      <w:bodyDiv w:val="1"/>
      <w:marLeft w:val="0"/>
      <w:marRight w:val="0"/>
      <w:marTop w:val="0"/>
      <w:marBottom w:val="0"/>
      <w:divBdr>
        <w:top w:val="none" w:sz="0" w:space="0" w:color="auto"/>
        <w:left w:val="none" w:sz="0" w:space="0" w:color="auto"/>
        <w:bottom w:val="none" w:sz="0" w:space="0" w:color="auto"/>
        <w:right w:val="none" w:sz="0" w:space="0" w:color="auto"/>
      </w:divBdr>
    </w:div>
    <w:div w:id="1655261200">
      <w:bodyDiv w:val="1"/>
      <w:marLeft w:val="0"/>
      <w:marRight w:val="0"/>
      <w:marTop w:val="0"/>
      <w:marBottom w:val="0"/>
      <w:divBdr>
        <w:top w:val="none" w:sz="0" w:space="0" w:color="auto"/>
        <w:left w:val="none" w:sz="0" w:space="0" w:color="auto"/>
        <w:bottom w:val="none" w:sz="0" w:space="0" w:color="auto"/>
        <w:right w:val="none" w:sz="0" w:space="0" w:color="auto"/>
      </w:divBdr>
    </w:div>
    <w:div w:id="1677222811">
      <w:bodyDiv w:val="1"/>
      <w:marLeft w:val="0"/>
      <w:marRight w:val="0"/>
      <w:marTop w:val="0"/>
      <w:marBottom w:val="0"/>
      <w:divBdr>
        <w:top w:val="none" w:sz="0" w:space="0" w:color="auto"/>
        <w:left w:val="none" w:sz="0" w:space="0" w:color="auto"/>
        <w:bottom w:val="none" w:sz="0" w:space="0" w:color="auto"/>
        <w:right w:val="none" w:sz="0" w:space="0" w:color="auto"/>
      </w:divBdr>
    </w:div>
    <w:div w:id="1709379890">
      <w:bodyDiv w:val="1"/>
      <w:marLeft w:val="0"/>
      <w:marRight w:val="0"/>
      <w:marTop w:val="0"/>
      <w:marBottom w:val="0"/>
      <w:divBdr>
        <w:top w:val="none" w:sz="0" w:space="0" w:color="auto"/>
        <w:left w:val="none" w:sz="0" w:space="0" w:color="auto"/>
        <w:bottom w:val="none" w:sz="0" w:space="0" w:color="auto"/>
        <w:right w:val="none" w:sz="0" w:space="0" w:color="auto"/>
      </w:divBdr>
    </w:div>
    <w:div w:id="1759866619">
      <w:bodyDiv w:val="1"/>
      <w:marLeft w:val="0"/>
      <w:marRight w:val="0"/>
      <w:marTop w:val="0"/>
      <w:marBottom w:val="0"/>
      <w:divBdr>
        <w:top w:val="none" w:sz="0" w:space="0" w:color="auto"/>
        <w:left w:val="none" w:sz="0" w:space="0" w:color="auto"/>
        <w:bottom w:val="none" w:sz="0" w:space="0" w:color="auto"/>
        <w:right w:val="none" w:sz="0" w:space="0" w:color="auto"/>
      </w:divBdr>
    </w:div>
    <w:div w:id="1764914097">
      <w:bodyDiv w:val="1"/>
      <w:marLeft w:val="0"/>
      <w:marRight w:val="0"/>
      <w:marTop w:val="0"/>
      <w:marBottom w:val="0"/>
      <w:divBdr>
        <w:top w:val="none" w:sz="0" w:space="0" w:color="auto"/>
        <w:left w:val="none" w:sz="0" w:space="0" w:color="auto"/>
        <w:bottom w:val="none" w:sz="0" w:space="0" w:color="auto"/>
        <w:right w:val="none" w:sz="0" w:space="0" w:color="auto"/>
      </w:divBdr>
      <w:divsChild>
        <w:div w:id="481116513">
          <w:marLeft w:val="0"/>
          <w:marRight w:val="0"/>
          <w:marTop w:val="0"/>
          <w:marBottom w:val="0"/>
          <w:divBdr>
            <w:top w:val="none" w:sz="0" w:space="0" w:color="auto"/>
            <w:left w:val="none" w:sz="0" w:space="0" w:color="auto"/>
            <w:bottom w:val="none" w:sz="0" w:space="0" w:color="auto"/>
            <w:right w:val="none" w:sz="0" w:space="0" w:color="auto"/>
          </w:divBdr>
        </w:div>
      </w:divsChild>
    </w:div>
    <w:div w:id="1797093481">
      <w:bodyDiv w:val="1"/>
      <w:marLeft w:val="0"/>
      <w:marRight w:val="0"/>
      <w:marTop w:val="0"/>
      <w:marBottom w:val="0"/>
      <w:divBdr>
        <w:top w:val="none" w:sz="0" w:space="0" w:color="auto"/>
        <w:left w:val="none" w:sz="0" w:space="0" w:color="auto"/>
        <w:bottom w:val="none" w:sz="0" w:space="0" w:color="auto"/>
        <w:right w:val="none" w:sz="0" w:space="0" w:color="auto"/>
      </w:divBdr>
    </w:div>
    <w:div w:id="1818567749">
      <w:bodyDiv w:val="1"/>
      <w:marLeft w:val="0"/>
      <w:marRight w:val="0"/>
      <w:marTop w:val="0"/>
      <w:marBottom w:val="0"/>
      <w:divBdr>
        <w:top w:val="none" w:sz="0" w:space="0" w:color="auto"/>
        <w:left w:val="none" w:sz="0" w:space="0" w:color="auto"/>
        <w:bottom w:val="none" w:sz="0" w:space="0" w:color="auto"/>
        <w:right w:val="none" w:sz="0" w:space="0" w:color="auto"/>
      </w:divBdr>
    </w:div>
    <w:div w:id="1826317690">
      <w:bodyDiv w:val="1"/>
      <w:marLeft w:val="0"/>
      <w:marRight w:val="0"/>
      <w:marTop w:val="0"/>
      <w:marBottom w:val="0"/>
      <w:divBdr>
        <w:top w:val="none" w:sz="0" w:space="0" w:color="auto"/>
        <w:left w:val="none" w:sz="0" w:space="0" w:color="auto"/>
        <w:bottom w:val="none" w:sz="0" w:space="0" w:color="auto"/>
        <w:right w:val="none" w:sz="0" w:space="0" w:color="auto"/>
      </w:divBdr>
      <w:divsChild>
        <w:div w:id="1667246008">
          <w:marLeft w:val="0"/>
          <w:marRight w:val="0"/>
          <w:marTop w:val="0"/>
          <w:marBottom w:val="0"/>
          <w:divBdr>
            <w:top w:val="none" w:sz="0" w:space="0" w:color="auto"/>
            <w:left w:val="none" w:sz="0" w:space="0" w:color="auto"/>
            <w:bottom w:val="none" w:sz="0" w:space="0" w:color="auto"/>
            <w:right w:val="none" w:sz="0" w:space="0" w:color="auto"/>
          </w:divBdr>
        </w:div>
      </w:divsChild>
    </w:div>
    <w:div w:id="1832059885">
      <w:bodyDiv w:val="1"/>
      <w:marLeft w:val="0"/>
      <w:marRight w:val="0"/>
      <w:marTop w:val="0"/>
      <w:marBottom w:val="0"/>
      <w:divBdr>
        <w:top w:val="none" w:sz="0" w:space="0" w:color="auto"/>
        <w:left w:val="none" w:sz="0" w:space="0" w:color="auto"/>
        <w:bottom w:val="none" w:sz="0" w:space="0" w:color="auto"/>
        <w:right w:val="none" w:sz="0" w:space="0" w:color="auto"/>
      </w:divBdr>
    </w:div>
    <w:div w:id="1838618027">
      <w:bodyDiv w:val="1"/>
      <w:marLeft w:val="0"/>
      <w:marRight w:val="0"/>
      <w:marTop w:val="0"/>
      <w:marBottom w:val="0"/>
      <w:divBdr>
        <w:top w:val="none" w:sz="0" w:space="0" w:color="auto"/>
        <w:left w:val="none" w:sz="0" w:space="0" w:color="auto"/>
        <w:bottom w:val="none" w:sz="0" w:space="0" w:color="auto"/>
        <w:right w:val="none" w:sz="0" w:space="0" w:color="auto"/>
      </w:divBdr>
    </w:div>
    <w:div w:id="1852447991">
      <w:bodyDiv w:val="1"/>
      <w:marLeft w:val="0"/>
      <w:marRight w:val="0"/>
      <w:marTop w:val="0"/>
      <w:marBottom w:val="0"/>
      <w:divBdr>
        <w:top w:val="none" w:sz="0" w:space="0" w:color="auto"/>
        <w:left w:val="none" w:sz="0" w:space="0" w:color="auto"/>
        <w:bottom w:val="none" w:sz="0" w:space="0" w:color="auto"/>
        <w:right w:val="none" w:sz="0" w:space="0" w:color="auto"/>
      </w:divBdr>
    </w:div>
    <w:div w:id="1857037728">
      <w:bodyDiv w:val="1"/>
      <w:marLeft w:val="0"/>
      <w:marRight w:val="0"/>
      <w:marTop w:val="0"/>
      <w:marBottom w:val="0"/>
      <w:divBdr>
        <w:top w:val="none" w:sz="0" w:space="0" w:color="auto"/>
        <w:left w:val="none" w:sz="0" w:space="0" w:color="auto"/>
        <w:bottom w:val="none" w:sz="0" w:space="0" w:color="auto"/>
        <w:right w:val="none" w:sz="0" w:space="0" w:color="auto"/>
      </w:divBdr>
    </w:div>
    <w:div w:id="1866022676">
      <w:bodyDiv w:val="1"/>
      <w:marLeft w:val="0"/>
      <w:marRight w:val="0"/>
      <w:marTop w:val="0"/>
      <w:marBottom w:val="0"/>
      <w:divBdr>
        <w:top w:val="none" w:sz="0" w:space="0" w:color="auto"/>
        <w:left w:val="none" w:sz="0" w:space="0" w:color="auto"/>
        <w:bottom w:val="none" w:sz="0" w:space="0" w:color="auto"/>
        <w:right w:val="none" w:sz="0" w:space="0" w:color="auto"/>
      </w:divBdr>
    </w:div>
    <w:div w:id="1897277846">
      <w:bodyDiv w:val="1"/>
      <w:marLeft w:val="0"/>
      <w:marRight w:val="0"/>
      <w:marTop w:val="0"/>
      <w:marBottom w:val="0"/>
      <w:divBdr>
        <w:top w:val="none" w:sz="0" w:space="0" w:color="auto"/>
        <w:left w:val="none" w:sz="0" w:space="0" w:color="auto"/>
        <w:bottom w:val="none" w:sz="0" w:space="0" w:color="auto"/>
        <w:right w:val="none" w:sz="0" w:space="0" w:color="auto"/>
      </w:divBdr>
    </w:div>
    <w:div w:id="1920745281">
      <w:bodyDiv w:val="1"/>
      <w:marLeft w:val="0"/>
      <w:marRight w:val="0"/>
      <w:marTop w:val="0"/>
      <w:marBottom w:val="0"/>
      <w:divBdr>
        <w:top w:val="none" w:sz="0" w:space="0" w:color="auto"/>
        <w:left w:val="none" w:sz="0" w:space="0" w:color="auto"/>
        <w:bottom w:val="none" w:sz="0" w:space="0" w:color="auto"/>
        <w:right w:val="none" w:sz="0" w:space="0" w:color="auto"/>
      </w:divBdr>
    </w:div>
    <w:div w:id="1925141782">
      <w:bodyDiv w:val="1"/>
      <w:marLeft w:val="0"/>
      <w:marRight w:val="0"/>
      <w:marTop w:val="0"/>
      <w:marBottom w:val="0"/>
      <w:divBdr>
        <w:top w:val="none" w:sz="0" w:space="0" w:color="auto"/>
        <w:left w:val="none" w:sz="0" w:space="0" w:color="auto"/>
        <w:bottom w:val="none" w:sz="0" w:space="0" w:color="auto"/>
        <w:right w:val="none" w:sz="0" w:space="0" w:color="auto"/>
      </w:divBdr>
    </w:div>
    <w:div w:id="1933276841">
      <w:bodyDiv w:val="1"/>
      <w:marLeft w:val="0"/>
      <w:marRight w:val="0"/>
      <w:marTop w:val="0"/>
      <w:marBottom w:val="0"/>
      <w:divBdr>
        <w:top w:val="none" w:sz="0" w:space="0" w:color="auto"/>
        <w:left w:val="none" w:sz="0" w:space="0" w:color="auto"/>
        <w:bottom w:val="none" w:sz="0" w:space="0" w:color="auto"/>
        <w:right w:val="none" w:sz="0" w:space="0" w:color="auto"/>
      </w:divBdr>
    </w:div>
    <w:div w:id="1954901833">
      <w:bodyDiv w:val="1"/>
      <w:marLeft w:val="0"/>
      <w:marRight w:val="0"/>
      <w:marTop w:val="0"/>
      <w:marBottom w:val="0"/>
      <w:divBdr>
        <w:top w:val="none" w:sz="0" w:space="0" w:color="auto"/>
        <w:left w:val="none" w:sz="0" w:space="0" w:color="auto"/>
        <w:bottom w:val="none" w:sz="0" w:space="0" w:color="auto"/>
        <w:right w:val="none" w:sz="0" w:space="0" w:color="auto"/>
      </w:divBdr>
    </w:div>
    <w:div w:id="1965306618">
      <w:bodyDiv w:val="1"/>
      <w:marLeft w:val="0"/>
      <w:marRight w:val="0"/>
      <w:marTop w:val="0"/>
      <w:marBottom w:val="0"/>
      <w:divBdr>
        <w:top w:val="none" w:sz="0" w:space="0" w:color="auto"/>
        <w:left w:val="none" w:sz="0" w:space="0" w:color="auto"/>
        <w:bottom w:val="none" w:sz="0" w:space="0" w:color="auto"/>
        <w:right w:val="none" w:sz="0" w:space="0" w:color="auto"/>
      </w:divBdr>
    </w:div>
    <w:div w:id="1981376884">
      <w:bodyDiv w:val="1"/>
      <w:marLeft w:val="0"/>
      <w:marRight w:val="0"/>
      <w:marTop w:val="0"/>
      <w:marBottom w:val="0"/>
      <w:divBdr>
        <w:top w:val="none" w:sz="0" w:space="0" w:color="auto"/>
        <w:left w:val="none" w:sz="0" w:space="0" w:color="auto"/>
        <w:bottom w:val="none" w:sz="0" w:space="0" w:color="auto"/>
        <w:right w:val="none" w:sz="0" w:space="0" w:color="auto"/>
      </w:divBdr>
    </w:div>
    <w:div w:id="1985353210">
      <w:bodyDiv w:val="1"/>
      <w:marLeft w:val="0"/>
      <w:marRight w:val="0"/>
      <w:marTop w:val="0"/>
      <w:marBottom w:val="0"/>
      <w:divBdr>
        <w:top w:val="none" w:sz="0" w:space="0" w:color="auto"/>
        <w:left w:val="none" w:sz="0" w:space="0" w:color="auto"/>
        <w:bottom w:val="none" w:sz="0" w:space="0" w:color="auto"/>
        <w:right w:val="none" w:sz="0" w:space="0" w:color="auto"/>
      </w:divBdr>
    </w:div>
    <w:div w:id="2019577225">
      <w:bodyDiv w:val="1"/>
      <w:marLeft w:val="0"/>
      <w:marRight w:val="0"/>
      <w:marTop w:val="0"/>
      <w:marBottom w:val="0"/>
      <w:divBdr>
        <w:top w:val="none" w:sz="0" w:space="0" w:color="auto"/>
        <w:left w:val="none" w:sz="0" w:space="0" w:color="auto"/>
        <w:bottom w:val="none" w:sz="0" w:space="0" w:color="auto"/>
        <w:right w:val="none" w:sz="0" w:space="0" w:color="auto"/>
      </w:divBdr>
    </w:div>
    <w:div w:id="2020036412">
      <w:bodyDiv w:val="1"/>
      <w:marLeft w:val="0"/>
      <w:marRight w:val="0"/>
      <w:marTop w:val="0"/>
      <w:marBottom w:val="0"/>
      <w:divBdr>
        <w:top w:val="none" w:sz="0" w:space="0" w:color="auto"/>
        <w:left w:val="none" w:sz="0" w:space="0" w:color="auto"/>
        <w:bottom w:val="none" w:sz="0" w:space="0" w:color="auto"/>
        <w:right w:val="none" w:sz="0" w:space="0" w:color="auto"/>
      </w:divBdr>
    </w:div>
    <w:div w:id="2066179566">
      <w:bodyDiv w:val="1"/>
      <w:marLeft w:val="0"/>
      <w:marRight w:val="0"/>
      <w:marTop w:val="0"/>
      <w:marBottom w:val="0"/>
      <w:divBdr>
        <w:top w:val="none" w:sz="0" w:space="0" w:color="auto"/>
        <w:left w:val="none" w:sz="0" w:space="0" w:color="auto"/>
        <w:bottom w:val="none" w:sz="0" w:space="0" w:color="auto"/>
        <w:right w:val="none" w:sz="0" w:space="0" w:color="auto"/>
      </w:divBdr>
    </w:div>
    <w:div w:id="2069373819">
      <w:bodyDiv w:val="1"/>
      <w:marLeft w:val="0"/>
      <w:marRight w:val="0"/>
      <w:marTop w:val="0"/>
      <w:marBottom w:val="0"/>
      <w:divBdr>
        <w:top w:val="none" w:sz="0" w:space="0" w:color="auto"/>
        <w:left w:val="none" w:sz="0" w:space="0" w:color="auto"/>
        <w:bottom w:val="none" w:sz="0" w:space="0" w:color="auto"/>
        <w:right w:val="none" w:sz="0" w:space="0" w:color="auto"/>
      </w:divBdr>
    </w:div>
    <w:div w:id="2071297469">
      <w:bodyDiv w:val="1"/>
      <w:marLeft w:val="0"/>
      <w:marRight w:val="0"/>
      <w:marTop w:val="0"/>
      <w:marBottom w:val="0"/>
      <w:divBdr>
        <w:top w:val="none" w:sz="0" w:space="0" w:color="auto"/>
        <w:left w:val="none" w:sz="0" w:space="0" w:color="auto"/>
        <w:bottom w:val="none" w:sz="0" w:space="0" w:color="auto"/>
        <w:right w:val="none" w:sz="0" w:space="0" w:color="auto"/>
      </w:divBdr>
    </w:div>
    <w:div w:id="2098402098">
      <w:bodyDiv w:val="1"/>
      <w:marLeft w:val="0"/>
      <w:marRight w:val="0"/>
      <w:marTop w:val="0"/>
      <w:marBottom w:val="0"/>
      <w:divBdr>
        <w:top w:val="none" w:sz="0" w:space="0" w:color="auto"/>
        <w:left w:val="none" w:sz="0" w:space="0" w:color="auto"/>
        <w:bottom w:val="none" w:sz="0" w:space="0" w:color="auto"/>
        <w:right w:val="none" w:sz="0" w:space="0" w:color="auto"/>
      </w:divBdr>
    </w:div>
    <w:div w:id="2102601051">
      <w:bodyDiv w:val="1"/>
      <w:marLeft w:val="0"/>
      <w:marRight w:val="0"/>
      <w:marTop w:val="0"/>
      <w:marBottom w:val="0"/>
      <w:divBdr>
        <w:top w:val="none" w:sz="0" w:space="0" w:color="auto"/>
        <w:left w:val="none" w:sz="0" w:space="0" w:color="auto"/>
        <w:bottom w:val="none" w:sz="0" w:space="0" w:color="auto"/>
        <w:right w:val="none" w:sz="0" w:space="0" w:color="auto"/>
      </w:divBdr>
    </w:div>
    <w:div w:id="2108303125">
      <w:bodyDiv w:val="1"/>
      <w:marLeft w:val="0"/>
      <w:marRight w:val="0"/>
      <w:marTop w:val="0"/>
      <w:marBottom w:val="0"/>
      <w:divBdr>
        <w:top w:val="none" w:sz="0" w:space="0" w:color="auto"/>
        <w:left w:val="none" w:sz="0" w:space="0" w:color="auto"/>
        <w:bottom w:val="none" w:sz="0" w:space="0" w:color="auto"/>
        <w:right w:val="none" w:sz="0" w:space="0" w:color="auto"/>
      </w:divBdr>
    </w:div>
    <w:div w:id="21297360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 /><Relationship Id="rId13" Type="http://schemas.openxmlformats.org/officeDocument/2006/relationships/image" Target="media/image1.png" /><Relationship Id="rId18" Type="http://schemas.openxmlformats.org/officeDocument/2006/relationships/image" Target="media/image6.png" /><Relationship Id="rId26" Type="http://schemas.openxmlformats.org/officeDocument/2006/relationships/image" Target="media/image14.png" /><Relationship Id="rId39" Type="http://schemas.openxmlformats.org/officeDocument/2006/relationships/image" Target="media/image16.png" /><Relationship Id="rId3" Type="http://schemas.openxmlformats.org/officeDocument/2006/relationships/customXml" Target="../customXml/item3.xml" /><Relationship Id="rId21" Type="http://schemas.openxmlformats.org/officeDocument/2006/relationships/image" Target="media/image9.png" /><Relationship Id="rId34" Type="http://schemas.openxmlformats.org/officeDocument/2006/relationships/hyperlink" Target="https://dx.doi.org/10.2139/ssrn.3338813" TargetMode="External" /><Relationship Id="rId42" Type="http://schemas.openxmlformats.org/officeDocument/2006/relationships/fontTable" Target="fontTable.xml" /><Relationship Id="rId7" Type="http://schemas.openxmlformats.org/officeDocument/2006/relationships/settings" Target="settings.xml" /><Relationship Id="rId12" Type="http://schemas.openxmlformats.org/officeDocument/2006/relationships/footer" Target="footer2.xml" /><Relationship Id="rId17" Type="http://schemas.openxmlformats.org/officeDocument/2006/relationships/image" Target="media/image5.png" /><Relationship Id="rId25" Type="http://schemas.openxmlformats.org/officeDocument/2006/relationships/image" Target="media/image13.png" /><Relationship Id="rId33" Type="http://schemas.openxmlformats.org/officeDocument/2006/relationships/hyperlink" Target="https://ssrn.com/abstract=3338813" TargetMode="External" /><Relationship Id="rId38" Type="http://schemas.openxmlformats.org/officeDocument/2006/relationships/hyperlink" Target="https://doi.org/https:/doi.org/10.1108/CG-04-2020-0151" TargetMode="External" /><Relationship Id="rId2" Type="http://schemas.openxmlformats.org/officeDocument/2006/relationships/customXml" Target="../customXml/item2.xml" /><Relationship Id="rId16" Type="http://schemas.openxmlformats.org/officeDocument/2006/relationships/image" Target="media/image4.png" /><Relationship Id="rId20" Type="http://schemas.openxmlformats.org/officeDocument/2006/relationships/image" Target="media/image8.png" /><Relationship Id="rId29" Type="http://schemas.openxmlformats.org/officeDocument/2006/relationships/hyperlink" Target="http://transparency.org.my/filemanager/files/shares/CPI-2014-Presentation_Final.pdf" TargetMode="External" /><Relationship Id="rId41" Type="http://schemas.openxmlformats.org/officeDocument/2006/relationships/image" Target="media/image18.png" /><Relationship Id="rId1" Type="http://schemas.openxmlformats.org/officeDocument/2006/relationships/customXml" Target="../customXml/item1.xml" /><Relationship Id="rId6" Type="http://schemas.openxmlformats.org/officeDocument/2006/relationships/styles" Target="styles.xml" /><Relationship Id="rId11" Type="http://schemas.openxmlformats.org/officeDocument/2006/relationships/footer" Target="footer1.xml" /><Relationship Id="rId24" Type="http://schemas.openxmlformats.org/officeDocument/2006/relationships/image" Target="media/image12.png" /><Relationship Id="rId32" Type="http://schemas.openxmlformats.org/officeDocument/2006/relationships/hyperlink" Target="http://kmhfl.health.go.ke/" TargetMode="External" /><Relationship Id="rId37" Type="http://schemas.openxmlformats.org/officeDocument/2006/relationships/hyperlink" Target="http://kenyalaw.org:8181/exist/kenyalex/actview.xql?actid=No.%2021%20of%202017" TargetMode="External" /><Relationship Id="rId40" Type="http://schemas.openxmlformats.org/officeDocument/2006/relationships/image" Target="media/image17.jpeg" /><Relationship Id="rId5" Type="http://schemas.openxmlformats.org/officeDocument/2006/relationships/numbering" Target="numbering.xml" /><Relationship Id="rId15" Type="http://schemas.openxmlformats.org/officeDocument/2006/relationships/image" Target="media/image3.png" /><Relationship Id="rId23" Type="http://schemas.openxmlformats.org/officeDocument/2006/relationships/image" Target="media/image11.png" /><Relationship Id="rId28" Type="http://schemas.openxmlformats.org/officeDocument/2006/relationships/hyperlink" Target="https://stec.univ-ovidius.ro/html/anale/RO/wp-content/uploads" TargetMode="External" /><Relationship Id="rId36" Type="http://schemas.openxmlformats.org/officeDocument/2006/relationships/hyperlink" Target="https://www.capacityplus.org/category/blog-tags/faith-based-organizations.html" TargetMode="External" /><Relationship Id="rId10" Type="http://schemas.openxmlformats.org/officeDocument/2006/relationships/endnotes" Target="endnotes.xml" /><Relationship Id="rId19" Type="http://schemas.openxmlformats.org/officeDocument/2006/relationships/image" Target="media/image7.png" /><Relationship Id="rId31" Type="http://schemas.openxmlformats.org/officeDocument/2006/relationships/hyperlink" Target="https://www.ifc.org/wps/wcm/connect/Topics_Ext_Content/IFC_External_Corporate_Site/IFC+CG" TargetMode="External" /><Relationship Id="rId4" Type="http://schemas.openxmlformats.org/officeDocument/2006/relationships/customXml" Target="../customXml/item4.xml" /><Relationship Id="rId9" Type="http://schemas.openxmlformats.org/officeDocument/2006/relationships/footnotes" Target="footnotes.xml" /><Relationship Id="rId14" Type="http://schemas.openxmlformats.org/officeDocument/2006/relationships/image" Target="media/image2.png" /><Relationship Id="rId22" Type="http://schemas.openxmlformats.org/officeDocument/2006/relationships/image" Target="media/image10.png" /><Relationship Id="rId27" Type="http://schemas.openxmlformats.org/officeDocument/2006/relationships/image" Target="media/image15.wmf" /><Relationship Id="rId30" Type="http://schemas.openxmlformats.org/officeDocument/2006/relationships/hyperlink" Target="https://europepmc.org/article/NBK/nbk500019" TargetMode="External" /><Relationship Id="rId35" Type="http://schemas.openxmlformats.org/officeDocument/2006/relationships/hyperlink" Target="https://www.capacityplus.org/hr-management-policy-implementation-presbyterian-church-east-africa.html" TargetMode="External" /><Relationship Id="rId43" Type="http://schemas.openxmlformats.org/officeDocument/2006/relationships/theme" Target="theme/theme1.xml"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MBUGU1\Downloads\Kimote%2520Revised%2520Proposal%25207th%2520Dec%25202023.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 /></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 /></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 /></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95DF24E20E6C84185A7F266F3DB84F9" ma:contentTypeVersion="7" ma:contentTypeDescription="Create a new document." ma:contentTypeScope="" ma:versionID="cad8553cce77cf24e69a03c0ee70d001">
  <xsd:schema xmlns:xsd="http://www.w3.org/2001/XMLSchema" xmlns:xs="http://www.w3.org/2001/XMLSchema" xmlns:p="http://schemas.microsoft.com/office/2006/metadata/properties" xmlns:ns3="66740b90-a1f7-47ab-ac0d-746d3188f555" xmlns:ns4="8ae1493e-2140-405c-9efa-9c746c25d328" targetNamespace="http://schemas.microsoft.com/office/2006/metadata/properties" ma:root="true" ma:fieldsID="264d3434d4e6f934a5dfe649cc16ddb8" ns3:_="" ns4:_="">
    <xsd:import namespace="66740b90-a1f7-47ab-ac0d-746d3188f555"/>
    <xsd:import namespace="8ae1493e-2140-405c-9efa-9c746c25d32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6740b90-a1f7-47ab-ac0d-746d3188f55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ae1493e-2140-405c-9efa-9c746c25d3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1977F7D-205B-4081-913C-38D41E755F92}">
  <ds:schemaRefs>
    <ds:schemaRef ds:uri="http://www.wps.cn/officeDocument/2013/wpsCustomData"/>
    <ds:schemaRef ds:uri="http://www.w3.org/2000/xmlns/"/>
  </ds:schemaRefs>
</ds:datastoreItem>
</file>

<file path=customXml/itemProps2.xml><?xml version="1.0" encoding="utf-8"?>
<ds:datastoreItem xmlns:ds="http://schemas.openxmlformats.org/officeDocument/2006/customXml" ds:itemID="{D92B0868-FE5A-4419-AE6D-CE4AF33DA721}">
  <ds:schemaRefs>
    <ds:schemaRef ds:uri="http://schemas.openxmlformats.org/officeDocument/2006/bibliography"/>
    <ds:schemaRef ds:uri="http://www.w3.org/2000/xmlns/"/>
  </ds:schemaRefs>
</ds:datastoreItem>
</file>

<file path=customXml/itemProps3.xml><?xml version="1.0" encoding="utf-8"?>
<ds:datastoreItem xmlns:ds="http://schemas.openxmlformats.org/officeDocument/2006/customXml" ds:itemID="{8E6D3FB5-AF48-4BB7-A841-23BDBBACB120}">
  <ds:schemaRefs>
    <ds:schemaRef ds:uri="http://schemas.microsoft.com/sharepoint/v3/contenttype/forms"/>
  </ds:schemaRefs>
</ds:datastoreItem>
</file>

<file path=customXml/itemProps4.xml><?xml version="1.0" encoding="utf-8"?>
<ds:datastoreItem xmlns:ds="http://schemas.openxmlformats.org/officeDocument/2006/customXml" ds:itemID="{1E08D721-A219-42A8-99C4-96596B81B2A5}">
  <ds:schemaRefs>
    <ds:schemaRef ds:uri="http://schemas.microsoft.com/office/2006/metadata/contentType"/>
    <ds:schemaRef ds:uri="http://schemas.microsoft.com/office/2006/metadata/properties/metaAttributes"/>
    <ds:schemaRef ds:uri="http://www.w3.org/2000/xmlns/"/>
    <ds:schemaRef ds:uri="http://www.w3.org/2001/XMLSchema"/>
    <ds:schemaRef ds:uri="66740b90-a1f7-47ab-ac0d-746d3188f555"/>
    <ds:schemaRef ds:uri="8ae1493e-2140-405c-9efa-9c746c25d328"/>
  </ds:schemaRefs>
</ds:datastoreItem>
</file>

<file path=docProps/app.xml><?xml version="1.0" encoding="utf-8"?>
<Properties xmlns="http://schemas.openxmlformats.org/officeDocument/2006/extended-properties" xmlns:vt="http://schemas.openxmlformats.org/officeDocument/2006/docPropsVTypes">
  <Template>Kimote%2520Revised%2520Proposal%25207th%2520Dec%25202023.dot</Template>
  <TotalTime>0</TotalTime>
  <Pages>26</Pages>
  <Words>71224</Words>
  <Characters>405980</Characters>
  <Application>Microsoft Office Word</Application>
  <DocSecurity>0</DocSecurity>
  <Lines>3383</Lines>
  <Paragraphs>952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476252</CharactersWithSpaces>
  <SharedDoc>false</SharedDoc>
  <HLinks>
    <vt:vector size="750" baseType="variant">
      <vt:variant>
        <vt:i4>7798904</vt:i4>
      </vt:variant>
      <vt:variant>
        <vt:i4>879</vt:i4>
      </vt:variant>
      <vt:variant>
        <vt:i4>0</vt:i4>
      </vt:variant>
      <vt:variant>
        <vt:i4>5</vt:i4>
      </vt:variant>
      <vt:variant>
        <vt:lpwstr>https://doi.org/https:/doi.org/10.1108/CG-04-2020-0151</vt:lpwstr>
      </vt:variant>
      <vt:variant>
        <vt:lpwstr/>
      </vt:variant>
      <vt:variant>
        <vt:i4>3997801</vt:i4>
      </vt:variant>
      <vt:variant>
        <vt:i4>876</vt:i4>
      </vt:variant>
      <vt:variant>
        <vt:i4>0</vt:i4>
      </vt:variant>
      <vt:variant>
        <vt:i4>5</vt:i4>
      </vt:variant>
      <vt:variant>
        <vt:lpwstr>http://kenyalaw.org:8181/exist/kenyalex/actview.xql?actid=No.%2021%20of%202017</vt:lpwstr>
      </vt:variant>
      <vt:variant>
        <vt:lpwstr/>
      </vt:variant>
      <vt:variant>
        <vt:i4>7209073</vt:i4>
      </vt:variant>
      <vt:variant>
        <vt:i4>873</vt:i4>
      </vt:variant>
      <vt:variant>
        <vt:i4>0</vt:i4>
      </vt:variant>
      <vt:variant>
        <vt:i4>5</vt:i4>
      </vt:variant>
      <vt:variant>
        <vt:lpwstr>https://www.capacityplus.org/category/blog-tags/faith-based-organizations.html</vt:lpwstr>
      </vt:variant>
      <vt:variant>
        <vt:lpwstr/>
      </vt:variant>
      <vt:variant>
        <vt:i4>5701715</vt:i4>
      </vt:variant>
      <vt:variant>
        <vt:i4>870</vt:i4>
      </vt:variant>
      <vt:variant>
        <vt:i4>0</vt:i4>
      </vt:variant>
      <vt:variant>
        <vt:i4>5</vt:i4>
      </vt:variant>
      <vt:variant>
        <vt:lpwstr>https://www.capacityplus.org/hr-management-policy-implementation-presbyterian-church-east-africa.html</vt:lpwstr>
      </vt:variant>
      <vt:variant>
        <vt:lpwstr/>
      </vt:variant>
      <vt:variant>
        <vt:i4>7209005</vt:i4>
      </vt:variant>
      <vt:variant>
        <vt:i4>867</vt:i4>
      </vt:variant>
      <vt:variant>
        <vt:i4>0</vt:i4>
      </vt:variant>
      <vt:variant>
        <vt:i4>5</vt:i4>
      </vt:variant>
      <vt:variant>
        <vt:lpwstr>https://dx.doi.org/10.2139/ssrn.3338813</vt:lpwstr>
      </vt:variant>
      <vt:variant>
        <vt:lpwstr/>
      </vt:variant>
      <vt:variant>
        <vt:i4>393236</vt:i4>
      </vt:variant>
      <vt:variant>
        <vt:i4>864</vt:i4>
      </vt:variant>
      <vt:variant>
        <vt:i4>0</vt:i4>
      </vt:variant>
      <vt:variant>
        <vt:i4>5</vt:i4>
      </vt:variant>
      <vt:variant>
        <vt:lpwstr>https://ssrn.com/abstract=3338813</vt:lpwstr>
      </vt:variant>
      <vt:variant>
        <vt:lpwstr/>
      </vt:variant>
      <vt:variant>
        <vt:i4>3735585</vt:i4>
      </vt:variant>
      <vt:variant>
        <vt:i4>861</vt:i4>
      </vt:variant>
      <vt:variant>
        <vt:i4>0</vt:i4>
      </vt:variant>
      <vt:variant>
        <vt:i4>5</vt:i4>
      </vt:variant>
      <vt:variant>
        <vt:lpwstr>http://kmhfl.health.go.ke/</vt:lpwstr>
      </vt:variant>
      <vt:variant>
        <vt:lpwstr>/home</vt:lpwstr>
      </vt:variant>
      <vt:variant>
        <vt:i4>983100</vt:i4>
      </vt:variant>
      <vt:variant>
        <vt:i4>858</vt:i4>
      </vt:variant>
      <vt:variant>
        <vt:i4>0</vt:i4>
      </vt:variant>
      <vt:variant>
        <vt:i4>5</vt:i4>
      </vt:variant>
      <vt:variant>
        <vt:lpwstr>https://www.ifc.org/wps/wcm/connect/Topics_Ext_Content/IFC_External_Corporate_Site/IFC+CG</vt:lpwstr>
      </vt:variant>
      <vt:variant>
        <vt:lpwstr/>
      </vt:variant>
      <vt:variant>
        <vt:i4>3342383</vt:i4>
      </vt:variant>
      <vt:variant>
        <vt:i4>855</vt:i4>
      </vt:variant>
      <vt:variant>
        <vt:i4>0</vt:i4>
      </vt:variant>
      <vt:variant>
        <vt:i4>5</vt:i4>
      </vt:variant>
      <vt:variant>
        <vt:lpwstr>https://europepmc.org/article/NBK/nbk500019</vt:lpwstr>
      </vt:variant>
      <vt:variant>
        <vt:lpwstr/>
      </vt:variant>
      <vt:variant>
        <vt:i4>4653183</vt:i4>
      </vt:variant>
      <vt:variant>
        <vt:i4>852</vt:i4>
      </vt:variant>
      <vt:variant>
        <vt:i4>0</vt:i4>
      </vt:variant>
      <vt:variant>
        <vt:i4>5</vt:i4>
      </vt:variant>
      <vt:variant>
        <vt:lpwstr>http://transparency.org.my/filemanager/files/shares/CPI-2014-Presentation_Final.pdf</vt:lpwstr>
      </vt:variant>
      <vt:variant>
        <vt:lpwstr/>
      </vt:variant>
      <vt:variant>
        <vt:i4>131093</vt:i4>
      </vt:variant>
      <vt:variant>
        <vt:i4>849</vt:i4>
      </vt:variant>
      <vt:variant>
        <vt:i4>0</vt:i4>
      </vt:variant>
      <vt:variant>
        <vt:i4>5</vt:i4>
      </vt:variant>
      <vt:variant>
        <vt:lpwstr>https://stec.univ-ovidius.ro/html/anale/RO/wp-content/uploads</vt:lpwstr>
      </vt:variant>
      <vt:variant>
        <vt:lpwstr/>
      </vt:variant>
      <vt:variant>
        <vt:i4>1245239</vt:i4>
      </vt:variant>
      <vt:variant>
        <vt:i4>668</vt:i4>
      </vt:variant>
      <vt:variant>
        <vt:i4>0</vt:i4>
      </vt:variant>
      <vt:variant>
        <vt:i4>5</vt:i4>
      </vt:variant>
      <vt:variant>
        <vt:lpwstr/>
      </vt:variant>
      <vt:variant>
        <vt:lpwstr>_Toc177387977</vt:lpwstr>
      </vt:variant>
      <vt:variant>
        <vt:i4>1245239</vt:i4>
      </vt:variant>
      <vt:variant>
        <vt:i4>662</vt:i4>
      </vt:variant>
      <vt:variant>
        <vt:i4>0</vt:i4>
      </vt:variant>
      <vt:variant>
        <vt:i4>5</vt:i4>
      </vt:variant>
      <vt:variant>
        <vt:lpwstr/>
      </vt:variant>
      <vt:variant>
        <vt:lpwstr>_Toc177387976</vt:lpwstr>
      </vt:variant>
      <vt:variant>
        <vt:i4>1245239</vt:i4>
      </vt:variant>
      <vt:variant>
        <vt:i4>656</vt:i4>
      </vt:variant>
      <vt:variant>
        <vt:i4>0</vt:i4>
      </vt:variant>
      <vt:variant>
        <vt:i4>5</vt:i4>
      </vt:variant>
      <vt:variant>
        <vt:lpwstr/>
      </vt:variant>
      <vt:variant>
        <vt:lpwstr>_Toc177387975</vt:lpwstr>
      </vt:variant>
      <vt:variant>
        <vt:i4>1245239</vt:i4>
      </vt:variant>
      <vt:variant>
        <vt:i4>650</vt:i4>
      </vt:variant>
      <vt:variant>
        <vt:i4>0</vt:i4>
      </vt:variant>
      <vt:variant>
        <vt:i4>5</vt:i4>
      </vt:variant>
      <vt:variant>
        <vt:lpwstr/>
      </vt:variant>
      <vt:variant>
        <vt:lpwstr>_Toc177387974</vt:lpwstr>
      </vt:variant>
      <vt:variant>
        <vt:i4>1245239</vt:i4>
      </vt:variant>
      <vt:variant>
        <vt:i4>644</vt:i4>
      </vt:variant>
      <vt:variant>
        <vt:i4>0</vt:i4>
      </vt:variant>
      <vt:variant>
        <vt:i4>5</vt:i4>
      </vt:variant>
      <vt:variant>
        <vt:lpwstr/>
      </vt:variant>
      <vt:variant>
        <vt:lpwstr>_Toc177387973</vt:lpwstr>
      </vt:variant>
      <vt:variant>
        <vt:i4>1245239</vt:i4>
      </vt:variant>
      <vt:variant>
        <vt:i4>635</vt:i4>
      </vt:variant>
      <vt:variant>
        <vt:i4>0</vt:i4>
      </vt:variant>
      <vt:variant>
        <vt:i4>5</vt:i4>
      </vt:variant>
      <vt:variant>
        <vt:lpwstr/>
      </vt:variant>
      <vt:variant>
        <vt:lpwstr>_Toc177387972</vt:lpwstr>
      </vt:variant>
      <vt:variant>
        <vt:i4>1245239</vt:i4>
      </vt:variant>
      <vt:variant>
        <vt:i4>629</vt:i4>
      </vt:variant>
      <vt:variant>
        <vt:i4>0</vt:i4>
      </vt:variant>
      <vt:variant>
        <vt:i4>5</vt:i4>
      </vt:variant>
      <vt:variant>
        <vt:lpwstr/>
      </vt:variant>
      <vt:variant>
        <vt:lpwstr>_Toc177387971</vt:lpwstr>
      </vt:variant>
      <vt:variant>
        <vt:i4>1245239</vt:i4>
      </vt:variant>
      <vt:variant>
        <vt:i4>623</vt:i4>
      </vt:variant>
      <vt:variant>
        <vt:i4>0</vt:i4>
      </vt:variant>
      <vt:variant>
        <vt:i4>5</vt:i4>
      </vt:variant>
      <vt:variant>
        <vt:lpwstr/>
      </vt:variant>
      <vt:variant>
        <vt:lpwstr>_Toc177387970</vt:lpwstr>
      </vt:variant>
      <vt:variant>
        <vt:i4>1179703</vt:i4>
      </vt:variant>
      <vt:variant>
        <vt:i4>617</vt:i4>
      </vt:variant>
      <vt:variant>
        <vt:i4>0</vt:i4>
      </vt:variant>
      <vt:variant>
        <vt:i4>5</vt:i4>
      </vt:variant>
      <vt:variant>
        <vt:lpwstr/>
      </vt:variant>
      <vt:variant>
        <vt:lpwstr>_Toc177387969</vt:lpwstr>
      </vt:variant>
      <vt:variant>
        <vt:i4>1179703</vt:i4>
      </vt:variant>
      <vt:variant>
        <vt:i4>611</vt:i4>
      </vt:variant>
      <vt:variant>
        <vt:i4>0</vt:i4>
      </vt:variant>
      <vt:variant>
        <vt:i4>5</vt:i4>
      </vt:variant>
      <vt:variant>
        <vt:lpwstr/>
      </vt:variant>
      <vt:variant>
        <vt:lpwstr>_Toc177387968</vt:lpwstr>
      </vt:variant>
      <vt:variant>
        <vt:i4>1179703</vt:i4>
      </vt:variant>
      <vt:variant>
        <vt:i4>605</vt:i4>
      </vt:variant>
      <vt:variant>
        <vt:i4>0</vt:i4>
      </vt:variant>
      <vt:variant>
        <vt:i4>5</vt:i4>
      </vt:variant>
      <vt:variant>
        <vt:lpwstr/>
      </vt:variant>
      <vt:variant>
        <vt:lpwstr>_Toc177387967</vt:lpwstr>
      </vt:variant>
      <vt:variant>
        <vt:i4>1179703</vt:i4>
      </vt:variant>
      <vt:variant>
        <vt:i4>599</vt:i4>
      </vt:variant>
      <vt:variant>
        <vt:i4>0</vt:i4>
      </vt:variant>
      <vt:variant>
        <vt:i4>5</vt:i4>
      </vt:variant>
      <vt:variant>
        <vt:lpwstr/>
      </vt:variant>
      <vt:variant>
        <vt:lpwstr>_Toc177387966</vt:lpwstr>
      </vt:variant>
      <vt:variant>
        <vt:i4>1179703</vt:i4>
      </vt:variant>
      <vt:variant>
        <vt:i4>593</vt:i4>
      </vt:variant>
      <vt:variant>
        <vt:i4>0</vt:i4>
      </vt:variant>
      <vt:variant>
        <vt:i4>5</vt:i4>
      </vt:variant>
      <vt:variant>
        <vt:lpwstr/>
      </vt:variant>
      <vt:variant>
        <vt:lpwstr>_Toc177387965</vt:lpwstr>
      </vt:variant>
      <vt:variant>
        <vt:i4>1179703</vt:i4>
      </vt:variant>
      <vt:variant>
        <vt:i4>587</vt:i4>
      </vt:variant>
      <vt:variant>
        <vt:i4>0</vt:i4>
      </vt:variant>
      <vt:variant>
        <vt:i4>5</vt:i4>
      </vt:variant>
      <vt:variant>
        <vt:lpwstr/>
      </vt:variant>
      <vt:variant>
        <vt:lpwstr>_Toc177387964</vt:lpwstr>
      </vt:variant>
      <vt:variant>
        <vt:i4>1179703</vt:i4>
      </vt:variant>
      <vt:variant>
        <vt:i4>581</vt:i4>
      </vt:variant>
      <vt:variant>
        <vt:i4>0</vt:i4>
      </vt:variant>
      <vt:variant>
        <vt:i4>5</vt:i4>
      </vt:variant>
      <vt:variant>
        <vt:lpwstr/>
      </vt:variant>
      <vt:variant>
        <vt:lpwstr>_Toc177387963</vt:lpwstr>
      </vt:variant>
      <vt:variant>
        <vt:i4>1179703</vt:i4>
      </vt:variant>
      <vt:variant>
        <vt:i4>575</vt:i4>
      </vt:variant>
      <vt:variant>
        <vt:i4>0</vt:i4>
      </vt:variant>
      <vt:variant>
        <vt:i4>5</vt:i4>
      </vt:variant>
      <vt:variant>
        <vt:lpwstr/>
      </vt:variant>
      <vt:variant>
        <vt:lpwstr>_Toc177387962</vt:lpwstr>
      </vt:variant>
      <vt:variant>
        <vt:i4>1179703</vt:i4>
      </vt:variant>
      <vt:variant>
        <vt:i4>569</vt:i4>
      </vt:variant>
      <vt:variant>
        <vt:i4>0</vt:i4>
      </vt:variant>
      <vt:variant>
        <vt:i4>5</vt:i4>
      </vt:variant>
      <vt:variant>
        <vt:lpwstr/>
      </vt:variant>
      <vt:variant>
        <vt:lpwstr>_Toc177387961</vt:lpwstr>
      </vt:variant>
      <vt:variant>
        <vt:i4>1179703</vt:i4>
      </vt:variant>
      <vt:variant>
        <vt:i4>563</vt:i4>
      </vt:variant>
      <vt:variant>
        <vt:i4>0</vt:i4>
      </vt:variant>
      <vt:variant>
        <vt:i4>5</vt:i4>
      </vt:variant>
      <vt:variant>
        <vt:lpwstr/>
      </vt:variant>
      <vt:variant>
        <vt:lpwstr>_Toc177387960</vt:lpwstr>
      </vt:variant>
      <vt:variant>
        <vt:i4>1114167</vt:i4>
      </vt:variant>
      <vt:variant>
        <vt:i4>557</vt:i4>
      </vt:variant>
      <vt:variant>
        <vt:i4>0</vt:i4>
      </vt:variant>
      <vt:variant>
        <vt:i4>5</vt:i4>
      </vt:variant>
      <vt:variant>
        <vt:lpwstr/>
      </vt:variant>
      <vt:variant>
        <vt:lpwstr>_Toc177387959</vt:lpwstr>
      </vt:variant>
      <vt:variant>
        <vt:i4>1114167</vt:i4>
      </vt:variant>
      <vt:variant>
        <vt:i4>551</vt:i4>
      </vt:variant>
      <vt:variant>
        <vt:i4>0</vt:i4>
      </vt:variant>
      <vt:variant>
        <vt:i4>5</vt:i4>
      </vt:variant>
      <vt:variant>
        <vt:lpwstr/>
      </vt:variant>
      <vt:variant>
        <vt:lpwstr>_Toc177387958</vt:lpwstr>
      </vt:variant>
      <vt:variant>
        <vt:i4>1114167</vt:i4>
      </vt:variant>
      <vt:variant>
        <vt:i4>545</vt:i4>
      </vt:variant>
      <vt:variant>
        <vt:i4>0</vt:i4>
      </vt:variant>
      <vt:variant>
        <vt:i4>5</vt:i4>
      </vt:variant>
      <vt:variant>
        <vt:lpwstr/>
      </vt:variant>
      <vt:variant>
        <vt:lpwstr>_Toc177387957</vt:lpwstr>
      </vt:variant>
      <vt:variant>
        <vt:i4>1114167</vt:i4>
      </vt:variant>
      <vt:variant>
        <vt:i4>539</vt:i4>
      </vt:variant>
      <vt:variant>
        <vt:i4>0</vt:i4>
      </vt:variant>
      <vt:variant>
        <vt:i4>5</vt:i4>
      </vt:variant>
      <vt:variant>
        <vt:lpwstr/>
      </vt:variant>
      <vt:variant>
        <vt:lpwstr>_Toc177387956</vt:lpwstr>
      </vt:variant>
      <vt:variant>
        <vt:i4>1114167</vt:i4>
      </vt:variant>
      <vt:variant>
        <vt:i4>533</vt:i4>
      </vt:variant>
      <vt:variant>
        <vt:i4>0</vt:i4>
      </vt:variant>
      <vt:variant>
        <vt:i4>5</vt:i4>
      </vt:variant>
      <vt:variant>
        <vt:lpwstr/>
      </vt:variant>
      <vt:variant>
        <vt:lpwstr>_Toc177387955</vt:lpwstr>
      </vt:variant>
      <vt:variant>
        <vt:i4>1114167</vt:i4>
      </vt:variant>
      <vt:variant>
        <vt:i4>527</vt:i4>
      </vt:variant>
      <vt:variant>
        <vt:i4>0</vt:i4>
      </vt:variant>
      <vt:variant>
        <vt:i4>5</vt:i4>
      </vt:variant>
      <vt:variant>
        <vt:lpwstr/>
      </vt:variant>
      <vt:variant>
        <vt:lpwstr>_Toc177387954</vt:lpwstr>
      </vt:variant>
      <vt:variant>
        <vt:i4>1114167</vt:i4>
      </vt:variant>
      <vt:variant>
        <vt:i4>521</vt:i4>
      </vt:variant>
      <vt:variant>
        <vt:i4>0</vt:i4>
      </vt:variant>
      <vt:variant>
        <vt:i4>5</vt:i4>
      </vt:variant>
      <vt:variant>
        <vt:lpwstr/>
      </vt:variant>
      <vt:variant>
        <vt:lpwstr>_Toc177387953</vt:lpwstr>
      </vt:variant>
      <vt:variant>
        <vt:i4>1114167</vt:i4>
      </vt:variant>
      <vt:variant>
        <vt:i4>515</vt:i4>
      </vt:variant>
      <vt:variant>
        <vt:i4>0</vt:i4>
      </vt:variant>
      <vt:variant>
        <vt:i4>5</vt:i4>
      </vt:variant>
      <vt:variant>
        <vt:lpwstr/>
      </vt:variant>
      <vt:variant>
        <vt:lpwstr>_Toc177387952</vt:lpwstr>
      </vt:variant>
      <vt:variant>
        <vt:i4>1114167</vt:i4>
      </vt:variant>
      <vt:variant>
        <vt:i4>509</vt:i4>
      </vt:variant>
      <vt:variant>
        <vt:i4>0</vt:i4>
      </vt:variant>
      <vt:variant>
        <vt:i4>5</vt:i4>
      </vt:variant>
      <vt:variant>
        <vt:lpwstr/>
      </vt:variant>
      <vt:variant>
        <vt:lpwstr>_Toc177387951</vt:lpwstr>
      </vt:variant>
      <vt:variant>
        <vt:i4>1114167</vt:i4>
      </vt:variant>
      <vt:variant>
        <vt:i4>503</vt:i4>
      </vt:variant>
      <vt:variant>
        <vt:i4>0</vt:i4>
      </vt:variant>
      <vt:variant>
        <vt:i4>5</vt:i4>
      </vt:variant>
      <vt:variant>
        <vt:lpwstr/>
      </vt:variant>
      <vt:variant>
        <vt:lpwstr>_Toc177387950</vt:lpwstr>
      </vt:variant>
      <vt:variant>
        <vt:i4>1048631</vt:i4>
      </vt:variant>
      <vt:variant>
        <vt:i4>497</vt:i4>
      </vt:variant>
      <vt:variant>
        <vt:i4>0</vt:i4>
      </vt:variant>
      <vt:variant>
        <vt:i4>5</vt:i4>
      </vt:variant>
      <vt:variant>
        <vt:lpwstr/>
      </vt:variant>
      <vt:variant>
        <vt:lpwstr>_Toc177387949</vt:lpwstr>
      </vt:variant>
      <vt:variant>
        <vt:i4>1048631</vt:i4>
      </vt:variant>
      <vt:variant>
        <vt:i4>491</vt:i4>
      </vt:variant>
      <vt:variant>
        <vt:i4>0</vt:i4>
      </vt:variant>
      <vt:variant>
        <vt:i4>5</vt:i4>
      </vt:variant>
      <vt:variant>
        <vt:lpwstr/>
      </vt:variant>
      <vt:variant>
        <vt:lpwstr>_Toc177387948</vt:lpwstr>
      </vt:variant>
      <vt:variant>
        <vt:i4>1048631</vt:i4>
      </vt:variant>
      <vt:variant>
        <vt:i4>485</vt:i4>
      </vt:variant>
      <vt:variant>
        <vt:i4>0</vt:i4>
      </vt:variant>
      <vt:variant>
        <vt:i4>5</vt:i4>
      </vt:variant>
      <vt:variant>
        <vt:lpwstr/>
      </vt:variant>
      <vt:variant>
        <vt:lpwstr>_Toc177387947</vt:lpwstr>
      </vt:variant>
      <vt:variant>
        <vt:i4>1048631</vt:i4>
      </vt:variant>
      <vt:variant>
        <vt:i4>479</vt:i4>
      </vt:variant>
      <vt:variant>
        <vt:i4>0</vt:i4>
      </vt:variant>
      <vt:variant>
        <vt:i4>5</vt:i4>
      </vt:variant>
      <vt:variant>
        <vt:lpwstr/>
      </vt:variant>
      <vt:variant>
        <vt:lpwstr>_Toc177387946</vt:lpwstr>
      </vt:variant>
      <vt:variant>
        <vt:i4>1048631</vt:i4>
      </vt:variant>
      <vt:variant>
        <vt:i4>473</vt:i4>
      </vt:variant>
      <vt:variant>
        <vt:i4>0</vt:i4>
      </vt:variant>
      <vt:variant>
        <vt:i4>5</vt:i4>
      </vt:variant>
      <vt:variant>
        <vt:lpwstr/>
      </vt:variant>
      <vt:variant>
        <vt:lpwstr>_Toc177387945</vt:lpwstr>
      </vt:variant>
      <vt:variant>
        <vt:i4>1048631</vt:i4>
      </vt:variant>
      <vt:variant>
        <vt:i4>467</vt:i4>
      </vt:variant>
      <vt:variant>
        <vt:i4>0</vt:i4>
      </vt:variant>
      <vt:variant>
        <vt:i4>5</vt:i4>
      </vt:variant>
      <vt:variant>
        <vt:lpwstr/>
      </vt:variant>
      <vt:variant>
        <vt:lpwstr>_Toc177387944</vt:lpwstr>
      </vt:variant>
      <vt:variant>
        <vt:i4>1048631</vt:i4>
      </vt:variant>
      <vt:variant>
        <vt:i4>461</vt:i4>
      </vt:variant>
      <vt:variant>
        <vt:i4>0</vt:i4>
      </vt:variant>
      <vt:variant>
        <vt:i4>5</vt:i4>
      </vt:variant>
      <vt:variant>
        <vt:lpwstr/>
      </vt:variant>
      <vt:variant>
        <vt:lpwstr>_Toc177387943</vt:lpwstr>
      </vt:variant>
      <vt:variant>
        <vt:i4>1048631</vt:i4>
      </vt:variant>
      <vt:variant>
        <vt:i4>455</vt:i4>
      </vt:variant>
      <vt:variant>
        <vt:i4>0</vt:i4>
      </vt:variant>
      <vt:variant>
        <vt:i4>5</vt:i4>
      </vt:variant>
      <vt:variant>
        <vt:lpwstr/>
      </vt:variant>
      <vt:variant>
        <vt:lpwstr>_Toc177387942</vt:lpwstr>
      </vt:variant>
      <vt:variant>
        <vt:i4>1048631</vt:i4>
      </vt:variant>
      <vt:variant>
        <vt:i4>449</vt:i4>
      </vt:variant>
      <vt:variant>
        <vt:i4>0</vt:i4>
      </vt:variant>
      <vt:variant>
        <vt:i4>5</vt:i4>
      </vt:variant>
      <vt:variant>
        <vt:lpwstr/>
      </vt:variant>
      <vt:variant>
        <vt:lpwstr>_Toc177387941</vt:lpwstr>
      </vt:variant>
      <vt:variant>
        <vt:i4>1048631</vt:i4>
      </vt:variant>
      <vt:variant>
        <vt:i4>443</vt:i4>
      </vt:variant>
      <vt:variant>
        <vt:i4>0</vt:i4>
      </vt:variant>
      <vt:variant>
        <vt:i4>5</vt:i4>
      </vt:variant>
      <vt:variant>
        <vt:lpwstr/>
      </vt:variant>
      <vt:variant>
        <vt:lpwstr>_Toc177387940</vt:lpwstr>
      </vt:variant>
      <vt:variant>
        <vt:i4>1507383</vt:i4>
      </vt:variant>
      <vt:variant>
        <vt:i4>437</vt:i4>
      </vt:variant>
      <vt:variant>
        <vt:i4>0</vt:i4>
      </vt:variant>
      <vt:variant>
        <vt:i4>5</vt:i4>
      </vt:variant>
      <vt:variant>
        <vt:lpwstr/>
      </vt:variant>
      <vt:variant>
        <vt:lpwstr>_Toc177387939</vt:lpwstr>
      </vt:variant>
      <vt:variant>
        <vt:i4>1507383</vt:i4>
      </vt:variant>
      <vt:variant>
        <vt:i4>431</vt:i4>
      </vt:variant>
      <vt:variant>
        <vt:i4>0</vt:i4>
      </vt:variant>
      <vt:variant>
        <vt:i4>5</vt:i4>
      </vt:variant>
      <vt:variant>
        <vt:lpwstr/>
      </vt:variant>
      <vt:variant>
        <vt:lpwstr>_Toc177387938</vt:lpwstr>
      </vt:variant>
      <vt:variant>
        <vt:i4>1507383</vt:i4>
      </vt:variant>
      <vt:variant>
        <vt:i4>425</vt:i4>
      </vt:variant>
      <vt:variant>
        <vt:i4>0</vt:i4>
      </vt:variant>
      <vt:variant>
        <vt:i4>5</vt:i4>
      </vt:variant>
      <vt:variant>
        <vt:lpwstr/>
      </vt:variant>
      <vt:variant>
        <vt:lpwstr>_Toc177387937</vt:lpwstr>
      </vt:variant>
      <vt:variant>
        <vt:i4>1507383</vt:i4>
      </vt:variant>
      <vt:variant>
        <vt:i4>419</vt:i4>
      </vt:variant>
      <vt:variant>
        <vt:i4>0</vt:i4>
      </vt:variant>
      <vt:variant>
        <vt:i4>5</vt:i4>
      </vt:variant>
      <vt:variant>
        <vt:lpwstr/>
      </vt:variant>
      <vt:variant>
        <vt:lpwstr>_Toc177387936</vt:lpwstr>
      </vt:variant>
      <vt:variant>
        <vt:i4>1507383</vt:i4>
      </vt:variant>
      <vt:variant>
        <vt:i4>413</vt:i4>
      </vt:variant>
      <vt:variant>
        <vt:i4>0</vt:i4>
      </vt:variant>
      <vt:variant>
        <vt:i4>5</vt:i4>
      </vt:variant>
      <vt:variant>
        <vt:lpwstr/>
      </vt:variant>
      <vt:variant>
        <vt:lpwstr>_Toc177387935</vt:lpwstr>
      </vt:variant>
      <vt:variant>
        <vt:i4>1507383</vt:i4>
      </vt:variant>
      <vt:variant>
        <vt:i4>407</vt:i4>
      </vt:variant>
      <vt:variant>
        <vt:i4>0</vt:i4>
      </vt:variant>
      <vt:variant>
        <vt:i4>5</vt:i4>
      </vt:variant>
      <vt:variant>
        <vt:lpwstr/>
      </vt:variant>
      <vt:variant>
        <vt:lpwstr>_Toc177387934</vt:lpwstr>
      </vt:variant>
      <vt:variant>
        <vt:i4>1507383</vt:i4>
      </vt:variant>
      <vt:variant>
        <vt:i4>401</vt:i4>
      </vt:variant>
      <vt:variant>
        <vt:i4>0</vt:i4>
      </vt:variant>
      <vt:variant>
        <vt:i4>5</vt:i4>
      </vt:variant>
      <vt:variant>
        <vt:lpwstr/>
      </vt:variant>
      <vt:variant>
        <vt:lpwstr>_Toc177387933</vt:lpwstr>
      </vt:variant>
      <vt:variant>
        <vt:i4>1507383</vt:i4>
      </vt:variant>
      <vt:variant>
        <vt:i4>395</vt:i4>
      </vt:variant>
      <vt:variant>
        <vt:i4>0</vt:i4>
      </vt:variant>
      <vt:variant>
        <vt:i4>5</vt:i4>
      </vt:variant>
      <vt:variant>
        <vt:lpwstr/>
      </vt:variant>
      <vt:variant>
        <vt:lpwstr>_Toc177387932</vt:lpwstr>
      </vt:variant>
      <vt:variant>
        <vt:i4>1376311</vt:i4>
      </vt:variant>
      <vt:variant>
        <vt:i4>389</vt:i4>
      </vt:variant>
      <vt:variant>
        <vt:i4>0</vt:i4>
      </vt:variant>
      <vt:variant>
        <vt:i4>5</vt:i4>
      </vt:variant>
      <vt:variant>
        <vt:lpwstr/>
      </vt:variant>
      <vt:variant>
        <vt:lpwstr>_Toc177387917</vt:lpwstr>
      </vt:variant>
      <vt:variant>
        <vt:i4>1376311</vt:i4>
      </vt:variant>
      <vt:variant>
        <vt:i4>386</vt:i4>
      </vt:variant>
      <vt:variant>
        <vt:i4>0</vt:i4>
      </vt:variant>
      <vt:variant>
        <vt:i4>5</vt:i4>
      </vt:variant>
      <vt:variant>
        <vt:lpwstr/>
      </vt:variant>
      <vt:variant>
        <vt:lpwstr>_Toc177387916</vt:lpwstr>
      </vt:variant>
      <vt:variant>
        <vt:i4>1376311</vt:i4>
      </vt:variant>
      <vt:variant>
        <vt:i4>383</vt:i4>
      </vt:variant>
      <vt:variant>
        <vt:i4>0</vt:i4>
      </vt:variant>
      <vt:variant>
        <vt:i4>5</vt:i4>
      </vt:variant>
      <vt:variant>
        <vt:lpwstr/>
      </vt:variant>
      <vt:variant>
        <vt:lpwstr>_Toc177387915</vt:lpwstr>
      </vt:variant>
      <vt:variant>
        <vt:i4>1376311</vt:i4>
      </vt:variant>
      <vt:variant>
        <vt:i4>380</vt:i4>
      </vt:variant>
      <vt:variant>
        <vt:i4>0</vt:i4>
      </vt:variant>
      <vt:variant>
        <vt:i4>5</vt:i4>
      </vt:variant>
      <vt:variant>
        <vt:lpwstr/>
      </vt:variant>
      <vt:variant>
        <vt:lpwstr>_Toc177387914</vt:lpwstr>
      </vt:variant>
      <vt:variant>
        <vt:i4>1376311</vt:i4>
      </vt:variant>
      <vt:variant>
        <vt:i4>377</vt:i4>
      </vt:variant>
      <vt:variant>
        <vt:i4>0</vt:i4>
      </vt:variant>
      <vt:variant>
        <vt:i4>5</vt:i4>
      </vt:variant>
      <vt:variant>
        <vt:lpwstr/>
      </vt:variant>
      <vt:variant>
        <vt:lpwstr>_Toc177387913</vt:lpwstr>
      </vt:variant>
      <vt:variant>
        <vt:i4>1376311</vt:i4>
      </vt:variant>
      <vt:variant>
        <vt:i4>374</vt:i4>
      </vt:variant>
      <vt:variant>
        <vt:i4>0</vt:i4>
      </vt:variant>
      <vt:variant>
        <vt:i4>5</vt:i4>
      </vt:variant>
      <vt:variant>
        <vt:lpwstr/>
      </vt:variant>
      <vt:variant>
        <vt:lpwstr>_Toc177387912</vt:lpwstr>
      </vt:variant>
      <vt:variant>
        <vt:i4>1376311</vt:i4>
      </vt:variant>
      <vt:variant>
        <vt:i4>368</vt:i4>
      </vt:variant>
      <vt:variant>
        <vt:i4>0</vt:i4>
      </vt:variant>
      <vt:variant>
        <vt:i4>5</vt:i4>
      </vt:variant>
      <vt:variant>
        <vt:lpwstr/>
      </vt:variant>
      <vt:variant>
        <vt:lpwstr>_Toc177387911</vt:lpwstr>
      </vt:variant>
      <vt:variant>
        <vt:i4>1376311</vt:i4>
      </vt:variant>
      <vt:variant>
        <vt:i4>362</vt:i4>
      </vt:variant>
      <vt:variant>
        <vt:i4>0</vt:i4>
      </vt:variant>
      <vt:variant>
        <vt:i4>5</vt:i4>
      </vt:variant>
      <vt:variant>
        <vt:lpwstr/>
      </vt:variant>
      <vt:variant>
        <vt:lpwstr>_Toc177387910</vt:lpwstr>
      </vt:variant>
      <vt:variant>
        <vt:i4>1310775</vt:i4>
      </vt:variant>
      <vt:variant>
        <vt:i4>356</vt:i4>
      </vt:variant>
      <vt:variant>
        <vt:i4>0</vt:i4>
      </vt:variant>
      <vt:variant>
        <vt:i4>5</vt:i4>
      </vt:variant>
      <vt:variant>
        <vt:lpwstr/>
      </vt:variant>
      <vt:variant>
        <vt:lpwstr>_Toc177387906</vt:lpwstr>
      </vt:variant>
      <vt:variant>
        <vt:i4>1310775</vt:i4>
      </vt:variant>
      <vt:variant>
        <vt:i4>350</vt:i4>
      </vt:variant>
      <vt:variant>
        <vt:i4>0</vt:i4>
      </vt:variant>
      <vt:variant>
        <vt:i4>5</vt:i4>
      </vt:variant>
      <vt:variant>
        <vt:lpwstr/>
      </vt:variant>
      <vt:variant>
        <vt:lpwstr>_Toc177387901</vt:lpwstr>
      </vt:variant>
      <vt:variant>
        <vt:i4>1900598</vt:i4>
      </vt:variant>
      <vt:variant>
        <vt:i4>344</vt:i4>
      </vt:variant>
      <vt:variant>
        <vt:i4>0</vt:i4>
      </vt:variant>
      <vt:variant>
        <vt:i4>5</vt:i4>
      </vt:variant>
      <vt:variant>
        <vt:lpwstr/>
      </vt:variant>
      <vt:variant>
        <vt:lpwstr>_Toc177387894</vt:lpwstr>
      </vt:variant>
      <vt:variant>
        <vt:i4>1900598</vt:i4>
      </vt:variant>
      <vt:variant>
        <vt:i4>338</vt:i4>
      </vt:variant>
      <vt:variant>
        <vt:i4>0</vt:i4>
      </vt:variant>
      <vt:variant>
        <vt:i4>5</vt:i4>
      </vt:variant>
      <vt:variant>
        <vt:lpwstr/>
      </vt:variant>
      <vt:variant>
        <vt:lpwstr>_Toc177387893</vt:lpwstr>
      </vt:variant>
      <vt:variant>
        <vt:i4>1900598</vt:i4>
      </vt:variant>
      <vt:variant>
        <vt:i4>332</vt:i4>
      </vt:variant>
      <vt:variant>
        <vt:i4>0</vt:i4>
      </vt:variant>
      <vt:variant>
        <vt:i4>5</vt:i4>
      </vt:variant>
      <vt:variant>
        <vt:lpwstr/>
      </vt:variant>
      <vt:variant>
        <vt:lpwstr>_Toc177387892</vt:lpwstr>
      </vt:variant>
      <vt:variant>
        <vt:i4>1900598</vt:i4>
      </vt:variant>
      <vt:variant>
        <vt:i4>326</vt:i4>
      </vt:variant>
      <vt:variant>
        <vt:i4>0</vt:i4>
      </vt:variant>
      <vt:variant>
        <vt:i4>5</vt:i4>
      </vt:variant>
      <vt:variant>
        <vt:lpwstr/>
      </vt:variant>
      <vt:variant>
        <vt:lpwstr>_Toc177387891</vt:lpwstr>
      </vt:variant>
      <vt:variant>
        <vt:i4>1900598</vt:i4>
      </vt:variant>
      <vt:variant>
        <vt:i4>320</vt:i4>
      </vt:variant>
      <vt:variant>
        <vt:i4>0</vt:i4>
      </vt:variant>
      <vt:variant>
        <vt:i4>5</vt:i4>
      </vt:variant>
      <vt:variant>
        <vt:lpwstr/>
      </vt:variant>
      <vt:variant>
        <vt:lpwstr>_Toc177387890</vt:lpwstr>
      </vt:variant>
      <vt:variant>
        <vt:i4>1835062</vt:i4>
      </vt:variant>
      <vt:variant>
        <vt:i4>314</vt:i4>
      </vt:variant>
      <vt:variant>
        <vt:i4>0</vt:i4>
      </vt:variant>
      <vt:variant>
        <vt:i4>5</vt:i4>
      </vt:variant>
      <vt:variant>
        <vt:lpwstr/>
      </vt:variant>
      <vt:variant>
        <vt:lpwstr>_Toc177387885</vt:lpwstr>
      </vt:variant>
      <vt:variant>
        <vt:i4>1835062</vt:i4>
      </vt:variant>
      <vt:variant>
        <vt:i4>308</vt:i4>
      </vt:variant>
      <vt:variant>
        <vt:i4>0</vt:i4>
      </vt:variant>
      <vt:variant>
        <vt:i4>5</vt:i4>
      </vt:variant>
      <vt:variant>
        <vt:lpwstr/>
      </vt:variant>
      <vt:variant>
        <vt:lpwstr>_Toc177387884</vt:lpwstr>
      </vt:variant>
      <vt:variant>
        <vt:i4>1245238</vt:i4>
      </vt:variant>
      <vt:variant>
        <vt:i4>302</vt:i4>
      </vt:variant>
      <vt:variant>
        <vt:i4>0</vt:i4>
      </vt:variant>
      <vt:variant>
        <vt:i4>5</vt:i4>
      </vt:variant>
      <vt:variant>
        <vt:lpwstr/>
      </vt:variant>
      <vt:variant>
        <vt:lpwstr>_Toc177387879</vt:lpwstr>
      </vt:variant>
      <vt:variant>
        <vt:i4>1245238</vt:i4>
      </vt:variant>
      <vt:variant>
        <vt:i4>296</vt:i4>
      </vt:variant>
      <vt:variant>
        <vt:i4>0</vt:i4>
      </vt:variant>
      <vt:variant>
        <vt:i4>5</vt:i4>
      </vt:variant>
      <vt:variant>
        <vt:lpwstr/>
      </vt:variant>
      <vt:variant>
        <vt:lpwstr>_Toc177387874</vt:lpwstr>
      </vt:variant>
      <vt:variant>
        <vt:i4>1179702</vt:i4>
      </vt:variant>
      <vt:variant>
        <vt:i4>290</vt:i4>
      </vt:variant>
      <vt:variant>
        <vt:i4>0</vt:i4>
      </vt:variant>
      <vt:variant>
        <vt:i4>5</vt:i4>
      </vt:variant>
      <vt:variant>
        <vt:lpwstr/>
      </vt:variant>
      <vt:variant>
        <vt:lpwstr>_Toc177387869</vt:lpwstr>
      </vt:variant>
      <vt:variant>
        <vt:i4>1179702</vt:i4>
      </vt:variant>
      <vt:variant>
        <vt:i4>284</vt:i4>
      </vt:variant>
      <vt:variant>
        <vt:i4>0</vt:i4>
      </vt:variant>
      <vt:variant>
        <vt:i4>5</vt:i4>
      </vt:variant>
      <vt:variant>
        <vt:lpwstr/>
      </vt:variant>
      <vt:variant>
        <vt:lpwstr>_Toc177387868</vt:lpwstr>
      </vt:variant>
      <vt:variant>
        <vt:i4>1179702</vt:i4>
      </vt:variant>
      <vt:variant>
        <vt:i4>278</vt:i4>
      </vt:variant>
      <vt:variant>
        <vt:i4>0</vt:i4>
      </vt:variant>
      <vt:variant>
        <vt:i4>5</vt:i4>
      </vt:variant>
      <vt:variant>
        <vt:lpwstr/>
      </vt:variant>
      <vt:variant>
        <vt:lpwstr>_Toc177387867</vt:lpwstr>
      </vt:variant>
      <vt:variant>
        <vt:i4>1179702</vt:i4>
      </vt:variant>
      <vt:variant>
        <vt:i4>272</vt:i4>
      </vt:variant>
      <vt:variant>
        <vt:i4>0</vt:i4>
      </vt:variant>
      <vt:variant>
        <vt:i4>5</vt:i4>
      </vt:variant>
      <vt:variant>
        <vt:lpwstr/>
      </vt:variant>
      <vt:variant>
        <vt:lpwstr>_Toc177387866</vt:lpwstr>
      </vt:variant>
      <vt:variant>
        <vt:i4>1179702</vt:i4>
      </vt:variant>
      <vt:variant>
        <vt:i4>266</vt:i4>
      </vt:variant>
      <vt:variant>
        <vt:i4>0</vt:i4>
      </vt:variant>
      <vt:variant>
        <vt:i4>5</vt:i4>
      </vt:variant>
      <vt:variant>
        <vt:lpwstr/>
      </vt:variant>
      <vt:variant>
        <vt:lpwstr>_Toc177387865</vt:lpwstr>
      </vt:variant>
      <vt:variant>
        <vt:i4>1179702</vt:i4>
      </vt:variant>
      <vt:variant>
        <vt:i4>260</vt:i4>
      </vt:variant>
      <vt:variant>
        <vt:i4>0</vt:i4>
      </vt:variant>
      <vt:variant>
        <vt:i4>5</vt:i4>
      </vt:variant>
      <vt:variant>
        <vt:lpwstr/>
      </vt:variant>
      <vt:variant>
        <vt:lpwstr>_Toc177387864</vt:lpwstr>
      </vt:variant>
      <vt:variant>
        <vt:i4>1114166</vt:i4>
      </vt:variant>
      <vt:variant>
        <vt:i4>254</vt:i4>
      </vt:variant>
      <vt:variant>
        <vt:i4>0</vt:i4>
      </vt:variant>
      <vt:variant>
        <vt:i4>5</vt:i4>
      </vt:variant>
      <vt:variant>
        <vt:lpwstr/>
      </vt:variant>
      <vt:variant>
        <vt:lpwstr>_Toc177387858</vt:lpwstr>
      </vt:variant>
      <vt:variant>
        <vt:i4>1114166</vt:i4>
      </vt:variant>
      <vt:variant>
        <vt:i4>248</vt:i4>
      </vt:variant>
      <vt:variant>
        <vt:i4>0</vt:i4>
      </vt:variant>
      <vt:variant>
        <vt:i4>5</vt:i4>
      </vt:variant>
      <vt:variant>
        <vt:lpwstr/>
      </vt:variant>
      <vt:variant>
        <vt:lpwstr>_Toc177387857</vt:lpwstr>
      </vt:variant>
      <vt:variant>
        <vt:i4>1114166</vt:i4>
      </vt:variant>
      <vt:variant>
        <vt:i4>242</vt:i4>
      </vt:variant>
      <vt:variant>
        <vt:i4>0</vt:i4>
      </vt:variant>
      <vt:variant>
        <vt:i4>5</vt:i4>
      </vt:variant>
      <vt:variant>
        <vt:lpwstr/>
      </vt:variant>
      <vt:variant>
        <vt:lpwstr>_Toc177387852</vt:lpwstr>
      </vt:variant>
      <vt:variant>
        <vt:i4>1114166</vt:i4>
      </vt:variant>
      <vt:variant>
        <vt:i4>236</vt:i4>
      </vt:variant>
      <vt:variant>
        <vt:i4>0</vt:i4>
      </vt:variant>
      <vt:variant>
        <vt:i4>5</vt:i4>
      </vt:variant>
      <vt:variant>
        <vt:lpwstr/>
      </vt:variant>
      <vt:variant>
        <vt:lpwstr>_Toc177387851</vt:lpwstr>
      </vt:variant>
      <vt:variant>
        <vt:i4>1114166</vt:i4>
      </vt:variant>
      <vt:variant>
        <vt:i4>230</vt:i4>
      </vt:variant>
      <vt:variant>
        <vt:i4>0</vt:i4>
      </vt:variant>
      <vt:variant>
        <vt:i4>5</vt:i4>
      </vt:variant>
      <vt:variant>
        <vt:lpwstr/>
      </vt:variant>
      <vt:variant>
        <vt:lpwstr>_Toc177387850</vt:lpwstr>
      </vt:variant>
      <vt:variant>
        <vt:i4>1048630</vt:i4>
      </vt:variant>
      <vt:variant>
        <vt:i4>224</vt:i4>
      </vt:variant>
      <vt:variant>
        <vt:i4>0</vt:i4>
      </vt:variant>
      <vt:variant>
        <vt:i4>5</vt:i4>
      </vt:variant>
      <vt:variant>
        <vt:lpwstr/>
      </vt:variant>
      <vt:variant>
        <vt:lpwstr>_Toc177387847</vt:lpwstr>
      </vt:variant>
      <vt:variant>
        <vt:i4>1048630</vt:i4>
      </vt:variant>
      <vt:variant>
        <vt:i4>218</vt:i4>
      </vt:variant>
      <vt:variant>
        <vt:i4>0</vt:i4>
      </vt:variant>
      <vt:variant>
        <vt:i4>5</vt:i4>
      </vt:variant>
      <vt:variant>
        <vt:lpwstr/>
      </vt:variant>
      <vt:variant>
        <vt:lpwstr>_Toc177387846</vt:lpwstr>
      </vt:variant>
      <vt:variant>
        <vt:i4>1048630</vt:i4>
      </vt:variant>
      <vt:variant>
        <vt:i4>212</vt:i4>
      </vt:variant>
      <vt:variant>
        <vt:i4>0</vt:i4>
      </vt:variant>
      <vt:variant>
        <vt:i4>5</vt:i4>
      </vt:variant>
      <vt:variant>
        <vt:lpwstr/>
      </vt:variant>
      <vt:variant>
        <vt:lpwstr>_Toc177387845</vt:lpwstr>
      </vt:variant>
      <vt:variant>
        <vt:i4>1048630</vt:i4>
      </vt:variant>
      <vt:variant>
        <vt:i4>206</vt:i4>
      </vt:variant>
      <vt:variant>
        <vt:i4>0</vt:i4>
      </vt:variant>
      <vt:variant>
        <vt:i4>5</vt:i4>
      </vt:variant>
      <vt:variant>
        <vt:lpwstr/>
      </vt:variant>
      <vt:variant>
        <vt:lpwstr>_Toc177387844</vt:lpwstr>
      </vt:variant>
      <vt:variant>
        <vt:i4>1048630</vt:i4>
      </vt:variant>
      <vt:variant>
        <vt:i4>200</vt:i4>
      </vt:variant>
      <vt:variant>
        <vt:i4>0</vt:i4>
      </vt:variant>
      <vt:variant>
        <vt:i4>5</vt:i4>
      </vt:variant>
      <vt:variant>
        <vt:lpwstr/>
      </vt:variant>
      <vt:variant>
        <vt:lpwstr>_Toc177387843</vt:lpwstr>
      </vt:variant>
      <vt:variant>
        <vt:i4>1048630</vt:i4>
      </vt:variant>
      <vt:variant>
        <vt:i4>194</vt:i4>
      </vt:variant>
      <vt:variant>
        <vt:i4>0</vt:i4>
      </vt:variant>
      <vt:variant>
        <vt:i4>5</vt:i4>
      </vt:variant>
      <vt:variant>
        <vt:lpwstr/>
      </vt:variant>
      <vt:variant>
        <vt:lpwstr>_Toc177387842</vt:lpwstr>
      </vt:variant>
      <vt:variant>
        <vt:i4>1048630</vt:i4>
      </vt:variant>
      <vt:variant>
        <vt:i4>188</vt:i4>
      </vt:variant>
      <vt:variant>
        <vt:i4>0</vt:i4>
      </vt:variant>
      <vt:variant>
        <vt:i4>5</vt:i4>
      </vt:variant>
      <vt:variant>
        <vt:lpwstr/>
      </vt:variant>
      <vt:variant>
        <vt:lpwstr>_Toc177387841</vt:lpwstr>
      </vt:variant>
      <vt:variant>
        <vt:i4>1048630</vt:i4>
      </vt:variant>
      <vt:variant>
        <vt:i4>182</vt:i4>
      </vt:variant>
      <vt:variant>
        <vt:i4>0</vt:i4>
      </vt:variant>
      <vt:variant>
        <vt:i4>5</vt:i4>
      </vt:variant>
      <vt:variant>
        <vt:lpwstr/>
      </vt:variant>
      <vt:variant>
        <vt:lpwstr>_Toc177387840</vt:lpwstr>
      </vt:variant>
      <vt:variant>
        <vt:i4>1507382</vt:i4>
      </vt:variant>
      <vt:variant>
        <vt:i4>176</vt:i4>
      </vt:variant>
      <vt:variant>
        <vt:i4>0</vt:i4>
      </vt:variant>
      <vt:variant>
        <vt:i4>5</vt:i4>
      </vt:variant>
      <vt:variant>
        <vt:lpwstr/>
      </vt:variant>
      <vt:variant>
        <vt:lpwstr>_Toc177387839</vt:lpwstr>
      </vt:variant>
      <vt:variant>
        <vt:i4>1507382</vt:i4>
      </vt:variant>
      <vt:variant>
        <vt:i4>170</vt:i4>
      </vt:variant>
      <vt:variant>
        <vt:i4>0</vt:i4>
      </vt:variant>
      <vt:variant>
        <vt:i4>5</vt:i4>
      </vt:variant>
      <vt:variant>
        <vt:lpwstr/>
      </vt:variant>
      <vt:variant>
        <vt:lpwstr>_Toc177387838</vt:lpwstr>
      </vt:variant>
      <vt:variant>
        <vt:i4>1507382</vt:i4>
      </vt:variant>
      <vt:variant>
        <vt:i4>164</vt:i4>
      </vt:variant>
      <vt:variant>
        <vt:i4>0</vt:i4>
      </vt:variant>
      <vt:variant>
        <vt:i4>5</vt:i4>
      </vt:variant>
      <vt:variant>
        <vt:lpwstr/>
      </vt:variant>
      <vt:variant>
        <vt:lpwstr>_Toc177387837</vt:lpwstr>
      </vt:variant>
      <vt:variant>
        <vt:i4>1507382</vt:i4>
      </vt:variant>
      <vt:variant>
        <vt:i4>158</vt:i4>
      </vt:variant>
      <vt:variant>
        <vt:i4>0</vt:i4>
      </vt:variant>
      <vt:variant>
        <vt:i4>5</vt:i4>
      </vt:variant>
      <vt:variant>
        <vt:lpwstr/>
      </vt:variant>
      <vt:variant>
        <vt:lpwstr>_Toc177387836</vt:lpwstr>
      </vt:variant>
      <vt:variant>
        <vt:i4>1507382</vt:i4>
      </vt:variant>
      <vt:variant>
        <vt:i4>152</vt:i4>
      </vt:variant>
      <vt:variant>
        <vt:i4>0</vt:i4>
      </vt:variant>
      <vt:variant>
        <vt:i4>5</vt:i4>
      </vt:variant>
      <vt:variant>
        <vt:lpwstr/>
      </vt:variant>
      <vt:variant>
        <vt:lpwstr>_Toc177387835</vt:lpwstr>
      </vt:variant>
      <vt:variant>
        <vt:i4>1507382</vt:i4>
      </vt:variant>
      <vt:variant>
        <vt:i4>146</vt:i4>
      </vt:variant>
      <vt:variant>
        <vt:i4>0</vt:i4>
      </vt:variant>
      <vt:variant>
        <vt:i4>5</vt:i4>
      </vt:variant>
      <vt:variant>
        <vt:lpwstr/>
      </vt:variant>
      <vt:variant>
        <vt:lpwstr>_Toc177387834</vt:lpwstr>
      </vt:variant>
      <vt:variant>
        <vt:i4>1441846</vt:i4>
      </vt:variant>
      <vt:variant>
        <vt:i4>140</vt:i4>
      </vt:variant>
      <vt:variant>
        <vt:i4>0</vt:i4>
      </vt:variant>
      <vt:variant>
        <vt:i4>5</vt:i4>
      </vt:variant>
      <vt:variant>
        <vt:lpwstr/>
      </vt:variant>
      <vt:variant>
        <vt:lpwstr>_Toc177387829</vt:lpwstr>
      </vt:variant>
      <vt:variant>
        <vt:i4>1441846</vt:i4>
      </vt:variant>
      <vt:variant>
        <vt:i4>134</vt:i4>
      </vt:variant>
      <vt:variant>
        <vt:i4>0</vt:i4>
      </vt:variant>
      <vt:variant>
        <vt:i4>5</vt:i4>
      </vt:variant>
      <vt:variant>
        <vt:lpwstr/>
      </vt:variant>
      <vt:variant>
        <vt:lpwstr>_Toc177387824</vt:lpwstr>
      </vt:variant>
      <vt:variant>
        <vt:i4>1441846</vt:i4>
      </vt:variant>
      <vt:variant>
        <vt:i4>128</vt:i4>
      </vt:variant>
      <vt:variant>
        <vt:i4>0</vt:i4>
      </vt:variant>
      <vt:variant>
        <vt:i4>5</vt:i4>
      </vt:variant>
      <vt:variant>
        <vt:lpwstr/>
      </vt:variant>
      <vt:variant>
        <vt:lpwstr>_Toc177387823</vt:lpwstr>
      </vt:variant>
      <vt:variant>
        <vt:i4>1441846</vt:i4>
      </vt:variant>
      <vt:variant>
        <vt:i4>122</vt:i4>
      </vt:variant>
      <vt:variant>
        <vt:i4>0</vt:i4>
      </vt:variant>
      <vt:variant>
        <vt:i4>5</vt:i4>
      </vt:variant>
      <vt:variant>
        <vt:lpwstr/>
      </vt:variant>
      <vt:variant>
        <vt:lpwstr>_Toc177387822</vt:lpwstr>
      </vt:variant>
      <vt:variant>
        <vt:i4>1441846</vt:i4>
      </vt:variant>
      <vt:variant>
        <vt:i4>116</vt:i4>
      </vt:variant>
      <vt:variant>
        <vt:i4>0</vt:i4>
      </vt:variant>
      <vt:variant>
        <vt:i4>5</vt:i4>
      </vt:variant>
      <vt:variant>
        <vt:lpwstr/>
      </vt:variant>
      <vt:variant>
        <vt:lpwstr>_Toc177387821</vt:lpwstr>
      </vt:variant>
      <vt:variant>
        <vt:i4>1441846</vt:i4>
      </vt:variant>
      <vt:variant>
        <vt:i4>110</vt:i4>
      </vt:variant>
      <vt:variant>
        <vt:i4>0</vt:i4>
      </vt:variant>
      <vt:variant>
        <vt:i4>5</vt:i4>
      </vt:variant>
      <vt:variant>
        <vt:lpwstr/>
      </vt:variant>
      <vt:variant>
        <vt:lpwstr>_Toc177387820</vt:lpwstr>
      </vt:variant>
      <vt:variant>
        <vt:i4>1376310</vt:i4>
      </vt:variant>
      <vt:variant>
        <vt:i4>104</vt:i4>
      </vt:variant>
      <vt:variant>
        <vt:i4>0</vt:i4>
      </vt:variant>
      <vt:variant>
        <vt:i4>5</vt:i4>
      </vt:variant>
      <vt:variant>
        <vt:lpwstr/>
      </vt:variant>
      <vt:variant>
        <vt:lpwstr>_Toc177387819</vt:lpwstr>
      </vt:variant>
      <vt:variant>
        <vt:i4>1376310</vt:i4>
      </vt:variant>
      <vt:variant>
        <vt:i4>98</vt:i4>
      </vt:variant>
      <vt:variant>
        <vt:i4>0</vt:i4>
      </vt:variant>
      <vt:variant>
        <vt:i4>5</vt:i4>
      </vt:variant>
      <vt:variant>
        <vt:lpwstr/>
      </vt:variant>
      <vt:variant>
        <vt:lpwstr>_Toc177387818</vt:lpwstr>
      </vt:variant>
      <vt:variant>
        <vt:i4>1376310</vt:i4>
      </vt:variant>
      <vt:variant>
        <vt:i4>92</vt:i4>
      </vt:variant>
      <vt:variant>
        <vt:i4>0</vt:i4>
      </vt:variant>
      <vt:variant>
        <vt:i4>5</vt:i4>
      </vt:variant>
      <vt:variant>
        <vt:lpwstr/>
      </vt:variant>
      <vt:variant>
        <vt:lpwstr>_Toc177387817</vt:lpwstr>
      </vt:variant>
      <vt:variant>
        <vt:i4>1376310</vt:i4>
      </vt:variant>
      <vt:variant>
        <vt:i4>86</vt:i4>
      </vt:variant>
      <vt:variant>
        <vt:i4>0</vt:i4>
      </vt:variant>
      <vt:variant>
        <vt:i4>5</vt:i4>
      </vt:variant>
      <vt:variant>
        <vt:lpwstr/>
      </vt:variant>
      <vt:variant>
        <vt:lpwstr>_Toc177387816</vt:lpwstr>
      </vt:variant>
      <vt:variant>
        <vt:i4>1376310</vt:i4>
      </vt:variant>
      <vt:variant>
        <vt:i4>80</vt:i4>
      </vt:variant>
      <vt:variant>
        <vt:i4>0</vt:i4>
      </vt:variant>
      <vt:variant>
        <vt:i4>5</vt:i4>
      </vt:variant>
      <vt:variant>
        <vt:lpwstr/>
      </vt:variant>
      <vt:variant>
        <vt:lpwstr>_Toc177387814</vt:lpwstr>
      </vt:variant>
      <vt:variant>
        <vt:i4>1376310</vt:i4>
      </vt:variant>
      <vt:variant>
        <vt:i4>74</vt:i4>
      </vt:variant>
      <vt:variant>
        <vt:i4>0</vt:i4>
      </vt:variant>
      <vt:variant>
        <vt:i4>5</vt:i4>
      </vt:variant>
      <vt:variant>
        <vt:lpwstr/>
      </vt:variant>
      <vt:variant>
        <vt:lpwstr>_Toc177387813</vt:lpwstr>
      </vt:variant>
      <vt:variant>
        <vt:i4>1310774</vt:i4>
      </vt:variant>
      <vt:variant>
        <vt:i4>68</vt:i4>
      </vt:variant>
      <vt:variant>
        <vt:i4>0</vt:i4>
      </vt:variant>
      <vt:variant>
        <vt:i4>5</vt:i4>
      </vt:variant>
      <vt:variant>
        <vt:lpwstr/>
      </vt:variant>
      <vt:variant>
        <vt:lpwstr>_Toc177387807</vt:lpwstr>
      </vt:variant>
      <vt:variant>
        <vt:i4>1310774</vt:i4>
      </vt:variant>
      <vt:variant>
        <vt:i4>62</vt:i4>
      </vt:variant>
      <vt:variant>
        <vt:i4>0</vt:i4>
      </vt:variant>
      <vt:variant>
        <vt:i4>5</vt:i4>
      </vt:variant>
      <vt:variant>
        <vt:lpwstr/>
      </vt:variant>
      <vt:variant>
        <vt:lpwstr>_Toc177387806</vt:lpwstr>
      </vt:variant>
      <vt:variant>
        <vt:i4>1310774</vt:i4>
      </vt:variant>
      <vt:variant>
        <vt:i4>56</vt:i4>
      </vt:variant>
      <vt:variant>
        <vt:i4>0</vt:i4>
      </vt:variant>
      <vt:variant>
        <vt:i4>5</vt:i4>
      </vt:variant>
      <vt:variant>
        <vt:lpwstr/>
      </vt:variant>
      <vt:variant>
        <vt:lpwstr>_Toc177387805</vt:lpwstr>
      </vt:variant>
      <vt:variant>
        <vt:i4>1310774</vt:i4>
      </vt:variant>
      <vt:variant>
        <vt:i4>50</vt:i4>
      </vt:variant>
      <vt:variant>
        <vt:i4>0</vt:i4>
      </vt:variant>
      <vt:variant>
        <vt:i4>5</vt:i4>
      </vt:variant>
      <vt:variant>
        <vt:lpwstr/>
      </vt:variant>
      <vt:variant>
        <vt:lpwstr>_Toc177387804</vt:lpwstr>
      </vt:variant>
      <vt:variant>
        <vt:i4>1310774</vt:i4>
      </vt:variant>
      <vt:variant>
        <vt:i4>44</vt:i4>
      </vt:variant>
      <vt:variant>
        <vt:i4>0</vt:i4>
      </vt:variant>
      <vt:variant>
        <vt:i4>5</vt:i4>
      </vt:variant>
      <vt:variant>
        <vt:lpwstr/>
      </vt:variant>
      <vt:variant>
        <vt:lpwstr>_Toc177387803</vt:lpwstr>
      </vt:variant>
      <vt:variant>
        <vt:i4>1310774</vt:i4>
      </vt:variant>
      <vt:variant>
        <vt:i4>38</vt:i4>
      </vt:variant>
      <vt:variant>
        <vt:i4>0</vt:i4>
      </vt:variant>
      <vt:variant>
        <vt:i4>5</vt:i4>
      </vt:variant>
      <vt:variant>
        <vt:lpwstr/>
      </vt:variant>
      <vt:variant>
        <vt:lpwstr>_Toc177387802</vt:lpwstr>
      </vt:variant>
      <vt:variant>
        <vt:i4>1310774</vt:i4>
      </vt:variant>
      <vt:variant>
        <vt:i4>32</vt:i4>
      </vt:variant>
      <vt:variant>
        <vt:i4>0</vt:i4>
      </vt:variant>
      <vt:variant>
        <vt:i4>5</vt:i4>
      </vt:variant>
      <vt:variant>
        <vt:lpwstr/>
      </vt:variant>
      <vt:variant>
        <vt:lpwstr>_Toc177387801</vt:lpwstr>
      </vt:variant>
      <vt:variant>
        <vt:i4>1310774</vt:i4>
      </vt:variant>
      <vt:variant>
        <vt:i4>26</vt:i4>
      </vt:variant>
      <vt:variant>
        <vt:i4>0</vt:i4>
      </vt:variant>
      <vt:variant>
        <vt:i4>5</vt:i4>
      </vt:variant>
      <vt:variant>
        <vt:lpwstr/>
      </vt:variant>
      <vt:variant>
        <vt:lpwstr>_Toc177387800</vt:lpwstr>
      </vt:variant>
      <vt:variant>
        <vt:i4>1900601</vt:i4>
      </vt:variant>
      <vt:variant>
        <vt:i4>20</vt:i4>
      </vt:variant>
      <vt:variant>
        <vt:i4>0</vt:i4>
      </vt:variant>
      <vt:variant>
        <vt:i4>5</vt:i4>
      </vt:variant>
      <vt:variant>
        <vt:lpwstr/>
      </vt:variant>
      <vt:variant>
        <vt:lpwstr>_Toc177387799</vt:lpwstr>
      </vt:variant>
      <vt:variant>
        <vt:i4>1900601</vt:i4>
      </vt:variant>
      <vt:variant>
        <vt:i4>14</vt:i4>
      </vt:variant>
      <vt:variant>
        <vt:i4>0</vt:i4>
      </vt:variant>
      <vt:variant>
        <vt:i4>5</vt:i4>
      </vt:variant>
      <vt:variant>
        <vt:lpwstr/>
      </vt:variant>
      <vt:variant>
        <vt:lpwstr>_Toc177387798</vt:lpwstr>
      </vt:variant>
      <vt:variant>
        <vt:i4>1900601</vt:i4>
      </vt:variant>
      <vt:variant>
        <vt:i4>8</vt:i4>
      </vt:variant>
      <vt:variant>
        <vt:i4>0</vt:i4>
      </vt:variant>
      <vt:variant>
        <vt:i4>5</vt:i4>
      </vt:variant>
      <vt:variant>
        <vt:lpwstr/>
      </vt:variant>
      <vt:variant>
        <vt:lpwstr>_Toc177387797</vt:lpwstr>
      </vt:variant>
      <vt:variant>
        <vt:i4>1900601</vt:i4>
      </vt:variant>
      <vt:variant>
        <vt:i4>2</vt:i4>
      </vt:variant>
      <vt:variant>
        <vt:i4>0</vt:i4>
      </vt:variant>
      <vt:variant>
        <vt:i4>5</vt:i4>
      </vt:variant>
      <vt:variant>
        <vt:lpwstr/>
      </vt:variant>
      <vt:variant>
        <vt:lpwstr>_Toc177387796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JKimote</dc:creator>
  <cp:keywords/>
  <dc:description/>
  <cp:lastModifiedBy>Collo Trevoh</cp:lastModifiedBy>
  <cp:revision>2</cp:revision>
  <cp:lastPrinted>2023-12-10T05:15:00Z</cp:lastPrinted>
  <dcterms:created xsi:type="dcterms:W3CDTF">2024-10-14T04:41:00Z</dcterms:created>
  <dcterms:modified xsi:type="dcterms:W3CDTF">2024-10-14T04:41:00Z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1033-11.2.0.11536</vt:lpwstr>
  </property>
  <property fmtid="{D5CDD505-2E9C-101B-9397-08002B2CF9AE}" pid="3" name="ICV">
    <vt:lpwstr>9417CB3C9FF04AB881C76A8C4DB2DD90</vt:lpwstr>
  </property>
  <property fmtid="{D5CDD505-2E9C-101B-9397-08002B2CF9AE}" pid="4" name="ContentTypeId">
    <vt:lpwstr>0x010100395DF24E20E6C84185A7F266F3DB84F9</vt:lpwstr>
  </property>
  <property fmtid="{D5CDD505-2E9C-101B-9397-08002B2CF9AE}" pid="5" name="GrammarlyDocumentId">
    <vt:lpwstr>a6a82d2c3ba65ab152c70552391d8e885f3c0008cb4228ee1dfb698c36f0c770</vt:lpwstr>
  </property>
</Properties>
</file>