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2AB0B7" w14:textId="45BEA1A5" w:rsidR="00267BE6" w:rsidRPr="00C0591E" w:rsidRDefault="00D80AC6" w:rsidP="00267BE6">
      <w:pPr>
        <w:shd w:val="clear" w:color="auto" w:fill="FFFFFF"/>
        <w:spacing w:after="0"/>
        <w:jc w:val="center"/>
        <w:rPr>
          <w:rFonts w:eastAsia="Times New Roman" w:cs="Times New Roman"/>
          <w:b/>
          <w:color w:val="222222"/>
          <w:szCs w:val="19"/>
        </w:rPr>
      </w:pPr>
      <w:bookmarkStart w:id="0" w:name="_Hlk508645632"/>
      <w:bookmarkStart w:id="1" w:name="_Toc494642999"/>
      <w:r>
        <w:rPr>
          <w:rFonts w:eastAsia="Times New Roman" w:cs="Times New Roman"/>
          <w:b/>
          <w:color w:val="222222"/>
          <w:szCs w:val="19"/>
        </w:rPr>
        <w:t xml:space="preserve">PILLARS OF </w:t>
      </w:r>
      <w:r w:rsidR="00267BE6" w:rsidRPr="00C0591E">
        <w:rPr>
          <w:rFonts w:eastAsia="Times New Roman" w:cs="Times New Roman"/>
          <w:b/>
          <w:color w:val="222222"/>
          <w:szCs w:val="19"/>
        </w:rPr>
        <w:t xml:space="preserve">CORPORATE GOVERNANCE, INVESTMENT POLICIES, </w:t>
      </w:r>
      <w:r w:rsidR="00267BE6" w:rsidRPr="00C0591E">
        <w:rPr>
          <w:rFonts w:cs="Times New Roman"/>
          <w:b/>
          <w:color w:val="000000"/>
          <w:szCs w:val="24"/>
          <w:lang w:val="en-GB"/>
        </w:rPr>
        <w:t xml:space="preserve">GOVERNMENT </w:t>
      </w:r>
      <w:r w:rsidR="00267BE6" w:rsidRPr="00C0591E">
        <w:rPr>
          <w:rFonts w:eastAsia="Times New Roman" w:cs="Times New Roman"/>
          <w:b/>
          <w:color w:val="222222"/>
          <w:szCs w:val="19"/>
        </w:rPr>
        <w:t>REGULATION</w:t>
      </w:r>
      <w:r w:rsidR="00CB70A7" w:rsidRPr="00C0591E">
        <w:rPr>
          <w:rFonts w:eastAsia="Times New Roman" w:cs="Times New Roman"/>
          <w:b/>
          <w:color w:val="222222"/>
          <w:szCs w:val="19"/>
        </w:rPr>
        <w:t>S</w:t>
      </w:r>
      <w:r w:rsidR="00267BE6" w:rsidRPr="00C0591E">
        <w:rPr>
          <w:rFonts w:eastAsia="Times New Roman" w:cs="Times New Roman"/>
          <w:b/>
          <w:color w:val="222222"/>
          <w:szCs w:val="19"/>
        </w:rPr>
        <w:t xml:space="preserve"> AND PERFORMANCE </w:t>
      </w:r>
      <w:bookmarkEnd w:id="0"/>
      <w:r w:rsidR="00267BE6" w:rsidRPr="00C0591E">
        <w:rPr>
          <w:rFonts w:eastAsia="Times New Roman" w:cs="Times New Roman"/>
          <w:b/>
          <w:color w:val="222222"/>
          <w:szCs w:val="19"/>
        </w:rPr>
        <w:t xml:space="preserve">OF </w:t>
      </w:r>
      <w:r w:rsidR="002106D9" w:rsidRPr="00C0591E">
        <w:rPr>
          <w:rFonts w:eastAsia="Times New Roman" w:cs="Times New Roman"/>
          <w:b/>
          <w:color w:val="222222"/>
          <w:szCs w:val="19"/>
        </w:rPr>
        <w:t>PENSION FUND MANAGERS</w:t>
      </w:r>
      <w:r w:rsidR="00267BE6" w:rsidRPr="00C0591E">
        <w:rPr>
          <w:rFonts w:eastAsia="Times New Roman" w:cs="Times New Roman"/>
          <w:b/>
          <w:color w:val="222222"/>
          <w:szCs w:val="19"/>
        </w:rPr>
        <w:t> IN KENYA</w:t>
      </w:r>
    </w:p>
    <w:p w14:paraId="1FCA30B4" w14:textId="77777777" w:rsidR="00267BE6" w:rsidRPr="00C0591E" w:rsidRDefault="00267BE6" w:rsidP="00267BE6">
      <w:pPr>
        <w:shd w:val="clear" w:color="auto" w:fill="FFFFFF"/>
        <w:tabs>
          <w:tab w:val="left" w:pos="7545"/>
        </w:tabs>
        <w:spacing w:after="0" w:line="240" w:lineRule="auto"/>
        <w:rPr>
          <w:rFonts w:ascii="Arial" w:eastAsia="Times New Roman" w:hAnsi="Arial" w:cs="Arial"/>
          <w:color w:val="222222"/>
          <w:sz w:val="19"/>
          <w:szCs w:val="19"/>
        </w:rPr>
      </w:pPr>
      <w:r w:rsidRPr="00C0591E">
        <w:rPr>
          <w:rFonts w:ascii="Arial" w:eastAsia="Times New Roman" w:hAnsi="Arial" w:cs="Arial"/>
          <w:color w:val="222222"/>
          <w:sz w:val="19"/>
          <w:szCs w:val="19"/>
        </w:rPr>
        <w:tab/>
      </w:r>
    </w:p>
    <w:p w14:paraId="2ABB2329" w14:textId="77777777" w:rsidR="00267BE6" w:rsidRPr="00C0591E" w:rsidRDefault="00267BE6" w:rsidP="00267BE6">
      <w:pPr>
        <w:shd w:val="clear" w:color="auto" w:fill="FFFFFF"/>
        <w:spacing w:after="0" w:line="240" w:lineRule="auto"/>
        <w:rPr>
          <w:rFonts w:ascii="Arial" w:eastAsia="Times New Roman" w:hAnsi="Arial" w:cs="Arial"/>
          <w:color w:val="222222"/>
          <w:sz w:val="19"/>
          <w:szCs w:val="19"/>
        </w:rPr>
      </w:pPr>
    </w:p>
    <w:p w14:paraId="6840B774" w14:textId="77777777" w:rsidR="00267BE6" w:rsidRPr="00C0591E" w:rsidRDefault="00267BE6" w:rsidP="00267BE6">
      <w:pPr>
        <w:pStyle w:val="Default"/>
        <w:spacing w:line="360" w:lineRule="auto"/>
        <w:jc w:val="center"/>
        <w:rPr>
          <w:b/>
          <w:bCs/>
          <w:sz w:val="23"/>
          <w:szCs w:val="23"/>
        </w:rPr>
      </w:pPr>
    </w:p>
    <w:p w14:paraId="15CADBFF" w14:textId="77777777" w:rsidR="00267BE6" w:rsidRPr="00C0591E" w:rsidRDefault="00267BE6" w:rsidP="00267BE6">
      <w:pPr>
        <w:pStyle w:val="Default"/>
        <w:spacing w:line="360" w:lineRule="auto"/>
        <w:jc w:val="center"/>
        <w:rPr>
          <w:b/>
          <w:bCs/>
          <w:sz w:val="23"/>
          <w:szCs w:val="23"/>
        </w:rPr>
      </w:pPr>
    </w:p>
    <w:p w14:paraId="22668CF8" w14:textId="77777777" w:rsidR="00267BE6" w:rsidRPr="00C0591E" w:rsidRDefault="00267BE6" w:rsidP="00267BE6">
      <w:pPr>
        <w:pStyle w:val="Default"/>
        <w:spacing w:line="360" w:lineRule="auto"/>
        <w:jc w:val="center"/>
        <w:rPr>
          <w:b/>
          <w:bCs/>
          <w:sz w:val="23"/>
          <w:szCs w:val="23"/>
        </w:rPr>
      </w:pPr>
    </w:p>
    <w:p w14:paraId="533ADCEF" w14:textId="77777777" w:rsidR="00267BE6" w:rsidRPr="00C0591E" w:rsidRDefault="00267BE6" w:rsidP="00267BE6">
      <w:pPr>
        <w:pStyle w:val="Default"/>
        <w:spacing w:line="360" w:lineRule="auto"/>
        <w:jc w:val="center"/>
        <w:rPr>
          <w:b/>
          <w:bCs/>
          <w:sz w:val="23"/>
          <w:szCs w:val="23"/>
        </w:rPr>
      </w:pPr>
    </w:p>
    <w:p w14:paraId="143AAAAC" w14:textId="77777777" w:rsidR="00267BE6" w:rsidRPr="00C0591E" w:rsidRDefault="00267BE6" w:rsidP="00267BE6">
      <w:pPr>
        <w:pStyle w:val="Default"/>
        <w:spacing w:line="360" w:lineRule="auto"/>
        <w:jc w:val="center"/>
        <w:rPr>
          <w:b/>
          <w:bCs/>
          <w:sz w:val="23"/>
          <w:szCs w:val="23"/>
        </w:rPr>
      </w:pPr>
    </w:p>
    <w:p w14:paraId="29B246E7" w14:textId="77777777" w:rsidR="00267BE6" w:rsidRPr="00C0591E" w:rsidRDefault="00267BE6" w:rsidP="00267BE6">
      <w:pPr>
        <w:pStyle w:val="Default"/>
        <w:spacing w:line="360" w:lineRule="auto"/>
        <w:jc w:val="center"/>
        <w:rPr>
          <w:b/>
          <w:bCs/>
          <w:sz w:val="23"/>
          <w:szCs w:val="23"/>
        </w:rPr>
      </w:pPr>
    </w:p>
    <w:p w14:paraId="3756CB29" w14:textId="77777777" w:rsidR="00267BE6" w:rsidRPr="00C0591E" w:rsidRDefault="00267BE6" w:rsidP="00267BE6">
      <w:pPr>
        <w:pStyle w:val="Default"/>
        <w:spacing w:line="360" w:lineRule="auto"/>
        <w:jc w:val="center"/>
        <w:rPr>
          <w:sz w:val="23"/>
          <w:szCs w:val="23"/>
        </w:rPr>
      </w:pPr>
    </w:p>
    <w:p w14:paraId="17BCA310" w14:textId="77777777" w:rsidR="00267BE6" w:rsidRPr="00C0591E" w:rsidRDefault="00267BE6" w:rsidP="00267BE6">
      <w:pPr>
        <w:pStyle w:val="Default"/>
        <w:spacing w:line="360" w:lineRule="auto"/>
        <w:ind w:left="2880" w:firstLine="720"/>
        <w:rPr>
          <w:b/>
          <w:bCs/>
        </w:rPr>
      </w:pPr>
      <w:r w:rsidRPr="00C0591E">
        <w:rPr>
          <w:b/>
          <w:bCs/>
        </w:rPr>
        <w:t xml:space="preserve">DEROW ADEN ALI </w:t>
      </w:r>
    </w:p>
    <w:p w14:paraId="3AC85502" w14:textId="77777777" w:rsidR="00267BE6" w:rsidRPr="00C0591E" w:rsidRDefault="00267BE6" w:rsidP="00267BE6">
      <w:pPr>
        <w:pStyle w:val="Default"/>
        <w:spacing w:line="360" w:lineRule="auto"/>
        <w:ind w:left="2880" w:firstLine="720"/>
      </w:pPr>
    </w:p>
    <w:p w14:paraId="32721069" w14:textId="77777777" w:rsidR="00267BE6" w:rsidRPr="00C0591E" w:rsidRDefault="00267BE6" w:rsidP="00267BE6">
      <w:pPr>
        <w:rPr>
          <w:rFonts w:cs="Times New Roman"/>
        </w:rPr>
      </w:pPr>
    </w:p>
    <w:p w14:paraId="5CEC4816" w14:textId="77777777" w:rsidR="00267BE6" w:rsidRPr="00C0591E" w:rsidRDefault="00267BE6" w:rsidP="00267BE6">
      <w:pPr>
        <w:spacing w:after="0"/>
        <w:jc w:val="center"/>
        <w:rPr>
          <w:b/>
          <w:sz w:val="28"/>
          <w:szCs w:val="28"/>
        </w:rPr>
      </w:pPr>
    </w:p>
    <w:p w14:paraId="6F9659D1" w14:textId="77777777" w:rsidR="00267BE6" w:rsidRPr="00C0591E" w:rsidRDefault="00267BE6" w:rsidP="00267BE6">
      <w:pPr>
        <w:spacing w:after="0"/>
        <w:jc w:val="center"/>
        <w:rPr>
          <w:b/>
          <w:sz w:val="28"/>
          <w:szCs w:val="28"/>
        </w:rPr>
      </w:pPr>
    </w:p>
    <w:p w14:paraId="23320905" w14:textId="77777777" w:rsidR="00267BE6" w:rsidRPr="00C0591E" w:rsidRDefault="00267BE6" w:rsidP="00267BE6">
      <w:pPr>
        <w:spacing w:after="0"/>
        <w:jc w:val="center"/>
        <w:rPr>
          <w:b/>
          <w:sz w:val="28"/>
          <w:szCs w:val="28"/>
        </w:rPr>
      </w:pPr>
    </w:p>
    <w:p w14:paraId="5190DB48" w14:textId="2818B409" w:rsidR="00267BE6" w:rsidRPr="00C0591E" w:rsidRDefault="00267BE6" w:rsidP="00267BE6">
      <w:pPr>
        <w:spacing w:after="0"/>
        <w:jc w:val="center"/>
        <w:rPr>
          <w:b/>
          <w:szCs w:val="28"/>
        </w:rPr>
      </w:pPr>
      <w:r w:rsidRPr="00C0591E">
        <w:rPr>
          <w:b/>
          <w:szCs w:val="28"/>
        </w:rPr>
        <w:t xml:space="preserve">A </w:t>
      </w:r>
      <w:r w:rsidR="00B10671" w:rsidRPr="00C0591E">
        <w:rPr>
          <w:b/>
          <w:szCs w:val="28"/>
        </w:rPr>
        <w:t>THESIS</w:t>
      </w:r>
      <w:r w:rsidRPr="00C0591E">
        <w:rPr>
          <w:b/>
          <w:szCs w:val="28"/>
        </w:rPr>
        <w:t xml:space="preserve"> SUBMITTED TO THE SCHOOL OF MANAGEMENT AND LEADERSHIP IN PARTIAL FULFILMENT OF THE REQUIREMENT FOR THE AWARD OF THE DEGREE OF DOCTOR OF PHILOSOPHY IN MANAGEMENT AND LEADERSHIP AT THE MANAGEMENT UNIVERSITY OF AFRICA</w:t>
      </w:r>
    </w:p>
    <w:p w14:paraId="3D394A86" w14:textId="77777777" w:rsidR="00267BE6" w:rsidRPr="00C0591E" w:rsidRDefault="00267BE6" w:rsidP="00267BE6">
      <w:pPr>
        <w:spacing w:after="0"/>
        <w:jc w:val="center"/>
        <w:rPr>
          <w:b/>
        </w:rPr>
      </w:pPr>
    </w:p>
    <w:p w14:paraId="59ECC9B3" w14:textId="77777777" w:rsidR="00267BE6" w:rsidRPr="00C0591E" w:rsidRDefault="00267BE6" w:rsidP="00267BE6">
      <w:pPr>
        <w:spacing w:after="0"/>
        <w:jc w:val="center"/>
        <w:rPr>
          <w:b/>
          <w:szCs w:val="24"/>
        </w:rPr>
      </w:pPr>
    </w:p>
    <w:p w14:paraId="6C02BBC1" w14:textId="77777777" w:rsidR="00267BE6" w:rsidRPr="00C0591E" w:rsidRDefault="00267BE6" w:rsidP="00267BE6">
      <w:pPr>
        <w:spacing w:after="0"/>
        <w:jc w:val="center"/>
        <w:rPr>
          <w:b/>
          <w:szCs w:val="24"/>
        </w:rPr>
      </w:pPr>
    </w:p>
    <w:p w14:paraId="3FE9D240" w14:textId="7AFAAC60" w:rsidR="00267BE6" w:rsidRPr="00C0591E" w:rsidRDefault="00484170" w:rsidP="00267BE6">
      <w:pPr>
        <w:spacing w:after="0"/>
        <w:jc w:val="center"/>
        <w:rPr>
          <w:b/>
          <w:szCs w:val="24"/>
        </w:rPr>
      </w:pPr>
      <w:r>
        <w:rPr>
          <w:b/>
          <w:szCs w:val="24"/>
        </w:rPr>
        <w:t>SEPTEMBER</w:t>
      </w:r>
      <w:r w:rsidR="002C3F23" w:rsidRPr="00C0591E">
        <w:rPr>
          <w:b/>
          <w:szCs w:val="24"/>
        </w:rPr>
        <w:t xml:space="preserve"> 2022</w:t>
      </w:r>
    </w:p>
    <w:p w14:paraId="0833B3E6" w14:textId="77777777" w:rsidR="00267BE6" w:rsidRPr="00C0591E" w:rsidRDefault="00267BE6" w:rsidP="00267BE6">
      <w:pPr>
        <w:pStyle w:val="Heading1"/>
        <w:rPr>
          <w:b w:val="0"/>
          <w:bCs w:val="0"/>
        </w:rPr>
      </w:pPr>
      <w:r w:rsidRPr="00C0591E">
        <w:br w:type="page"/>
      </w:r>
      <w:bookmarkStart w:id="2" w:name="_Toc389246326"/>
      <w:bookmarkStart w:id="3" w:name="_Toc508456977"/>
    </w:p>
    <w:p w14:paraId="2653B76E" w14:textId="77777777" w:rsidR="00267BE6" w:rsidRPr="00C0591E" w:rsidRDefault="00267BE6" w:rsidP="00347D67">
      <w:pPr>
        <w:pStyle w:val="Heading1"/>
        <w:rPr>
          <w:noProof/>
        </w:rPr>
      </w:pPr>
      <w:bookmarkStart w:id="4" w:name="_Toc113125060"/>
      <w:bookmarkStart w:id="5" w:name="_GoBack"/>
      <w:bookmarkEnd w:id="5"/>
      <w:r w:rsidRPr="00C0591E">
        <w:lastRenderedPageBreak/>
        <w:t>DECLARATION</w:t>
      </w:r>
      <w:bookmarkEnd w:id="2"/>
      <w:bookmarkEnd w:id="3"/>
      <w:bookmarkEnd w:id="4"/>
    </w:p>
    <w:p w14:paraId="74B0C795" w14:textId="23124F0A" w:rsidR="00267BE6" w:rsidRPr="00C0591E" w:rsidRDefault="00267BE6" w:rsidP="00347D67">
      <w:r w:rsidRPr="00C0591E">
        <w:rPr>
          <w:noProof/>
        </w:rPr>
        <w:t xml:space="preserve">I declare that this </w:t>
      </w:r>
      <w:r w:rsidR="00B10671" w:rsidRPr="00C0591E">
        <w:rPr>
          <w:noProof/>
        </w:rPr>
        <w:t>thesis</w:t>
      </w:r>
      <w:r w:rsidRPr="00C0591E">
        <w:rPr>
          <w:noProof/>
        </w:rPr>
        <w:t xml:space="preserve"> is my original work and has not been previously in its entirely or in part been presented for a degree or other academic work.</w:t>
      </w:r>
      <w:r w:rsidRPr="00C0591E">
        <w:t xml:space="preserve">      </w:t>
      </w:r>
    </w:p>
    <w:p w14:paraId="3CE58A0D" w14:textId="77777777" w:rsidR="00267BE6" w:rsidRPr="00C0591E" w:rsidRDefault="00267BE6" w:rsidP="00267BE6">
      <w:pPr>
        <w:rPr>
          <w:szCs w:val="24"/>
        </w:rPr>
      </w:pPr>
    </w:p>
    <w:p w14:paraId="4CEDF65B" w14:textId="77777777" w:rsidR="00267BE6" w:rsidRPr="00C0591E" w:rsidRDefault="00267BE6" w:rsidP="00267BE6">
      <w:pPr>
        <w:rPr>
          <w:szCs w:val="24"/>
        </w:rPr>
      </w:pPr>
    </w:p>
    <w:p w14:paraId="6010CE88" w14:textId="77777777" w:rsidR="00267BE6" w:rsidRPr="00C0591E" w:rsidRDefault="00267BE6" w:rsidP="00267BE6">
      <w:pPr>
        <w:rPr>
          <w:szCs w:val="24"/>
        </w:rPr>
      </w:pPr>
      <w:r w:rsidRPr="00C0591E">
        <w:rPr>
          <w:szCs w:val="24"/>
        </w:rPr>
        <w:t xml:space="preserve">Signature ……………………...…………………          Date……………………………... </w:t>
      </w:r>
    </w:p>
    <w:p w14:paraId="7FD03090" w14:textId="77777777" w:rsidR="00267BE6" w:rsidRPr="00C0591E" w:rsidRDefault="00267BE6" w:rsidP="00267BE6">
      <w:pPr>
        <w:pStyle w:val="Default"/>
        <w:spacing w:line="360" w:lineRule="auto"/>
        <w:rPr>
          <w:b/>
          <w:bCs/>
        </w:rPr>
      </w:pPr>
      <w:r w:rsidRPr="00C0591E">
        <w:rPr>
          <w:b/>
          <w:bCs/>
        </w:rPr>
        <w:t xml:space="preserve">DEROW ADEN ALI </w:t>
      </w:r>
    </w:p>
    <w:p w14:paraId="70E3F97F" w14:textId="77777777" w:rsidR="00267BE6" w:rsidRPr="00C0591E" w:rsidRDefault="00267BE6" w:rsidP="00267BE6">
      <w:pPr>
        <w:pStyle w:val="Default"/>
        <w:spacing w:line="360" w:lineRule="auto"/>
        <w:rPr>
          <w:b/>
          <w:bCs/>
        </w:rPr>
      </w:pPr>
      <w:r w:rsidRPr="00C0591E">
        <w:rPr>
          <w:b/>
          <w:bCs/>
        </w:rPr>
        <w:t>DML/5/00067/3/2016</w:t>
      </w:r>
    </w:p>
    <w:p w14:paraId="74E780A2" w14:textId="77777777" w:rsidR="00267BE6" w:rsidRPr="00C0591E" w:rsidRDefault="00267BE6" w:rsidP="00267BE6">
      <w:pPr>
        <w:spacing w:after="0"/>
        <w:rPr>
          <w:szCs w:val="24"/>
        </w:rPr>
      </w:pPr>
    </w:p>
    <w:p w14:paraId="703EBEA9" w14:textId="77777777" w:rsidR="00267BE6" w:rsidRPr="00C0591E" w:rsidRDefault="00267BE6" w:rsidP="00267BE6">
      <w:pPr>
        <w:spacing w:after="0"/>
        <w:rPr>
          <w:szCs w:val="24"/>
        </w:rPr>
      </w:pPr>
    </w:p>
    <w:p w14:paraId="32254452" w14:textId="0520C95F" w:rsidR="00267BE6" w:rsidRPr="00C0591E" w:rsidRDefault="00267BE6" w:rsidP="00347D67">
      <w:r w:rsidRPr="00C0591E">
        <w:t xml:space="preserve">This </w:t>
      </w:r>
      <w:r w:rsidR="00B10671" w:rsidRPr="00C0591E">
        <w:t>thesis</w:t>
      </w:r>
      <w:r w:rsidRPr="00C0591E">
        <w:t xml:space="preserve"> has been submitted for examination with my approval as </w:t>
      </w:r>
      <w:r w:rsidRPr="00C0591E">
        <w:rPr>
          <w:noProof/>
        </w:rPr>
        <w:t>university</w:t>
      </w:r>
      <w:r w:rsidRPr="00C0591E">
        <w:t xml:space="preserve"> supervisor.</w:t>
      </w:r>
    </w:p>
    <w:p w14:paraId="5ABAB90E" w14:textId="77777777" w:rsidR="00267BE6" w:rsidRPr="00C0591E" w:rsidRDefault="00267BE6" w:rsidP="00267BE6">
      <w:pPr>
        <w:rPr>
          <w:szCs w:val="24"/>
        </w:rPr>
      </w:pPr>
      <w:r w:rsidRPr="00C0591E">
        <w:rPr>
          <w:szCs w:val="24"/>
        </w:rPr>
        <w:t>Signature ………………………………...           Date……………………………………</w:t>
      </w:r>
    </w:p>
    <w:p w14:paraId="485A41ED" w14:textId="77777777" w:rsidR="00267BE6" w:rsidRPr="00C0591E" w:rsidRDefault="00267BE6" w:rsidP="00267BE6">
      <w:pPr>
        <w:spacing w:after="0"/>
        <w:rPr>
          <w:b/>
          <w:szCs w:val="24"/>
        </w:rPr>
      </w:pPr>
      <w:r w:rsidRPr="00C0591E">
        <w:rPr>
          <w:b/>
          <w:szCs w:val="24"/>
        </w:rPr>
        <w:t xml:space="preserve">Dr. Nicholas Kibiwott Letting, PhD </w:t>
      </w:r>
      <w:r w:rsidRPr="00C0591E">
        <w:rPr>
          <w:b/>
          <w:szCs w:val="24"/>
        </w:rPr>
        <w:tab/>
      </w:r>
    </w:p>
    <w:p w14:paraId="499FF3E5" w14:textId="77777777" w:rsidR="00267BE6" w:rsidRPr="00C0591E" w:rsidRDefault="00267BE6" w:rsidP="00267BE6">
      <w:pPr>
        <w:spacing w:after="0"/>
        <w:rPr>
          <w:b/>
          <w:szCs w:val="24"/>
        </w:rPr>
      </w:pPr>
      <w:r w:rsidRPr="00C0591E">
        <w:rPr>
          <w:b/>
          <w:szCs w:val="24"/>
        </w:rPr>
        <w:t xml:space="preserve">Management University of Africa </w:t>
      </w:r>
    </w:p>
    <w:p w14:paraId="185C6705" w14:textId="77777777" w:rsidR="00267BE6" w:rsidRPr="00C0591E" w:rsidRDefault="00267BE6" w:rsidP="00267BE6">
      <w:pPr>
        <w:spacing w:after="0"/>
        <w:rPr>
          <w:szCs w:val="24"/>
        </w:rPr>
      </w:pPr>
    </w:p>
    <w:p w14:paraId="2BE8E197" w14:textId="77777777" w:rsidR="00267BE6" w:rsidRPr="00C0591E" w:rsidRDefault="00267BE6" w:rsidP="00267BE6">
      <w:pPr>
        <w:rPr>
          <w:szCs w:val="24"/>
        </w:rPr>
      </w:pPr>
    </w:p>
    <w:p w14:paraId="20232F3B" w14:textId="77777777" w:rsidR="00267BE6" w:rsidRPr="00C0591E" w:rsidRDefault="00267BE6" w:rsidP="00267BE6">
      <w:pPr>
        <w:rPr>
          <w:szCs w:val="24"/>
        </w:rPr>
      </w:pPr>
      <w:r w:rsidRPr="00C0591E">
        <w:rPr>
          <w:szCs w:val="24"/>
        </w:rPr>
        <w:t>Signature ………………………………...           Date……………………………………</w:t>
      </w:r>
    </w:p>
    <w:p w14:paraId="00D7A7F4" w14:textId="77777777" w:rsidR="00267BE6" w:rsidRPr="00C0591E" w:rsidRDefault="00267BE6" w:rsidP="00267BE6">
      <w:pPr>
        <w:spacing w:after="0"/>
        <w:rPr>
          <w:b/>
          <w:szCs w:val="24"/>
        </w:rPr>
      </w:pPr>
      <w:r w:rsidRPr="00C0591E">
        <w:rPr>
          <w:b/>
          <w:szCs w:val="24"/>
        </w:rPr>
        <w:t>Dr. John Cheluget, PhD</w:t>
      </w:r>
      <w:r w:rsidRPr="00C0591E">
        <w:rPr>
          <w:b/>
          <w:szCs w:val="24"/>
        </w:rPr>
        <w:tab/>
      </w:r>
    </w:p>
    <w:p w14:paraId="6C52F3FC" w14:textId="77777777" w:rsidR="00267BE6" w:rsidRPr="00C0591E" w:rsidRDefault="00267BE6" w:rsidP="00267BE6">
      <w:pPr>
        <w:spacing w:after="0"/>
        <w:rPr>
          <w:b/>
          <w:szCs w:val="24"/>
        </w:rPr>
      </w:pPr>
      <w:r w:rsidRPr="00C0591E">
        <w:rPr>
          <w:b/>
          <w:szCs w:val="24"/>
        </w:rPr>
        <w:t xml:space="preserve">Management University of Africa </w:t>
      </w:r>
    </w:p>
    <w:p w14:paraId="4566FB2A" w14:textId="77777777" w:rsidR="00267BE6" w:rsidRPr="00C0591E" w:rsidRDefault="00267BE6" w:rsidP="00347D67">
      <w:pPr>
        <w:pStyle w:val="Heading1"/>
      </w:pPr>
      <w:r w:rsidRPr="00C0591E">
        <w:rPr>
          <w:szCs w:val="24"/>
        </w:rPr>
        <w:br w:type="page"/>
      </w:r>
      <w:bookmarkStart w:id="6" w:name="_Toc113125061"/>
      <w:r w:rsidRPr="00C0591E">
        <w:t>DEDICATION</w:t>
      </w:r>
      <w:bookmarkEnd w:id="6"/>
    </w:p>
    <w:p w14:paraId="1ABE5FF0" w14:textId="45F6A3D3" w:rsidR="00267BE6" w:rsidRPr="00C0591E" w:rsidRDefault="00267BE6" w:rsidP="00347D67">
      <w:pPr>
        <w:rPr>
          <w:rFonts w:eastAsiaTheme="majorEastAsia" w:cstheme="majorBidi"/>
          <w:b/>
          <w:bCs/>
          <w:szCs w:val="28"/>
        </w:rPr>
      </w:pPr>
      <w:r w:rsidRPr="00C0591E">
        <w:t xml:space="preserve">This </w:t>
      </w:r>
      <w:r w:rsidR="00B1204B" w:rsidRPr="00C0591E">
        <w:t>thesis</w:t>
      </w:r>
      <w:r w:rsidRPr="00C0591E">
        <w:t xml:space="preserve"> is dedicated to my family</w:t>
      </w:r>
      <w:r w:rsidR="00D71A55" w:rsidRPr="00C0591E">
        <w:t>;</w:t>
      </w:r>
      <w:r w:rsidRPr="00C0591E">
        <w:t xml:space="preserve"> mother, brothers, sisters and in-laws for their love, patience, help, encouragement and their prayers which saw me soldier on my studies. Special appreciation goes to my wife Amina Mohamed for encouragement throughout my studies, my late mother Adey Aden and my children for their perseverance, patience and unwavering support throughout my studies.</w:t>
      </w:r>
    </w:p>
    <w:p w14:paraId="14734053" w14:textId="77777777" w:rsidR="00267BE6" w:rsidRPr="00C0591E" w:rsidRDefault="00267BE6" w:rsidP="00267BE6">
      <w:pPr>
        <w:rPr>
          <w:b/>
          <w:szCs w:val="24"/>
        </w:rPr>
      </w:pPr>
    </w:p>
    <w:p w14:paraId="2477643B" w14:textId="77777777" w:rsidR="00267BE6" w:rsidRPr="00C0591E" w:rsidRDefault="00267BE6" w:rsidP="00267BE6">
      <w:pPr>
        <w:rPr>
          <w:rFonts w:eastAsiaTheme="majorEastAsia" w:cstheme="majorBidi"/>
          <w:b/>
          <w:bCs/>
          <w:szCs w:val="28"/>
        </w:rPr>
      </w:pPr>
      <w:bookmarkStart w:id="7" w:name="_Toc500588620"/>
      <w:bookmarkStart w:id="8" w:name="_Toc508381443"/>
      <w:r w:rsidRPr="00C0591E">
        <w:br w:type="page"/>
      </w:r>
    </w:p>
    <w:p w14:paraId="134CE821" w14:textId="6032D4B7" w:rsidR="00267BE6" w:rsidRPr="00C0591E" w:rsidRDefault="00267BE6" w:rsidP="00267BE6">
      <w:pPr>
        <w:pStyle w:val="Heading1"/>
        <w:rPr>
          <w:lang w:bidi="en-US"/>
        </w:rPr>
      </w:pPr>
      <w:bookmarkStart w:id="9" w:name="_Toc113125062"/>
      <w:r w:rsidRPr="00C0591E">
        <w:t>ACKNOWLEDGEMENT</w:t>
      </w:r>
      <w:bookmarkEnd w:id="7"/>
      <w:bookmarkEnd w:id="8"/>
      <w:bookmarkEnd w:id="9"/>
    </w:p>
    <w:p w14:paraId="166D775F" w14:textId="23615DE5" w:rsidR="00267BE6" w:rsidRPr="00C0591E" w:rsidRDefault="00267BE6" w:rsidP="00347D67">
      <w:r w:rsidRPr="00C0591E">
        <w:t xml:space="preserve">My heart most gratitude to the Almighty God for his grace, </w:t>
      </w:r>
      <w:r w:rsidRPr="00C0591E">
        <w:rPr>
          <w:noProof/>
        </w:rPr>
        <w:t>provisions</w:t>
      </w:r>
      <w:r w:rsidRPr="00C0591E">
        <w:t xml:space="preserve"> and blessings which made it possible for me to take and complete this </w:t>
      </w:r>
      <w:r w:rsidR="00B10671" w:rsidRPr="00C0591E">
        <w:t>thesis</w:t>
      </w:r>
      <w:r w:rsidRPr="00C0591E">
        <w:t>. I also wish to express my deep appreciation</w:t>
      </w:r>
      <w:r w:rsidRPr="00C0591E">
        <w:rPr>
          <w:noProof/>
        </w:rPr>
        <w:t xml:space="preserve"> to</w:t>
      </w:r>
      <w:r w:rsidRPr="00C0591E">
        <w:t xml:space="preserve"> all those who supported me and contributed to the successful completion of this </w:t>
      </w:r>
      <w:r w:rsidR="00B10671" w:rsidRPr="00C0591E">
        <w:t>thesis</w:t>
      </w:r>
      <w:r w:rsidRPr="00C0591E">
        <w:t xml:space="preserve">. Foremost I wish to take this singular opportunity to thank my Supervisors, Dr. </w:t>
      </w:r>
      <w:r w:rsidRPr="00C0591E">
        <w:rPr>
          <w:szCs w:val="24"/>
        </w:rPr>
        <w:t>Nicholas Letting,</w:t>
      </w:r>
      <w:r w:rsidRPr="00C0591E">
        <w:rPr>
          <w:b/>
          <w:szCs w:val="24"/>
        </w:rPr>
        <w:t xml:space="preserve"> </w:t>
      </w:r>
      <w:r w:rsidRPr="00C0591E">
        <w:rPr>
          <w:szCs w:val="24"/>
        </w:rPr>
        <w:t>Dr. John Cheluget</w:t>
      </w:r>
      <w:r w:rsidRPr="00C0591E">
        <w:t xml:space="preserve"> and the </w:t>
      </w:r>
      <w:r w:rsidRPr="00C0591E">
        <w:rPr>
          <w:szCs w:val="24"/>
        </w:rPr>
        <w:t>Management University of Africa</w:t>
      </w:r>
      <w:r w:rsidRPr="00C0591E">
        <w:rPr>
          <w:b/>
          <w:szCs w:val="24"/>
        </w:rPr>
        <w:t xml:space="preserve"> </w:t>
      </w:r>
      <w:r w:rsidRPr="00C0591E">
        <w:t>Fraternity for the guidance and tremendous Scholarly contribution and wealth of knowledge that helped shape this Thesis.</w:t>
      </w:r>
      <w:r w:rsidR="00A0371A">
        <w:t xml:space="preserve"> </w:t>
      </w:r>
      <w:r w:rsidRPr="00C0591E">
        <w:t>I am deeply indebted to my beloved wife, Amina Mohamed for scholarly advice and support during the long hours. Finally, I am also indebted to my Brothers, sisters, colleague’s, classmates and many friends who encouraged me and gave all the support I needed.</w:t>
      </w:r>
    </w:p>
    <w:p w14:paraId="00892718" w14:textId="77777777" w:rsidR="00267BE6" w:rsidRPr="00C0591E" w:rsidRDefault="00267BE6" w:rsidP="00267BE6">
      <w:r w:rsidRPr="00C0591E">
        <w:br w:type="page"/>
      </w:r>
    </w:p>
    <w:p w14:paraId="28AD844F" w14:textId="2AADD178" w:rsidR="00267BE6" w:rsidRPr="00C0591E" w:rsidRDefault="00267BE6" w:rsidP="00347D67">
      <w:pPr>
        <w:pStyle w:val="Heading1"/>
      </w:pPr>
      <w:bookmarkStart w:id="10" w:name="_Toc515997228"/>
      <w:bookmarkStart w:id="11" w:name="_Toc113125063"/>
      <w:r w:rsidRPr="00C0591E">
        <w:t>ACRONYMS AND ABBREVIATIONS</w:t>
      </w:r>
      <w:bookmarkEnd w:id="10"/>
      <w:bookmarkEnd w:id="11"/>
    </w:p>
    <w:p w14:paraId="708918A1" w14:textId="77777777" w:rsidR="00CC3268" w:rsidRPr="00C0591E" w:rsidRDefault="00CC3268" w:rsidP="00267BE6">
      <w:pPr>
        <w:rPr>
          <w:rFonts w:cs="Times New Roman"/>
          <w:szCs w:val="24"/>
          <w:shd w:val="clear" w:color="auto" w:fill="FFFFFF"/>
        </w:rPr>
      </w:pPr>
      <w:r w:rsidRPr="00C0591E">
        <w:rPr>
          <w:rFonts w:cs="Times New Roman"/>
          <w:b/>
          <w:szCs w:val="24"/>
          <w:shd w:val="clear" w:color="auto" w:fill="FFFFFF"/>
        </w:rPr>
        <w:t>ANOVA</w:t>
      </w:r>
      <w:r w:rsidRPr="00C0591E">
        <w:rPr>
          <w:rFonts w:cs="Times New Roman"/>
          <w:szCs w:val="24"/>
          <w:shd w:val="clear" w:color="auto" w:fill="FFFFFF"/>
        </w:rPr>
        <w:t xml:space="preserve"> </w:t>
      </w:r>
      <w:r w:rsidRPr="00C0591E">
        <w:rPr>
          <w:rFonts w:cs="Times New Roman"/>
          <w:szCs w:val="24"/>
          <w:shd w:val="clear" w:color="auto" w:fill="FFFFFF"/>
        </w:rPr>
        <w:tab/>
      </w:r>
      <w:r w:rsidRPr="00C0591E">
        <w:rPr>
          <w:rFonts w:cs="Times New Roman"/>
          <w:szCs w:val="24"/>
          <w:shd w:val="clear" w:color="auto" w:fill="FFFFFF"/>
        </w:rPr>
        <w:tab/>
        <w:t xml:space="preserve">Analysis of Variance </w:t>
      </w:r>
    </w:p>
    <w:p w14:paraId="5682CDE6" w14:textId="77777777" w:rsidR="00CC3268" w:rsidRPr="00C0591E" w:rsidRDefault="00CC3268" w:rsidP="0036135C">
      <w:pPr>
        <w:ind w:left="720" w:hanging="720"/>
        <w:rPr>
          <w:rFonts w:cs="Times New Roman"/>
          <w:b/>
          <w:szCs w:val="24"/>
        </w:rPr>
      </w:pPr>
      <w:r w:rsidRPr="00C0591E">
        <w:rPr>
          <w:rFonts w:cs="Times New Roman"/>
          <w:b/>
          <w:szCs w:val="24"/>
        </w:rPr>
        <w:t>CBK</w:t>
      </w:r>
      <w:r w:rsidRPr="00C0591E">
        <w:rPr>
          <w:rFonts w:cs="Times New Roman"/>
          <w:b/>
          <w:szCs w:val="24"/>
        </w:rPr>
        <w:tab/>
      </w:r>
      <w:r w:rsidRPr="00C0591E">
        <w:rPr>
          <w:rFonts w:cs="Times New Roman"/>
          <w:b/>
          <w:szCs w:val="24"/>
        </w:rPr>
        <w:tab/>
      </w:r>
      <w:r w:rsidRPr="00C0591E">
        <w:rPr>
          <w:rFonts w:cs="Times New Roman"/>
          <w:b/>
          <w:szCs w:val="24"/>
        </w:rPr>
        <w:tab/>
      </w:r>
      <w:r w:rsidRPr="00C0591E">
        <w:rPr>
          <w:rFonts w:cs="Times New Roman"/>
          <w:color w:val="222222"/>
        </w:rPr>
        <w:t>Central Bank of Kenya</w:t>
      </w:r>
    </w:p>
    <w:p w14:paraId="7321E2AB" w14:textId="77777777" w:rsidR="00CC3268" w:rsidRPr="00C0591E" w:rsidRDefault="00CC3268" w:rsidP="0036135C">
      <w:pPr>
        <w:ind w:left="720" w:hanging="720"/>
        <w:rPr>
          <w:rFonts w:cs="Times New Roman"/>
          <w:b/>
          <w:szCs w:val="24"/>
          <w:lang w:val="en-GB"/>
        </w:rPr>
      </w:pPr>
      <w:r w:rsidRPr="00C0591E">
        <w:rPr>
          <w:rFonts w:cs="Times New Roman"/>
          <w:b/>
          <w:szCs w:val="24"/>
        </w:rPr>
        <w:t xml:space="preserve">CEO </w:t>
      </w:r>
      <w:r w:rsidRPr="00C0591E">
        <w:rPr>
          <w:rFonts w:cs="Times New Roman"/>
          <w:b/>
          <w:szCs w:val="24"/>
        </w:rPr>
        <w:tab/>
      </w:r>
      <w:r w:rsidRPr="00C0591E">
        <w:rPr>
          <w:rFonts w:cs="Times New Roman"/>
          <w:b/>
          <w:szCs w:val="24"/>
        </w:rPr>
        <w:tab/>
      </w:r>
      <w:r w:rsidRPr="00C0591E">
        <w:rPr>
          <w:rFonts w:cs="Times New Roman"/>
          <w:b/>
          <w:szCs w:val="24"/>
        </w:rPr>
        <w:tab/>
      </w:r>
      <w:r w:rsidRPr="00C0591E">
        <w:rPr>
          <w:rFonts w:cs="Times New Roman"/>
          <w:color w:val="222222"/>
          <w:shd w:val="clear" w:color="auto" w:fill="FFFFFF"/>
        </w:rPr>
        <w:t>Chief Executive Officer</w:t>
      </w:r>
    </w:p>
    <w:p w14:paraId="7601AC75" w14:textId="77777777" w:rsidR="00CC3268" w:rsidRPr="00C0591E" w:rsidRDefault="00CC3268" w:rsidP="00AF4E50">
      <w:pPr>
        <w:rPr>
          <w:shd w:val="clear" w:color="auto" w:fill="FFFFFF"/>
        </w:rPr>
      </w:pPr>
      <w:r w:rsidRPr="00C0591E">
        <w:rPr>
          <w:b/>
        </w:rPr>
        <w:t>CMA</w:t>
      </w:r>
      <w:r w:rsidRPr="00C0591E">
        <w:tab/>
      </w:r>
      <w:r w:rsidRPr="00C0591E">
        <w:tab/>
      </w:r>
      <w:r w:rsidRPr="00C0591E">
        <w:tab/>
      </w:r>
      <w:r w:rsidRPr="00C0591E">
        <w:rPr>
          <w:shd w:val="clear" w:color="auto" w:fill="FFFFFF"/>
        </w:rPr>
        <w:t>Capital Markets Authority</w:t>
      </w:r>
    </w:p>
    <w:p w14:paraId="39420BE6" w14:textId="77777777" w:rsidR="00CC3268" w:rsidRPr="00C0591E" w:rsidRDefault="00CC3268" w:rsidP="00267BE6">
      <w:pPr>
        <w:rPr>
          <w:rFonts w:cs="Times New Roman"/>
          <w:szCs w:val="24"/>
          <w:lang w:val="en-GB"/>
        </w:rPr>
      </w:pPr>
      <w:r w:rsidRPr="00C0591E">
        <w:rPr>
          <w:rFonts w:cs="Times New Roman"/>
          <w:b/>
          <w:szCs w:val="24"/>
          <w:lang w:val="en-GB"/>
        </w:rPr>
        <w:t xml:space="preserve">GEPF </w:t>
      </w:r>
      <w:r w:rsidRPr="00C0591E">
        <w:rPr>
          <w:rFonts w:cs="Times New Roman"/>
          <w:b/>
          <w:szCs w:val="24"/>
          <w:lang w:val="en-GB"/>
        </w:rPr>
        <w:tab/>
      </w:r>
      <w:r w:rsidRPr="00C0591E">
        <w:rPr>
          <w:rFonts w:cs="Times New Roman"/>
          <w:szCs w:val="24"/>
          <w:lang w:val="en-GB"/>
        </w:rPr>
        <w:tab/>
      </w:r>
      <w:r w:rsidRPr="00C0591E">
        <w:rPr>
          <w:rFonts w:cs="Times New Roman"/>
          <w:szCs w:val="24"/>
          <w:lang w:val="en-GB"/>
        </w:rPr>
        <w:tab/>
        <w:t xml:space="preserve">Government Employees Provident Fund </w:t>
      </w:r>
    </w:p>
    <w:p w14:paraId="35CF5916" w14:textId="77777777" w:rsidR="00CC3268" w:rsidRPr="00C0591E" w:rsidRDefault="00CC3268" w:rsidP="00267BE6">
      <w:pPr>
        <w:rPr>
          <w:rFonts w:cs="Times New Roman"/>
          <w:szCs w:val="24"/>
          <w:lang w:val="en-GB"/>
        </w:rPr>
      </w:pPr>
      <w:r w:rsidRPr="00C0591E">
        <w:rPr>
          <w:rFonts w:cs="Times New Roman"/>
          <w:b/>
          <w:szCs w:val="24"/>
          <w:lang w:val="en-GB"/>
        </w:rPr>
        <w:t xml:space="preserve">LAPF </w:t>
      </w:r>
      <w:r w:rsidRPr="00C0591E">
        <w:rPr>
          <w:rFonts w:cs="Times New Roman"/>
          <w:b/>
          <w:szCs w:val="24"/>
          <w:lang w:val="en-GB"/>
        </w:rPr>
        <w:tab/>
      </w:r>
      <w:r w:rsidRPr="00C0591E">
        <w:rPr>
          <w:rFonts w:cs="Times New Roman"/>
          <w:szCs w:val="24"/>
          <w:lang w:val="en-GB"/>
        </w:rPr>
        <w:tab/>
      </w:r>
      <w:r w:rsidRPr="00C0591E">
        <w:rPr>
          <w:rFonts w:cs="Times New Roman"/>
          <w:szCs w:val="24"/>
          <w:lang w:val="en-GB"/>
        </w:rPr>
        <w:tab/>
        <w:t xml:space="preserve">Local Authorities Pensions Funds </w:t>
      </w:r>
    </w:p>
    <w:p w14:paraId="6E99755C" w14:textId="77777777" w:rsidR="00CC3268" w:rsidRPr="00C0591E" w:rsidRDefault="00CC3268" w:rsidP="00267BE6">
      <w:pPr>
        <w:rPr>
          <w:rFonts w:cs="Times New Roman"/>
          <w:szCs w:val="24"/>
          <w:shd w:val="clear" w:color="auto" w:fill="FFFFFF"/>
        </w:rPr>
      </w:pPr>
      <w:r w:rsidRPr="00C0591E">
        <w:rPr>
          <w:b/>
        </w:rPr>
        <w:t>MVO</w:t>
      </w:r>
      <w:r w:rsidRPr="00C0591E">
        <w:tab/>
      </w:r>
      <w:r w:rsidRPr="00C0591E">
        <w:tab/>
      </w:r>
      <w:r w:rsidRPr="00C0591E">
        <w:tab/>
        <w:t xml:space="preserve">Mean-Variance Optimization </w:t>
      </w:r>
    </w:p>
    <w:p w14:paraId="1038387F" w14:textId="77777777" w:rsidR="00CC3268" w:rsidRPr="00C0591E" w:rsidRDefault="00CC3268" w:rsidP="00267BE6">
      <w:pPr>
        <w:rPr>
          <w:rFonts w:cs="Times New Roman"/>
          <w:szCs w:val="24"/>
          <w:lang w:val="en-GB"/>
        </w:rPr>
      </w:pPr>
      <w:r w:rsidRPr="00C0591E">
        <w:rPr>
          <w:rFonts w:cs="Times New Roman"/>
          <w:b/>
          <w:szCs w:val="24"/>
          <w:lang w:val="en-GB"/>
        </w:rPr>
        <w:t>NHIF</w:t>
      </w:r>
      <w:r w:rsidRPr="00C0591E">
        <w:rPr>
          <w:rFonts w:cs="Times New Roman"/>
          <w:b/>
          <w:szCs w:val="24"/>
          <w:lang w:val="en-GB"/>
        </w:rPr>
        <w:tab/>
      </w:r>
      <w:r w:rsidRPr="00C0591E">
        <w:rPr>
          <w:rFonts w:cs="Times New Roman"/>
          <w:szCs w:val="24"/>
          <w:lang w:val="en-GB"/>
        </w:rPr>
        <w:tab/>
      </w:r>
      <w:r w:rsidRPr="00C0591E">
        <w:rPr>
          <w:rFonts w:cs="Times New Roman"/>
          <w:szCs w:val="24"/>
          <w:lang w:val="en-GB"/>
        </w:rPr>
        <w:tab/>
        <w:t xml:space="preserve">National Health Insurance Fund </w:t>
      </w:r>
    </w:p>
    <w:p w14:paraId="57DC0D2B" w14:textId="77777777" w:rsidR="00CC3268" w:rsidRPr="00C0591E" w:rsidRDefault="00CC3268" w:rsidP="00267BE6">
      <w:pPr>
        <w:rPr>
          <w:rFonts w:cs="Times New Roman"/>
          <w:szCs w:val="24"/>
          <w:lang w:val="en-GB"/>
        </w:rPr>
      </w:pPr>
      <w:r w:rsidRPr="00C0591E">
        <w:rPr>
          <w:rFonts w:cs="Times New Roman"/>
          <w:b/>
          <w:szCs w:val="24"/>
          <w:lang w:val="en-GB"/>
        </w:rPr>
        <w:t>NSSF</w:t>
      </w:r>
      <w:r w:rsidRPr="00C0591E">
        <w:rPr>
          <w:rFonts w:cs="Times New Roman"/>
          <w:b/>
          <w:szCs w:val="24"/>
          <w:lang w:val="en-GB"/>
        </w:rPr>
        <w:tab/>
      </w:r>
      <w:r w:rsidRPr="00C0591E">
        <w:rPr>
          <w:rFonts w:cs="Times New Roman"/>
          <w:szCs w:val="24"/>
          <w:lang w:val="en-GB"/>
        </w:rPr>
        <w:tab/>
      </w:r>
      <w:r w:rsidRPr="00C0591E">
        <w:rPr>
          <w:rFonts w:cs="Times New Roman"/>
          <w:szCs w:val="24"/>
          <w:lang w:val="en-GB"/>
        </w:rPr>
        <w:tab/>
        <w:t xml:space="preserve">National Social Security Fund </w:t>
      </w:r>
    </w:p>
    <w:p w14:paraId="2FF20AD5" w14:textId="77777777" w:rsidR="00CC3268" w:rsidRPr="00C0591E" w:rsidRDefault="00CC3268" w:rsidP="00267BE6">
      <w:pPr>
        <w:rPr>
          <w:rFonts w:cs="Times New Roman"/>
          <w:szCs w:val="24"/>
          <w:shd w:val="clear" w:color="auto" w:fill="FFFFFF"/>
        </w:rPr>
      </w:pPr>
      <w:r w:rsidRPr="00C0591E">
        <w:rPr>
          <w:rFonts w:cs="Times New Roman"/>
          <w:b/>
          <w:szCs w:val="24"/>
          <w:shd w:val="clear" w:color="auto" w:fill="FFFFFF"/>
        </w:rPr>
        <w:t>OECD</w:t>
      </w:r>
      <w:r w:rsidRPr="00C0591E">
        <w:rPr>
          <w:rFonts w:cs="Times New Roman"/>
          <w:b/>
          <w:szCs w:val="24"/>
          <w:shd w:val="clear" w:color="auto" w:fill="FFFFFF"/>
        </w:rPr>
        <w:tab/>
      </w:r>
      <w:r w:rsidRPr="00C0591E">
        <w:rPr>
          <w:rFonts w:cs="Times New Roman"/>
          <w:b/>
          <w:szCs w:val="24"/>
          <w:shd w:val="clear" w:color="auto" w:fill="FFFFFF"/>
        </w:rPr>
        <w:tab/>
      </w:r>
      <w:r w:rsidRPr="00C0591E">
        <w:rPr>
          <w:rFonts w:cs="Times New Roman"/>
          <w:b/>
          <w:szCs w:val="24"/>
          <w:shd w:val="clear" w:color="auto" w:fill="FFFFFF"/>
        </w:rPr>
        <w:tab/>
      </w:r>
      <w:r w:rsidRPr="00C0591E">
        <w:rPr>
          <w:rFonts w:cs="Times New Roman"/>
          <w:szCs w:val="24"/>
          <w:shd w:val="clear" w:color="auto" w:fill="FFFFFF"/>
        </w:rPr>
        <w:t xml:space="preserve">Economic Co-operation and Development </w:t>
      </w:r>
    </w:p>
    <w:p w14:paraId="7396498B" w14:textId="77777777" w:rsidR="00CC3268" w:rsidRPr="00C0591E" w:rsidRDefault="00CC3268" w:rsidP="00267BE6">
      <w:pPr>
        <w:rPr>
          <w:rFonts w:cs="Times New Roman"/>
          <w:szCs w:val="24"/>
          <w:lang w:val="en-GB"/>
        </w:rPr>
      </w:pPr>
      <w:r w:rsidRPr="00C0591E">
        <w:rPr>
          <w:rFonts w:cs="Times New Roman"/>
          <w:b/>
          <w:szCs w:val="24"/>
          <w:lang w:val="en-GB"/>
        </w:rPr>
        <w:t>PSPF</w:t>
      </w:r>
      <w:r w:rsidRPr="00C0591E">
        <w:rPr>
          <w:rFonts w:cs="Times New Roman"/>
          <w:szCs w:val="24"/>
          <w:lang w:val="en-GB"/>
        </w:rPr>
        <w:tab/>
      </w:r>
      <w:r w:rsidRPr="00C0591E">
        <w:rPr>
          <w:rFonts w:cs="Times New Roman"/>
          <w:szCs w:val="24"/>
          <w:lang w:val="en-GB"/>
        </w:rPr>
        <w:tab/>
      </w:r>
      <w:r w:rsidRPr="00C0591E">
        <w:rPr>
          <w:rFonts w:cs="Times New Roman"/>
          <w:szCs w:val="24"/>
          <w:lang w:val="en-GB"/>
        </w:rPr>
        <w:tab/>
        <w:t xml:space="preserve">Public Service Pensions Fund </w:t>
      </w:r>
    </w:p>
    <w:p w14:paraId="6790543A" w14:textId="77777777" w:rsidR="00CC3268" w:rsidRPr="00C0591E" w:rsidRDefault="00CC3268" w:rsidP="00267BE6">
      <w:pPr>
        <w:rPr>
          <w:rFonts w:cs="Times New Roman"/>
          <w:szCs w:val="24"/>
          <w:lang w:val="en-GB"/>
        </w:rPr>
      </w:pPr>
      <w:r w:rsidRPr="00C0591E">
        <w:rPr>
          <w:rFonts w:cs="Times New Roman"/>
          <w:b/>
          <w:szCs w:val="24"/>
          <w:lang w:val="en-GB"/>
        </w:rPr>
        <w:t>RBA</w:t>
      </w:r>
      <w:r w:rsidRPr="00C0591E">
        <w:rPr>
          <w:rFonts w:cs="Times New Roman"/>
          <w:szCs w:val="24"/>
          <w:lang w:val="en-GB"/>
        </w:rPr>
        <w:tab/>
      </w:r>
      <w:r w:rsidRPr="00C0591E">
        <w:rPr>
          <w:rFonts w:cs="Times New Roman"/>
          <w:szCs w:val="24"/>
          <w:lang w:val="en-GB"/>
        </w:rPr>
        <w:tab/>
      </w:r>
      <w:r w:rsidRPr="00C0591E">
        <w:rPr>
          <w:rFonts w:cs="Times New Roman"/>
          <w:szCs w:val="24"/>
          <w:lang w:val="en-GB"/>
        </w:rPr>
        <w:tab/>
        <w:t>Retirement Benefit Act</w:t>
      </w:r>
    </w:p>
    <w:p w14:paraId="26FC234B" w14:textId="77777777" w:rsidR="00CC3268" w:rsidRPr="00C0591E" w:rsidRDefault="00CC3268" w:rsidP="00267BE6">
      <w:pPr>
        <w:rPr>
          <w:rFonts w:cs="Times New Roman"/>
          <w:szCs w:val="24"/>
          <w:lang w:val="en-GB"/>
        </w:rPr>
      </w:pPr>
      <w:r w:rsidRPr="00C0591E">
        <w:rPr>
          <w:rFonts w:cs="Times New Roman"/>
          <w:b/>
          <w:szCs w:val="24"/>
          <w:lang w:val="en-GB"/>
        </w:rPr>
        <w:t>ROA</w:t>
      </w:r>
      <w:r w:rsidRPr="00C0591E">
        <w:rPr>
          <w:rFonts w:cs="Times New Roman"/>
          <w:szCs w:val="24"/>
          <w:lang w:val="en-GB"/>
        </w:rPr>
        <w:tab/>
      </w:r>
      <w:r w:rsidRPr="00C0591E">
        <w:rPr>
          <w:rFonts w:cs="Times New Roman"/>
          <w:szCs w:val="24"/>
          <w:lang w:val="en-GB"/>
        </w:rPr>
        <w:tab/>
      </w:r>
      <w:r w:rsidRPr="00C0591E">
        <w:rPr>
          <w:rFonts w:cs="Times New Roman"/>
          <w:szCs w:val="24"/>
          <w:lang w:val="en-GB"/>
        </w:rPr>
        <w:tab/>
        <w:t xml:space="preserve">Return on Assets </w:t>
      </w:r>
    </w:p>
    <w:p w14:paraId="31E2AF24" w14:textId="77777777" w:rsidR="00CC3268" w:rsidRPr="00C0591E" w:rsidRDefault="00CC3268" w:rsidP="00267BE6">
      <w:pPr>
        <w:rPr>
          <w:rFonts w:cs="Times New Roman"/>
          <w:szCs w:val="24"/>
          <w:shd w:val="clear" w:color="auto" w:fill="FFFFFF"/>
        </w:rPr>
      </w:pPr>
      <w:r w:rsidRPr="00C0591E">
        <w:rPr>
          <w:rFonts w:cs="Times New Roman"/>
          <w:b/>
          <w:szCs w:val="24"/>
          <w:shd w:val="clear" w:color="auto" w:fill="FFFFFF"/>
        </w:rPr>
        <w:t>ROE</w:t>
      </w:r>
      <w:r w:rsidRPr="00C0591E">
        <w:rPr>
          <w:rFonts w:cs="Times New Roman"/>
          <w:szCs w:val="24"/>
          <w:shd w:val="clear" w:color="auto" w:fill="FFFFFF"/>
        </w:rPr>
        <w:tab/>
      </w:r>
      <w:r w:rsidRPr="00C0591E">
        <w:rPr>
          <w:rFonts w:cs="Times New Roman"/>
          <w:szCs w:val="24"/>
          <w:shd w:val="clear" w:color="auto" w:fill="FFFFFF"/>
        </w:rPr>
        <w:tab/>
      </w:r>
      <w:r w:rsidRPr="00C0591E">
        <w:rPr>
          <w:rFonts w:cs="Times New Roman"/>
          <w:szCs w:val="24"/>
          <w:shd w:val="clear" w:color="auto" w:fill="FFFFFF"/>
        </w:rPr>
        <w:tab/>
        <w:t>Return on equity </w:t>
      </w:r>
    </w:p>
    <w:p w14:paraId="6065C913" w14:textId="77777777" w:rsidR="00CC3268" w:rsidRPr="00C0591E" w:rsidRDefault="00CC3268" w:rsidP="00267BE6">
      <w:pPr>
        <w:rPr>
          <w:rFonts w:cs="Times New Roman"/>
          <w:szCs w:val="24"/>
          <w:shd w:val="clear" w:color="auto" w:fill="FFFFFF"/>
        </w:rPr>
      </w:pPr>
      <w:r w:rsidRPr="00C0591E">
        <w:rPr>
          <w:rFonts w:cs="Times New Roman"/>
          <w:b/>
          <w:szCs w:val="24"/>
          <w:shd w:val="clear" w:color="auto" w:fill="FFFFFF"/>
        </w:rPr>
        <w:t xml:space="preserve">ROI </w:t>
      </w:r>
      <w:r w:rsidRPr="00C0591E">
        <w:rPr>
          <w:rFonts w:cs="Times New Roman"/>
          <w:b/>
          <w:szCs w:val="24"/>
          <w:shd w:val="clear" w:color="auto" w:fill="FFFFFF"/>
        </w:rPr>
        <w:tab/>
      </w:r>
      <w:r w:rsidRPr="00C0591E">
        <w:rPr>
          <w:rFonts w:cs="Times New Roman"/>
          <w:szCs w:val="24"/>
          <w:shd w:val="clear" w:color="auto" w:fill="FFFFFF"/>
        </w:rPr>
        <w:tab/>
      </w:r>
      <w:r w:rsidRPr="00C0591E">
        <w:rPr>
          <w:rFonts w:cs="Times New Roman"/>
          <w:szCs w:val="24"/>
          <w:shd w:val="clear" w:color="auto" w:fill="FFFFFF"/>
        </w:rPr>
        <w:tab/>
        <w:t xml:space="preserve">Return on Investment </w:t>
      </w:r>
    </w:p>
    <w:p w14:paraId="3BDFC54E" w14:textId="77777777" w:rsidR="00CC3268" w:rsidRPr="00C0591E" w:rsidRDefault="00CC3268" w:rsidP="00267BE6">
      <w:pPr>
        <w:rPr>
          <w:rFonts w:cs="Times New Roman"/>
          <w:szCs w:val="24"/>
          <w:shd w:val="clear" w:color="auto" w:fill="FFFFFF"/>
        </w:rPr>
      </w:pPr>
      <w:r w:rsidRPr="00C0591E">
        <w:rPr>
          <w:rFonts w:cs="Times New Roman"/>
          <w:b/>
          <w:szCs w:val="24"/>
          <w:shd w:val="clear" w:color="auto" w:fill="FFFFFF"/>
        </w:rPr>
        <w:t>VIF</w:t>
      </w:r>
      <w:r w:rsidRPr="00C0591E">
        <w:rPr>
          <w:rFonts w:cs="Times New Roman"/>
          <w:szCs w:val="24"/>
          <w:shd w:val="clear" w:color="auto" w:fill="FFFFFF"/>
        </w:rPr>
        <w:tab/>
      </w:r>
      <w:r w:rsidRPr="00C0591E">
        <w:rPr>
          <w:rFonts w:cs="Times New Roman"/>
          <w:szCs w:val="24"/>
          <w:shd w:val="clear" w:color="auto" w:fill="FFFFFF"/>
        </w:rPr>
        <w:tab/>
      </w:r>
      <w:r w:rsidRPr="00C0591E">
        <w:rPr>
          <w:rFonts w:cs="Times New Roman"/>
          <w:szCs w:val="24"/>
          <w:shd w:val="clear" w:color="auto" w:fill="FFFFFF"/>
        </w:rPr>
        <w:tab/>
        <w:t xml:space="preserve">Variance Inflation Factor </w:t>
      </w:r>
    </w:p>
    <w:p w14:paraId="2BCA6077" w14:textId="77777777" w:rsidR="00267BE6" w:rsidRPr="00C0591E" w:rsidRDefault="00267BE6" w:rsidP="00267BE6"/>
    <w:p w14:paraId="0DE37B4B" w14:textId="77777777" w:rsidR="00267BE6" w:rsidRPr="00C0591E" w:rsidRDefault="00267BE6" w:rsidP="00267BE6">
      <w:pPr>
        <w:spacing w:after="0"/>
        <w:rPr>
          <w:b/>
          <w:szCs w:val="24"/>
        </w:rPr>
      </w:pPr>
    </w:p>
    <w:p w14:paraId="6AFD995A" w14:textId="77777777" w:rsidR="00267BE6" w:rsidRPr="00C0591E" w:rsidRDefault="00267BE6" w:rsidP="00267BE6">
      <w:pPr>
        <w:rPr>
          <w:rFonts w:eastAsiaTheme="majorEastAsia" w:cs="Times New Roman"/>
          <w:b/>
          <w:bCs/>
          <w:szCs w:val="28"/>
        </w:rPr>
      </w:pPr>
      <w:bookmarkStart w:id="12" w:name="_Toc515997229"/>
      <w:r w:rsidRPr="00C0591E">
        <w:rPr>
          <w:rFonts w:cs="Times New Roman"/>
        </w:rPr>
        <w:br w:type="page"/>
      </w:r>
    </w:p>
    <w:p w14:paraId="1DF0F8E0" w14:textId="013A9816" w:rsidR="00267BE6" w:rsidRPr="00C0591E" w:rsidRDefault="00267BE6" w:rsidP="00347D67">
      <w:pPr>
        <w:pStyle w:val="Heading1"/>
      </w:pPr>
      <w:bookmarkStart w:id="13" w:name="_Toc113125064"/>
      <w:r w:rsidRPr="00C0591E">
        <w:t>OPERATIONAL DEFINITION OF TERMS</w:t>
      </w:r>
      <w:bookmarkEnd w:id="12"/>
      <w:bookmarkEnd w:id="13"/>
    </w:p>
    <w:p w14:paraId="1C127D55" w14:textId="6A95B08A" w:rsidR="007F526D" w:rsidRPr="002F299F" w:rsidRDefault="007F526D" w:rsidP="007F526D">
      <w:pPr>
        <w:ind w:left="2160" w:hanging="2160"/>
        <w:rPr>
          <w:rFonts w:cs="Times New Roman"/>
          <w:szCs w:val="24"/>
          <w:lang w:val="en-GB"/>
        </w:rPr>
      </w:pPr>
      <w:r>
        <w:rPr>
          <w:rFonts w:cs="Times New Roman"/>
          <w:b/>
          <w:szCs w:val="24"/>
          <w:lang w:val="en-GB"/>
        </w:rPr>
        <w:t>Board accountability:</w:t>
      </w:r>
      <w:r w:rsidRPr="002F299F">
        <w:rPr>
          <w:rFonts w:cs="Times New Roman"/>
          <w:b/>
          <w:szCs w:val="24"/>
          <w:lang w:val="en-GB"/>
        </w:rPr>
        <w:t xml:space="preserve">  </w:t>
      </w:r>
      <w:r w:rsidRPr="007F526D">
        <w:rPr>
          <w:rFonts w:cs="Times New Roman"/>
          <w:szCs w:val="24"/>
          <w:lang w:val="en-GB"/>
        </w:rPr>
        <w:t>Refers to</w:t>
      </w:r>
      <w:r>
        <w:rPr>
          <w:rFonts w:cs="Times New Roman"/>
          <w:b/>
          <w:szCs w:val="24"/>
          <w:lang w:val="en-GB"/>
        </w:rPr>
        <w:t xml:space="preserve"> </w:t>
      </w:r>
      <w:r w:rsidRPr="002F299F">
        <w:rPr>
          <w:rFonts w:cs="Times New Roman"/>
          <w:szCs w:val="24"/>
          <w:lang w:val="en-GB"/>
        </w:rPr>
        <w:t xml:space="preserve">the framework that structures the board and how it operates (Naciti, 2019). </w:t>
      </w:r>
    </w:p>
    <w:p w14:paraId="0C5EF60E" w14:textId="77777777" w:rsidR="007F526D" w:rsidRPr="00C0591E" w:rsidRDefault="007F526D" w:rsidP="007F526D">
      <w:pPr>
        <w:ind w:left="2160" w:hanging="2160"/>
        <w:rPr>
          <w:rFonts w:cs="Times New Roman"/>
          <w:szCs w:val="24"/>
          <w:lang w:val="en-GB"/>
        </w:rPr>
      </w:pPr>
      <w:r w:rsidRPr="00C0591E">
        <w:rPr>
          <w:rFonts w:cs="Times New Roman"/>
          <w:b/>
          <w:szCs w:val="24"/>
          <w:lang w:val="en-GB"/>
        </w:rPr>
        <w:t>Corporate Governance</w:t>
      </w:r>
      <w:r>
        <w:rPr>
          <w:rFonts w:cs="Times New Roman"/>
          <w:szCs w:val="24"/>
          <w:lang w:val="en-GB"/>
        </w:rPr>
        <w:t xml:space="preserve">: </w:t>
      </w:r>
      <w:r w:rsidRPr="00C0591E">
        <w:rPr>
          <w:rFonts w:cs="Times New Roman"/>
          <w:szCs w:val="24"/>
          <w:lang w:val="en-GB"/>
        </w:rPr>
        <w:t>Refers to the system of rules, practices and processes by which a firm is directed and controlled. </w:t>
      </w:r>
    </w:p>
    <w:p w14:paraId="32123833" w14:textId="77777777" w:rsidR="007F526D" w:rsidRPr="00C0591E" w:rsidRDefault="007F526D" w:rsidP="007F526D">
      <w:pPr>
        <w:ind w:left="2160" w:hanging="2160"/>
        <w:rPr>
          <w:rFonts w:cs="Times New Roman"/>
          <w:szCs w:val="24"/>
          <w:lang w:val="en-GB"/>
        </w:rPr>
      </w:pPr>
      <w:r w:rsidRPr="00C0591E">
        <w:rPr>
          <w:rFonts w:cs="Times New Roman"/>
          <w:b/>
          <w:szCs w:val="24"/>
          <w:lang w:val="en-GB"/>
        </w:rPr>
        <w:t>Government Regulations</w:t>
      </w:r>
      <w:r>
        <w:rPr>
          <w:rFonts w:cs="Times New Roman"/>
          <w:szCs w:val="24"/>
          <w:lang w:val="en-GB"/>
        </w:rPr>
        <w:t xml:space="preserve">: </w:t>
      </w:r>
      <w:r w:rsidRPr="00C0591E">
        <w:rPr>
          <w:rFonts w:cs="Times New Roman"/>
          <w:szCs w:val="24"/>
          <w:lang w:val="en-GB"/>
        </w:rPr>
        <w:t>Refers to a rule of order having the force of law, prescribed by a superior or competent authority, relating to the actions of those under the authority's control.</w:t>
      </w:r>
    </w:p>
    <w:p w14:paraId="0002D074" w14:textId="77777777" w:rsidR="007F526D" w:rsidRPr="00C0591E" w:rsidRDefault="007F526D" w:rsidP="007F526D">
      <w:pPr>
        <w:ind w:left="2160" w:hanging="2160"/>
        <w:rPr>
          <w:rFonts w:cs="Times New Roman"/>
          <w:szCs w:val="24"/>
          <w:lang w:val="en-GB"/>
        </w:rPr>
      </w:pPr>
      <w:r w:rsidRPr="00C0591E">
        <w:rPr>
          <w:rFonts w:cs="Times New Roman"/>
          <w:b/>
          <w:szCs w:val="24"/>
          <w:lang w:val="en-GB"/>
        </w:rPr>
        <w:t>Investment Policies</w:t>
      </w:r>
      <w:r>
        <w:rPr>
          <w:rFonts w:cs="Times New Roman"/>
          <w:szCs w:val="24"/>
          <w:lang w:val="en-GB"/>
        </w:rPr>
        <w:t xml:space="preserve">: </w:t>
      </w:r>
      <w:r w:rsidRPr="00C0591E">
        <w:rPr>
          <w:rFonts w:cs="Times New Roman"/>
          <w:szCs w:val="24"/>
          <w:lang w:val="en-GB"/>
        </w:rPr>
        <w:t>Refers to principles that formalizes an institution's goals, objectives, guidelines for asset management and investment advisory.</w:t>
      </w:r>
    </w:p>
    <w:p w14:paraId="0703900A" w14:textId="0105B5A1" w:rsidR="007F526D" w:rsidRPr="002F299F" w:rsidRDefault="007F526D" w:rsidP="007F526D">
      <w:pPr>
        <w:ind w:left="2160" w:hanging="2160"/>
        <w:rPr>
          <w:rFonts w:cs="Times New Roman"/>
          <w:szCs w:val="24"/>
          <w:lang w:val="en-GB"/>
        </w:rPr>
      </w:pPr>
      <w:r w:rsidRPr="002F299F">
        <w:rPr>
          <w:rFonts w:cs="Times New Roman"/>
          <w:b/>
          <w:szCs w:val="24"/>
          <w:lang w:val="en-GB"/>
        </w:rPr>
        <w:t>Ownership structure</w:t>
      </w:r>
      <w:r>
        <w:rPr>
          <w:rFonts w:cs="Times New Roman"/>
          <w:b/>
          <w:szCs w:val="24"/>
          <w:lang w:val="en-GB"/>
        </w:rPr>
        <w:t>:</w:t>
      </w:r>
      <w:r w:rsidRPr="002F299F">
        <w:rPr>
          <w:rFonts w:cs="Times New Roman"/>
          <w:b/>
          <w:szCs w:val="24"/>
          <w:lang w:val="en-GB"/>
        </w:rPr>
        <w:t xml:space="preserve"> </w:t>
      </w:r>
      <w:r w:rsidRPr="007F526D">
        <w:rPr>
          <w:rFonts w:cs="Times New Roman"/>
          <w:szCs w:val="24"/>
          <w:lang w:val="en-GB"/>
        </w:rPr>
        <w:t>Refers to</w:t>
      </w:r>
      <w:r>
        <w:rPr>
          <w:rFonts w:cs="Times New Roman"/>
          <w:b/>
          <w:szCs w:val="24"/>
          <w:lang w:val="en-GB"/>
        </w:rPr>
        <w:t xml:space="preserve"> </w:t>
      </w:r>
      <w:r w:rsidRPr="002F299F">
        <w:rPr>
          <w:rFonts w:cs="Times New Roman"/>
          <w:szCs w:val="24"/>
          <w:lang w:val="en-GB"/>
        </w:rPr>
        <w:t xml:space="preserve">the distribution of equity with regard to votes and capital but also by the identity of the equity owners (Paniagua, Rivelles &amp; Sapena, 2018). </w:t>
      </w:r>
    </w:p>
    <w:p w14:paraId="2EB99552" w14:textId="77777777" w:rsidR="007F526D" w:rsidRPr="00C0591E" w:rsidRDefault="007F526D" w:rsidP="007F526D">
      <w:pPr>
        <w:ind w:left="2160" w:hanging="2160"/>
        <w:rPr>
          <w:rFonts w:cs="Times New Roman"/>
          <w:szCs w:val="24"/>
          <w:lang w:val="en-GB"/>
        </w:rPr>
      </w:pPr>
      <w:r w:rsidRPr="00C0591E">
        <w:rPr>
          <w:rFonts w:cs="Times New Roman"/>
          <w:b/>
          <w:szCs w:val="24"/>
          <w:lang w:val="en-GB"/>
        </w:rPr>
        <w:t>Pension Fund Manager</w:t>
      </w:r>
      <w:r w:rsidRPr="00C0591E">
        <w:rPr>
          <w:rFonts w:cs="Times New Roman"/>
          <w:szCs w:val="24"/>
          <w:lang w:val="en-GB"/>
        </w:rPr>
        <w:t>:</w:t>
      </w:r>
      <w:r>
        <w:rPr>
          <w:rFonts w:cs="Times New Roman"/>
          <w:szCs w:val="24"/>
          <w:lang w:val="en-GB"/>
        </w:rPr>
        <w:t xml:space="preserve"> </w:t>
      </w:r>
      <w:r w:rsidRPr="00C0591E">
        <w:rPr>
          <w:rFonts w:cs="Times New Roman"/>
          <w:szCs w:val="24"/>
          <w:lang w:val="en-GB"/>
        </w:rPr>
        <w:t>A firm involved in in the management of funds or assets on behalf of individuals, investors or an organization.</w:t>
      </w:r>
    </w:p>
    <w:p w14:paraId="20A22941" w14:textId="77777777" w:rsidR="007F526D" w:rsidRPr="00C0591E" w:rsidRDefault="007F526D" w:rsidP="007F526D">
      <w:pPr>
        <w:ind w:left="2160" w:hanging="2160"/>
        <w:rPr>
          <w:rFonts w:cs="Times New Roman"/>
          <w:szCs w:val="24"/>
          <w:lang w:val="en-GB"/>
        </w:rPr>
      </w:pPr>
      <w:r w:rsidRPr="00C0591E">
        <w:rPr>
          <w:rFonts w:cs="Times New Roman"/>
          <w:b/>
          <w:szCs w:val="24"/>
          <w:lang w:val="en-GB"/>
        </w:rPr>
        <w:t>Pension Fund</w:t>
      </w:r>
      <w:r>
        <w:rPr>
          <w:rFonts w:cs="Times New Roman"/>
          <w:szCs w:val="24"/>
          <w:lang w:val="en-GB"/>
        </w:rPr>
        <w:t xml:space="preserve">: </w:t>
      </w:r>
      <w:r w:rsidRPr="00C0591E">
        <w:rPr>
          <w:rFonts w:cs="Times New Roman"/>
          <w:szCs w:val="24"/>
          <w:lang w:val="en-GB"/>
        </w:rPr>
        <w:t>Refers to asset pool meant to generate stable growth over the long term and provide pensions for employees when they reach the end of their working years and commence retirement.</w:t>
      </w:r>
    </w:p>
    <w:p w14:paraId="08156168" w14:textId="77777777" w:rsidR="007F526D" w:rsidRDefault="007F526D" w:rsidP="007F526D">
      <w:pPr>
        <w:ind w:left="2160" w:hanging="2160"/>
        <w:rPr>
          <w:rFonts w:cs="Times New Roman"/>
          <w:szCs w:val="24"/>
          <w:lang w:val="en-GB"/>
        </w:rPr>
      </w:pPr>
      <w:r w:rsidRPr="00C0591E">
        <w:rPr>
          <w:rFonts w:cs="Times New Roman"/>
          <w:b/>
          <w:szCs w:val="24"/>
          <w:lang w:val="en-GB"/>
        </w:rPr>
        <w:t>Performance</w:t>
      </w:r>
      <w:r>
        <w:rPr>
          <w:rFonts w:cs="Times New Roman"/>
          <w:szCs w:val="24"/>
          <w:lang w:val="en-GB"/>
        </w:rPr>
        <w:t xml:space="preserve">: </w:t>
      </w:r>
      <w:r w:rsidRPr="00C0591E">
        <w:rPr>
          <w:rFonts w:cs="Times New Roman"/>
          <w:szCs w:val="24"/>
          <w:lang w:val="en-GB"/>
        </w:rPr>
        <w:t>Comprises the actual output or results of an organization as measured against its intended outputs (or goals and objectives).</w:t>
      </w:r>
    </w:p>
    <w:p w14:paraId="37468E80" w14:textId="12D68934" w:rsidR="007F526D" w:rsidRPr="002F299F" w:rsidRDefault="007F526D" w:rsidP="007F526D">
      <w:pPr>
        <w:ind w:left="2160" w:hanging="2160"/>
        <w:rPr>
          <w:rFonts w:cs="Times New Roman"/>
          <w:szCs w:val="24"/>
          <w:lang w:val="en-GB"/>
        </w:rPr>
      </w:pPr>
      <w:r w:rsidRPr="002F299F">
        <w:rPr>
          <w:rFonts w:cs="Times New Roman"/>
          <w:b/>
          <w:szCs w:val="24"/>
          <w:lang w:val="en-GB"/>
        </w:rPr>
        <w:t>Stakeholder participation</w:t>
      </w:r>
      <w:r>
        <w:rPr>
          <w:rFonts w:cs="Times New Roman"/>
          <w:b/>
          <w:szCs w:val="24"/>
          <w:lang w:val="en-GB"/>
        </w:rPr>
        <w:t xml:space="preserve">: </w:t>
      </w:r>
      <w:r w:rsidRPr="007F526D">
        <w:rPr>
          <w:rFonts w:cs="Times New Roman"/>
          <w:szCs w:val="24"/>
          <w:lang w:val="en-GB"/>
        </w:rPr>
        <w:t>Refers to</w:t>
      </w:r>
      <w:r>
        <w:rPr>
          <w:rFonts w:cs="Times New Roman"/>
          <w:b/>
          <w:szCs w:val="24"/>
          <w:lang w:val="en-GB"/>
        </w:rPr>
        <w:t xml:space="preserve"> </w:t>
      </w:r>
      <w:r w:rsidRPr="002F299F">
        <w:rPr>
          <w:rFonts w:cs="Times New Roman"/>
          <w:szCs w:val="24"/>
          <w:lang w:val="en-GB"/>
        </w:rPr>
        <w:t>the processes that enable stakeholders to understand and influence decisions and processes that may interest or affect them (Adebayo, Mudashiru, Brahim &amp; Ishmael, 2014).</w:t>
      </w:r>
    </w:p>
    <w:p w14:paraId="28D5956D" w14:textId="35B2C7FF" w:rsidR="007F526D" w:rsidRPr="002F299F" w:rsidRDefault="007F526D" w:rsidP="007F526D">
      <w:pPr>
        <w:ind w:left="2160" w:hanging="2160"/>
        <w:rPr>
          <w:rFonts w:cs="Times New Roman"/>
          <w:szCs w:val="24"/>
          <w:lang w:val="en-GB"/>
        </w:rPr>
      </w:pPr>
      <w:r>
        <w:rPr>
          <w:rFonts w:cs="Times New Roman"/>
          <w:b/>
          <w:szCs w:val="24"/>
          <w:lang w:val="en-GB"/>
        </w:rPr>
        <w:t>Transparency:</w:t>
      </w:r>
      <w:r w:rsidRPr="002F299F">
        <w:rPr>
          <w:rFonts w:cs="Times New Roman"/>
          <w:b/>
          <w:szCs w:val="24"/>
          <w:lang w:val="en-GB"/>
        </w:rPr>
        <w:t xml:space="preserve"> </w:t>
      </w:r>
      <w:r w:rsidRPr="007F526D">
        <w:rPr>
          <w:rFonts w:cs="Times New Roman"/>
          <w:szCs w:val="24"/>
          <w:lang w:val="en-GB"/>
        </w:rPr>
        <w:t>Refers to</w:t>
      </w:r>
      <w:r>
        <w:rPr>
          <w:rFonts w:cs="Times New Roman"/>
          <w:b/>
          <w:szCs w:val="24"/>
          <w:lang w:val="en-GB"/>
        </w:rPr>
        <w:t xml:space="preserve"> </w:t>
      </w:r>
      <w:r w:rsidRPr="002F299F">
        <w:rPr>
          <w:rFonts w:cs="Times New Roman"/>
          <w:szCs w:val="24"/>
          <w:lang w:val="en-GB"/>
        </w:rPr>
        <w:t xml:space="preserve">the access and proper disclosure of financial information, such as a company's audited financial reports (Ramírez &amp; Tejada, 2018). </w:t>
      </w:r>
    </w:p>
    <w:p w14:paraId="656A96E4" w14:textId="77777777" w:rsidR="00267BE6" w:rsidRPr="00C0591E" w:rsidRDefault="00267BE6" w:rsidP="00267BE6">
      <w:pPr>
        <w:rPr>
          <w:rFonts w:cs="Times New Roman"/>
          <w:szCs w:val="24"/>
        </w:rPr>
        <w:sectPr w:rsidR="00267BE6" w:rsidRPr="00C0591E" w:rsidSect="00F92837">
          <w:footerReference w:type="default" r:id="rId8"/>
          <w:pgSz w:w="12240" w:h="15840"/>
          <w:pgMar w:top="1440" w:right="1440" w:bottom="1440" w:left="1440" w:header="720" w:footer="720" w:gutter="0"/>
          <w:pgNumType w:fmt="lowerRoman"/>
          <w:cols w:space="720"/>
          <w:titlePg/>
          <w:docGrid w:linePitch="360"/>
        </w:sectPr>
      </w:pPr>
    </w:p>
    <w:bookmarkStart w:id="14" w:name="_Toc113125065" w:displacedByCustomXml="next"/>
    <w:sdt>
      <w:sdtPr>
        <w:rPr>
          <w:rFonts w:eastAsiaTheme="minorEastAsia" w:cstheme="minorBidi"/>
          <w:b w:val="0"/>
          <w:bCs w:val="0"/>
          <w:szCs w:val="22"/>
        </w:rPr>
        <w:id w:val="-1415777440"/>
        <w:docPartObj>
          <w:docPartGallery w:val="Table of Contents"/>
          <w:docPartUnique/>
        </w:docPartObj>
      </w:sdtPr>
      <w:sdtEndPr>
        <w:rPr>
          <w:noProof/>
        </w:rPr>
      </w:sdtEndPr>
      <w:sdtContent>
        <w:p w14:paraId="452B92ED" w14:textId="77777777" w:rsidR="00267BE6" w:rsidRPr="00C0591E" w:rsidRDefault="00267BE6" w:rsidP="00347D67">
          <w:pPr>
            <w:pStyle w:val="Heading1"/>
          </w:pPr>
          <w:r w:rsidRPr="00C0591E">
            <w:t>TABLE OF CONTENTS</w:t>
          </w:r>
          <w:bookmarkEnd w:id="14"/>
        </w:p>
        <w:p w14:paraId="6E4580FC" w14:textId="238B9B33" w:rsidR="00C85413" w:rsidRDefault="00A376E1">
          <w:pPr>
            <w:pStyle w:val="TOC1"/>
            <w:rPr>
              <w:rFonts w:asciiTheme="minorHAnsi" w:hAnsiTheme="minorHAnsi" w:cstheme="minorBidi"/>
              <w:b w:val="0"/>
              <w:sz w:val="22"/>
            </w:rPr>
          </w:pPr>
          <w:r w:rsidRPr="00C0591E">
            <w:fldChar w:fldCharType="begin"/>
          </w:r>
          <w:r w:rsidRPr="00C0591E">
            <w:instrText xml:space="preserve"> TOC \o "1-2" \h \z \u </w:instrText>
          </w:r>
          <w:r w:rsidRPr="00C0591E">
            <w:fldChar w:fldCharType="separate"/>
          </w:r>
          <w:hyperlink w:anchor="_Toc113125060" w:history="1">
            <w:r w:rsidR="00C85413" w:rsidRPr="001B006B">
              <w:rPr>
                <w:rStyle w:val="Hyperlink"/>
              </w:rPr>
              <w:t>DECLARATION</w:t>
            </w:r>
            <w:r w:rsidR="00C85413">
              <w:rPr>
                <w:webHidden/>
              </w:rPr>
              <w:tab/>
            </w:r>
            <w:r w:rsidR="00C85413">
              <w:rPr>
                <w:webHidden/>
              </w:rPr>
              <w:fldChar w:fldCharType="begin"/>
            </w:r>
            <w:r w:rsidR="00C85413">
              <w:rPr>
                <w:webHidden/>
              </w:rPr>
              <w:instrText xml:space="preserve"> PAGEREF _Toc113125060 \h </w:instrText>
            </w:r>
            <w:r w:rsidR="00C85413">
              <w:rPr>
                <w:webHidden/>
              </w:rPr>
            </w:r>
            <w:r w:rsidR="00C85413">
              <w:rPr>
                <w:webHidden/>
              </w:rPr>
              <w:fldChar w:fldCharType="separate"/>
            </w:r>
            <w:r w:rsidR="00956EA4">
              <w:rPr>
                <w:webHidden/>
              </w:rPr>
              <w:t>ii</w:t>
            </w:r>
            <w:r w:rsidR="00C85413">
              <w:rPr>
                <w:webHidden/>
              </w:rPr>
              <w:fldChar w:fldCharType="end"/>
            </w:r>
          </w:hyperlink>
        </w:p>
        <w:p w14:paraId="7B7234AF" w14:textId="1B56DCC2" w:rsidR="00C85413" w:rsidRDefault="002B5444">
          <w:pPr>
            <w:pStyle w:val="TOC1"/>
            <w:rPr>
              <w:rFonts w:asciiTheme="minorHAnsi" w:hAnsiTheme="minorHAnsi" w:cstheme="minorBidi"/>
              <w:b w:val="0"/>
              <w:sz w:val="22"/>
            </w:rPr>
          </w:pPr>
          <w:hyperlink w:anchor="_Toc113125061" w:history="1">
            <w:r w:rsidR="00C85413" w:rsidRPr="001B006B">
              <w:rPr>
                <w:rStyle w:val="Hyperlink"/>
              </w:rPr>
              <w:t>DEDICATION</w:t>
            </w:r>
            <w:r w:rsidR="00C85413">
              <w:rPr>
                <w:webHidden/>
              </w:rPr>
              <w:tab/>
            </w:r>
            <w:r w:rsidR="00C85413">
              <w:rPr>
                <w:webHidden/>
              </w:rPr>
              <w:fldChar w:fldCharType="begin"/>
            </w:r>
            <w:r w:rsidR="00C85413">
              <w:rPr>
                <w:webHidden/>
              </w:rPr>
              <w:instrText xml:space="preserve"> PAGEREF _Toc113125061 \h </w:instrText>
            </w:r>
            <w:r w:rsidR="00C85413">
              <w:rPr>
                <w:webHidden/>
              </w:rPr>
            </w:r>
            <w:r w:rsidR="00C85413">
              <w:rPr>
                <w:webHidden/>
              </w:rPr>
              <w:fldChar w:fldCharType="separate"/>
            </w:r>
            <w:r w:rsidR="00956EA4">
              <w:rPr>
                <w:webHidden/>
              </w:rPr>
              <w:t>iii</w:t>
            </w:r>
            <w:r w:rsidR="00C85413">
              <w:rPr>
                <w:webHidden/>
              </w:rPr>
              <w:fldChar w:fldCharType="end"/>
            </w:r>
          </w:hyperlink>
        </w:p>
        <w:p w14:paraId="675C2890" w14:textId="32706BCB" w:rsidR="00C85413" w:rsidRDefault="002B5444">
          <w:pPr>
            <w:pStyle w:val="TOC1"/>
            <w:rPr>
              <w:rFonts w:asciiTheme="minorHAnsi" w:hAnsiTheme="minorHAnsi" w:cstheme="minorBidi"/>
              <w:b w:val="0"/>
              <w:sz w:val="22"/>
            </w:rPr>
          </w:pPr>
          <w:hyperlink w:anchor="_Toc113125062" w:history="1">
            <w:r w:rsidR="00C85413" w:rsidRPr="001B006B">
              <w:rPr>
                <w:rStyle w:val="Hyperlink"/>
              </w:rPr>
              <w:t>ACKNOWLEDGEMENT</w:t>
            </w:r>
            <w:r w:rsidR="00C85413">
              <w:rPr>
                <w:webHidden/>
              </w:rPr>
              <w:tab/>
            </w:r>
            <w:r w:rsidR="00C85413">
              <w:rPr>
                <w:webHidden/>
              </w:rPr>
              <w:fldChar w:fldCharType="begin"/>
            </w:r>
            <w:r w:rsidR="00C85413">
              <w:rPr>
                <w:webHidden/>
              </w:rPr>
              <w:instrText xml:space="preserve"> PAGEREF _Toc113125062 \h </w:instrText>
            </w:r>
            <w:r w:rsidR="00C85413">
              <w:rPr>
                <w:webHidden/>
              </w:rPr>
            </w:r>
            <w:r w:rsidR="00C85413">
              <w:rPr>
                <w:webHidden/>
              </w:rPr>
              <w:fldChar w:fldCharType="separate"/>
            </w:r>
            <w:r w:rsidR="00956EA4">
              <w:rPr>
                <w:webHidden/>
              </w:rPr>
              <w:t>iv</w:t>
            </w:r>
            <w:r w:rsidR="00C85413">
              <w:rPr>
                <w:webHidden/>
              </w:rPr>
              <w:fldChar w:fldCharType="end"/>
            </w:r>
          </w:hyperlink>
        </w:p>
        <w:p w14:paraId="558D1A6A" w14:textId="534FBB52" w:rsidR="00C85413" w:rsidRDefault="002B5444">
          <w:pPr>
            <w:pStyle w:val="TOC1"/>
            <w:rPr>
              <w:rFonts w:asciiTheme="minorHAnsi" w:hAnsiTheme="minorHAnsi" w:cstheme="minorBidi"/>
              <w:b w:val="0"/>
              <w:sz w:val="22"/>
            </w:rPr>
          </w:pPr>
          <w:hyperlink w:anchor="_Toc113125063" w:history="1">
            <w:r w:rsidR="00C85413" w:rsidRPr="001B006B">
              <w:rPr>
                <w:rStyle w:val="Hyperlink"/>
              </w:rPr>
              <w:t>ACRONYMS AND ABBREVIATIONS</w:t>
            </w:r>
            <w:r w:rsidR="00C85413">
              <w:rPr>
                <w:webHidden/>
              </w:rPr>
              <w:tab/>
            </w:r>
            <w:r w:rsidR="00C85413">
              <w:rPr>
                <w:webHidden/>
              </w:rPr>
              <w:fldChar w:fldCharType="begin"/>
            </w:r>
            <w:r w:rsidR="00C85413">
              <w:rPr>
                <w:webHidden/>
              </w:rPr>
              <w:instrText xml:space="preserve"> PAGEREF _Toc113125063 \h </w:instrText>
            </w:r>
            <w:r w:rsidR="00C85413">
              <w:rPr>
                <w:webHidden/>
              </w:rPr>
            </w:r>
            <w:r w:rsidR="00C85413">
              <w:rPr>
                <w:webHidden/>
              </w:rPr>
              <w:fldChar w:fldCharType="separate"/>
            </w:r>
            <w:r w:rsidR="00956EA4">
              <w:rPr>
                <w:webHidden/>
              </w:rPr>
              <w:t>v</w:t>
            </w:r>
            <w:r w:rsidR="00C85413">
              <w:rPr>
                <w:webHidden/>
              </w:rPr>
              <w:fldChar w:fldCharType="end"/>
            </w:r>
          </w:hyperlink>
        </w:p>
        <w:p w14:paraId="213B4940" w14:textId="7B277E9A" w:rsidR="00C85413" w:rsidRDefault="002B5444">
          <w:pPr>
            <w:pStyle w:val="TOC1"/>
            <w:rPr>
              <w:rFonts w:asciiTheme="minorHAnsi" w:hAnsiTheme="minorHAnsi" w:cstheme="minorBidi"/>
              <w:b w:val="0"/>
              <w:sz w:val="22"/>
            </w:rPr>
          </w:pPr>
          <w:hyperlink w:anchor="_Toc113125064" w:history="1">
            <w:r w:rsidR="00C85413" w:rsidRPr="001B006B">
              <w:rPr>
                <w:rStyle w:val="Hyperlink"/>
              </w:rPr>
              <w:t>OPERATIONAL DEFINITION OF TERMS</w:t>
            </w:r>
            <w:r w:rsidR="00C85413">
              <w:rPr>
                <w:webHidden/>
              </w:rPr>
              <w:tab/>
            </w:r>
            <w:r w:rsidR="00C85413">
              <w:rPr>
                <w:webHidden/>
              </w:rPr>
              <w:fldChar w:fldCharType="begin"/>
            </w:r>
            <w:r w:rsidR="00C85413">
              <w:rPr>
                <w:webHidden/>
              </w:rPr>
              <w:instrText xml:space="preserve"> PAGEREF _Toc113125064 \h </w:instrText>
            </w:r>
            <w:r w:rsidR="00C85413">
              <w:rPr>
                <w:webHidden/>
              </w:rPr>
            </w:r>
            <w:r w:rsidR="00C85413">
              <w:rPr>
                <w:webHidden/>
              </w:rPr>
              <w:fldChar w:fldCharType="separate"/>
            </w:r>
            <w:r w:rsidR="00956EA4">
              <w:rPr>
                <w:webHidden/>
              </w:rPr>
              <w:t>vi</w:t>
            </w:r>
            <w:r w:rsidR="00C85413">
              <w:rPr>
                <w:webHidden/>
              </w:rPr>
              <w:fldChar w:fldCharType="end"/>
            </w:r>
          </w:hyperlink>
        </w:p>
        <w:p w14:paraId="7A75CF93" w14:textId="6A23C4F9" w:rsidR="00C85413" w:rsidRDefault="002B5444">
          <w:pPr>
            <w:pStyle w:val="TOC1"/>
            <w:rPr>
              <w:rFonts w:asciiTheme="minorHAnsi" w:hAnsiTheme="minorHAnsi" w:cstheme="minorBidi"/>
              <w:b w:val="0"/>
              <w:sz w:val="22"/>
            </w:rPr>
          </w:pPr>
          <w:hyperlink w:anchor="_Toc113125065" w:history="1">
            <w:r w:rsidR="00C85413" w:rsidRPr="001B006B">
              <w:rPr>
                <w:rStyle w:val="Hyperlink"/>
              </w:rPr>
              <w:t>TABLE OF CONTENTS</w:t>
            </w:r>
            <w:r w:rsidR="00C85413">
              <w:rPr>
                <w:webHidden/>
              </w:rPr>
              <w:tab/>
            </w:r>
            <w:r w:rsidR="00C85413">
              <w:rPr>
                <w:webHidden/>
              </w:rPr>
              <w:fldChar w:fldCharType="begin"/>
            </w:r>
            <w:r w:rsidR="00C85413">
              <w:rPr>
                <w:webHidden/>
              </w:rPr>
              <w:instrText xml:space="preserve"> PAGEREF _Toc113125065 \h </w:instrText>
            </w:r>
            <w:r w:rsidR="00C85413">
              <w:rPr>
                <w:webHidden/>
              </w:rPr>
            </w:r>
            <w:r w:rsidR="00C85413">
              <w:rPr>
                <w:webHidden/>
              </w:rPr>
              <w:fldChar w:fldCharType="separate"/>
            </w:r>
            <w:r w:rsidR="00956EA4">
              <w:rPr>
                <w:webHidden/>
              </w:rPr>
              <w:t>vii</w:t>
            </w:r>
            <w:r w:rsidR="00C85413">
              <w:rPr>
                <w:webHidden/>
              </w:rPr>
              <w:fldChar w:fldCharType="end"/>
            </w:r>
          </w:hyperlink>
        </w:p>
        <w:p w14:paraId="14A92481" w14:textId="4F3201B6" w:rsidR="00C85413" w:rsidRDefault="002B5444">
          <w:pPr>
            <w:pStyle w:val="TOC1"/>
            <w:rPr>
              <w:rFonts w:asciiTheme="minorHAnsi" w:hAnsiTheme="minorHAnsi" w:cstheme="minorBidi"/>
              <w:b w:val="0"/>
              <w:sz w:val="22"/>
            </w:rPr>
          </w:pPr>
          <w:hyperlink w:anchor="_Toc113125066" w:history="1">
            <w:r w:rsidR="00C85413" w:rsidRPr="001B006B">
              <w:rPr>
                <w:rStyle w:val="Hyperlink"/>
              </w:rPr>
              <w:t>LIST OF TABLES</w:t>
            </w:r>
            <w:r w:rsidR="00C85413">
              <w:rPr>
                <w:webHidden/>
              </w:rPr>
              <w:tab/>
            </w:r>
            <w:r w:rsidR="00C85413">
              <w:rPr>
                <w:webHidden/>
              </w:rPr>
              <w:fldChar w:fldCharType="begin"/>
            </w:r>
            <w:r w:rsidR="00C85413">
              <w:rPr>
                <w:webHidden/>
              </w:rPr>
              <w:instrText xml:space="preserve"> PAGEREF _Toc113125066 \h </w:instrText>
            </w:r>
            <w:r w:rsidR="00C85413">
              <w:rPr>
                <w:webHidden/>
              </w:rPr>
            </w:r>
            <w:r w:rsidR="00C85413">
              <w:rPr>
                <w:webHidden/>
              </w:rPr>
              <w:fldChar w:fldCharType="separate"/>
            </w:r>
            <w:r w:rsidR="00956EA4">
              <w:rPr>
                <w:webHidden/>
              </w:rPr>
              <w:t>xi</w:t>
            </w:r>
            <w:r w:rsidR="00C85413">
              <w:rPr>
                <w:webHidden/>
              </w:rPr>
              <w:fldChar w:fldCharType="end"/>
            </w:r>
          </w:hyperlink>
        </w:p>
        <w:p w14:paraId="37EA2422" w14:textId="561731BF" w:rsidR="00C85413" w:rsidRDefault="002B5444">
          <w:pPr>
            <w:pStyle w:val="TOC1"/>
            <w:rPr>
              <w:rFonts w:asciiTheme="minorHAnsi" w:hAnsiTheme="minorHAnsi" w:cstheme="minorBidi"/>
              <w:b w:val="0"/>
              <w:sz w:val="22"/>
            </w:rPr>
          </w:pPr>
          <w:hyperlink w:anchor="_Toc113125067" w:history="1">
            <w:r w:rsidR="00C85413" w:rsidRPr="001B006B">
              <w:rPr>
                <w:rStyle w:val="Hyperlink"/>
              </w:rPr>
              <w:t>LIST OF FIGURES</w:t>
            </w:r>
            <w:r w:rsidR="00C85413">
              <w:rPr>
                <w:webHidden/>
              </w:rPr>
              <w:tab/>
            </w:r>
            <w:r w:rsidR="00C85413">
              <w:rPr>
                <w:webHidden/>
              </w:rPr>
              <w:fldChar w:fldCharType="begin"/>
            </w:r>
            <w:r w:rsidR="00C85413">
              <w:rPr>
                <w:webHidden/>
              </w:rPr>
              <w:instrText xml:space="preserve"> PAGEREF _Toc113125067 \h </w:instrText>
            </w:r>
            <w:r w:rsidR="00C85413">
              <w:rPr>
                <w:webHidden/>
              </w:rPr>
            </w:r>
            <w:r w:rsidR="00C85413">
              <w:rPr>
                <w:webHidden/>
              </w:rPr>
              <w:fldChar w:fldCharType="separate"/>
            </w:r>
            <w:r w:rsidR="00956EA4">
              <w:rPr>
                <w:webHidden/>
              </w:rPr>
              <w:t>xiii</w:t>
            </w:r>
            <w:r w:rsidR="00C85413">
              <w:rPr>
                <w:webHidden/>
              </w:rPr>
              <w:fldChar w:fldCharType="end"/>
            </w:r>
          </w:hyperlink>
        </w:p>
        <w:p w14:paraId="2C78F9D4" w14:textId="21AC1ADE" w:rsidR="00C85413" w:rsidRDefault="002B5444">
          <w:pPr>
            <w:pStyle w:val="TOC1"/>
            <w:rPr>
              <w:rFonts w:asciiTheme="minorHAnsi" w:hAnsiTheme="minorHAnsi" w:cstheme="minorBidi"/>
              <w:b w:val="0"/>
              <w:sz w:val="22"/>
            </w:rPr>
          </w:pPr>
          <w:hyperlink w:anchor="_Toc113125068" w:history="1">
            <w:r w:rsidR="00C85413" w:rsidRPr="001B006B">
              <w:rPr>
                <w:rStyle w:val="Hyperlink"/>
              </w:rPr>
              <w:t>ABSTRACT</w:t>
            </w:r>
            <w:r w:rsidR="00C85413">
              <w:rPr>
                <w:webHidden/>
              </w:rPr>
              <w:tab/>
            </w:r>
            <w:r w:rsidR="00C85413">
              <w:rPr>
                <w:webHidden/>
              </w:rPr>
              <w:fldChar w:fldCharType="begin"/>
            </w:r>
            <w:r w:rsidR="00C85413">
              <w:rPr>
                <w:webHidden/>
              </w:rPr>
              <w:instrText xml:space="preserve"> PAGEREF _Toc113125068 \h </w:instrText>
            </w:r>
            <w:r w:rsidR="00C85413">
              <w:rPr>
                <w:webHidden/>
              </w:rPr>
            </w:r>
            <w:r w:rsidR="00C85413">
              <w:rPr>
                <w:webHidden/>
              </w:rPr>
              <w:fldChar w:fldCharType="separate"/>
            </w:r>
            <w:r w:rsidR="00956EA4">
              <w:rPr>
                <w:webHidden/>
              </w:rPr>
              <w:t>xiv</w:t>
            </w:r>
            <w:r w:rsidR="00C85413">
              <w:rPr>
                <w:webHidden/>
              </w:rPr>
              <w:fldChar w:fldCharType="end"/>
            </w:r>
          </w:hyperlink>
        </w:p>
        <w:p w14:paraId="38150CD0" w14:textId="1CB62539" w:rsidR="00C85413" w:rsidRDefault="002B5444">
          <w:pPr>
            <w:pStyle w:val="TOC1"/>
            <w:rPr>
              <w:rFonts w:asciiTheme="minorHAnsi" w:hAnsiTheme="minorHAnsi" w:cstheme="minorBidi"/>
              <w:b w:val="0"/>
              <w:sz w:val="22"/>
            </w:rPr>
          </w:pPr>
          <w:hyperlink w:anchor="_Toc113125069" w:history="1">
            <w:r w:rsidR="00C85413" w:rsidRPr="001B006B">
              <w:rPr>
                <w:rStyle w:val="Hyperlink"/>
              </w:rPr>
              <w:t>CHAPTER ONE</w:t>
            </w:r>
            <w:r w:rsidR="00C85413">
              <w:rPr>
                <w:webHidden/>
              </w:rPr>
              <w:tab/>
            </w:r>
            <w:r w:rsidR="00C85413">
              <w:rPr>
                <w:webHidden/>
              </w:rPr>
              <w:fldChar w:fldCharType="begin"/>
            </w:r>
            <w:r w:rsidR="00C85413">
              <w:rPr>
                <w:webHidden/>
              </w:rPr>
              <w:instrText xml:space="preserve"> PAGEREF _Toc113125069 \h </w:instrText>
            </w:r>
            <w:r w:rsidR="00C85413">
              <w:rPr>
                <w:webHidden/>
              </w:rPr>
            </w:r>
            <w:r w:rsidR="00C85413">
              <w:rPr>
                <w:webHidden/>
              </w:rPr>
              <w:fldChar w:fldCharType="separate"/>
            </w:r>
            <w:r w:rsidR="00956EA4">
              <w:rPr>
                <w:webHidden/>
              </w:rPr>
              <w:t>1</w:t>
            </w:r>
            <w:r w:rsidR="00C85413">
              <w:rPr>
                <w:webHidden/>
              </w:rPr>
              <w:fldChar w:fldCharType="end"/>
            </w:r>
          </w:hyperlink>
        </w:p>
        <w:p w14:paraId="1A995664" w14:textId="3894E8D4" w:rsidR="00C85413" w:rsidRDefault="002B5444">
          <w:pPr>
            <w:pStyle w:val="TOC1"/>
            <w:rPr>
              <w:rFonts w:asciiTheme="minorHAnsi" w:hAnsiTheme="minorHAnsi" w:cstheme="minorBidi"/>
              <w:b w:val="0"/>
              <w:sz w:val="22"/>
            </w:rPr>
          </w:pPr>
          <w:hyperlink w:anchor="_Toc113125070" w:history="1">
            <w:r w:rsidR="00C85413" w:rsidRPr="001B006B">
              <w:rPr>
                <w:rStyle w:val="Hyperlink"/>
              </w:rPr>
              <w:t>INTRODUCTION</w:t>
            </w:r>
            <w:r w:rsidR="00C85413">
              <w:rPr>
                <w:webHidden/>
              </w:rPr>
              <w:tab/>
            </w:r>
            <w:r w:rsidR="00C85413">
              <w:rPr>
                <w:webHidden/>
              </w:rPr>
              <w:fldChar w:fldCharType="begin"/>
            </w:r>
            <w:r w:rsidR="00C85413">
              <w:rPr>
                <w:webHidden/>
              </w:rPr>
              <w:instrText xml:space="preserve"> PAGEREF _Toc113125070 \h </w:instrText>
            </w:r>
            <w:r w:rsidR="00C85413">
              <w:rPr>
                <w:webHidden/>
              </w:rPr>
            </w:r>
            <w:r w:rsidR="00C85413">
              <w:rPr>
                <w:webHidden/>
              </w:rPr>
              <w:fldChar w:fldCharType="separate"/>
            </w:r>
            <w:r w:rsidR="00956EA4">
              <w:rPr>
                <w:webHidden/>
              </w:rPr>
              <w:t>1</w:t>
            </w:r>
            <w:r w:rsidR="00C85413">
              <w:rPr>
                <w:webHidden/>
              </w:rPr>
              <w:fldChar w:fldCharType="end"/>
            </w:r>
          </w:hyperlink>
        </w:p>
        <w:p w14:paraId="0793F11B" w14:textId="17672A04" w:rsidR="00C85413" w:rsidRDefault="002B5444">
          <w:pPr>
            <w:pStyle w:val="TOC2"/>
            <w:tabs>
              <w:tab w:val="right" w:leader="dot" w:pos="9350"/>
            </w:tabs>
            <w:rPr>
              <w:rFonts w:asciiTheme="minorHAnsi" w:hAnsiTheme="minorHAnsi"/>
              <w:noProof/>
              <w:sz w:val="22"/>
            </w:rPr>
          </w:pPr>
          <w:hyperlink w:anchor="_Toc113125071" w:history="1">
            <w:r w:rsidR="00C85413" w:rsidRPr="001B006B">
              <w:rPr>
                <w:rStyle w:val="Hyperlink"/>
                <w:noProof/>
              </w:rPr>
              <w:t>1.0 Introduction</w:t>
            </w:r>
            <w:r w:rsidR="00C85413">
              <w:rPr>
                <w:noProof/>
                <w:webHidden/>
              </w:rPr>
              <w:tab/>
            </w:r>
            <w:r w:rsidR="00C85413">
              <w:rPr>
                <w:noProof/>
                <w:webHidden/>
              </w:rPr>
              <w:fldChar w:fldCharType="begin"/>
            </w:r>
            <w:r w:rsidR="00C85413">
              <w:rPr>
                <w:noProof/>
                <w:webHidden/>
              </w:rPr>
              <w:instrText xml:space="preserve"> PAGEREF _Toc113125071 \h </w:instrText>
            </w:r>
            <w:r w:rsidR="00C85413">
              <w:rPr>
                <w:noProof/>
                <w:webHidden/>
              </w:rPr>
            </w:r>
            <w:r w:rsidR="00C85413">
              <w:rPr>
                <w:noProof/>
                <w:webHidden/>
              </w:rPr>
              <w:fldChar w:fldCharType="separate"/>
            </w:r>
            <w:r w:rsidR="00956EA4">
              <w:rPr>
                <w:noProof/>
                <w:webHidden/>
              </w:rPr>
              <w:t>1</w:t>
            </w:r>
            <w:r w:rsidR="00C85413">
              <w:rPr>
                <w:noProof/>
                <w:webHidden/>
              </w:rPr>
              <w:fldChar w:fldCharType="end"/>
            </w:r>
          </w:hyperlink>
        </w:p>
        <w:p w14:paraId="519543D1" w14:textId="745CBBB8" w:rsidR="00C85413" w:rsidRDefault="002B5444">
          <w:pPr>
            <w:pStyle w:val="TOC2"/>
            <w:tabs>
              <w:tab w:val="right" w:leader="dot" w:pos="9350"/>
            </w:tabs>
            <w:rPr>
              <w:rFonts w:asciiTheme="minorHAnsi" w:hAnsiTheme="minorHAnsi"/>
              <w:noProof/>
              <w:sz w:val="22"/>
            </w:rPr>
          </w:pPr>
          <w:hyperlink w:anchor="_Toc113125072" w:history="1">
            <w:r w:rsidR="00C85413" w:rsidRPr="001B006B">
              <w:rPr>
                <w:rStyle w:val="Hyperlink"/>
                <w:noProof/>
              </w:rPr>
              <w:t>1.1 Background of the Study</w:t>
            </w:r>
            <w:r w:rsidR="00C85413">
              <w:rPr>
                <w:noProof/>
                <w:webHidden/>
              </w:rPr>
              <w:tab/>
            </w:r>
            <w:r w:rsidR="00C85413">
              <w:rPr>
                <w:noProof/>
                <w:webHidden/>
              </w:rPr>
              <w:fldChar w:fldCharType="begin"/>
            </w:r>
            <w:r w:rsidR="00C85413">
              <w:rPr>
                <w:noProof/>
                <w:webHidden/>
              </w:rPr>
              <w:instrText xml:space="preserve"> PAGEREF _Toc113125072 \h </w:instrText>
            </w:r>
            <w:r w:rsidR="00C85413">
              <w:rPr>
                <w:noProof/>
                <w:webHidden/>
              </w:rPr>
            </w:r>
            <w:r w:rsidR="00C85413">
              <w:rPr>
                <w:noProof/>
                <w:webHidden/>
              </w:rPr>
              <w:fldChar w:fldCharType="separate"/>
            </w:r>
            <w:r w:rsidR="00956EA4">
              <w:rPr>
                <w:noProof/>
                <w:webHidden/>
              </w:rPr>
              <w:t>1</w:t>
            </w:r>
            <w:r w:rsidR="00C85413">
              <w:rPr>
                <w:noProof/>
                <w:webHidden/>
              </w:rPr>
              <w:fldChar w:fldCharType="end"/>
            </w:r>
          </w:hyperlink>
        </w:p>
        <w:p w14:paraId="66578CCE" w14:textId="373EBE44" w:rsidR="00C85413" w:rsidRDefault="002B5444">
          <w:pPr>
            <w:pStyle w:val="TOC2"/>
            <w:tabs>
              <w:tab w:val="right" w:leader="dot" w:pos="9350"/>
            </w:tabs>
            <w:rPr>
              <w:rFonts w:asciiTheme="minorHAnsi" w:hAnsiTheme="minorHAnsi"/>
              <w:noProof/>
              <w:sz w:val="22"/>
            </w:rPr>
          </w:pPr>
          <w:hyperlink w:anchor="_Toc113125073" w:history="1">
            <w:r w:rsidR="00C85413" w:rsidRPr="001B006B">
              <w:rPr>
                <w:rStyle w:val="Hyperlink"/>
                <w:noProof/>
              </w:rPr>
              <w:t>1.2 Statement of the Problem</w:t>
            </w:r>
            <w:r w:rsidR="00C85413">
              <w:rPr>
                <w:noProof/>
                <w:webHidden/>
              </w:rPr>
              <w:tab/>
            </w:r>
            <w:r w:rsidR="00C85413">
              <w:rPr>
                <w:noProof/>
                <w:webHidden/>
              </w:rPr>
              <w:fldChar w:fldCharType="begin"/>
            </w:r>
            <w:r w:rsidR="00C85413">
              <w:rPr>
                <w:noProof/>
                <w:webHidden/>
              </w:rPr>
              <w:instrText xml:space="preserve"> PAGEREF _Toc113125073 \h </w:instrText>
            </w:r>
            <w:r w:rsidR="00C85413">
              <w:rPr>
                <w:noProof/>
                <w:webHidden/>
              </w:rPr>
            </w:r>
            <w:r w:rsidR="00C85413">
              <w:rPr>
                <w:noProof/>
                <w:webHidden/>
              </w:rPr>
              <w:fldChar w:fldCharType="separate"/>
            </w:r>
            <w:r w:rsidR="00956EA4">
              <w:rPr>
                <w:noProof/>
                <w:webHidden/>
              </w:rPr>
              <w:t>8</w:t>
            </w:r>
            <w:r w:rsidR="00C85413">
              <w:rPr>
                <w:noProof/>
                <w:webHidden/>
              </w:rPr>
              <w:fldChar w:fldCharType="end"/>
            </w:r>
          </w:hyperlink>
        </w:p>
        <w:p w14:paraId="47C1998C" w14:textId="636A7F29" w:rsidR="00C85413" w:rsidRDefault="002B5444">
          <w:pPr>
            <w:pStyle w:val="TOC2"/>
            <w:tabs>
              <w:tab w:val="right" w:leader="dot" w:pos="9350"/>
            </w:tabs>
            <w:rPr>
              <w:rFonts w:asciiTheme="minorHAnsi" w:hAnsiTheme="minorHAnsi"/>
              <w:noProof/>
              <w:sz w:val="22"/>
            </w:rPr>
          </w:pPr>
          <w:hyperlink w:anchor="_Toc113125074" w:history="1">
            <w:r w:rsidR="00C85413" w:rsidRPr="001B006B">
              <w:rPr>
                <w:rStyle w:val="Hyperlink"/>
                <w:noProof/>
              </w:rPr>
              <w:t>1.3 Objective of the Study</w:t>
            </w:r>
            <w:r w:rsidR="00C85413">
              <w:rPr>
                <w:noProof/>
                <w:webHidden/>
              </w:rPr>
              <w:tab/>
            </w:r>
            <w:r w:rsidR="00C85413">
              <w:rPr>
                <w:noProof/>
                <w:webHidden/>
              </w:rPr>
              <w:fldChar w:fldCharType="begin"/>
            </w:r>
            <w:r w:rsidR="00C85413">
              <w:rPr>
                <w:noProof/>
                <w:webHidden/>
              </w:rPr>
              <w:instrText xml:space="preserve"> PAGEREF _Toc113125074 \h </w:instrText>
            </w:r>
            <w:r w:rsidR="00C85413">
              <w:rPr>
                <w:noProof/>
                <w:webHidden/>
              </w:rPr>
            </w:r>
            <w:r w:rsidR="00C85413">
              <w:rPr>
                <w:noProof/>
                <w:webHidden/>
              </w:rPr>
              <w:fldChar w:fldCharType="separate"/>
            </w:r>
            <w:r w:rsidR="00956EA4">
              <w:rPr>
                <w:noProof/>
                <w:webHidden/>
              </w:rPr>
              <w:t>9</w:t>
            </w:r>
            <w:r w:rsidR="00C85413">
              <w:rPr>
                <w:noProof/>
                <w:webHidden/>
              </w:rPr>
              <w:fldChar w:fldCharType="end"/>
            </w:r>
          </w:hyperlink>
        </w:p>
        <w:p w14:paraId="692C5A1C" w14:textId="7619F737" w:rsidR="00C85413" w:rsidRDefault="002B5444">
          <w:pPr>
            <w:pStyle w:val="TOC2"/>
            <w:tabs>
              <w:tab w:val="right" w:leader="dot" w:pos="9350"/>
            </w:tabs>
            <w:rPr>
              <w:rFonts w:asciiTheme="minorHAnsi" w:hAnsiTheme="minorHAnsi"/>
              <w:noProof/>
              <w:sz w:val="22"/>
            </w:rPr>
          </w:pPr>
          <w:hyperlink w:anchor="_Toc113125075" w:history="1">
            <w:r w:rsidR="00C85413" w:rsidRPr="001B006B">
              <w:rPr>
                <w:rStyle w:val="Hyperlink"/>
                <w:noProof/>
              </w:rPr>
              <w:t>1.4 Significance of the Study</w:t>
            </w:r>
            <w:r w:rsidR="00C85413">
              <w:rPr>
                <w:noProof/>
                <w:webHidden/>
              </w:rPr>
              <w:tab/>
            </w:r>
            <w:r w:rsidR="00C85413">
              <w:rPr>
                <w:noProof/>
                <w:webHidden/>
              </w:rPr>
              <w:fldChar w:fldCharType="begin"/>
            </w:r>
            <w:r w:rsidR="00C85413">
              <w:rPr>
                <w:noProof/>
                <w:webHidden/>
              </w:rPr>
              <w:instrText xml:space="preserve"> PAGEREF _Toc113125075 \h </w:instrText>
            </w:r>
            <w:r w:rsidR="00C85413">
              <w:rPr>
                <w:noProof/>
                <w:webHidden/>
              </w:rPr>
            </w:r>
            <w:r w:rsidR="00C85413">
              <w:rPr>
                <w:noProof/>
                <w:webHidden/>
              </w:rPr>
              <w:fldChar w:fldCharType="separate"/>
            </w:r>
            <w:r w:rsidR="00956EA4">
              <w:rPr>
                <w:noProof/>
                <w:webHidden/>
              </w:rPr>
              <w:t>10</w:t>
            </w:r>
            <w:r w:rsidR="00C85413">
              <w:rPr>
                <w:noProof/>
                <w:webHidden/>
              </w:rPr>
              <w:fldChar w:fldCharType="end"/>
            </w:r>
          </w:hyperlink>
        </w:p>
        <w:p w14:paraId="6589E499" w14:textId="7FF95145" w:rsidR="00C85413" w:rsidRDefault="002B5444">
          <w:pPr>
            <w:pStyle w:val="TOC2"/>
            <w:tabs>
              <w:tab w:val="right" w:leader="dot" w:pos="9350"/>
            </w:tabs>
            <w:rPr>
              <w:rFonts w:asciiTheme="minorHAnsi" w:hAnsiTheme="minorHAnsi"/>
              <w:noProof/>
              <w:sz w:val="22"/>
            </w:rPr>
          </w:pPr>
          <w:hyperlink w:anchor="_Toc113125076" w:history="1">
            <w:r w:rsidR="00C85413" w:rsidRPr="001B006B">
              <w:rPr>
                <w:rStyle w:val="Hyperlink"/>
                <w:noProof/>
              </w:rPr>
              <w:t>1.5 Scope of the Study</w:t>
            </w:r>
            <w:r w:rsidR="00C85413">
              <w:rPr>
                <w:noProof/>
                <w:webHidden/>
              </w:rPr>
              <w:tab/>
            </w:r>
            <w:r w:rsidR="00C85413">
              <w:rPr>
                <w:noProof/>
                <w:webHidden/>
              </w:rPr>
              <w:fldChar w:fldCharType="begin"/>
            </w:r>
            <w:r w:rsidR="00C85413">
              <w:rPr>
                <w:noProof/>
                <w:webHidden/>
              </w:rPr>
              <w:instrText xml:space="preserve"> PAGEREF _Toc113125076 \h </w:instrText>
            </w:r>
            <w:r w:rsidR="00C85413">
              <w:rPr>
                <w:noProof/>
                <w:webHidden/>
              </w:rPr>
            </w:r>
            <w:r w:rsidR="00C85413">
              <w:rPr>
                <w:noProof/>
                <w:webHidden/>
              </w:rPr>
              <w:fldChar w:fldCharType="separate"/>
            </w:r>
            <w:r w:rsidR="00956EA4">
              <w:rPr>
                <w:noProof/>
                <w:webHidden/>
              </w:rPr>
              <w:t>10</w:t>
            </w:r>
            <w:r w:rsidR="00C85413">
              <w:rPr>
                <w:noProof/>
                <w:webHidden/>
              </w:rPr>
              <w:fldChar w:fldCharType="end"/>
            </w:r>
          </w:hyperlink>
        </w:p>
        <w:p w14:paraId="7613A828" w14:textId="077A5504" w:rsidR="00C85413" w:rsidRDefault="002B5444">
          <w:pPr>
            <w:pStyle w:val="TOC2"/>
            <w:tabs>
              <w:tab w:val="right" w:leader="dot" w:pos="9350"/>
            </w:tabs>
            <w:rPr>
              <w:rFonts w:asciiTheme="minorHAnsi" w:hAnsiTheme="minorHAnsi"/>
              <w:noProof/>
              <w:sz w:val="22"/>
            </w:rPr>
          </w:pPr>
          <w:hyperlink w:anchor="_Toc113125077" w:history="1">
            <w:r w:rsidR="00C85413" w:rsidRPr="001B006B">
              <w:rPr>
                <w:rStyle w:val="Hyperlink"/>
                <w:noProof/>
              </w:rPr>
              <w:t>1.6 Limitations</w:t>
            </w:r>
            <w:r w:rsidR="00C85413">
              <w:rPr>
                <w:noProof/>
                <w:webHidden/>
              </w:rPr>
              <w:tab/>
            </w:r>
            <w:r w:rsidR="00C85413">
              <w:rPr>
                <w:noProof/>
                <w:webHidden/>
              </w:rPr>
              <w:fldChar w:fldCharType="begin"/>
            </w:r>
            <w:r w:rsidR="00C85413">
              <w:rPr>
                <w:noProof/>
                <w:webHidden/>
              </w:rPr>
              <w:instrText xml:space="preserve"> PAGEREF _Toc113125077 \h </w:instrText>
            </w:r>
            <w:r w:rsidR="00C85413">
              <w:rPr>
                <w:noProof/>
                <w:webHidden/>
              </w:rPr>
            </w:r>
            <w:r w:rsidR="00C85413">
              <w:rPr>
                <w:noProof/>
                <w:webHidden/>
              </w:rPr>
              <w:fldChar w:fldCharType="separate"/>
            </w:r>
            <w:r w:rsidR="00956EA4">
              <w:rPr>
                <w:noProof/>
                <w:webHidden/>
              </w:rPr>
              <w:t>11</w:t>
            </w:r>
            <w:r w:rsidR="00C85413">
              <w:rPr>
                <w:noProof/>
                <w:webHidden/>
              </w:rPr>
              <w:fldChar w:fldCharType="end"/>
            </w:r>
          </w:hyperlink>
        </w:p>
        <w:p w14:paraId="6B26F9EB" w14:textId="44BF8F57" w:rsidR="00C85413" w:rsidRDefault="002B5444">
          <w:pPr>
            <w:pStyle w:val="TOC2"/>
            <w:tabs>
              <w:tab w:val="right" w:leader="dot" w:pos="9350"/>
            </w:tabs>
            <w:rPr>
              <w:rFonts w:asciiTheme="minorHAnsi" w:hAnsiTheme="minorHAnsi"/>
              <w:noProof/>
              <w:sz w:val="22"/>
            </w:rPr>
          </w:pPr>
          <w:hyperlink w:anchor="_Toc113125078" w:history="1">
            <w:r w:rsidR="00C85413" w:rsidRPr="001B006B">
              <w:rPr>
                <w:rStyle w:val="Hyperlink"/>
                <w:noProof/>
              </w:rPr>
              <w:t>1.7 Delimitations</w:t>
            </w:r>
            <w:r w:rsidR="00C85413">
              <w:rPr>
                <w:noProof/>
                <w:webHidden/>
              </w:rPr>
              <w:tab/>
            </w:r>
            <w:r w:rsidR="00C85413">
              <w:rPr>
                <w:noProof/>
                <w:webHidden/>
              </w:rPr>
              <w:fldChar w:fldCharType="begin"/>
            </w:r>
            <w:r w:rsidR="00C85413">
              <w:rPr>
                <w:noProof/>
                <w:webHidden/>
              </w:rPr>
              <w:instrText xml:space="preserve"> PAGEREF _Toc113125078 \h </w:instrText>
            </w:r>
            <w:r w:rsidR="00C85413">
              <w:rPr>
                <w:noProof/>
                <w:webHidden/>
              </w:rPr>
            </w:r>
            <w:r w:rsidR="00C85413">
              <w:rPr>
                <w:noProof/>
                <w:webHidden/>
              </w:rPr>
              <w:fldChar w:fldCharType="separate"/>
            </w:r>
            <w:r w:rsidR="00956EA4">
              <w:rPr>
                <w:noProof/>
                <w:webHidden/>
              </w:rPr>
              <w:t>11</w:t>
            </w:r>
            <w:r w:rsidR="00C85413">
              <w:rPr>
                <w:noProof/>
                <w:webHidden/>
              </w:rPr>
              <w:fldChar w:fldCharType="end"/>
            </w:r>
          </w:hyperlink>
        </w:p>
        <w:p w14:paraId="514EA215" w14:textId="7933BF2A" w:rsidR="00C85413" w:rsidRDefault="002B5444">
          <w:pPr>
            <w:pStyle w:val="TOC2"/>
            <w:tabs>
              <w:tab w:val="right" w:leader="dot" w:pos="9350"/>
            </w:tabs>
            <w:rPr>
              <w:rFonts w:asciiTheme="minorHAnsi" w:hAnsiTheme="minorHAnsi"/>
              <w:noProof/>
              <w:sz w:val="22"/>
            </w:rPr>
          </w:pPr>
          <w:hyperlink w:anchor="_Toc113125079" w:history="1">
            <w:r w:rsidR="00C85413" w:rsidRPr="001B006B">
              <w:rPr>
                <w:rStyle w:val="Hyperlink"/>
                <w:noProof/>
              </w:rPr>
              <w:t>1.8 Chapter Summary</w:t>
            </w:r>
            <w:r w:rsidR="00C85413">
              <w:rPr>
                <w:noProof/>
                <w:webHidden/>
              </w:rPr>
              <w:tab/>
            </w:r>
            <w:r w:rsidR="00C85413">
              <w:rPr>
                <w:noProof/>
                <w:webHidden/>
              </w:rPr>
              <w:fldChar w:fldCharType="begin"/>
            </w:r>
            <w:r w:rsidR="00C85413">
              <w:rPr>
                <w:noProof/>
                <w:webHidden/>
              </w:rPr>
              <w:instrText xml:space="preserve"> PAGEREF _Toc113125079 \h </w:instrText>
            </w:r>
            <w:r w:rsidR="00C85413">
              <w:rPr>
                <w:noProof/>
                <w:webHidden/>
              </w:rPr>
            </w:r>
            <w:r w:rsidR="00C85413">
              <w:rPr>
                <w:noProof/>
                <w:webHidden/>
              </w:rPr>
              <w:fldChar w:fldCharType="separate"/>
            </w:r>
            <w:r w:rsidR="00956EA4">
              <w:rPr>
                <w:noProof/>
                <w:webHidden/>
              </w:rPr>
              <w:t>11</w:t>
            </w:r>
            <w:r w:rsidR="00C85413">
              <w:rPr>
                <w:noProof/>
                <w:webHidden/>
              </w:rPr>
              <w:fldChar w:fldCharType="end"/>
            </w:r>
          </w:hyperlink>
        </w:p>
        <w:p w14:paraId="50ACE741" w14:textId="5CE10C56" w:rsidR="00C85413" w:rsidRDefault="002B5444">
          <w:pPr>
            <w:pStyle w:val="TOC1"/>
            <w:rPr>
              <w:rFonts w:asciiTheme="minorHAnsi" w:hAnsiTheme="minorHAnsi" w:cstheme="minorBidi"/>
              <w:b w:val="0"/>
              <w:sz w:val="22"/>
            </w:rPr>
          </w:pPr>
          <w:hyperlink w:anchor="_Toc113125080" w:history="1">
            <w:r w:rsidR="00C85413" w:rsidRPr="001B006B">
              <w:rPr>
                <w:rStyle w:val="Hyperlink"/>
              </w:rPr>
              <w:t>CHAPTER TWO</w:t>
            </w:r>
            <w:r w:rsidR="00C85413">
              <w:rPr>
                <w:webHidden/>
              </w:rPr>
              <w:tab/>
            </w:r>
            <w:r w:rsidR="00C85413">
              <w:rPr>
                <w:webHidden/>
              </w:rPr>
              <w:fldChar w:fldCharType="begin"/>
            </w:r>
            <w:r w:rsidR="00C85413">
              <w:rPr>
                <w:webHidden/>
              </w:rPr>
              <w:instrText xml:space="preserve"> PAGEREF _Toc113125080 \h </w:instrText>
            </w:r>
            <w:r w:rsidR="00C85413">
              <w:rPr>
                <w:webHidden/>
              </w:rPr>
            </w:r>
            <w:r w:rsidR="00C85413">
              <w:rPr>
                <w:webHidden/>
              </w:rPr>
              <w:fldChar w:fldCharType="separate"/>
            </w:r>
            <w:r w:rsidR="00956EA4">
              <w:rPr>
                <w:webHidden/>
              </w:rPr>
              <w:t>12</w:t>
            </w:r>
            <w:r w:rsidR="00C85413">
              <w:rPr>
                <w:webHidden/>
              </w:rPr>
              <w:fldChar w:fldCharType="end"/>
            </w:r>
          </w:hyperlink>
        </w:p>
        <w:p w14:paraId="14308A79" w14:textId="1B06BD06" w:rsidR="00C85413" w:rsidRDefault="002B5444">
          <w:pPr>
            <w:pStyle w:val="TOC1"/>
            <w:rPr>
              <w:rFonts w:asciiTheme="minorHAnsi" w:hAnsiTheme="minorHAnsi" w:cstheme="minorBidi"/>
              <w:b w:val="0"/>
              <w:sz w:val="22"/>
            </w:rPr>
          </w:pPr>
          <w:hyperlink w:anchor="_Toc113125081" w:history="1">
            <w:r w:rsidR="00C85413" w:rsidRPr="001B006B">
              <w:rPr>
                <w:rStyle w:val="Hyperlink"/>
              </w:rPr>
              <w:t>LITERATURE REVIEW</w:t>
            </w:r>
            <w:r w:rsidR="00C85413">
              <w:rPr>
                <w:webHidden/>
              </w:rPr>
              <w:tab/>
            </w:r>
            <w:r w:rsidR="00C85413">
              <w:rPr>
                <w:webHidden/>
              </w:rPr>
              <w:fldChar w:fldCharType="begin"/>
            </w:r>
            <w:r w:rsidR="00C85413">
              <w:rPr>
                <w:webHidden/>
              </w:rPr>
              <w:instrText xml:space="preserve"> PAGEREF _Toc113125081 \h </w:instrText>
            </w:r>
            <w:r w:rsidR="00C85413">
              <w:rPr>
                <w:webHidden/>
              </w:rPr>
            </w:r>
            <w:r w:rsidR="00C85413">
              <w:rPr>
                <w:webHidden/>
              </w:rPr>
              <w:fldChar w:fldCharType="separate"/>
            </w:r>
            <w:r w:rsidR="00956EA4">
              <w:rPr>
                <w:webHidden/>
              </w:rPr>
              <w:t>12</w:t>
            </w:r>
            <w:r w:rsidR="00C85413">
              <w:rPr>
                <w:webHidden/>
              </w:rPr>
              <w:fldChar w:fldCharType="end"/>
            </w:r>
          </w:hyperlink>
        </w:p>
        <w:p w14:paraId="253CFFFA" w14:textId="4336C218" w:rsidR="00C85413" w:rsidRDefault="002B5444">
          <w:pPr>
            <w:pStyle w:val="TOC2"/>
            <w:tabs>
              <w:tab w:val="right" w:leader="dot" w:pos="9350"/>
            </w:tabs>
            <w:rPr>
              <w:rFonts w:asciiTheme="minorHAnsi" w:hAnsiTheme="minorHAnsi"/>
              <w:noProof/>
              <w:sz w:val="22"/>
            </w:rPr>
          </w:pPr>
          <w:hyperlink w:anchor="_Toc113125082" w:history="1">
            <w:r w:rsidR="00C85413" w:rsidRPr="001B006B">
              <w:rPr>
                <w:rStyle w:val="Hyperlink"/>
                <w:noProof/>
              </w:rPr>
              <w:t>2.0 Introduction</w:t>
            </w:r>
            <w:r w:rsidR="00C85413">
              <w:rPr>
                <w:noProof/>
                <w:webHidden/>
              </w:rPr>
              <w:tab/>
            </w:r>
            <w:r w:rsidR="00C85413">
              <w:rPr>
                <w:noProof/>
                <w:webHidden/>
              </w:rPr>
              <w:fldChar w:fldCharType="begin"/>
            </w:r>
            <w:r w:rsidR="00C85413">
              <w:rPr>
                <w:noProof/>
                <w:webHidden/>
              </w:rPr>
              <w:instrText xml:space="preserve"> PAGEREF _Toc113125082 \h </w:instrText>
            </w:r>
            <w:r w:rsidR="00C85413">
              <w:rPr>
                <w:noProof/>
                <w:webHidden/>
              </w:rPr>
            </w:r>
            <w:r w:rsidR="00C85413">
              <w:rPr>
                <w:noProof/>
                <w:webHidden/>
              </w:rPr>
              <w:fldChar w:fldCharType="separate"/>
            </w:r>
            <w:r w:rsidR="00956EA4">
              <w:rPr>
                <w:noProof/>
                <w:webHidden/>
              </w:rPr>
              <w:t>12</w:t>
            </w:r>
            <w:r w:rsidR="00C85413">
              <w:rPr>
                <w:noProof/>
                <w:webHidden/>
              </w:rPr>
              <w:fldChar w:fldCharType="end"/>
            </w:r>
          </w:hyperlink>
        </w:p>
        <w:p w14:paraId="3034E041" w14:textId="7D6CA31B" w:rsidR="00C85413" w:rsidRDefault="002B5444">
          <w:pPr>
            <w:pStyle w:val="TOC2"/>
            <w:tabs>
              <w:tab w:val="right" w:leader="dot" w:pos="9350"/>
            </w:tabs>
            <w:rPr>
              <w:rFonts w:asciiTheme="minorHAnsi" w:hAnsiTheme="minorHAnsi"/>
              <w:noProof/>
              <w:sz w:val="22"/>
            </w:rPr>
          </w:pPr>
          <w:hyperlink w:anchor="_Toc113125083" w:history="1">
            <w:r w:rsidR="00C85413" w:rsidRPr="001B006B">
              <w:rPr>
                <w:rStyle w:val="Hyperlink"/>
                <w:noProof/>
                <w:lang w:val="en-GB"/>
              </w:rPr>
              <w:t xml:space="preserve">2.1 </w:t>
            </w:r>
            <w:r w:rsidR="00C85413" w:rsidRPr="001B006B">
              <w:rPr>
                <w:rStyle w:val="Hyperlink"/>
                <w:noProof/>
              </w:rPr>
              <w:t>Theoretical</w:t>
            </w:r>
            <w:r w:rsidR="00C85413" w:rsidRPr="001B006B">
              <w:rPr>
                <w:rStyle w:val="Hyperlink"/>
                <w:noProof/>
                <w:lang w:val="en-GB"/>
              </w:rPr>
              <w:t xml:space="preserve"> Reviews</w:t>
            </w:r>
            <w:r w:rsidR="00C85413">
              <w:rPr>
                <w:noProof/>
                <w:webHidden/>
              </w:rPr>
              <w:tab/>
            </w:r>
            <w:r w:rsidR="00C85413">
              <w:rPr>
                <w:noProof/>
                <w:webHidden/>
              </w:rPr>
              <w:fldChar w:fldCharType="begin"/>
            </w:r>
            <w:r w:rsidR="00C85413">
              <w:rPr>
                <w:noProof/>
                <w:webHidden/>
              </w:rPr>
              <w:instrText xml:space="preserve"> PAGEREF _Toc113125083 \h </w:instrText>
            </w:r>
            <w:r w:rsidR="00C85413">
              <w:rPr>
                <w:noProof/>
                <w:webHidden/>
              </w:rPr>
            </w:r>
            <w:r w:rsidR="00C85413">
              <w:rPr>
                <w:noProof/>
                <w:webHidden/>
              </w:rPr>
              <w:fldChar w:fldCharType="separate"/>
            </w:r>
            <w:r w:rsidR="00956EA4">
              <w:rPr>
                <w:noProof/>
                <w:webHidden/>
              </w:rPr>
              <w:t>12</w:t>
            </w:r>
            <w:r w:rsidR="00C85413">
              <w:rPr>
                <w:noProof/>
                <w:webHidden/>
              </w:rPr>
              <w:fldChar w:fldCharType="end"/>
            </w:r>
          </w:hyperlink>
        </w:p>
        <w:p w14:paraId="778BED8F" w14:textId="143D3ED1" w:rsidR="00C85413" w:rsidRDefault="002B5444">
          <w:pPr>
            <w:pStyle w:val="TOC2"/>
            <w:tabs>
              <w:tab w:val="right" w:leader="dot" w:pos="9350"/>
            </w:tabs>
            <w:rPr>
              <w:rFonts w:asciiTheme="minorHAnsi" w:hAnsiTheme="minorHAnsi"/>
              <w:noProof/>
              <w:sz w:val="22"/>
            </w:rPr>
          </w:pPr>
          <w:hyperlink w:anchor="_Toc113125084" w:history="1">
            <w:r w:rsidR="00C85413" w:rsidRPr="001B006B">
              <w:rPr>
                <w:rStyle w:val="Hyperlink"/>
                <w:noProof/>
              </w:rPr>
              <w:t>2.2 Empirical Review</w:t>
            </w:r>
            <w:r w:rsidR="00C85413">
              <w:rPr>
                <w:noProof/>
                <w:webHidden/>
              </w:rPr>
              <w:tab/>
            </w:r>
            <w:r w:rsidR="00C85413">
              <w:rPr>
                <w:noProof/>
                <w:webHidden/>
              </w:rPr>
              <w:fldChar w:fldCharType="begin"/>
            </w:r>
            <w:r w:rsidR="00C85413">
              <w:rPr>
                <w:noProof/>
                <w:webHidden/>
              </w:rPr>
              <w:instrText xml:space="preserve"> PAGEREF _Toc113125084 \h </w:instrText>
            </w:r>
            <w:r w:rsidR="00C85413">
              <w:rPr>
                <w:noProof/>
                <w:webHidden/>
              </w:rPr>
            </w:r>
            <w:r w:rsidR="00C85413">
              <w:rPr>
                <w:noProof/>
                <w:webHidden/>
              </w:rPr>
              <w:fldChar w:fldCharType="separate"/>
            </w:r>
            <w:r w:rsidR="00956EA4">
              <w:rPr>
                <w:noProof/>
                <w:webHidden/>
              </w:rPr>
              <w:t>22</w:t>
            </w:r>
            <w:r w:rsidR="00C85413">
              <w:rPr>
                <w:noProof/>
                <w:webHidden/>
              </w:rPr>
              <w:fldChar w:fldCharType="end"/>
            </w:r>
          </w:hyperlink>
        </w:p>
        <w:p w14:paraId="4E257FE2" w14:textId="46F6B34F" w:rsidR="00C85413" w:rsidRDefault="002B5444">
          <w:pPr>
            <w:pStyle w:val="TOC2"/>
            <w:tabs>
              <w:tab w:val="right" w:leader="dot" w:pos="9350"/>
            </w:tabs>
            <w:rPr>
              <w:rFonts w:asciiTheme="minorHAnsi" w:hAnsiTheme="minorHAnsi"/>
              <w:noProof/>
              <w:sz w:val="22"/>
            </w:rPr>
          </w:pPr>
          <w:hyperlink w:anchor="_Toc113125085" w:history="1">
            <w:r w:rsidR="00C85413" w:rsidRPr="001B006B">
              <w:rPr>
                <w:rStyle w:val="Hyperlink"/>
                <w:noProof/>
                <w:lang w:val="en-GB"/>
              </w:rPr>
              <w:t xml:space="preserve">2.3 </w:t>
            </w:r>
            <w:r w:rsidR="00C85413" w:rsidRPr="001B006B">
              <w:rPr>
                <w:rStyle w:val="Hyperlink"/>
                <w:noProof/>
              </w:rPr>
              <w:t>Literature</w:t>
            </w:r>
            <w:r w:rsidR="00C85413" w:rsidRPr="001B006B">
              <w:rPr>
                <w:rStyle w:val="Hyperlink"/>
                <w:rFonts w:cs="Times New Roman"/>
                <w:i/>
                <w:noProof/>
                <w:lang w:val="en-GB"/>
              </w:rPr>
              <w:t xml:space="preserve"> </w:t>
            </w:r>
            <w:r w:rsidR="00C85413" w:rsidRPr="001B006B">
              <w:rPr>
                <w:rStyle w:val="Hyperlink"/>
                <w:noProof/>
                <w:lang w:val="en-GB"/>
              </w:rPr>
              <w:t>and Knowledge Gaps</w:t>
            </w:r>
            <w:r w:rsidR="00C85413">
              <w:rPr>
                <w:noProof/>
                <w:webHidden/>
              </w:rPr>
              <w:tab/>
            </w:r>
            <w:r w:rsidR="00C85413">
              <w:rPr>
                <w:noProof/>
                <w:webHidden/>
              </w:rPr>
              <w:fldChar w:fldCharType="begin"/>
            </w:r>
            <w:r w:rsidR="00C85413">
              <w:rPr>
                <w:noProof/>
                <w:webHidden/>
              </w:rPr>
              <w:instrText xml:space="preserve"> PAGEREF _Toc113125085 \h </w:instrText>
            </w:r>
            <w:r w:rsidR="00C85413">
              <w:rPr>
                <w:noProof/>
                <w:webHidden/>
              </w:rPr>
            </w:r>
            <w:r w:rsidR="00C85413">
              <w:rPr>
                <w:noProof/>
                <w:webHidden/>
              </w:rPr>
              <w:fldChar w:fldCharType="separate"/>
            </w:r>
            <w:r w:rsidR="00956EA4">
              <w:rPr>
                <w:noProof/>
                <w:webHidden/>
              </w:rPr>
              <w:t>69</w:t>
            </w:r>
            <w:r w:rsidR="00C85413">
              <w:rPr>
                <w:noProof/>
                <w:webHidden/>
              </w:rPr>
              <w:fldChar w:fldCharType="end"/>
            </w:r>
          </w:hyperlink>
        </w:p>
        <w:p w14:paraId="0FA7E18A" w14:textId="400AB2FD" w:rsidR="00C85413" w:rsidRDefault="002B5444">
          <w:pPr>
            <w:pStyle w:val="TOC2"/>
            <w:tabs>
              <w:tab w:val="right" w:leader="dot" w:pos="9350"/>
            </w:tabs>
            <w:rPr>
              <w:rFonts w:asciiTheme="minorHAnsi" w:hAnsiTheme="minorHAnsi"/>
              <w:noProof/>
              <w:sz w:val="22"/>
            </w:rPr>
          </w:pPr>
          <w:hyperlink w:anchor="_Toc113125086" w:history="1">
            <w:r w:rsidR="00C85413" w:rsidRPr="001B006B">
              <w:rPr>
                <w:rStyle w:val="Hyperlink"/>
                <w:noProof/>
                <w:lang w:val="en-GB"/>
              </w:rPr>
              <w:t>2.4 Conceptual Framework</w:t>
            </w:r>
            <w:r w:rsidR="00C85413">
              <w:rPr>
                <w:noProof/>
                <w:webHidden/>
              </w:rPr>
              <w:tab/>
            </w:r>
            <w:r w:rsidR="00C85413">
              <w:rPr>
                <w:noProof/>
                <w:webHidden/>
              </w:rPr>
              <w:fldChar w:fldCharType="begin"/>
            </w:r>
            <w:r w:rsidR="00C85413">
              <w:rPr>
                <w:noProof/>
                <w:webHidden/>
              </w:rPr>
              <w:instrText xml:space="preserve"> PAGEREF _Toc113125086 \h </w:instrText>
            </w:r>
            <w:r w:rsidR="00C85413">
              <w:rPr>
                <w:noProof/>
                <w:webHidden/>
              </w:rPr>
            </w:r>
            <w:r w:rsidR="00C85413">
              <w:rPr>
                <w:noProof/>
                <w:webHidden/>
              </w:rPr>
              <w:fldChar w:fldCharType="separate"/>
            </w:r>
            <w:r w:rsidR="00956EA4">
              <w:rPr>
                <w:noProof/>
                <w:webHidden/>
              </w:rPr>
              <w:t>72</w:t>
            </w:r>
            <w:r w:rsidR="00C85413">
              <w:rPr>
                <w:noProof/>
                <w:webHidden/>
              </w:rPr>
              <w:fldChar w:fldCharType="end"/>
            </w:r>
          </w:hyperlink>
        </w:p>
        <w:p w14:paraId="368415D8" w14:textId="690A6552" w:rsidR="00C85413" w:rsidRDefault="002B5444">
          <w:pPr>
            <w:pStyle w:val="TOC2"/>
            <w:tabs>
              <w:tab w:val="right" w:leader="dot" w:pos="9350"/>
            </w:tabs>
            <w:rPr>
              <w:rFonts w:asciiTheme="minorHAnsi" w:hAnsiTheme="minorHAnsi"/>
              <w:noProof/>
              <w:sz w:val="22"/>
            </w:rPr>
          </w:pPr>
          <w:hyperlink w:anchor="_Toc113125087" w:history="1">
            <w:r w:rsidR="00C85413" w:rsidRPr="001B006B">
              <w:rPr>
                <w:rStyle w:val="Hyperlink"/>
                <w:noProof/>
              </w:rPr>
              <w:t>2.5 Hypotheses of the Study</w:t>
            </w:r>
            <w:r w:rsidR="00C85413">
              <w:rPr>
                <w:noProof/>
                <w:webHidden/>
              </w:rPr>
              <w:tab/>
            </w:r>
            <w:r w:rsidR="00C85413">
              <w:rPr>
                <w:noProof/>
                <w:webHidden/>
              </w:rPr>
              <w:fldChar w:fldCharType="begin"/>
            </w:r>
            <w:r w:rsidR="00C85413">
              <w:rPr>
                <w:noProof/>
                <w:webHidden/>
              </w:rPr>
              <w:instrText xml:space="preserve"> PAGEREF _Toc113125087 \h </w:instrText>
            </w:r>
            <w:r w:rsidR="00C85413">
              <w:rPr>
                <w:noProof/>
                <w:webHidden/>
              </w:rPr>
            </w:r>
            <w:r w:rsidR="00C85413">
              <w:rPr>
                <w:noProof/>
                <w:webHidden/>
              </w:rPr>
              <w:fldChar w:fldCharType="separate"/>
            </w:r>
            <w:r w:rsidR="00956EA4">
              <w:rPr>
                <w:noProof/>
                <w:webHidden/>
              </w:rPr>
              <w:t>72</w:t>
            </w:r>
            <w:r w:rsidR="00C85413">
              <w:rPr>
                <w:noProof/>
                <w:webHidden/>
              </w:rPr>
              <w:fldChar w:fldCharType="end"/>
            </w:r>
          </w:hyperlink>
        </w:p>
        <w:p w14:paraId="0446C77B" w14:textId="07927125" w:rsidR="00C85413" w:rsidRDefault="002B5444">
          <w:pPr>
            <w:pStyle w:val="TOC2"/>
            <w:tabs>
              <w:tab w:val="right" w:leader="dot" w:pos="9350"/>
            </w:tabs>
            <w:rPr>
              <w:rFonts w:asciiTheme="minorHAnsi" w:hAnsiTheme="minorHAnsi"/>
              <w:noProof/>
              <w:sz w:val="22"/>
            </w:rPr>
          </w:pPr>
          <w:hyperlink w:anchor="_Toc113125088" w:history="1">
            <w:r w:rsidR="00C85413" w:rsidRPr="001B006B">
              <w:rPr>
                <w:rStyle w:val="Hyperlink"/>
                <w:noProof/>
                <w:lang w:val="en-GB"/>
              </w:rPr>
              <w:t>2.6 Operationalization of Variables</w:t>
            </w:r>
            <w:r w:rsidR="00C85413">
              <w:rPr>
                <w:noProof/>
                <w:webHidden/>
              </w:rPr>
              <w:tab/>
            </w:r>
            <w:r w:rsidR="00C85413">
              <w:rPr>
                <w:noProof/>
                <w:webHidden/>
              </w:rPr>
              <w:fldChar w:fldCharType="begin"/>
            </w:r>
            <w:r w:rsidR="00C85413">
              <w:rPr>
                <w:noProof/>
                <w:webHidden/>
              </w:rPr>
              <w:instrText xml:space="preserve"> PAGEREF _Toc113125088 \h </w:instrText>
            </w:r>
            <w:r w:rsidR="00C85413">
              <w:rPr>
                <w:noProof/>
                <w:webHidden/>
              </w:rPr>
            </w:r>
            <w:r w:rsidR="00C85413">
              <w:rPr>
                <w:noProof/>
                <w:webHidden/>
              </w:rPr>
              <w:fldChar w:fldCharType="separate"/>
            </w:r>
            <w:r w:rsidR="00956EA4">
              <w:rPr>
                <w:noProof/>
                <w:webHidden/>
              </w:rPr>
              <w:t>73</w:t>
            </w:r>
            <w:r w:rsidR="00C85413">
              <w:rPr>
                <w:noProof/>
                <w:webHidden/>
              </w:rPr>
              <w:fldChar w:fldCharType="end"/>
            </w:r>
          </w:hyperlink>
        </w:p>
        <w:p w14:paraId="2A5F5C27" w14:textId="6E4F9A8F" w:rsidR="00C85413" w:rsidRDefault="002B5444">
          <w:pPr>
            <w:pStyle w:val="TOC2"/>
            <w:tabs>
              <w:tab w:val="right" w:leader="dot" w:pos="9350"/>
            </w:tabs>
            <w:rPr>
              <w:rFonts w:asciiTheme="minorHAnsi" w:hAnsiTheme="minorHAnsi"/>
              <w:noProof/>
              <w:sz w:val="22"/>
            </w:rPr>
          </w:pPr>
          <w:hyperlink w:anchor="_Toc113125089" w:history="1">
            <w:r w:rsidR="00C85413" w:rsidRPr="001B006B">
              <w:rPr>
                <w:rStyle w:val="Hyperlink"/>
                <w:noProof/>
              </w:rPr>
              <w:t>2.7 Summary of Literature Review</w:t>
            </w:r>
            <w:r w:rsidR="00C85413">
              <w:rPr>
                <w:noProof/>
                <w:webHidden/>
              </w:rPr>
              <w:tab/>
            </w:r>
            <w:r w:rsidR="00C85413">
              <w:rPr>
                <w:noProof/>
                <w:webHidden/>
              </w:rPr>
              <w:fldChar w:fldCharType="begin"/>
            </w:r>
            <w:r w:rsidR="00C85413">
              <w:rPr>
                <w:noProof/>
                <w:webHidden/>
              </w:rPr>
              <w:instrText xml:space="preserve"> PAGEREF _Toc113125089 \h </w:instrText>
            </w:r>
            <w:r w:rsidR="00C85413">
              <w:rPr>
                <w:noProof/>
                <w:webHidden/>
              </w:rPr>
            </w:r>
            <w:r w:rsidR="00C85413">
              <w:rPr>
                <w:noProof/>
                <w:webHidden/>
              </w:rPr>
              <w:fldChar w:fldCharType="separate"/>
            </w:r>
            <w:r w:rsidR="00956EA4">
              <w:rPr>
                <w:noProof/>
                <w:webHidden/>
              </w:rPr>
              <w:t>73</w:t>
            </w:r>
            <w:r w:rsidR="00C85413">
              <w:rPr>
                <w:noProof/>
                <w:webHidden/>
              </w:rPr>
              <w:fldChar w:fldCharType="end"/>
            </w:r>
          </w:hyperlink>
        </w:p>
        <w:p w14:paraId="275F0CED" w14:textId="2FDA913F" w:rsidR="00C85413" w:rsidRDefault="002B5444">
          <w:pPr>
            <w:pStyle w:val="TOC1"/>
            <w:rPr>
              <w:rFonts w:asciiTheme="minorHAnsi" w:hAnsiTheme="minorHAnsi" w:cstheme="minorBidi"/>
              <w:b w:val="0"/>
              <w:sz w:val="22"/>
            </w:rPr>
          </w:pPr>
          <w:hyperlink w:anchor="_Toc113125090" w:history="1">
            <w:r w:rsidR="00C85413" w:rsidRPr="001B006B">
              <w:rPr>
                <w:rStyle w:val="Hyperlink"/>
              </w:rPr>
              <w:t>CHAPTER THREE</w:t>
            </w:r>
            <w:r w:rsidR="00C85413">
              <w:rPr>
                <w:webHidden/>
              </w:rPr>
              <w:tab/>
            </w:r>
            <w:r w:rsidR="00C85413">
              <w:rPr>
                <w:webHidden/>
              </w:rPr>
              <w:fldChar w:fldCharType="begin"/>
            </w:r>
            <w:r w:rsidR="00C85413">
              <w:rPr>
                <w:webHidden/>
              </w:rPr>
              <w:instrText xml:space="preserve"> PAGEREF _Toc113125090 \h </w:instrText>
            </w:r>
            <w:r w:rsidR="00C85413">
              <w:rPr>
                <w:webHidden/>
              </w:rPr>
            </w:r>
            <w:r w:rsidR="00C85413">
              <w:rPr>
                <w:webHidden/>
              </w:rPr>
              <w:fldChar w:fldCharType="separate"/>
            </w:r>
            <w:r w:rsidR="00956EA4">
              <w:rPr>
                <w:webHidden/>
              </w:rPr>
              <w:t>75</w:t>
            </w:r>
            <w:r w:rsidR="00C85413">
              <w:rPr>
                <w:webHidden/>
              </w:rPr>
              <w:fldChar w:fldCharType="end"/>
            </w:r>
          </w:hyperlink>
        </w:p>
        <w:p w14:paraId="047FA1E3" w14:textId="64C0D0D9" w:rsidR="00C85413" w:rsidRDefault="002B5444">
          <w:pPr>
            <w:pStyle w:val="TOC1"/>
            <w:rPr>
              <w:rFonts w:asciiTheme="minorHAnsi" w:hAnsiTheme="minorHAnsi" w:cstheme="minorBidi"/>
              <w:b w:val="0"/>
              <w:sz w:val="22"/>
            </w:rPr>
          </w:pPr>
          <w:hyperlink w:anchor="_Toc113125091" w:history="1">
            <w:r w:rsidR="00C85413" w:rsidRPr="001B006B">
              <w:rPr>
                <w:rStyle w:val="Hyperlink"/>
              </w:rPr>
              <w:t>RESEARCH METHODOLOGY</w:t>
            </w:r>
            <w:r w:rsidR="00C85413">
              <w:rPr>
                <w:webHidden/>
              </w:rPr>
              <w:tab/>
            </w:r>
            <w:r w:rsidR="00C85413">
              <w:rPr>
                <w:webHidden/>
              </w:rPr>
              <w:fldChar w:fldCharType="begin"/>
            </w:r>
            <w:r w:rsidR="00C85413">
              <w:rPr>
                <w:webHidden/>
              </w:rPr>
              <w:instrText xml:space="preserve"> PAGEREF _Toc113125091 \h </w:instrText>
            </w:r>
            <w:r w:rsidR="00C85413">
              <w:rPr>
                <w:webHidden/>
              </w:rPr>
            </w:r>
            <w:r w:rsidR="00C85413">
              <w:rPr>
                <w:webHidden/>
              </w:rPr>
              <w:fldChar w:fldCharType="separate"/>
            </w:r>
            <w:r w:rsidR="00956EA4">
              <w:rPr>
                <w:webHidden/>
              </w:rPr>
              <w:t>75</w:t>
            </w:r>
            <w:r w:rsidR="00C85413">
              <w:rPr>
                <w:webHidden/>
              </w:rPr>
              <w:fldChar w:fldCharType="end"/>
            </w:r>
          </w:hyperlink>
        </w:p>
        <w:p w14:paraId="2F724760" w14:textId="39867D02" w:rsidR="00C85413" w:rsidRDefault="002B5444">
          <w:pPr>
            <w:pStyle w:val="TOC2"/>
            <w:tabs>
              <w:tab w:val="right" w:leader="dot" w:pos="9350"/>
            </w:tabs>
            <w:rPr>
              <w:rFonts w:asciiTheme="minorHAnsi" w:hAnsiTheme="minorHAnsi"/>
              <w:noProof/>
              <w:sz w:val="22"/>
            </w:rPr>
          </w:pPr>
          <w:hyperlink w:anchor="_Toc113125092" w:history="1">
            <w:r w:rsidR="00C85413" w:rsidRPr="001B006B">
              <w:rPr>
                <w:rStyle w:val="Hyperlink"/>
                <w:noProof/>
              </w:rPr>
              <w:t>3.0 Introduction</w:t>
            </w:r>
            <w:r w:rsidR="00C85413">
              <w:rPr>
                <w:noProof/>
                <w:webHidden/>
              </w:rPr>
              <w:tab/>
            </w:r>
            <w:r w:rsidR="00C85413">
              <w:rPr>
                <w:noProof/>
                <w:webHidden/>
              </w:rPr>
              <w:fldChar w:fldCharType="begin"/>
            </w:r>
            <w:r w:rsidR="00C85413">
              <w:rPr>
                <w:noProof/>
                <w:webHidden/>
              </w:rPr>
              <w:instrText xml:space="preserve"> PAGEREF _Toc113125092 \h </w:instrText>
            </w:r>
            <w:r w:rsidR="00C85413">
              <w:rPr>
                <w:noProof/>
                <w:webHidden/>
              </w:rPr>
            </w:r>
            <w:r w:rsidR="00C85413">
              <w:rPr>
                <w:noProof/>
                <w:webHidden/>
              </w:rPr>
              <w:fldChar w:fldCharType="separate"/>
            </w:r>
            <w:r w:rsidR="00956EA4">
              <w:rPr>
                <w:noProof/>
                <w:webHidden/>
              </w:rPr>
              <w:t>75</w:t>
            </w:r>
            <w:r w:rsidR="00C85413">
              <w:rPr>
                <w:noProof/>
                <w:webHidden/>
              </w:rPr>
              <w:fldChar w:fldCharType="end"/>
            </w:r>
          </w:hyperlink>
        </w:p>
        <w:p w14:paraId="4E28F368" w14:textId="59BA710D" w:rsidR="00C85413" w:rsidRDefault="002B5444">
          <w:pPr>
            <w:pStyle w:val="TOC2"/>
            <w:tabs>
              <w:tab w:val="right" w:leader="dot" w:pos="9350"/>
            </w:tabs>
            <w:rPr>
              <w:rFonts w:asciiTheme="minorHAnsi" w:hAnsiTheme="minorHAnsi"/>
              <w:noProof/>
              <w:sz w:val="22"/>
            </w:rPr>
          </w:pPr>
          <w:hyperlink w:anchor="_Toc113125093" w:history="1">
            <w:r w:rsidR="00C85413" w:rsidRPr="001B006B">
              <w:rPr>
                <w:rStyle w:val="Hyperlink"/>
                <w:noProof/>
              </w:rPr>
              <w:t>3.1 Research Philosophy</w:t>
            </w:r>
            <w:r w:rsidR="00C85413">
              <w:rPr>
                <w:noProof/>
                <w:webHidden/>
              </w:rPr>
              <w:tab/>
            </w:r>
            <w:r w:rsidR="00C85413">
              <w:rPr>
                <w:noProof/>
                <w:webHidden/>
              </w:rPr>
              <w:fldChar w:fldCharType="begin"/>
            </w:r>
            <w:r w:rsidR="00C85413">
              <w:rPr>
                <w:noProof/>
                <w:webHidden/>
              </w:rPr>
              <w:instrText xml:space="preserve"> PAGEREF _Toc113125093 \h </w:instrText>
            </w:r>
            <w:r w:rsidR="00C85413">
              <w:rPr>
                <w:noProof/>
                <w:webHidden/>
              </w:rPr>
            </w:r>
            <w:r w:rsidR="00C85413">
              <w:rPr>
                <w:noProof/>
                <w:webHidden/>
              </w:rPr>
              <w:fldChar w:fldCharType="separate"/>
            </w:r>
            <w:r w:rsidR="00956EA4">
              <w:rPr>
                <w:noProof/>
                <w:webHidden/>
              </w:rPr>
              <w:t>75</w:t>
            </w:r>
            <w:r w:rsidR="00C85413">
              <w:rPr>
                <w:noProof/>
                <w:webHidden/>
              </w:rPr>
              <w:fldChar w:fldCharType="end"/>
            </w:r>
          </w:hyperlink>
        </w:p>
        <w:p w14:paraId="140ECC34" w14:textId="1FAD499F" w:rsidR="00C85413" w:rsidRDefault="002B5444">
          <w:pPr>
            <w:pStyle w:val="TOC2"/>
            <w:tabs>
              <w:tab w:val="right" w:leader="dot" w:pos="9350"/>
            </w:tabs>
            <w:rPr>
              <w:rFonts w:asciiTheme="minorHAnsi" w:hAnsiTheme="minorHAnsi"/>
              <w:noProof/>
              <w:sz w:val="22"/>
            </w:rPr>
          </w:pPr>
          <w:hyperlink w:anchor="_Toc113125094" w:history="1">
            <w:r w:rsidR="00C85413" w:rsidRPr="001B006B">
              <w:rPr>
                <w:rStyle w:val="Hyperlink"/>
                <w:noProof/>
              </w:rPr>
              <w:t>3.2 Research Design</w:t>
            </w:r>
            <w:r w:rsidR="00C85413">
              <w:rPr>
                <w:noProof/>
                <w:webHidden/>
              </w:rPr>
              <w:tab/>
            </w:r>
            <w:r w:rsidR="00C85413">
              <w:rPr>
                <w:noProof/>
                <w:webHidden/>
              </w:rPr>
              <w:fldChar w:fldCharType="begin"/>
            </w:r>
            <w:r w:rsidR="00C85413">
              <w:rPr>
                <w:noProof/>
                <w:webHidden/>
              </w:rPr>
              <w:instrText xml:space="preserve"> PAGEREF _Toc113125094 \h </w:instrText>
            </w:r>
            <w:r w:rsidR="00C85413">
              <w:rPr>
                <w:noProof/>
                <w:webHidden/>
              </w:rPr>
            </w:r>
            <w:r w:rsidR="00C85413">
              <w:rPr>
                <w:noProof/>
                <w:webHidden/>
              </w:rPr>
              <w:fldChar w:fldCharType="separate"/>
            </w:r>
            <w:r w:rsidR="00956EA4">
              <w:rPr>
                <w:noProof/>
                <w:webHidden/>
              </w:rPr>
              <w:t>76</w:t>
            </w:r>
            <w:r w:rsidR="00C85413">
              <w:rPr>
                <w:noProof/>
                <w:webHidden/>
              </w:rPr>
              <w:fldChar w:fldCharType="end"/>
            </w:r>
          </w:hyperlink>
        </w:p>
        <w:p w14:paraId="16BC9E31" w14:textId="2F348A19" w:rsidR="00C85413" w:rsidRDefault="002B5444">
          <w:pPr>
            <w:pStyle w:val="TOC2"/>
            <w:tabs>
              <w:tab w:val="right" w:leader="dot" w:pos="9350"/>
            </w:tabs>
            <w:rPr>
              <w:rFonts w:asciiTheme="minorHAnsi" w:hAnsiTheme="minorHAnsi"/>
              <w:noProof/>
              <w:sz w:val="22"/>
            </w:rPr>
          </w:pPr>
          <w:hyperlink w:anchor="_Toc113125095" w:history="1">
            <w:r w:rsidR="00C85413" w:rsidRPr="001B006B">
              <w:rPr>
                <w:rStyle w:val="Hyperlink"/>
                <w:noProof/>
              </w:rPr>
              <w:t>3.3 Target Population</w:t>
            </w:r>
            <w:r w:rsidR="00C85413">
              <w:rPr>
                <w:noProof/>
                <w:webHidden/>
              </w:rPr>
              <w:tab/>
            </w:r>
            <w:r w:rsidR="00C85413">
              <w:rPr>
                <w:noProof/>
                <w:webHidden/>
              </w:rPr>
              <w:fldChar w:fldCharType="begin"/>
            </w:r>
            <w:r w:rsidR="00C85413">
              <w:rPr>
                <w:noProof/>
                <w:webHidden/>
              </w:rPr>
              <w:instrText xml:space="preserve"> PAGEREF _Toc113125095 \h </w:instrText>
            </w:r>
            <w:r w:rsidR="00C85413">
              <w:rPr>
                <w:noProof/>
                <w:webHidden/>
              </w:rPr>
            </w:r>
            <w:r w:rsidR="00C85413">
              <w:rPr>
                <w:noProof/>
                <w:webHidden/>
              </w:rPr>
              <w:fldChar w:fldCharType="separate"/>
            </w:r>
            <w:r w:rsidR="00956EA4">
              <w:rPr>
                <w:noProof/>
                <w:webHidden/>
              </w:rPr>
              <w:t>76</w:t>
            </w:r>
            <w:r w:rsidR="00C85413">
              <w:rPr>
                <w:noProof/>
                <w:webHidden/>
              </w:rPr>
              <w:fldChar w:fldCharType="end"/>
            </w:r>
          </w:hyperlink>
        </w:p>
        <w:p w14:paraId="5D0D7339" w14:textId="585A08AF" w:rsidR="00C85413" w:rsidRDefault="002B5444">
          <w:pPr>
            <w:pStyle w:val="TOC2"/>
            <w:tabs>
              <w:tab w:val="right" w:leader="dot" w:pos="9350"/>
            </w:tabs>
            <w:rPr>
              <w:rFonts w:asciiTheme="minorHAnsi" w:hAnsiTheme="minorHAnsi"/>
              <w:noProof/>
              <w:sz w:val="22"/>
            </w:rPr>
          </w:pPr>
          <w:hyperlink w:anchor="_Toc113125096" w:history="1">
            <w:r w:rsidR="00C85413" w:rsidRPr="001B006B">
              <w:rPr>
                <w:rStyle w:val="Hyperlink"/>
                <w:noProof/>
              </w:rPr>
              <w:t>3.4 Sample and Sampling Techniques</w:t>
            </w:r>
            <w:r w:rsidR="00C85413">
              <w:rPr>
                <w:noProof/>
                <w:webHidden/>
              </w:rPr>
              <w:tab/>
            </w:r>
            <w:r w:rsidR="00C85413">
              <w:rPr>
                <w:noProof/>
                <w:webHidden/>
              </w:rPr>
              <w:fldChar w:fldCharType="begin"/>
            </w:r>
            <w:r w:rsidR="00C85413">
              <w:rPr>
                <w:noProof/>
                <w:webHidden/>
              </w:rPr>
              <w:instrText xml:space="preserve"> PAGEREF _Toc113125096 \h </w:instrText>
            </w:r>
            <w:r w:rsidR="00C85413">
              <w:rPr>
                <w:noProof/>
                <w:webHidden/>
              </w:rPr>
            </w:r>
            <w:r w:rsidR="00C85413">
              <w:rPr>
                <w:noProof/>
                <w:webHidden/>
              </w:rPr>
              <w:fldChar w:fldCharType="separate"/>
            </w:r>
            <w:r w:rsidR="00956EA4">
              <w:rPr>
                <w:noProof/>
                <w:webHidden/>
              </w:rPr>
              <w:t>76</w:t>
            </w:r>
            <w:r w:rsidR="00C85413">
              <w:rPr>
                <w:noProof/>
                <w:webHidden/>
              </w:rPr>
              <w:fldChar w:fldCharType="end"/>
            </w:r>
          </w:hyperlink>
        </w:p>
        <w:p w14:paraId="680A3F1A" w14:textId="75804EA3" w:rsidR="00C85413" w:rsidRDefault="002B5444">
          <w:pPr>
            <w:pStyle w:val="TOC2"/>
            <w:tabs>
              <w:tab w:val="right" w:leader="dot" w:pos="9350"/>
            </w:tabs>
            <w:rPr>
              <w:rFonts w:asciiTheme="minorHAnsi" w:hAnsiTheme="minorHAnsi"/>
              <w:noProof/>
              <w:sz w:val="22"/>
            </w:rPr>
          </w:pPr>
          <w:hyperlink w:anchor="_Toc113125097" w:history="1">
            <w:r w:rsidR="00C85413" w:rsidRPr="001B006B">
              <w:rPr>
                <w:rStyle w:val="Hyperlink"/>
                <w:noProof/>
              </w:rPr>
              <w:t>3.5 Data Collection Instruments</w:t>
            </w:r>
            <w:r w:rsidR="00C85413">
              <w:rPr>
                <w:noProof/>
                <w:webHidden/>
              </w:rPr>
              <w:tab/>
            </w:r>
            <w:r w:rsidR="00C85413">
              <w:rPr>
                <w:noProof/>
                <w:webHidden/>
              </w:rPr>
              <w:fldChar w:fldCharType="begin"/>
            </w:r>
            <w:r w:rsidR="00C85413">
              <w:rPr>
                <w:noProof/>
                <w:webHidden/>
              </w:rPr>
              <w:instrText xml:space="preserve"> PAGEREF _Toc113125097 \h </w:instrText>
            </w:r>
            <w:r w:rsidR="00C85413">
              <w:rPr>
                <w:noProof/>
                <w:webHidden/>
              </w:rPr>
            </w:r>
            <w:r w:rsidR="00C85413">
              <w:rPr>
                <w:noProof/>
                <w:webHidden/>
              </w:rPr>
              <w:fldChar w:fldCharType="separate"/>
            </w:r>
            <w:r w:rsidR="00956EA4">
              <w:rPr>
                <w:noProof/>
                <w:webHidden/>
              </w:rPr>
              <w:t>77</w:t>
            </w:r>
            <w:r w:rsidR="00C85413">
              <w:rPr>
                <w:noProof/>
                <w:webHidden/>
              </w:rPr>
              <w:fldChar w:fldCharType="end"/>
            </w:r>
          </w:hyperlink>
        </w:p>
        <w:p w14:paraId="6C23A9C6" w14:textId="2ED28D3D" w:rsidR="00C85413" w:rsidRDefault="002B5444">
          <w:pPr>
            <w:pStyle w:val="TOC2"/>
            <w:tabs>
              <w:tab w:val="right" w:leader="dot" w:pos="9350"/>
            </w:tabs>
            <w:rPr>
              <w:rFonts w:asciiTheme="minorHAnsi" w:hAnsiTheme="minorHAnsi"/>
              <w:noProof/>
              <w:sz w:val="22"/>
            </w:rPr>
          </w:pPr>
          <w:hyperlink w:anchor="_Toc113125098" w:history="1">
            <w:r w:rsidR="00C85413" w:rsidRPr="001B006B">
              <w:rPr>
                <w:rStyle w:val="Hyperlink"/>
                <w:noProof/>
              </w:rPr>
              <w:t>3.6 Pilot Study</w:t>
            </w:r>
            <w:r w:rsidR="00C85413">
              <w:rPr>
                <w:noProof/>
                <w:webHidden/>
              </w:rPr>
              <w:tab/>
            </w:r>
            <w:r w:rsidR="00C85413">
              <w:rPr>
                <w:noProof/>
                <w:webHidden/>
              </w:rPr>
              <w:fldChar w:fldCharType="begin"/>
            </w:r>
            <w:r w:rsidR="00C85413">
              <w:rPr>
                <w:noProof/>
                <w:webHidden/>
              </w:rPr>
              <w:instrText xml:space="preserve"> PAGEREF _Toc113125098 \h </w:instrText>
            </w:r>
            <w:r w:rsidR="00C85413">
              <w:rPr>
                <w:noProof/>
                <w:webHidden/>
              </w:rPr>
            </w:r>
            <w:r w:rsidR="00C85413">
              <w:rPr>
                <w:noProof/>
                <w:webHidden/>
              </w:rPr>
              <w:fldChar w:fldCharType="separate"/>
            </w:r>
            <w:r w:rsidR="00956EA4">
              <w:rPr>
                <w:noProof/>
                <w:webHidden/>
              </w:rPr>
              <w:t>77</w:t>
            </w:r>
            <w:r w:rsidR="00C85413">
              <w:rPr>
                <w:noProof/>
                <w:webHidden/>
              </w:rPr>
              <w:fldChar w:fldCharType="end"/>
            </w:r>
          </w:hyperlink>
        </w:p>
        <w:p w14:paraId="2F350F43" w14:textId="15A23BE7" w:rsidR="00C85413" w:rsidRDefault="002B5444">
          <w:pPr>
            <w:pStyle w:val="TOC2"/>
            <w:tabs>
              <w:tab w:val="right" w:leader="dot" w:pos="9350"/>
            </w:tabs>
            <w:rPr>
              <w:rFonts w:asciiTheme="minorHAnsi" w:hAnsiTheme="minorHAnsi"/>
              <w:noProof/>
              <w:sz w:val="22"/>
            </w:rPr>
          </w:pPr>
          <w:hyperlink w:anchor="_Toc113125099" w:history="1">
            <w:r w:rsidR="00C85413" w:rsidRPr="001B006B">
              <w:rPr>
                <w:rStyle w:val="Hyperlink"/>
                <w:noProof/>
              </w:rPr>
              <w:t>3.7 Data Collection Procedure</w:t>
            </w:r>
            <w:r w:rsidR="00C85413">
              <w:rPr>
                <w:noProof/>
                <w:webHidden/>
              </w:rPr>
              <w:tab/>
            </w:r>
            <w:r w:rsidR="00C85413">
              <w:rPr>
                <w:noProof/>
                <w:webHidden/>
              </w:rPr>
              <w:fldChar w:fldCharType="begin"/>
            </w:r>
            <w:r w:rsidR="00C85413">
              <w:rPr>
                <w:noProof/>
                <w:webHidden/>
              </w:rPr>
              <w:instrText xml:space="preserve"> PAGEREF _Toc113125099 \h </w:instrText>
            </w:r>
            <w:r w:rsidR="00C85413">
              <w:rPr>
                <w:noProof/>
                <w:webHidden/>
              </w:rPr>
            </w:r>
            <w:r w:rsidR="00C85413">
              <w:rPr>
                <w:noProof/>
                <w:webHidden/>
              </w:rPr>
              <w:fldChar w:fldCharType="separate"/>
            </w:r>
            <w:r w:rsidR="00956EA4">
              <w:rPr>
                <w:noProof/>
                <w:webHidden/>
              </w:rPr>
              <w:t>79</w:t>
            </w:r>
            <w:r w:rsidR="00C85413">
              <w:rPr>
                <w:noProof/>
                <w:webHidden/>
              </w:rPr>
              <w:fldChar w:fldCharType="end"/>
            </w:r>
          </w:hyperlink>
        </w:p>
        <w:p w14:paraId="21973A69" w14:textId="056F204D" w:rsidR="00C85413" w:rsidRDefault="002B5444">
          <w:pPr>
            <w:pStyle w:val="TOC2"/>
            <w:tabs>
              <w:tab w:val="right" w:leader="dot" w:pos="9350"/>
            </w:tabs>
            <w:rPr>
              <w:rFonts w:asciiTheme="minorHAnsi" w:hAnsiTheme="minorHAnsi"/>
              <w:noProof/>
              <w:sz w:val="22"/>
            </w:rPr>
          </w:pPr>
          <w:hyperlink w:anchor="_Toc113125100" w:history="1">
            <w:r w:rsidR="00C85413" w:rsidRPr="001B006B">
              <w:rPr>
                <w:rStyle w:val="Hyperlink"/>
                <w:noProof/>
              </w:rPr>
              <w:t>3.8 Data Analysis and Presentation</w:t>
            </w:r>
            <w:r w:rsidR="00C85413">
              <w:rPr>
                <w:noProof/>
                <w:webHidden/>
              </w:rPr>
              <w:tab/>
            </w:r>
            <w:r w:rsidR="00C85413">
              <w:rPr>
                <w:noProof/>
                <w:webHidden/>
              </w:rPr>
              <w:fldChar w:fldCharType="begin"/>
            </w:r>
            <w:r w:rsidR="00C85413">
              <w:rPr>
                <w:noProof/>
                <w:webHidden/>
              </w:rPr>
              <w:instrText xml:space="preserve"> PAGEREF _Toc113125100 \h </w:instrText>
            </w:r>
            <w:r w:rsidR="00C85413">
              <w:rPr>
                <w:noProof/>
                <w:webHidden/>
              </w:rPr>
            </w:r>
            <w:r w:rsidR="00C85413">
              <w:rPr>
                <w:noProof/>
                <w:webHidden/>
              </w:rPr>
              <w:fldChar w:fldCharType="separate"/>
            </w:r>
            <w:r w:rsidR="00956EA4">
              <w:rPr>
                <w:noProof/>
                <w:webHidden/>
              </w:rPr>
              <w:t>80</w:t>
            </w:r>
            <w:r w:rsidR="00C85413">
              <w:rPr>
                <w:noProof/>
                <w:webHidden/>
              </w:rPr>
              <w:fldChar w:fldCharType="end"/>
            </w:r>
          </w:hyperlink>
        </w:p>
        <w:p w14:paraId="41A8830B" w14:textId="0ACB9DAB" w:rsidR="00C85413" w:rsidRDefault="002B5444">
          <w:pPr>
            <w:pStyle w:val="TOC2"/>
            <w:tabs>
              <w:tab w:val="right" w:leader="dot" w:pos="9350"/>
            </w:tabs>
            <w:rPr>
              <w:rFonts w:asciiTheme="minorHAnsi" w:hAnsiTheme="minorHAnsi"/>
              <w:noProof/>
              <w:sz w:val="22"/>
            </w:rPr>
          </w:pPr>
          <w:hyperlink w:anchor="_Toc113125101" w:history="1">
            <w:r w:rsidR="00C85413" w:rsidRPr="001B006B">
              <w:rPr>
                <w:rStyle w:val="Hyperlink"/>
                <w:noProof/>
              </w:rPr>
              <w:t>3.9 Ethical Considerations</w:t>
            </w:r>
            <w:r w:rsidR="00C85413">
              <w:rPr>
                <w:noProof/>
                <w:webHidden/>
              </w:rPr>
              <w:tab/>
            </w:r>
            <w:r w:rsidR="00C85413">
              <w:rPr>
                <w:noProof/>
                <w:webHidden/>
              </w:rPr>
              <w:fldChar w:fldCharType="begin"/>
            </w:r>
            <w:r w:rsidR="00C85413">
              <w:rPr>
                <w:noProof/>
                <w:webHidden/>
              </w:rPr>
              <w:instrText xml:space="preserve"> PAGEREF _Toc113125101 \h </w:instrText>
            </w:r>
            <w:r w:rsidR="00C85413">
              <w:rPr>
                <w:noProof/>
                <w:webHidden/>
              </w:rPr>
            </w:r>
            <w:r w:rsidR="00C85413">
              <w:rPr>
                <w:noProof/>
                <w:webHidden/>
              </w:rPr>
              <w:fldChar w:fldCharType="separate"/>
            </w:r>
            <w:r w:rsidR="00956EA4">
              <w:rPr>
                <w:noProof/>
                <w:webHidden/>
              </w:rPr>
              <w:t>83</w:t>
            </w:r>
            <w:r w:rsidR="00C85413">
              <w:rPr>
                <w:noProof/>
                <w:webHidden/>
              </w:rPr>
              <w:fldChar w:fldCharType="end"/>
            </w:r>
          </w:hyperlink>
        </w:p>
        <w:p w14:paraId="78B81FF9" w14:textId="02985575" w:rsidR="00C85413" w:rsidRDefault="002B5444">
          <w:pPr>
            <w:pStyle w:val="TOC2"/>
            <w:tabs>
              <w:tab w:val="right" w:leader="dot" w:pos="9350"/>
            </w:tabs>
            <w:rPr>
              <w:rFonts w:asciiTheme="minorHAnsi" w:hAnsiTheme="minorHAnsi"/>
              <w:noProof/>
              <w:sz w:val="22"/>
            </w:rPr>
          </w:pPr>
          <w:hyperlink w:anchor="_Toc113125102" w:history="1">
            <w:r w:rsidR="00C85413" w:rsidRPr="001B006B">
              <w:rPr>
                <w:rStyle w:val="Hyperlink"/>
                <w:noProof/>
              </w:rPr>
              <w:t>3.10 Summary</w:t>
            </w:r>
            <w:r w:rsidR="00C85413">
              <w:rPr>
                <w:noProof/>
                <w:webHidden/>
              </w:rPr>
              <w:tab/>
            </w:r>
            <w:r w:rsidR="00C85413">
              <w:rPr>
                <w:noProof/>
                <w:webHidden/>
              </w:rPr>
              <w:fldChar w:fldCharType="begin"/>
            </w:r>
            <w:r w:rsidR="00C85413">
              <w:rPr>
                <w:noProof/>
                <w:webHidden/>
              </w:rPr>
              <w:instrText xml:space="preserve"> PAGEREF _Toc113125102 \h </w:instrText>
            </w:r>
            <w:r w:rsidR="00C85413">
              <w:rPr>
                <w:noProof/>
                <w:webHidden/>
              </w:rPr>
            </w:r>
            <w:r w:rsidR="00C85413">
              <w:rPr>
                <w:noProof/>
                <w:webHidden/>
              </w:rPr>
              <w:fldChar w:fldCharType="separate"/>
            </w:r>
            <w:r w:rsidR="00956EA4">
              <w:rPr>
                <w:noProof/>
                <w:webHidden/>
              </w:rPr>
              <w:t>84</w:t>
            </w:r>
            <w:r w:rsidR="00C85413">
              <w:rPr>
                <w:noProof/>
                <w:webHidden/>
              </w:rPr>
              <w:fldChar w:fldCharType="end"/>
            </w:r>
          </w:hyperlink>
        </w:p>
        <w:p w14:paraId="4AAF91A3" w14:textId="1589FC2A" w:rsidR="00C85413" w:rsidRDefault="002B5444">
          <w:pPr>
            <w:pStyle w:val="TOC1"/>
            <w:rPr>
              <w:rFonts w:asciiTheme="minorHAnsi" w:hAnsiTheme="minorHAnsi" w:cstheme="minorBidi"/>
              <w:b w:val="0"/>
              <w:sz w:val="22"/>
            </w:rPr>
          </w:pPr>
          <w:hyperlink w:anchor="_Toc113125103" w:history="1">
            <w:r w:rsidR="00C85413" w:rsidRPr="001B006B">
              <w:rPr>
                <w:rStyle w:val="Hyperlink"/>
              </w:rPr>
              <w:t>CHAPTER FOUR</w:t>
            </w:r>
            <w:r w:rsidR="00C85413">
              <w:rPr>
                <w:webHidden/>
              </w:rPr>
              <w:tab/>
            </w:r>
            <w:r w:rsidR="00C85413">
              <w:rPr>
                <w:webHidden/>
              </w:rPr>
              <w:fldChar w:fldCharType="begin"/>
            </w:r>
            <w:r w:rsidR="00C85413">
              <w:rPr>
                <w:webHidden/>
              </w:rPr>
              <w:instrText xml:space="preserve"> PAGEREF _Toc113125103 \h </w:instrText>
            </w:r>
            <w:r w:rsidR="00C85413">
              <w:rPr>
                <w:webHidden/>
              </w:rPr>
            </w:r>
            <w:r w:rsidR="00C85413">
              <w:rPr>
                <w:webHidden/>
              </w:rPr>
              <w:fldChar w:fldCharType="separate"/>
            </w:r>
            <w:r w:rsidR="00956EA4">
              <w:rPr>
                <w:webHidden/>
              </w:rPr>
              <w:t>85</w:t>
            </w:r>
            <w:r w:rsidR="00C85413">
              <w:rPr>
                <w:webHidden/>
              </w:rPr>
              <w:fldChar w:fldCharType="end"/>
            </w:r>
          </w:hyperlink>
        </w:p>
        <w:p w14:paraId="4C72EF8F" w14:textId="5864DDC3" w:rsidR="00C85413" w:rsidRDefault="002B5444">
          <w:pPr>
            <w:pStyle w:val="TOC1"/>
            <w:rPr>
              <w:rFonts w:asciiTheme="minorHAnsi" w:hAnsiTheme="minorHAnsi" w:cstheme="minorBidi"/>
              <w:b w:val="0"/>
              <w:sz w:val="22"/>
            </w:rPr>
          </w:pPr>
          <w:hyperlink w:anchor="_Toc113125104" w:history="1">
            <w:r w:rsidR="00C85413" w:rsidRPr="001B006B">
              <w:rPr>
                <w:rStyle w:val="Hyperlink"/>
              </w:rPr>
              <w:t>DATA ANALYSIS AND RESEARCH RESULTS</w:t>
            </w:r>
            <w:r w:rsidR="00C85413">
              <w:rPr>
                <w:webHidden/>
              </w:rPr>
              <w:tab/>
            </w:r>
            <w:r w:rsidR="00C85413">
              <w:rPr>
                <w:webHidden/>
              </w:rPr>
              <w:fldChar w:fldCharType="begin"/>
            </w:r>
            <w:r w:rsidR="00C85413">
              <w:rPr>
                <w:webHidden/>
              </w:rPr>
              <w:instrText xml:space="preserve"> PAGEREF _Toc113125104 \h </w:instrText>
            </w:r>
            <w:r w:rsidR="00C85413">
              <w:rPr>
                <w:webHidden/>
              </w:rPr>
            </w:r>
            <w:r w:rsidR="00C85413">
              <w:rPr>
                <w:webHidden/>
              </w:rPr>
              <w:fldChar w:fldCharType="separate"/>
            </w:r>
            <w:r w:rsidR="00956EA4">
              <w:rPr>
                <w:webHidden/>
              </w:rPr>
              <w:t>85</w:t>
            </w:r>
            <w:r w:rsidR="00C85413">
              <w:rPr>
                <w:webHidden/>
              </w:rPr>
              <w:fldChar w:fldCharType="end"/>
            </w:r>
          </w:hyperlink>
        </w:p>
        <w:p w14:paraId="705D1684" w14:textId="68099DDB" w:rsidR="00C85413" w:rsidRDefault="002B5444">
          <w:pPr>
            <w:pStyle w:val="TOC2"/>
            <w:tabs>
              <w:tab w:val="right" w:leader="dot" w:pos="9350"/>
            </w:tabs>
            <w:rPr>
              <w:rFonts w:asciiTheme="minorHAnsi" w:hAnsiTheme="minorHAnsi"/>
              <w:noProof/>
              <w:sz w:val="22"/>
            </w:rPr>
          </w:pPr>
          <w:hyperlink w:anchor="_Toc113125105" w:history="1">
            <w:r w:rsidR="00C85413" w:rsidRPr="001B006B">
              <w:rPr>
                <w:rStyle w:val="Hyperlink"/>
                <w:noProof/>
              </w:rPr>
              <w:t>4.1 Introduction</w:t>
            </w:r>
            <w:r w:rsidR="00C85413">
              <w:rPr>
                <w:noProof/>
                <w:webHidden/>
              </w:rPr>
              <w:tab/>
            </w:r>
            <w:r w:rsidR="00C85413">
              <w:rPr>
                <w:noProof/>
                <w:webHidden/>
              </w:rPr>
              <w:fldChar w:fldCharType="begin"/>
            </w:r>
            <w:r w:rsidR="00C85413">
              <w:rPr>
                <w:noProof/>
                <w:webHidden/>
              </w:rPr>
              <w:instrText xml:space="preserve"> PAGEREF _Toc113125105 \h </w:instrText>
            </w:r>
            <w:r w:rsidR="00C85413">
              <w:rPr>
                <w:noProof/>
                <w:webHidden/>
              </w:rPr>
            </w:r>
            <w:r w:rsidR="00C85413">
              <w:rPr>
                <w:noProof/>
                <w:webHidden/>
              </w:rPr>
              <w:fldChar w:fldCharType="separate"/>
            </w:r>
            <w:r w:rsidR="00956EA4">
              <w:rPr>
                <w:noProof/>
                <w:webHidden/>
              </w:rPr>
              <w:t>85</w:t>
            </w:r>
            <w:r w:rsidR="00C85413">
              <w:rPr>
                <w:noProof/>
                <w:webHidden/>
              </w:rPr>
              <w:fldChar w:fldCharType="end"/>
            </w:r>
          </w:hyperlink>
        </w:p>
        <w:p w14:paraId="3E35B06D" w14:textId="3A64B6B9" w:rsidR="00C85413" w:rsidRDefault="002B5444">
          <w:pPr>
            <w:pStyle w:val="TOC2"/>
            <w:tabs>
              <w:tab w:val="right" w:leader="dot" w:pos="9350"/>
            </w:tabs>
            <w:rPr>
              <w:rFonts w:asciiTheme="minorHAnsi" w:hAnsiTheme="minorHAnsi"/>
              <w:noProof/>
              <w:sz w:val="22"/>
            </w:rPr>
          </w:pPr>
          <w:hyperlink w:anchor="_Toc113125106" w:history="1">
            <w:r w:rsidR="00C85413" w:rsidRPr="001B006B">
              <w:rPr>
                <w:rStyle w:val="Hyperlink"/>
                <w:noProof/>
              </w:rPr>
              <w:t>4.2 Response Rate</w:t>
            </w:r>
            <w:r w:rsidR="00C85413">
              <w:rPr>
                <w:noProof/>
                <w:webHidden/>
              </w:rPr>
              <w:tab/>
            </w:r>
            <w:r w:rsidR="00C85413">
              <w:rPr>
                <w:noProof/>
                <w:webHidden/>
              </w:rPr>
              <w:fldChar w:fldCharType="begin"/>
            </w:r>
            <w:r w:rsidR="00C85413">
              <w:rPr>
                <w:noProof/>
                <w:webHidden/>
              </w:rPr>
              <w:instrText xml:space="preserve"> PAGEREF _Toc113125106 \h </w:instrText>
            </w:r>
            <w:r w:rsidR="00C85413">
              <w:rPr>
                <w:noProof/>
                <w:webHidden/>
              </w:rPr>
            </w:r>
            <w:r w:rsidR="00C85413">
              <w:rPr>
                <w:noProof/>
                <w:webHidden/>
              </w:rPr>
              <w:fldChar w:fldCharType="separate"/>
            </w:r>
            <w:r w:rsidR="00956EA4">
              <w:rPr>
                <w:noProof/>
                <w:webHidden/>
              </w:rPr>
              <w:t>85</w:t>
            </w:r>
            <w:r w:rsidR="00C85413">
              <w:rPr>
                <w:noProof/>
                <w:webHidden/>
              </w:rPr>
              <w:fldChar w:fldCharType="end"/>
            </w:r>
          </w:hyperlink>
        </w:p>
        <w:p w14:paraId="2CBE23C9" w14:textId="12570D02" w:rsidR="00C85413" w:rsidRDefault="002B5444">
          <w:pPr>
            <w:pStyle w:val="TOC2"/>
            <w:tabs>
              <w:tab w:val="right" w:leader="dot" w:pos="9350"/>
            </w:tabs>
            <w:rPr>
              <w:rFonts w:asciiTheme="minorHAnsi" w:hAnsiTheme="minorHAnsi"/>
              <w:noProof/>
              <w:sz w:val="22"/>
            </w:rPr>
          </w:pPr>
          <w:hyperlink w:anchor="_Toc113125107" w:history="1">
            <w:r w:rsidR="00C85413" w:rsidRPr="001B006B">
              <w:rPr>
                <w:rStyle w:val="Hyperlink"/>
                <w:noProof/>
              </w:rPr>
              <w:t>4.3 Demographic Characteristics of Respondents</w:t>
            </w:r>
            <w:r w:rsidR="00C85413">
              <w:rPr>
                <w:noProof/>
                <w:webHidden/>
              </w:rPr>
              <w:tab/>
            </w:r>
            <w:r w:rsidR="00C85413">
              <w:rPr>
                <w:noProof/>
                <w:webHidden/>
              </w:rPr>
              <w:fldChar w:fldCharType="begin"/>
            </w:r>
            <w:r w:rsidR="00C85413">
              <w:rPr>
                <w:noProof/>
                <w:webHidden/>
              </w:rPr>
              <w:instrText xml:space="preserve"> PAGEREF _Toc113125107 \h </w:instrText>
            </w:r>
            <w:r w:rsidR="00C85413">
              <w:rPr>
                <w:noProof/>
                <w:webHidden/>
              </w:rPr>
            </w:r>
            <w:r w:rsidR="00C85413">
              <w:rPr>
                <w:noProof/>
                <w:webHidden/>
              </w:rPr>
              <w:fldChar w:fldCharType="separate"/>
            </w:r>
            <w:r w:rsidR="00956EA4">
              <w:rPr>
                <w:noProof/>
                <w:webHidden/>
              </w:rPr>
              <w:t>86</w:t>
            </w:r>
            <w:r w:rsidR="00C85413">
              <w:rPr>
                <w:noProof/>
                <w:webHidden/>
              </w:rPr>
              <w:fldChar w:fldCharType="end"/>
            </w:r>
          </w:hyperlink>
        </w:p>
        <w:p w14:paraId="156F95DD" w14:textId="61D871F4" w:rsidR="00C85413" w:rsidRDefault="002B5444">
          <w:pPr>
            <w:pStyle w:val="TOC2"/>
            <w:tabs>
              <w:tab w:val="right" w:leader="dot" w:pos="9350"/>
            </w:tabs>
            <w:rPr>
              <w:rFonts w:asciiTheme="minorHAnsi" w:hAnsiTheme="minorHAnsi"/>
              <w:noProof/>
              <w:sz w:val="22"/>
            </w:rPr>
          </w:pPr>
          <w:hyperlink w:anchor="_Toc113125108" w:history="1">
            <w:r w:rsidR="00C85413" w:rsidRPr="001B006B">
              <w:rPr>
                <w:rStyle w:val="Hyperlink"/>
                <w:noProof/>
              </w:rPr>
              <w:t>4.4 Results of the Pilot Study</w:t>
            </w:r>
            <w:r w:rsidR="00C85413">
              <w:rPr>
                <w:noProof/>
                <w:webHidden/>
              </w:rPr>
              <w:tab/>
            </w:r>
            <w:r w:rsidR="00C85413">
              <w:rPr>
                <w:noProof/>
                <w:webHidden/>
              </w:rPr>
              <w:fldChar w:fldCharType="begin"/>
            </w:r>
            <w:r w:rsidR="00C85413">
              <w:rPr>
                <w:noProof/>
                <w:webHidden/>
              </w:rPr>
              <w:instrText xml:space="preserve"> PAGEREF _Toc113125108 \h </w:instrText>
            </w:r>
            <w:r w:rsidR="00C85413">
              <w:rPr>
                <w:noProof/>
                <w:webHidden/>
              </w:rPr>
            </w:r>
            <w:r w:rsidR="00C85413">
              <w:rPr>
                <w:noProof/>
                <w:webHidden/>
              </w:rPr>
              <w:fldChar w:fldCharType="separate"/>
            </w:r>
            <w:r w:rsidR="00956EA4">
              <w:rPr>
                <w:noProof/>
                <w:webHidden/>
              </w:rPr>
              <w:t>89</w:t>
            </w:r>
            <w:r w:rsidR="00C85413">
              <w:rPr>
                <w:noProof/>
                <w:webHidden/>
              </w:rPr>
              <w:fldChar w:fldCharType="end"/>
            </w:r>
          </w:hyperlink>
        </w:p>
        <w:p w14:paraId="74D4E978" w14:textId="31E882A9" w:rsidR="00C85413" w:rsidRDefault="002B5444">
          <w:pPr>
            <w:pStyle w:val="TOC2"/>
            <w:tabs>
              <w:tab w:val="right" w:leader="dot" w:pos="9350"/>
            </w:tabs>
            <w:rPr>
              <w:rFonts w:asciiTheme="minorHAnsi" w:hAnsiTheme="minorHAnsi"/>
              <w:noProof/>
              <w:sz w:val="22"/>
            </w:rPr>
          </w:pPr>
          <w:hyperlink w:anchor="_Toc113125109" w:history="1">
            <w:r w:rsidR="00C85413" w:rsidRPr="001B006B">
              <w:rPr>
                <w:rStyle w:val="Hyperlink"/>
                <w:noProof/>
              </w:rPr>
              <w:t>4.5 Descriptive Statistics</w:t>
            </w:r>
            <w:r w:rsidR="00C85413">
              <w:rPr>
                <w:noProof/>
                <w:webHidden/>
              </w:rPr>
              <w:tab/>
            </w:r>
            <w:r w:rsidR="00C85413">
              <w:rPr>
                <w:noProof/>
                <w:webHidden/>
              </w:rPr>
              <w:fldChar w:fldCharType="begin"/>
            </w:r>
            <w:r w:rsidR="00C85413">
              <w:rPr>
                <w:noProof/>
                <w:webHidden/>
              </w:rPr>
              <w:instrText xml:space="preserve"> PAGEREF _Toc113125109 \h </w:instrText>
            </w:r>
            <w:r w:rsidR="00C85413">
              <w:rPr>
                <w:noProof/>
                <w:webHidden/>
              </w:rPr>
            </w:r>
            <w:r w:rsidR="00C85413">
              <w:rPr>
                <w:noProof/>
                <w:webHidden/>
              </w:rPr>
              <w:fldChar w:fldCharType="separate"/>
            </w:r>
            <w:r w:rsidR="00956EA4">
              <w:rPr>
                <w:noProof/>
                <w:webHidden/>
              </w:rPr>
              <w:t>100</w:t>
            </w:r>
            <w:r w:rsidR="00C85413">
              <w:rPr>
                <w:noProof/>
                <w:webHidden/>
              </w:rPr>
              <w:fldChar w:fldCharType="end"/>
            </w:r>
          </w:hyperlink>
        </w:p>
        <w:p w14:paraId="270D848D" w14:textId="57B8EDF4" w:rsidR="00C85413" w:rsidRDefault="002B5444">
          <w:pPr>
            <w:pStyle w:val="TOC2"/>
            <w:tabs>
              <w:tab w:val="right" w:leader="dot" w:pos="9350"/>
            </w:tabs>
            <w:rPr>
              <w:rFonts w:asciiTheme="minorHAnsi" w:hAnsiTheme="minorHAnsi"/>
              <w:noProof/>
              <w:sz w:val="22"/>
            </w:rPr>
          </w:pPr>
          <w:hyperlink w:anchor="_Toc113125110" w:history="1">
            <w:r w:rsidR="00C85413" w:rsidRPr="001B006B">
              <w:rPr>
                <w:rStyle w:val="Hyperlink"/>
                <w:noProof/>
              </w:rPr>
              <w:t>4.6 Correlation Analysis</w:t>
            </w:r>
            <w:r w:rsidR="00C85413">
              <w:rPr>
                <w:noProof/>
                <w:webHidden/>
              </w:rPr>
              <w:tab/>
            </w:r>
            <w:r w:rsidR="00C85413">
              <w:rPr>
                <w:noProof/>
                <w:webHidden/>
              </w:rPr>
              <w:fldChar w:fldCharType="begin"/>
            </w:r>
            <w:r w:rsidR="00C85413">
              <w:rPr>
                <w:noProof/>
                <w:webHidden/>
              </w:rPr>
              <w:instrText xml:space="preserve"> PAGEREF _Toc113125110 \h </w:instrText>
            </w:r>
            <w:r w:rsidR="00C85413">
              <w:rPr>
                <w:noProof/>
                <w:webHidden/>
              </w:rPr>
            </w:r>
            <w:r w:rsidR="00C85413">
              <w:rPr>
                <w:noProof/>
                <w:webHidden/>
              </w:rPr>
              <w:fldChar w:fldCharType="separate"/>
            </w:r>
            <w:r w:rsidR="00956EA4">
              <w:rPr>
                <w:noProof/>
                <w:webHidden/>
              </w:rPr>
              <w:t>104</w:t>
            </w:r>
            <w:r w:rsidR="00C85413">
              <w:rPr>
                <w:noProof/>
                <w:webHidden/>
              </w:rPr>
              <w:fldChar w:fldCharType="end"/>
            </w:r>
          </w:hyperlink>
        </w:p>
        <w:p w14:paraId="4CA2D4B0" w14:textId="47AF074A" w:rsidR="00C85413" w:rsidRDefault="002B5444">
          <w:pPr>
            <w:pStyle w:val="TOC2"/>
            <w:tabs>
              <w:tab w:val="right" w:leader="dot" w:pos="9350"/>
            </w:tabs>
            <w:rPr>
              <w:rFonts w:asciiTheme="minorHAnsi" w:hAnsiTheme="minorHAnsi"/>
              <w:noProof/>
              <w:sz w:val="22"/>
            </w:rPr>
          </w:pPr>
          <w:hyperlink w:anchor="_Toc113125111" w:history="1">
            <w:r w:rsidR="00C85413" w:rsidRPr="001B006B">
              <w:rPr>
                <w:rStyle w:val="Hyperlink"/>
                <w:noProof/>
              </w:rPr>
              <w:t>4.7 Hypotheses Testing</w:t>
            </w:r>
            <w:r w:rsidR="00C85413">
              <w:rPr>
                <w:noProof/>
                <w:webHidden/>
              </w:rPr>
              <w:tab/>
            </w:r>
            <w:r w:rsidR="00C85413">
              <w:rPr>
                <w:noProof/>
                <w:webHidden/>
              </w:rPr>
              <w:fldChar w:fldCharType="begin"/>
            </w:r>
            <w:r w:rsidR="00C85413">
              <w:rPr>
                <w:noProof/>
                <w:webHidden/>
              </w:rPr>
              <w:instrText xml:space="preserve"> PAGEREF _Toc113125111 \h </w:instrText>
            </w:r>
            <w:r w:rsidR="00C85413">
              <w:rPr>
                <w:noProof/>
                <w:webHidden/>
              </w:rPr>
            </w:r>
            <w:r w:rsidR="00C85413">
              <w:rPr>
                <w:noProof/>
                <w:webHidden/>
              </w:rPr>
              <w:fldChar w:fldCharType="separate"/>
            </w:r>
            <w:r w:rsidR="00956EA4">
              <w:rPr>
                <w:noProof/>
                <w:webHidden/>
              </w:rPr>
              <w:t>106</w:t>
            </w:r>
            <w:r w:rsidR="00C85413">
              <w:rPr>
                <w:noProof/>
                <w:webHidden/>
              </w:rPr>
              <w:fldChar w:fldCharType="end"/>
            </w:r>
          </w:hyperlink>
        </w:p>
        <w:p w14:paraId="1DC63802" w14:textId="667B7F2B" w:rsidR="00C85413" w:rsidRDefault="002B5444">
          <w:pPr>
            <w:pStyle w:val="TOC2"/>
            <w:tabs>
              <w:tab w:val="right" w:leader="dot" w:pos="9350"/>
            </w:tabs>
            <w:rPr>
              <w:rFonts w:asciiTheme="minorHAnsi" w:hAnsiTheme="minorHAnsi"/>
              <w:noProof/>
              <w:sz w:val="22"/>
            </w:rPr>
          </w:pPr>
          <w:hyperlink w:anchor="_Toc113125112" w:history="1">
            <w:r w:rsidR="00C85413" w:rsidRPr="001B006B">
              <w:rPr>
                <w:rStyle w:val="Hyperlink"/>
                <w:noProof/>
                <w:lang w:eastAsia="en-GB"/>
              </w:rPr>
              <w:t>4.8 Chapter Summary</w:t>
            </w:r>
            <w:r w:rsidR="00C85413">
              <w:rPr>
                <w:noProof/>
                <w:webHidden/>
              </w:rPr>
              <w:tab/>
            </w:r>
            <w:r w:rsidR="00C85413">
              <w:rPr>
                <w:noProof/>
                <w:webHidden/>
              </w:rPr>
              <w:fldChar w:fldCharType="begin"/>
            </w:r>
            <w:r w:rsidR="00C85413">
              <w:rPr>
                <w:noProof/>
                <w:webHidden/>
              </w:rPr>
              <w:instrText xml:space="preserve"> PAGEREF _Toc113125112 \h </w:instrText>
            </w:r>
            <w:r w:rsidR="00C85413">
              <w:rPr>
                <w:noProof/>
                <w:webHidden/>
              </w:rPr>
            </w:r>
            <w:r w:rsidR="00C85413">
              <w:rPr>
                <w:noProof/>
                <w:webHidden/>
              </w:rPr>
              <w:fldChar w:fldCharType="separate"/>
            </w:r>
            <w:r w:rsidR="00956EA4">
              <w:rPr>
                <w:noProof/>
                <w:webHidden/>
              </w:rPr>
              <w:t>118</w:t>
            </w:r>
            <w:r w:rsidR="00C85413">
              <w:rPr>
                <w:noProof/>
                <w:webHidden/>
              </w:rPr>
              <w:fldChar w:fldCharType="end"/>
            </w:r>
          </w:hyperlink>
        </w:p>
        <w:p w14:paraId="585F76EC" w14:textId="667AF5B9" w:rsidR="00C85413" w:rsidRDefault="002B5444">
          <w:pPr>
            <w:pStyle w:val="TOC1"/>
            <w:rPr>
              <w:rFonts w:asciiTheme="minorHAnsi" w:hAnsiTheme="minorHAnsi" w:cstheme="minorBidi"/>
              <w:b w:val="0"/>
              <w:sz w:val="22"/>
            </w:rPr>
          </w:pPr>
          <w:hyperlink w:anchor="_Toc113125113" w:history="1">
            <w:r w:rsidR="00C85413" w:rsidRPr="001B006B">
              <w:rPr>
                <w:rStyle w:val="Hyperlink"/>
              </w:rPr>
              <w:t>CHAPTER FIVE</w:t>
            </w:r>
            <w:r w:rsidR="00C85413">
              <w:rPr>
                <w:webHidden/>
              </w:rPr>
              <w:tab/>
            </w:r>
            <w:r w:rsidR="00C85413">
              <w:rPr>
                <w:webHidden/>
              </w:rPr>
              <w:fldChar w:fldCharType="begin"/>
            </w:r>
            <w:r w:rsidR="00C85413">
              <w:rPr>
                <w:webHidden/>
              </w:rPr>
              <w:instrText xml:space="preserve"> PAGEREF _Toc113125113 \h </w:instrText>
            </w:r>
            <w:r w:rsidR="00C85413">
              <w:rPr>
                <w:webHidden/>
              </w:rPr>
            </w:r>
            <w:r w:rsidR="00C85413">
              <w:rPr>
                <w:webHidden/>
              </w:rPr>
              <w:fldChar w:fldCharType="separate"/>
            </w:r>
            <w:r w:rsidR="00956EA4">
              <w:rPr>
                <w:webHidden/>
              </w:rPr>
              <w:t>120</w:t>
            </w:r>
            <w:r w:rsidR="00C85413">
              <w:rPr>
                <w:webHidden/>
              </w:rPr>
              <w:fldChar w:fldCharType="end"/>
            </w:r>
          </w:hyperlink>
        </w:p>
        <w:p w14:paraId="61621F8A" w14:textId="1F7E0232" w:rsidR="00C85413" w:rsidRDefault="002B5444">
          <w:pPr>
            <w:pStyle w:val="TOC1"/>
            <w:rPr>
              <w:rFonts w:asciiTheme="minorHAnsi" w:hAnsiTheme="minorHAnsi" w:cstheme="minorBidi"/>
              <w:b w:val="0"/>
              <w:sz w:val="22"/>
            </w:rPr>
          </w:pPr>
          <w:hyperlink w:anchor="_Toc113125114" w:history="1">
            <w:r w:rsidR="00C85413" w:rsidRPr="001B006B">
              <w:rPr>
                <w:rStyle w:val="Hyperlink"/>
              </w:rPr>
              <w:t>FINDINGS AND DISCUSSION</w:t>
            </w:r>
            <w:r w:rsidR="00C85413">
              <w:rPr>
                <w:webHidden/>
              </w:rPr>
              <w:tab/>
            </w:r>
            <w:r w:rsidR="00C85413">
              <w:rPr>
                <w:webHidden/>
              </w:rPr>
              <w:fldChar w:fldCharType="begin"/>
            </w:r>
            <w:r w:rsidR="00C85413">
              <w:rPr>
                <w:webHidden/>
              </w:rPr>
              <w:instrText xml:space="preserve"> PAGEREF _Toc113125114 \h </w:instrText>
            </w:r>
            <w:r w:rsidR="00C85413">
              <w:rPr>
                <w:webHidden/>
              </w:rPr>
            </w:r>
            <w:r w:rsidR="00C85413">
              <w:rPr>
                <w:webHidden/>
              </w:rPr>
              <w:fldChar w:fldCharType="separate"/>
            </w:r>
            <w:r w:rsidR="00956EA4">
              <w:rPr>
                <w:webHidden/>
              </w:rPr>
              <w:t>120</w:t>
            </w:r>
            <w:r w:rsidR="00C85413">
              <w:rPr>
                <w:webHidden/>
              </w:rPr>
              <w:fldChar w:fldCharType="end"/>
            </w:r>
          </w:hyperlink>
        </w:p>
        <w:p w14:paraId="0C60C8E1" w14:textId="79AA8B0B" w:rsidR="00C85413" w:rsidRDefault="002B5444">
          <w:pPr>
            <w:pStyle w:val="TOC2"/>
            <w:tabs>
              <w:tab w:val="right" w:leader="dot" w:pos="9350"/>
            </w:tabs>
            <w:rPr>
              <w:rFonts w:asciiTheme="minorHAnsi" w:hAnsiTheme="minorHAnsi"/>
              <w:noProof/>
              <w:sz w:val="22"/>
            </w:rPr>
          </w:pPr>
          <w:hyperlink w:anchor="_Toc113125115" w:history="1">
            <w:r w:rsidR="00C85413" w:rsidRPr="001B006B">
              <w:rPr>
                <w:rStyle w:val="Hyperlink"/>
                <w:noProof/>
              </w:rPr>
              <w:t>5.1 Introduction</w:t>
            </w:r>
            <w:r w:rsidR="00C85413">
              <w:rPr>
                <w:noProof/>
                <w:webHidden/>
              </w:rPr>
              <w:tab/>
            </w:r>
            <w:r w:rsidR="00C85413">
              <w:rPr>
                <w:noProof/>
                <w:webHidden/>
              </w:rPr>
              <w:fldChar w:fldCharType="begin"/>
            </w:r>
            <w:r w:rsidR="00C85413">
              <w:rPr>
                <w:noProof/>
                <w:webHidden/>
              </w:rPr>
              <w:instrText xml:space="preserve"> PAGEREF _Toc113125115 \h </w:instrText>
            </w:r>
            <w:r w:rsidR="00C85413">
              <w:rPr>
                <w:noProof/>
                <w:webHidden/>
              </w:rPr>
            </w:r>
            <w:r w:rsidR="00C85413">
              <w:rPr>
                <w:noProof/>
                <w:webHidden/>
              </w:rPr>
              <w:fldChar w:fldCharType="separate"/>
            </w:r>
            <w:r w:rsidR="00956EA4">
              <w:rPr>
                <w:noProof/>
                <w:webHidden/>
              </w:rPr>
              <w:t>120</w:t>
            </w:r>
            <w:r w:rsidR="00C85413">
              <w:rPr>
                <w:noProof/>
                <w:webHidden/>
              </w:rPr>
              <w:fldChar w:fldCharType="end"/>
            </w:r>
          </w:hyperlink>
        </w:p>
        <w:p w14:paraId="780707BF" w14:textId="6B248BA1" w:rsidR="00C85413" w:rsidRDefault="002B5444">
          <w:pPr>
            <w:pStyle w:val="TOC2"/>
            <w:tabs>
              <w:tab w:val="right" w:leader="dot" w:pos="9350"/>
            </w:tabs>
            <w:rPr>
              <w:rFonts w:asciiTheme="minorHAnsi" w:hAnsiTheme="minorHAnsi"/>
              <w:noProof/>
              <w:sz w:val="22"/>
            </w:rPr>
          </w:pPr>
          <w:hyperlink w:anchor="_Toc113125116" w:history="1">
            <w:r w:rsidR="00C85413" w:rsidRPr="001B006B">
              <w:rPr>
                <w:rStyle w:val="Hyperlink"/>
                <w:noProof/>
              </w:rPr>
              <w:t>5.2 Discussion of the Hypotheses Tests and Research Findings</w:t>
            </w:r>
            <w:r w:rsidR="00C85413">
              <w:rPr>
                <w:noProof/>
                <w:webHidden/>
              </w:rPr>
              <w:tab/>
            </w:r>
            <w:r w:rsidR="00C85413">
              <w:rPr>
                <w:noProof/>
                <w:webHidden/>
              </w:rPr>
              <w:fldChar w:fldCharType="begin"/>
            </w:r>
            <w:r w:rsidR="00C85413">
              <w:rPr>
                <w:noProof/>
                <w:webHidden/>
              </w:rPr>
              <w:instrText xml:space="preserve"> PAGEREF _Toc113125116 \h </w:instrText>
            </w:r>
            <w:r w:rsidR="00C85413">
              <w:rPr>
                <w:noProof/>
                <w:webHidden/>
              </w:rPr>
            </w:r>
            <w:r w:rsidR="00C85413">
              <w:rPr>
                <w:noProof/>
                <w:webHidden/>
              </w:rPr>
              <w:fldChar w:fldCharType="separate"/>
            </w:r>
            <w:r w:rsidR="00956EA4">
              <w:rPr>
                <w:noProof/>
                <w:webHidden/>
              </w:rPr>
              <w:t>120</w:t>
            </w:r>
            <w:r w:rsidR="00C85413">
              <w:rPr>
                <w:noProof/>
                <w:webHidden/>
              </w:rPr>
              <w:fldChar w:fldCharType="end"/>
            </w:r>
          </w:hyperlink>
        </w:p>
        <w:p w14:paraId="40C12A70" w14:textId="5AA425B2" w:rsidR="00C85413" w:rsidRDefault="002B5444">
          <w:pPr>
            <w:pStyle w:val="TOC2"/>
            <w:tabs>
              <w:tab w:val="right" w:leader="dot" w:pos="9350"/>
            </w:tabs>
            <w:rPr>
              <w:rFonts w:asciiTheme="minorHAnsi" w:hAnsiTheme="minorHAnsi"/>
              <w:noProof/>
              <w:sz w:val="22"/>
            </w:rPr>
          </w:pPr>
          <w:hyperlink w:anchor="_Toc113125117" w:history="1">
            <w:r w:rsidR="00C85413" w:rsidRPr="001B006B">
              <w:rPr>
                <w:rStyle w:val="Hyperlink"/>
                <w:noProof/>
                <w:lang w:eastAsia="en-GB"/>
              </w:rPr>
              <w:t xml:space="preserve">5.3 </w:t>
            </w:r>
            <w:r w:rsidR="00C85413" w:rsidRPr="001B006B">
              <w:rPr>
                <w:rStyle w:val="Hyperlink"/>
                <w:noProof/>
              </w:rPr>
              <w:t>Summary</w:t>
            </w:r>
            <w:r w:rsidR="00C85413" w:rsidRPr="001B006B">
              <w:rPr>
                <w:rStyle w:val="Hyperlink"/>
                <w:noProof/>
                <w:lang w:eastAsia="en-GB"/>
              </w:rPr>
              <w:t xml:space="preserve"> of Research Findings</w:t>
            </w:r>
            <w:r w:rsidR="00C85413">
              <w:rPr>
                <w:noProof/>
                <w:webHidden/>
              </w:rPr>
              <w:tab/>
            </w:r>
            <w:r w:rsidR="00C85413">
              <w:rPr>
                <w:noProof/>
                <w:webHidden/>
              </w:rPr>
              <w:fldChar w:fldCharType="begin"/>
            </w:r>
            <w:r w:rsidR="00C85413">
              <w:rPr>
                <w:noProof/>
                <w:webHidden/>
              </w:rPr>
              <w:instrText xml:space="preserve"> PAGEREF _Toc113125117 \h </w:instrText>
            </w:r>
            <w:r w:rsidR="00C85413">
              <w:rPr>
                <w:noProof/>
                <w:webHidden/>
              </w:rPr>
            </w:r>
            <w:r w:rsidR="00C85413">
              <w:rPr>
                <w:noProof/>
                <w:webHidden/>
              </w:rPr>
              <w:fldChar w:fldCharType="separate"/>
            </w:r>
            <w:r w:rsidR="00956EA4">
              <w:rPr>
                <w:noProof/>
                <w:webHidden/>
              </w:rPr>
              <w:t>128</w:t>
            </w:r>
            <w:r w:rsidR="00C85413">
              <w:rPr>
                <w:noProof/>
                <w:webHidden/>
              </w:rPr>
              <w:fldChar w:fldCharType="end"/>
            </w:r>
          </w:hyperlink>
        </w:p>
        <w:p w14:paraId="4D85F4DC" w14:textId="0EE7D27F" w:rsidR="00C85413" w:rsidRDefault="002B5444">
          <w:pPr>
            <w:pStyle w:val="TOC2"/>
            <w:tabs>
              <w:tab w:val="right" w:leader="dot" w:pos="9350"/>
            </w:tabs>
            <w:rPr>
              <w:rFonts w:asciiTheme="minorHAnsi" w:hAnsiTheme="minorHAnsi"/>
              <w:noProof/>
              <w:sz w:val="22"/>
            </w:rPr>
          </w:pPr>
          <w:hyperlink w:anchor="_Toc113125118" w:history="1">
            <w:r w:rsidR="00C85413" w:rsidRPr="001B006B">
              <w:rPr>
                <w:rStyle w:val="Hyperlink"/>
                <w:rFonts w:eastAsia="Times New Roman"/>
                <w:noProof/>
              </w:rPr>
              <w:t>5.4 Optimal Model</w:t>
            </w:r>
            <w:r w:rsidR="00C85413">
              <w:rPr>
                <w:noProof/>
                <w:webHidden/>
              </w:rPr>
              <w:tab/>
            </w:r>
            <w:r w:rsidR="00C85413">
              <w:rPr>
                <w:noProof/>
                <w:webHidden/>
              </w:rPr>
              <w:fldChar w:fldCharType="begin"/>
            </w:r>
            <w:r w:rsidR="00C85413">
              <w:rPr>
                <w:noProof/>
                <w:webHidden/>
              </w:rPr>
              <w:instrText xml:space="preserve"> PAGEREF _Toc113125118 \h </w:instrText>
            </w:r>
            <w:r w:rsidR="00C85413">
              <w:rPr>
                <w:noProof/>
                <w:webHidden/>
              </w:rPr>
            </w:r>
            <w:r w:rsidR="00C85413">
              <w:rPr>
                <w:noProof/>
                <w:webHidden/>
              </w:rPr>
              <w:fldChar w:fldCharType="separate"/>
            </w:r>
            <w:r w:rsidR="00956EA4">
              <w:rPr>
                <w:noProof/>
                <w:webHidden/>
              </w:rPr>
              <w:t>129</w:t>
            </w:r>
            <w:r w:rsidR="00C85413">
              <w:rPr>
                <w:noProof/>
                <w:webHidden/>
              </w:rPr>
              <w:fldChar w:fldCharType="end"/>
            </w:r>
          </w:hyperlink>
        </w:p>
        <w:p w14:paraId="270F8486" w14:textId="7F6E7EBB" w:rsidR="00C85413" w:rsidRDefault="002B5444">
          <w:pPr>
            <w:pStyle w:val="TOC1"/>
            <w:rPr>
              <w:rFonts w:asciiTheme="minorHAnsi" w:hAnsiTheme="minorHAnsi" w:cstheme="minorBidi"/>
              <w:b w:val="0"/>
              <w:sz w:val="22"/>
            </w:rPr>
          </w:pPr>
          <w:hyperlink w:anchor="_Toc113125119" w:history="1">
            <w:r w:rsidR="00C85413" w:rsidRPr="001B006B">
              <w:rPr>
                <w:rStyle w:val="Hyperlink"/>
              </w:rPr>
              <w:t>CHAPTER SIX</w:t>
            </w:r>
            <w:r w:rsidR="00C85413">
              <w:rPr>
                <w:webHidden/>
              </w:rPr>
              <w:tab/>
            </w:r>
            <w:r w:rsidR="00C85413">
              <w:rPr>
                <w:webHidden/>
              </w:rPr>
              <w:fldChar w:fldCharType="begin"/>
            </w:r>
            <w:r w:rsidR="00C85413">
              <w:rPr>
                <w:webHidden/>
              </w:rPr>
              <w:instrText xml:space="preserve"> PAGEREF _Toc113125119 \h </w:instrText>
            </w:r>
            <w:r w:rsidR="00C85413">
              <w:rPr>
                <w:webHidden/>
              </w:rPr>
            </w:r>
            <w:r w:rsidR="00C85413">
              <w:rPr>
                <w:webHidden/>
              </w:rPr>
              <w:fldChar w:fldCharType="separate"/>
            </w:r>
            <w:r w:rsidR="00956EA4">
              <w:rPr>
                <w:webHidden/>
              </w:rPr>
              <w:t>131</w:t>
            </w:r>
            <w:r w:rsidR="00C85413">
              <w:rPr>
                <w:webHidden/>
              </w:rPr>
              <w:fldChar w:fldCharType="end"/>
            </w:r>
          </w:hyperlink>
        </w:p>
        <w:p w14:paraId="195BD20A" w14:textId="31BC3906" w:rsidR="00C85413" w:rsidRDefault="002B5444">
          <w:pPr>
            <w:pStyle w:val="TOC1"/>
            <w:rPr>
              <w:rFonts w:asciiTheme="minorHAnsi" w:hAnsiTheme="minorHAnsi" w:cstheme="minorBidi"/>
              <w:b w:val="0"/>
              <w:sz w:val="22"/>
            </w:rPr>
          </w:pPr>
          <w:hyperlink w:anchor="_Toc113125120" w:history="1">
            <w:r w:rsidR="00C85413" w:rsidRPr="001B006B">
              <w:rPr>
                <w:rStyle w:val="Hyperlink"/>
              </w:rPr>
              <w:t>SUMMARY AND CONCLUSION</w:t>
            </w:r>
            <w:r w:rsidR="00C85413">
              <w:rPr>
                <w:webHidden/>
              </w:rPr>
              <w:tab/>
            </w:r>
            <w:r w:rsidR="00C85413">
              <w:rPr>
                <w:webHidden/>
              </w:rPr>
              <w:fldChar w:fldCharType="begin"/>
            </w:r>
            <w:r w:rsidR="00C85413">
              <w:rPr>
                <w:webHidden/>
              </w:rPr>
              <w:instrText xml:space="preserve"> PAGEREF _Toc113125120 \h </w:instrText>
            </w:r>
            <w:r w:rsidR="00C85413">
              <w:rPr>
                <w:webHidden/>
              </w:rPr>
            </w:r>
            <w:r w:rsidR="00C85413">
              <w:rPr>
                <w:webHidden/>
              </w:rPr>
              <w:fldChar w:fldCharType="separate"/>
            </w:r>
            <w:r w:rsidR="00956EA4">
              <w:rPr>
                <w:webHidden/>
              </w:rPr>
              <w:t>131</w:t>
            </w:r>
            <w:r w:rsidR="00C85413">
              <w:rPr>
                <w:webHidden/>
              </w:rPr>
              <w:fldChar w:fldCharType="end"/>
            </w:r>
          </w:hyperlink>
        </w:p>
        <w:p w14:paraId="72957670" w14:textId="7FC6BF63" w:rsidR="00C85413" w:rsidRDefault="002B5444">
          <w:pPr>
            <w:pStyle w:val="TOC2"/>
            <w:tabs>
              <w:tab w:val="right" w:leader="dot" w:pos="9350"/>
            </w:tabs>
            <w:rPr>
              <w:rFonts w:asciiTheme="minorHAnsi" w:hAnsiTheme="minorHAnsi"/>
              <w:noProof/>
              <w:sz w:val="22"/>
            </w:rPr>
          </w:pPr>
          <w:hyperlink w:anchor="_Toc113125121" w:history="1">
            <w:r w:rsidR="00C85413" w:rsidRPr="001B006B">
              <w:rPr>
                <w:rStyle w:val="Hyperlink"/>
                <w:rFonts w:eastAsia="Times New Roman"/>
                <w:noProof/>
              </w:rPr>
              <w:t xml:space="preserve">6.1 </w:t>
            </w:r>
            <w:r w:rsidR="00C85413" w:rsidRPr="001B006B">
              <w:rPr>
                <w:rStyle w:val="Hyperlink"/>
                <w:noProof/>
              </w:rPr>
              <w:t>Introduction</w:t>
            </w:r>
            <w:r w:rsidR="00C85413">
              <w:rPr>
                <w:noProof/>
                <w:webHidden/>
              </w:rPr>
              <w:tab/>
            </w:r>
            <w:r w:rsidR="00C85413">
              <w:rPr>
                <w:noProof/>
                <w:webHidden/>
              </w:rPr>
              <w:fldChar w:fldCharType="begin"/>
            </w:r>
            <w:r w:rsidR="00C85413">
              <w:rPr>
                <w:noProof/>
                <w:webHidden/>
              </w:rPr>
              <w:instrText xml:space="preserve"> PAGEREF _Toc113125121 \h </w:instrText>
            </w:r>
            <w:r w:rsidR="00C85413">
              <w:rPr>
                <w:noProof/>
                <w:webHidden/>
              </w:rPr>
            </w:r>
            <w:r w:rsidR="00C85413">
              <w:rPr>
                <w:noProof/>
                <w:webHidden/>
              </w:rPr>
              <w:fldChar w:fldCharType="separate"/>
            </w:r>
            <w:r w:rsidR="00956EA4">
              <w:rPr>
                <w:noProof/>
                <w:webHidden/>
              </w:rPr>
              <w:t>131</w:t>
            </w:r>
            <w:r w:rsidR="00C85413">
              <w:rPr>
                <w:noProof/>
                <w:webHidden/>
              </w:rPr>
              <w:fldChar w:fldCharType="end"/>
            </w:r>
          </w:hyperlink>
        </w:p>
        <w:p w14:paraId="6AED985A" w14:textId="53E054BB" w:rsidR="00C85413" w:rsidRDefault="002B5444">
          <w:pPr>
            <w:pStyle w:val="TOC2"/>
            <w:tabs>
              <w:tab w:val="right" w:leader="dot" w:pos="9350"/>
            </w:tabs>
            <w:rPr>
              <w:rFonts w:asciiTheme="minorHAnsi" w:hAnsiTheme="minorHAnsi"/>
              <w:noProof/>
              <w:sz w:val="22"/>
            </w:rPr>
          </w:pPr>
          <w:hyperlink w:anchor="_Toc113125122" w:history="1">
            <w:r w:rsidR="00C85413" w:rsidRPr="001B006B">
              <w:rPr>
                <w:rStyle w:val="Hyperlink"/>
                <w:rFonts w:eastAsia="Times New Roman"/>
                <w:noProof/>
              </w:rPr>
              <w:t>6.2 Summary of Findings</w:t>
            </w:r>
            <w:r w:rsidR="00C85413">
              <w:rPr>
                <w:noProof/>
                <w:webHidden/>
              </w:rPr>
              <w:tab/>
            </w:r>
            <w:r w:rsidR="00C85413">
              <w:rPr>
                <w:noProof/>
                <w:webHidden/>
              </w:rPr>
              <w:fldChar w:fldCharType="begin"/>
            </w:r>
            <w:r w:rsidR="00C85413">
              <w:rPr>
                <w:noProof/>
                <w:webHidden/>
              </w:rPr>
              <w:instrText xml:space="preserve"> PAGEREF _Toc113125122 \h </w:instrText>
            </w:r>
            <w:r w:rsidR="00C85413">
              <w:rPr>
                <w:noProof/>
                <w:webHidden/>
              </w:rPr>
            </w:r>
            <w:r w:rsidR="00C85413">
              <w:rPr>
                <w:noProof/>
                <w:webHidden/>
              </w:rPr>
              <w:fldChar w:fldCharType="separate"/>
            </w:r>
            <w:r w:rsidR="00956EA4">
              <w:rPr>
                <w:noProof/>
                <w:webHidden/>
              </w:rPr>
              <w:t>131</w:t>
            </w:r>
            <w:r w:rsidR="00C85413">
              <w:rPr>
                <w:noProof/>
                <w:webHidden/>
              </w:rPr>
              <w:fldChar w:fldCharType="end"/>
            </w:r>
          </w:hyperlink>
        </w:p>
        <w:p w14:paraId="37FAA3AA" w14:textId="2076FEB7" w:rsidR="00C85413" w:rsidRDefault="002B5444">
          <w:pPr>
            <w:pStyle w:val="TOC2"/>
            <w:tabs>
              <w:tab w:val="right" w:leader="dot" w:pos="9350"/>
            </w:tabs>
            <w:rPr>
              <w:rFonts w:asciiTheme="minorHAnsi" w:hAnsiTheme="minorHAnsi"/>
              <w:noProof/>
              <w:sz w:val="22"/>
            </w:rPr>
          </w:pPr>
          <w:hyperlink w:anchor="_Toc113125123" w:history="1">
            <w:r w:rsidR="00C85413" w:rsidRPr="001B006B">
              <w:rPr>
                <w:rStyle w:val="Hyperlink"/>
                <w:noProof/>
              </w:rPr>
              <w:t>6.3 Conclusion</w:t>
            </w:r>
            <w:r w:rsidR="00C85413">
              <w:rPr>
                <w:noProof/>
                <w:webHidden/>
              </w:rPr>
              <w:tab/>
            </w:r>
            <w:r w:rsidR="00C85413">
              <w:rPr>
                <w:noProof/>
                <w:webHidden/>
              </w:rPr>
              <w:fldChar w:fldCharType="begin"/>
            </w:r>
            <w:r w:rsidR="00C85413">
              <w:rPr>
                <w:noProof/>
                <w:webHidden/>
              </w:rPr>
              <w:instrText xml:space="preserve"> PAGEREF _Toc113125123 \h </w:instrText>
            </w:r>
            <w:r w:rsidR="00C85413">
              <w:rPr>
                <w:noProof/>
                <w:webHidden/>
              </w:rPr>
            </w:r>
            <w:r w:rsidR="00C85413">
              <w:rPr>
                <w:noProof/>
                <w:webHidden/>
              </w:rPr>
              <w:fldChar w:fldCharType="separate"/>
            </w:r>
            <w:r w:rsidR="00956EA4">
              <w:rPr>
                <w:noProof/>
                <w:webHidden/>
              </w:rPr>
              <w:t>133</w:t>
            </w:r>
            <w:r w:rsidR="00C85413">
              <w:rPr>
                <w:noProof/>
                <w:webHidden/>
              </w:rPr>
              <w:fldChar w:fldCharType="end"/>
            </w:r>
          </w:hyperlink>
        </w:p>
        <w:p w14:paraId="25658B0C" w14:textId="47DB0110" w:rsidR="00C85413" w:rsidRDefault="002B5444">
          <w:pPr>
            <w:pStyle w:val="TOC1"/>
            <w:rPr>
              <w:rFonts w:asciiTheme="minorHAnsi" w:hAnsiTheme="minorHAnsi" w:cstheme="minorBidi"/>
              <w:b w:val="0"/>
              <w:sz w:val="22"/>
            </w:rPr>
          </w:pPr>
          <w:hyperlink w:anchor="_Toc113125124" w:history="1">
            <w:r w:rsidR="00C85413" w:rsidRPr="001B006B">
              <w:rPr>
                <w:rStyle w:val="Hyperlink"/>
              </w:rPr>
              <w:t>CHAPTER SEVEN</w:t>
            </w:r>
            <w:r w:rsidR="00C85413">
              <w:rPr>
                <w:webHidden/>
              </w:rPr>
              <w:tab/>
            </w:r>
            <w:r w:rsidR="00C85413">
              <w:rPr>
                <w:webHidden/>
              </w:rPr>
              <w:fldChar w:fldCharType="begin"/>
            </w:r>
            <w:r w:rsidR="00C85413">
              <w:rPr>
                <w:webHidden/>
              </w:rPr>
              <w:instrText xml:space="preserve"> PAGEREF _Toc113125124 \h </w:instrText>
            </w:r>
            <w:r w:rsidR="00C85413">
              <w:rPr>
                <w:webHidden/>
              </w:rPr>
            </w:r>
            <w:r w:rsidR="00C85413">
              <w:rPr>
                <w:webHidden/>
              </w:rPr>
              <w:fldChar w:fldCharType="separate"/>
            </w:r>
            <w:r w:rsidR="00956EA4">
              <w:rPr>
                <w:webHidden/>
              </w:rPr>
              <w:t>136</w:t>
            </w:r>
            <w:r w:rsidR="00C85413">
              <w:rPr>
                <w:webHidden/>
              </w:rPr>
              <w:fldChar w:fldCharType="end"/>
            </w:r>
          </w:hyperlink>
        </w:p>
        <w:p w14:paraId="4394207A" w14:textId="50831F18" w:rsidR="00C85413" w:rsidRDefault="002B5444">
          <w:pPr>
            <w:pStyle w:val="TOC1"/>
            <w:rPr>
              <w:rFonts w:asciiTheme="minorHAnsi" w:hAnsiTheme="minorHAnsi" w:cstheme="minorBidi"/>
              <w:b w:val="0"/>
              <w:sz w:val="22"/>
            </w:rPr>
          </w:pPr>
          <w:hyperlink w:anchor="_Toc113125125" w:history="1">
            <w:r w:rsidR="00C85413" w:rsidRPr="001B006B">
              <w:rPr>
                <w:rStyle w:val="Hyperlink"/>
              </w:rPr>
              <w:t>RECOMMENDATIONS</w:t>
            </w:r>
            <w:r w:rsidR="00C85413">
              <w:rPr>
                <w:webHidden/>
              </w:rPr>
              <w:tab/>
            </w:r>
            <w:r w:rsidR="00C85413">
              <w:rPr>
                <w:webHidden/>
              </w:rPr>
              <w:fldChar w:fldCharType="begin"/>
            </w:r>
            <w:r w:rsidR="00C85413">
              <w:rPr>
                <w:webHidden/>
              </w:rPr>
              <w:instrText xml:space="preserve"> PAGEREF _Toc113125125 \h </w:instrText>
            </w:r>
            <w:r w:rsidR="00C85413">
              <w:rPr>
                <w:webHidden/>
              </w:rPr>
            </w:r>
            <w:r w:rsidR="00C85413">
              <w:rPr>
                <w:webHidden/>
              </w:rPr>
              <w:fldChar w:fldCharType="separate"/>
            </w:r>
            <w:r w:rsidR="00956EA4">
              <w:rPr>
                <w:webHidden/>
              </w:rPr>
              <w:t>136</w:t>
            </w:r>
            <w:r w:rsidR="00C85413">
              <w:rPr>
                <w:webHidden/>
              </w:rPr>
              <w:fldChar w:fldCharType="end"/>
            </w:r>
          </w:hyperlink>
        </w:p>
        <w:p w14:paraId="24AECF59" w14:textId="3AA13095" w:rsidR="00C85413" w:rsidRDefault="002B5444">
          <w:pPr>
            <w:pStyle w:val="TOC2"/>
            <w:tabs>
              <w:tab w:val="right" w:leader="dot" w:pos="9350"/>
            </w:tabs>
            <w:rPr>
              <w:rFonts w:asciiTheme="minorHAnsi" w:hAnsiTheme="minorHAnsi"/>
              <w:noProof/>
              <w:sz w:val="22"/>
            </w:rPr>
          </w:pPr>
          <w:hyperlink w:anchor="_Toc113125126" w:history="1">
            <w:r w:rsidR="00C85413" w:rsidRPr="001B006B">
              <w:rPr>
                <w:rStyle w:val="Hyperlink"/>
                <w:rFonts w:eastAsia="Calibri"/>
                <w:noProof/>
              </w:rPr>
              <w:t>7.1 Introduction</w:t>
            </w:r>
            <w:r w:rsidR="00C85413">
              <w:rPr>
                <w:noProof/>
                <w:webHidden/>
              </w:rPr>
              <w:tab/>
            </w:r>
            <w:r w:rsidR="00C85413">
              <w:rPr>
                <w:noProof/>
                <w:webHidden/>
              </w:rPr>
              <w:fldChar w:fldCharType="begin"/>
            </w:r>
            <w:r w:rsidR="00C85413">
              <w:rPr>
                <w:noProof/>
                <w:webHidden/>
              </w:rPr>
              <w:instrText xml:space="preserve"> PAGEREF _Toc113125126 \h </w:instrText>
            </w:r>
            <w:r w:rsidR="00C85413">
              <w:rPr>
                <w:noProof/>
                <w:webHidden/>
              </w:rPr>
            </w:r>
            <w:r w:rsidR="00C85413">
              <w:rPr>
                <w:noProof/>
                <w:webHidden/>
              </w:rPr>
              <w:fldChar w:fldCharType="separate"/>
            </w:r>
            <w:r w:rsidR="00956EA4">
              <w:rPr>
                <w:noProof/>
                <w:webHidden/>
              </w:rPr>
              <w:t>136</w:t>
            </w:r>
            <w:r w:rsidR="00C85413">
              <w:rPr>
                <w:noProof/>
                <w:webHidden/>
              </w:rPr>
              <w:fldChar w:fldCharType="end"/>
            </w:r>
          </w:hyperlink>
        </w:p>
        <w:p w14:paraId="615559CE" w14:textId="65F890A8" w:rsidR="00C85413" w:rsidRDefault="002B5444">
          <w:pPr>
            <w:pStyle w:val="TOC2"/>
            <w:tabs>
              <w:tab w:val="right" w:leader="dot" w:pos="9350"/>
            </w:tabs>
            <w:rPr>
              <w:rFonts w:asciiTheme="minorHAnsi" w:hAnsiTheme="minorHAnsi"/>
              <w:noProof/>
              <w:sz w:val="22"/>
            </w:rPr>
          </w:pPr>
          <w:hyperlink w:anchor="_Toc113125127" w:history="1">
            <w:r w:rsidR="00C85413" w:rsidRPr="001B006B">
              <w:rPr>
                <w:rStyle w:val="Hyperlink"/>
                <w:rFonts w:eastAsia="Times New Roman"/>
                <w:noProof/>
              </w:rPr>
              <w:t>7.2 Recommendations</w:t>
            </w:r>
            <w:r w:rsidR="00C85413">
              <w:rPr>
                <w:noProof/>
                <w:webHidden/>
              </w:rPr>
              <w:tab/>
            </w:r>
            <w:r w:rsidR="00C85413">
              <w:rPr>
                <w:noProof/>
                <w:webHidden/>
              </w:rPr>
              <w:fldChar w:fldCharType="begin"/>
            </w:r>
            <w:r w:rsidR="00C85413">
              <w:rPr>
                <w:noProof/>
                <w:webHidden/>
              </w:rPr>
              <w:instrText xml:space="preserve"> PAGEREF _Toc113125127 \h </w:instrText>
            </w:r>
            <w:r w:rsidR="00C85413">
              <w:rPr>
                <w:noProof/>
                <w:webHidden/>
              </w:rPr>
            </w:r>
            <w:r w:rsidR="00C85413">
              <w:rPr>
                <w:noProof/>
                <w:webHidden/>
              </w:rPr>
              <w:fldChar w:fldCharType="separate"/>
            </w:r>
            <w:r w:rsidR="00956EA4">
              <w:rPr>
                <w:noProof/>
                <w:webHidden/>
              </w:rPr>
              <w:t>136</w:t>
            </w:r>
            <w:r w:rsidR="00C85413">
              <w:rPr>
                <w:noProof/>
                <w:webHidden/>
              </w:rPr>
              <w:fldChar w:fldCharType="end"/>
            </w:r>
          </w:hyperlink>
        </w:p>
        <w:p w14:paraId="226310D3" w14:textId="585EBC3B" w:rsidR="00C85413" w:rsidRDefault="002B5444">
          <w:pPr>
            <w:pStyle w:val="TOC2"/>
            <w:tabs>
              <w:tab w:val="right" w:leader="dot" w:pos="9350"/>
            </w:tabs>
            <w:rPr>
              <w:rFonts w:asciiTheme="minorHAnsi" w:hAnsiTheme="minorHAnsi"/>
              <w:noProof/>
              <w:sz w:val="22"/>
            </w:rPr>
          </w:pPr>
          <w:hyperlink w:anchor="_Toc113125128" w:history="1">
            <w:r w:rsidR="00C85413" w:rsidRPr="001B006B">
              <w:rPr>
                <w:rStyle w:val="Hyperlink"/>
                <w:noProof/>
              </w:rPr>
              <w:t>7.3 Implications of the Study</w:t>
            </w:r>
            <w:r w:rsidR="00C85413">
              <w:rPr>
                <w:noProof/>
                <w:webHidden/>
              </w:rPr>
              <w:tab/>
            </w:r>
            <w:r w:rsidR="00C85413">
              <w:rPr>
                <w:noProof/>
                <w:webHidden/>
              </w:rPr>
              <w:fldChar w:fldCharType="begin"/>
            </w:r>
            <w:r w:rsidR="00C85413">
              <w:rPr>
                <w:noProof/>
                <w:webHidden/>
              </w:rPr>
              <w:instrText xml:space="preserve"> PAGEREF _Toc113125128 \h </w:instrText>
            </w:r>
            <w:r w:rsidR="00C85413">
              <w:rPr>
                <w:noProof/>
                <w:webHidden/>
              </w:rPr>
            </w:r>
            <w:r w:rsidR="00C85413">
              <w:rPr>
                <w:noProof/>
                <w:webHidden/>
              </w:rPr>
              <w:fldChar w:fldCharType="separate"/>
            </w:r>
            <w:r w:rsidR="00956EA4">
              <w:rPr>
                <w:noProof/>
                <w:webHidden/>
              </w:rPr>
              <w:t>138</w:t>
            </w:r>
            <w:r w:rsidR="00C85413">
              <w:rPr>
                <w:noProof/>
                <w:webHidden/>
              </w:rPr>
              <w:fldChar w:fldCharType="end"/>
            </w:r>
          </w:hyperlink>
        </w:p>
        <w:p w14:paraId="4D893216" w14:textId="0370AE1E" w:rsidR="00C85413" w:rsidRDefault="002B5444">
          <w:pPr>
            <w:pStyle w:val="TOC2"/>
            <w:tabs>
              <w:tab w:val="right" w:leader="dot" w:pos="9350"/>
            </w:tabs>
            <w:rPr>
              <w:rStyle w:val="Hyperlink"/>
              <w:noProof/>
            </w:rPr>
          </w:pPr>
          <w:hyperlink w:anchor="_Toc113125129" w:history="1">
            <w:r w:rsidR="00C85413" w:rsidRPr="001B006B">
              <w:rPr>
                <w:rStyle w:val="Hyperlink"/>
                <w:noProof/>
              </w:rPr>
              <w:t>7.4 Suggestions for Further Research</w:t>
            </w:r>
            <w:r w:rsidR="00C85413">
              <w:rPr>
                <w:noProof/>
                <w:webHidden/>
              </w:rPr>
              <w:tab/>
            </w:r>
            <w:r w:rsidR="00C85413">
              <w:rPr>
                <w:noProof/>
                <w:webHidden/>
              </w:rPr>
              <w:fldChar w:fldCharType="begin"/>
            </w:r>
            <w:r w:rsidR="00C85413">
              <w:rPr>
                <w:noProof/>
                <w:webHidden/>
              </w:rPr>
              <w:instrText xml:space="preserve"> PAGEREF _Toc113125129 \h </w:instrText>
            </w:r>
            <w:r w:rsidR="00C85413">
              <w:rPr>
                <w:noProof/>
                <w:webHidden/>
              </w:rPr>
            </w:r>
            <w:r w:rsidR="00C85413">
              <w:rPr>
                <w:noProof/>
                <w:webHidden/>
              </w:rPr>
              <w:fldChar w:fldCharType="separate"/>
            </w:r>
            <w:r w:rsidR="00956EA4">
              <w:rPr>
                <w:noProof/>
                <w:webHidden/>
              </w:rPr>
              <w:t>139</w:t>
            </w:r>
            <w:r w:rsidR="00C85413">
              <w:rPr>
                <w:noProof/>
                <w:webHidden/>
              </w:rPr>
              <w:fldChar w:fldCharType="end"/>
            </w:r>
          </w:hyperlink>
        </w:p>
        <w:p w14:paraId="4AB11CD5" w14:textId="77777777" w:rsidR="00520779" w:rsidRPr="00520779" w:rsidRDefault="00520779" w:rsidP="00520779">
          <w:pPr>
            <w:rPr>
              <w:noProof/>
            </w:rPr>
          </w:pPr>
        </w:p>
        <w:p w14:paraId="2353621E" w14:textId="6C38FF9D" w:rsidR="00C85413" w:rsidRDefault="002B5444">
          <w:pPr>
            <w:pStyle w:val="TOC1"/>
            <w:rPr>
              <w:rFonts w:asciiTheme="minorHAnsi" w:hAnsiTheme="minorHAnsi" w:cstheme="minorBidi"/>
              <w:b w:val="0"/>
              <w:sz w:val="22"/>
            </w:rPr>
          </w:pPr>
          <w:hyperlink w:anchor="_Toc113125130" w:history="1">
            <w:r w:rsidR="00C85413" w:rsidRPr="001B006B">
              <w:rPr>
                <w:rStyle w:val="Hyperlink"/>
              </w:rPr>
              <w:t>REFERENCES</w:t>
            </w:r>
            <w:r w:rsidR="00C85413">
              <w:rPr>
                <w:webHidden/>
              </w:rPr>
              <w:tab/>
            </w:r>
            <w:r w:rsidR="00C85413">
              <w:rPr>
                <w:webHidden/>
              </w:rPr>
              <w:fldChar w:fldCharType="begin"/>
            </w:r>
            <w:r w:rsidR="00C85413">
              <w:rPr>
                <w:webHidden/>
              </w:rPr>
              <w:instrText xml:space="preserve"> PAGEREF _Toc113125130 \h </w:instrText>
            </w:r>
            <w:r w:rsidR="00C85413">
              <w:rPr>
                <w:webHidden/>
              </w:rPr>
            </w:r>
            <w:r w:rsidR="00C85413">
              <w:rPr>
                <w:webHidden/>
              </w:rPr>
              <w:fldChar w:fldCharType="separate"/>
            </w:r>
            <w:r w:rsidR="00956EA4">
              <w:rPr>
                <w:webHidden/>
              </w:rPr>
              <w:t>140</w:t>
            </w:r>
            <w:r w:rsidR="00C85413">
              <w:rPr>
                <w:webHidden/>
              </w:rPr>
              <w:fldChar w:fldCharType="end"/>
            </w:r>
          </w:hyperlink>
        </w:p>
        <w:p w14:paraId="50E7D07F" w14:textId="7E9A0F61" w:rsidR="00C85413" w:rsidRDefault="002B5444">
          <w:pPr>
            <w:pStyle w:val="TOC1"/>
            <w:rPr>
              <w:rFonts w:asciiTheme="minorHAnsi" w:hAnsiTheme="minorHAnsi" w:cstheme="minorBidi"/>
              <w:b w:val="0"/>
              <w:sz w:val="22"/>
            </w:rPr>
          </w:pPr>
          <w:hyperlink w:anchor="_Toc113125131" w:history="1">
            <w:r w:rsidR="00C85413" w:rsidRPr="001B006B">
              <w:rPr>
                <w:rStyle w:val="Hyperlink"/>
              </w:rPr>
              <w:t>APPENDICES</w:t>
            </w:r>
            <w:r w:rsidR="00C85413">
              <w:rPr>
                <w:webHidden/>
              </w:rPr>
              <w:tab/>
            </w:r>
            <w:r w:rsidR="00C85413">
              <w:rPr>
                <w:webHidden/>
              </w:rPr>
              <w:fldChar w:fldCharType="begin"/>
            </w:r>
            <w:r w:rsidR="00C85413">
              <w:rPr>
                <w:webHidden/>
              </w:rPr>
              <w:instrText xml:space="preserve"> PAGEREF _Toc113125131 \h </w:instrText>
            </w:r>
            <w:r w:rsidR="00C85413">
              <w:rPr>
                <w:webHidden/>
              </w:rPr>
            </w:r>
            <w:r w:rsidR="00C85413">
              <w:rPr>
                <w:webHidden/>
              </w:rPr>
              <w:fldChar w:fldCharType="separate"/>
            </w:r>
            <w:r w:rsidR="00956EA4">
              <w:rPr>
                <w:webHidden/>
              </w:rPr>
              <w:t>158</w:t>
            </w:r>
            <w:r w:rsidR="00C85413">
              <w:rPr>
                <w:webHidden/>
              </w:rPr>
              <w:fldChar w:fldCharType="end"/>
            </w:r>
          </w:hyperlink>
        </w:p>
        <w:p w14:paraId="6836696F" w14:textId="62D2F043" w:rsidR="00C85413" w:rsidRDefault="002B5444">
          <w:pPr>
            <w:pStyle w:val="TOC2"/>
            <w:tabs>
              <w:tab w:val="right" w:leader="dot" w:pos="9350"/>
            </w:tabs>
            <w:rPr>
              <w:rFonts w:asciiTheme="minorHAnsi" w:hAnsiTheme="minorHAnsi"/>
              <w:noProof/>
              <w:sz w:val="22"/>
            </w:rPr>
          </w:pPr>
          <w:hyperlink w:anchor="_Toc113125132" w:history="1">
            <w:r w:rsidR="00C85413" w:rsidRPr="001B006B">
              <w:rPr>
                <w:rStyle w:val="Hyperlink"/>
                <w:noProof/>
              </w:rPr>
              <w:t>Appendix I: Letter of Introduction</w:t>
            </w:r>
            <w:r w:rsidR="00C85413">
              <w:rPr>
                <w:noProof/>
                <w:webHidden/>
              </w:rPr>
              <w:tab/>
            </w:r>
            <w:r w:rsidR="00C85413">
              <w:rPr>
                <w:noProof/>
                <w:webHidden/>
              </w:rPr>
              <w:fldChar w:fldCharType="begin"/>
            </w:r>
            <w:r w:rsidR="00C85413">
              <w:rPr>
                <w:noProof/>
                <w:webHidden/>
              </w:rPr>
              <w:instrText xml:space="preserve"> PAGEREF _Toc113125132 \h </w:instrText>
            </w:r>
            <w:r w:rsidR="00C85413">
              <w:rPr>
                <w:noProof/>
                <w:webHidden/>
              </w:rPr>
            </w:r>
            <w:r w:rsidR="00C85413">
              <w:rPr>
                <w:noProof/>
                <w:webHidden/>
              </w:rPr>
              <w:fldChar w:fldCharType="separate"/>
            </w:r>
            <w:r w:rsidR="00956EA4">
              <w:rPr>
                <w:noProof/>
                <w:webHidden/>
              </w:rPr>
              <w:t>158</w:t>
            </w:r>
            <w:r w:rsidR="00C85413">
              <w:rPr>
                <w:noProof/>
                <w:webHidden/>
              </w:rPr>
              <w:fldChar w:fldCharType="end"/>
            </w:r>
          </w:hyperlink>
        </w:p>
        <w:p w14:paraId="0A77A43D" w14:textId="3E4C5E65" w:rsidR="00C85413" w:rsidRDefault="002B5444">
          <w:pPr>
            <w:pStyle w:val="TOC2"/>
            <w:tabs>
              <w:tab w:val="right" w:leader="dot" w:pos="9350"/>
            </w:tabs>
            <w:rPr>
              <w:rFonts w:asciiTheme="minorHAnsi" w:hAnsiTheme="minorHAnsi"/>
              <w:noProof/>
              <w:sz w:val="22"/>
            </w:rPr>
          </w:pPr>
          <w:hyperlink w:anchor="_Toc113125133" w:history="1">
            <w:r w:rsidR="00C85413" w:rsidRPr="001B006B">
              <w:rPr>
                <w:rStyle w:val="Hyperlink"/>
                <w:noProof/>
              </w:rPr>
              <w:t>Ap</w:t>
            </w:r>
            <w:r w:rsidR="00C85413" w:rsidRPr="001B006B">
              <w:rPr>
                <w:rStyle w:val="Hyperlink"/>
                <w:noProof/>
                <w:spacing w:val="1"/>
              </w:rPr>
              <w:t>p</w:t>
            </w:r>
            <w:r w:rsidR="00C85413" w:rsidRPr="001B006B">
              <w:rPr>
                <w:rStyle w:val="Hyperlink"/>
                <w:noProof/>
                <w:spacing w:val="-1"/>
              </w:rPr>
              <w:t>e</w:t>
            </w:r>
            <w:r w:rsidR="00C85413" w:rsidRPr="001B006B">
              <w:rPr>
                <w:rStyle w:val="Hyperlink"/>
                <w:noProof/>
                <w:spacing w:val="1"/>
              </w:rPr>
              <w:t>nd</w:t>
            </w:r>
            <w:r w:rsidR="00C85413" w:rsidRPr="001B006B">
              <w:rPr>
                <w:rStyle w:val="Hyperlink"/>
                <w:noProof/>
              </w:rPr>
              <w:t>ix II: Q</w:t>
            </w:r>
            <w:r w:rsidR="00C85413" w:rsidRPr="001B006B">
              <w:rPr>
                <w:rStyle w:val="Hyperlink"/>
                <w:noProof/>
                <w:spacing w:val="1"/>
              </w:rPr>
              <w:t>u</w:t>
            </w:r>
            <w:r w:rsidR="00C85413" w:rsidRPr="001B006B">
              <w:rPr>
                <w:rStyle w:val="Hyperlink"/>
                <w:noProof/>
                <w:spacing w:val="-1"/>
              </w:rPr>
              <w:t>e</w:t>
            </w:r>
            <w:r w:rsidR="00C85413" w:rsidRPr="001B006B">
              <w:rPr>
                <w:rStyle w:val="Hyperlink"/>
                <w:noProof/>
              </w:rPr>
              <w:t>stio</w:t>
            </w:r>
            <w:r w:rsidR="00C85413" w:rsidRPr="001B006B">
              <w:rPr>
                <w:rStyle w:val="Hyperlink"/>
                <w:noProof/>
                <w:spacing w:val="-1"/>
              </w:rPr>
              <w:t>nn</w:t>
            </w:r>
            <w:r w:rsidR="00C85413" w:rsidRPr="001B006B">
              <w:rPr>
                <w:rStyle w:val="Hyperlink"/>
                <w:noProof/>
              </w:rPr>
              <w:t>aire</w:t>
            </w:r>
            <w:r w:rsidR="00C85413">
              <w:rPr>
                <w:noProof/>
                <w:webHidden/>
              </w:rPr>
              <w:tab/>
            </w:r>
            <w:r w:rsidR="00C85413">
              <w:rPr>
                <w:noProof/>
                <w:webHidden/>
              </w:rPr>
              <w:fldChar w:fldCharType="begin"/>
            </w:r>
            <w:r w:rsidR="00C85413">
              <w:rPr>
                <w:noProof/>
                <w:webHidden/>
              </w:rPr>
              <w:instrText xml:space="preserve"> PAGEREF _Toc113125133 \h </w:instrText>
            </w:r>
            <w:r w:rsidR="00C85413">
              <w:rPr>
                <w:noProof/>
                <w:webHidden/>
              </w:rPr>
            </w:r>
            <w:r w:rsidR="00C85413">
              <w:rPr>
                <w:noProof/>
                <w:webHidden/>
              </w:rPr>
              <w:fldChar w:fldCharType="separate"/>
            </w:r>
            <w:r w:rsidR="00956EA4">
              <w:rPr>
                <w:noProof/>
                <w:webHidden/>
              </w:rPr>
              <w:t>159</w:t>
            </w:r>
            <w:r w:rsidR="00C85413">
              <w:rPr>
                <w:noProof/>
                <w:webHidden/>
              </w:rPr>
              <w:fldChar w:fldCharType="end"/>
            </w:r>
          </w:hyperlink>
        </w:p>
        <w:p w14:paraId="2AE474A1" w14:textId="14FEAD91" w:rsidR="00C85413" w:rsidRDefault="002B5444">
          <w:pPr>
            <w:pStyle w:val="TOC2"/>
            <w:tabs>
              <w:tab w:val="right" w:leader="dot" w:pos="9350"/>
            </w:tabs>
            <w:rPr>
              <w:rFonts w:asciiTheme="minorHAnsi" w:hAnsiTheme="minorHAnsi"/>
              <w:noProof/>
              <w:sz w:val="22"/>
            </w:rPr>
          </w:pPr>
          <w:hyperlink w:anchor="_Toc113125134" w:history="1">
            <w:r w:rsidR="00C85413" w:rsidRPr="001B006B">
              <w:rPr>
                <w:rStyle w:val="Hyperlink"/>
                <w:noProof/>
              </w:rPr>
              <w:t>Appendix III: List of Pension Fund Managers in Kenya</w:t>
            </w:r>
            <w:r w:rsidR="00C85413">
              <w:rPr>
                <w:noProof/>
                <w:webHidden/>
              </w:rPr>
              <w:tab/>
            </w:r>
            <w:r w:rsidR="00C85413">
              <w:rPr>
                <w:noProof/>
                <w:webHidden/>
              </w:rPr>
              <w:fldChar w:fldCharType="begin"/>
            </w:r>
            <w:r w:rsidR="00C85413">
              <w:rPr>
                <w:noProof/>
                <w:webHidden/>
              </w:rPr>
              <w:instrText xml:space="preserve"> PAGEREF _Toc113125134 \h </w:instrText>
            </w:r>
            <w:r w:rsidR="00C85413">
              <w:rPr>
                <w:noProof/>
                <w:webHidden/>
              </w:rPr>
            </w:r>
            <w:r w:rsidR="00C85413">
              <w:rPr>
                <w:noProof/>
                <w:webHidden/>
              </w:rPr>
              <w:fldChar w:fldCharType="separate"/>
            </w:r>
            <w:r w:rsidR="00956EA4">
              <w:rPr>
                <w:noProof/>
                <w:webHidden/>
              </w:rPr>
              <w:t>167</w:t>
            </w:r>
            <w:r w:rsidR="00C85413">
              <w:rPr>
                <w:noProof/>
                <w:webHidden/>
              </w:rPr>
              <w:fldChar w:fldCharType="end"/>
            </w:r>
          </w:hyperlink>
        </w:p>
        <w:p w14:paraId="195B0E5F" w14:textId="158D23FE" w:rsidR="00C85413" w:rsidRDefault="002B5444">
          <w:pPr>
            <w:pStyle w:val="TOC2"/>
            <w:tabs>
              <w:tab w:val="right" w:leader="dot" w:pos="9350"/>
            </w:tabs>
            <w:rPr>
              <w:rFonts w:asciiTheme="minorHAnsi" w:hAnsiTheme="minorHAnsi"/>
              <w:noProof/>
              <w:sz w:val="22"/>
            </w:rPr>
          </w:pPr>
          <w:hyperlink w:anchor="_Toc113125135" w:history="1">
            <w:r w:rsidR="00C85413" w:rsidRPr="001B006B">
              <w:rPr>
                <w:rStyle w:val="Hyperlink"/>
                <w:noProof/>
              </w:rPr>
              <w:t>Appendix IV: Plagiarism Index</w:t>
            </w:r>
            <w:r w:rsidR="00C85413">
              <w:rPr>
                <w:noProof/>
                <w:webHidden/>
              </w:rPr>
              <w:tab/>
            </w:r>
            <w:r w:rsidR="00C85413">
              <w:rPr>
                <w:noProof/>
                <w:webHidden/>
              </w:rPr>
              <w:fldChar w:fldCharType="begin"/>
            </w:r>
            <w:r w:rsidR="00C85413">
              <w:rPr>
                <w:noProof/>
                <w:webHidden/>
              </w:rPr>
              <w:instrText xml:space="preserve"> PAGEREF _Toc113125135 \h </w:instrText>
            </w:r>
            <w:r w:rsidR="00C85413">
              <w:rPr>
                <w:noProof/>
                <w:webHidden/>
              </w:rPr>
            </w:r>
            <w:r w:rsidR="00C85413">
              <w:rPr>
                <w:noProof/>
                <w:webHidden/>
              </w:rPr>
              <w:fldChar w:fldCharType="separate"/>
            </w:r>
            <w:r w:rsidR="00956EA4">
              <w:rPr>
                <w:noProof/>
                <w:webHidden/>
              </w:rPr>
              <w:t>170</w:t>
            </w:r>
            <w:r w:rsidR="00C85413">
              <w:rPr>
                <w:noProof/>
                <w:webHidden/>
              </w:rPr>
              <w:fldChar w:fldCharType="end"/>
            </w:r>
          </w:hyperlink>
        </w:p>
        <w:p w14:paraId="0C37AE83" w14:textId="24D72F7C" w:rsidR="00267BE6" w:rsidRPr="00C0591E" w:rsidRDefault="00A376E1" w:rsidP="00C67CCA">
          <w:pPr>
            <w:spacing w:line="240" w:lineRule="auto"/>
          </w:pPr>
          <w:r w:rsidRPr="00C0591E">
            <w:fldChar w:fldCharType="end"/>
          </w:r>
        </w:p>
      </w:sdtContent>
    </w:sdt>
    <w:p w14:paraId="63396672" w14:textId="36BCCE94" w:rsidR="00DD14E1" w:rsidRPr="00C0591E" w:rsidRDefault="00DD14E1" w:rsidP="00DD14E1"/>
    <w:p w14:paraId="044DE7E0" w14:textId="4CD0C00C" w:rsidR="00DD14E1" w:rsidRPr="00C0591E" w:rsidRDefault="00DD14E1" w:rsidP="00DD14E1"/>
    <w:p w14:paraId="7F646B4A" w14:textId="1CD4A5DB" w:rsidR="00DD14E1" w:rsidRPr="00C0591E" w:rsidRDefault="00DD14E1" w:rsidP="00DD14E1"/>
    <w:p w14:paraId="24EB90B6" w14:textId="295E1F9B" w:rsidR="00DD14E1" w:rsidRPr="00C0591E" w:rsidRDefault="00DD14E1" w:rsidP="00DD14E1"/>
    <w:p w14:paraId="1AEF4997" w14:textId="0D37E015" w:rsidR="00DD14E1" w:rsidRPr="00C0591E" w:rsidRDefault="00DD14E1" w:rsidP="00DD14E1"/>
    <w:p w14:paraId="339C4FCF" w14:textId="6090D05A" w:rsidR="001633DA" w:rsidRPr="00C0591E" w:rsidRDefault="001633DA" w:rsidP="00DD14E1"/>
    <w:p w14:paraId="2E95FEAA" w14:textId="406D39D8" w:rsidR="001633DA" w:rsidRPr="00C0591E" w:rsidRDefault="001633DA" w:rsidP="00DD14E1"/>
    <w:p w14:paraId="3950E2BE" w14:textId="6C09EDBC" w:rsidR="00835C7E" w:rsidRPr="00C0591E" w:rsidRDefault="00835C7E" w:rsidP="00DD14E1"/>
    <w:p w14:paraId="53F228BA" w14:textId="7BDD96B8" w:rsidR="00835C7E" w:rsidRPr="00C0591E" w:rsidRDefault="00835C7E" w:rsidP="00DD14E1"/>
    <w:p w14:paraId="7EEC0235" w14:textId="42190CF1" w:rsidR="00835C7E" w:rsidRPr="00C0591E" w:rsidRDefault="00835C7E" w:rsidP="00DD14E1"/>
    <w:p w14:paraId="56124FCB" w14:textId="1697D7FF" w:rsidR="00835C7E" w:rsidRPr="00C0591E" w:rsidRDefault="00835C7E" w:rsidP="00DD14E1"/>
    <w:p w14:paraId="5A4607A9" w14:textId="6C9CE3A9" w:rsidR="00835C7E" w:rsidRPr="00C0591E" w:rsidRDefault="00835C7E" w:rsidP="00DD14E1"/>
    <w:p w14:paraId="59D6BE3C" w14:textId="62ACB0F1" w:rsidR="00835C7E" w:rsidRPr="00C0591E" w:rsidRDefault="00835C7E" w:rsidP="00DD14E1"/>
    <w:p w14:paraId="160CECB6" w14:textId="7049B6C7" w:rsidR="00835C7E" w:rsidRPr="00C0591E" w:rsidRDefault="00835C7E" w:rsidP="00DD14E1"/>
    <w:p w14:paraId="56F5E4F5" w14:textId="77777777" w:rsidR="00835C7E" w:rsidRPr="00C0591E" w:rsidRDefault="00835C7E" w:rsidP="00DD14E1"/>
    <w:p w14:paraId="7B515E59" w14:textId="6552D132" w:rsidR="001633DA" w:rsidRPr="00C0591E" w:rsidRDefault="001633DA" w:rsidP="00DD14E1"/>
    <w:p w14:paraId="353062AD" w14:textId="3C04DCD4" w:rsidR="001633DA" w:rsidRPr="00C0591E" w:rsidRDefault="001633DA" w:rsidP="00DD14E1"/>
    <w:p w14:paraId="4B1214E3" w14:textId="610A4D03" w:rsidR="00267BE6" w:rsidRPr="00C0591E" w:rsidRDefault="00267BE6" w:rsidP="00267BE6">
      <w:pPr>
        <w:pStyle w:val="Heading1"/>
      </w:pPr>
      <w:bookmarkStart w:id="15" w:name="_Toc113125066"/>
      <w:r w:rsidRPr="00C0591E">
        <w:t>LIST OF TABLES</w:t>
      </w:r>
      <w:bookmarkEnd w:id="15"/>
    </w:p>
    <w:p w14:paraId="2AD766EA" w14:textId="5776A0E6" w:rsidR="00C85413" w:rsidRDefault="001633DA">
      <w:pPr>
        <w:pStyle w:val="TableofFigures"/>
        <w:tabs>
          <w:tab w:val="right" w:leader="dot" w:pos="9350"/>
        </w:tabs>
        <w:rPr>
          <w:rFonts w:asciiTheme="minorHAnsi" w:hAnsiTheme="minorHAnsi"/>
          <w:noProof/>
          <w:sz w:val="22"/>
        </w:rPr>
      </w:pPr>
      <w:r w:rsidRPr="00C0591E">
        <w:fldChar w:fldCharType="begin"/>
      </w:r>
      <w:r w:rsidRPr="00C0591E">
        <w:instrText xml:space="preserve"> TOC \h \z \t "Heading 4" \c </w:instrText>
      </w:r>
      <w:r w:rsidRPr="00C0591E">
        <w:fldChar w:fldCharType="separate"/>
      </w:r>
      <w:hyperlink w:anchor="_Toc113125136" w:history="1">
        <w:r w:rsidR="00C85413" w:rsidRPr="00C85413">
          <w:rPr>
            <w:rStyle w:val="Hyperlink"/>
            <w:b/>
            <w:noProof/>
          </w:rPr>
          <w:t>Table 1</w:t>
        </w:r>
        <w:r w:rsidR="00C85413" w:rsidRPr="00C85413">
          <w:rPr>
            <w:rStyle w:val="Hyperlink"/>
            <w:b/>
            <w:noProof/>
            <w:lang w:val="en-GB"/>
          </w:rPr>
          <w:t>:</w:t>
        </w:r>
        <w:r w:rsidR="00C85413" w:rsidRPr="00364686">
          <w:rPr>
            <w:rStyle w:val="Hyperlink"/>
            <w:noProof/>
            <w:lang w:val="en-GB"/>
          </w:rPr>
          <w:t xml:space="preserve"> Summary of Knowledge Gaps</w:t>
        </w:r>
        <w:r w:rsidR="00C85413">
          <w:rPr>
            <w:noProof/>
            <w:webHidden/>
          </w:rPr>
          <w:tab/>
        </w:r>
        <w:r w:rsidR="00C85413">
          <w:rPr>
            <w:noProof/>
            <w:webHidden/>
          </w:rPr>
          <w:fldChar w:fldCharType="begin"/>
        </w:r>
        <w:r w:rsidR="00C85413">
          <w:rPr>
            <w:noProof/>
            <w:webHidden/>
          </w:rPr>
          <w:instrText xml:space="preserve"> PAGEREF _Toc113125136 \h </w:instrText>
        </w:r>
        <w:r w:rsidR="00C85413">
          <w:rPr>
            <w:noProof/>
            <w:webHidden/>
          </w:rPr>
        </w:r>
        <w:r w:rsidR="00C85413">
          <w:rPr>
            <w:noProof/>
            <w:webHidden/>
          </w:rPr>
          <w:fldChar w:fldCharType="separate"/>
        </w:r>
        <w:r w:rsidR="00956EA4">
          <w:rPr>
            <w:noProof/>
            <w:webHidden/>
          </w:rPr>
          <w:t>70</w:t>
        </w:r>
        <w:r w:rsidR="00C85413">
          <w:rPr>
            <w:noProof/>
            <w:webHidden/>
          </w:rPr>
          <w:fldChar w:fldCharType="end"/>
        </w:r>
      </w:hyperlink>
    </w:p>
    <w:p w14:paraId="2493EEBC" w14:textId="23DD2AE7" w:rsidR="00C85413" w:rsidRDefault="002B5444">
      <w:pPr>
        <w:pStyle w:val="TableofFigures"/>
        <w:tabs>
          <w:tab w:val="right" w:leader="dot" w:pos="9350"/>
        </w:tabs>
        <w:rPr>
          <w:rFonts w:asciiTheme="minorHAnsi" w:hAnsiTheme="minorHAnsi"/>
          <w:noProof/>
          <w:sz w:val="22"/>
        </w:rPr>
      </w:pPr>
      <w:hyperlink w:anchor="_Toc113125137" w:history="1">
        <w:r w:rsidR="00C85413" w:rsidRPr="00C85413">
          <w:rPr>
            <w:rStyle w:val="Hyperlink"/>
            <w:b/>
            <w:noProof/>
          </w:rPr>
          <w:t xml:space="preserve">Table 2: </w:t>
        </w:r>
        <w:r w:rsidR="00C85413" w:rsidRPr="00364686">
          <w:rPr>
            <w:rStyle w:val="Hyperlink"/>
            <w:noProof/>
          </w:rPr>
          <w:t>Operationalization of Study Variables</w:t>
        </w:r>
        <w:r w:rsidR="00C85413">
          <w:rPr>
            <w:noProof/>
            <w:webHidden/>
          </w:rPr>
          <w:tab/>
        </w:r>
        <w:r w:rsidR="00C85413">
          <w:rPr>
            <w:noProof/>
            <w:webHidden/>
          </w:rPr>
          <w:fldChar w:fldCharType="begin"/>
        </w:r>
        <w:r w:rsidR="00C85413">
          <w:rPr>
            <w:noProof/>
            <w:webHidden/>
          </w:rPr>
          <w:instrText xml:space="preserve"> PAGEREF _Toc113125137 \h </w:instrText>
        </w:r>
        <w:r w:rsidR="00C85413">
          <w:rPr>
            <w:noProof/>
            <w:webHidden/>
          </w:rPr>
        </w:r>
        <w:r w:rsidR="00C85413">
          <w:rPr>
            <w:noProof/>
            <w:webHidden/>
          </w:rPr>
          <w:fldChar w:fldCharType="separate"/>
        </w:r>
        <w:r w:rsidR="00956EA4">
          <w:rPr>
            <w:noProof/>
            <w:webHidden/>
          </w:rPr>
          <w:t>73</w:t>
        </w:r>
        <w:r w:rsidR="00C85413">
          <w:rPr>
            <w:noProof/>
            <w:webHidden/>
          </w:rPr>
          <w:fldChar w:fldCharType="end"/>
        </w:r>
      </w:hyperlink>
    </w:p>
    <w:p w14:paraId="5A3A5FF6" w14:textId="743169AC" w:rsidR="00C85413" w:rsidRDefault="002B5444">
      <w:pPr>
        <w:pStyle w:val="TableofFigures"/>
        <w:tabs>
          <w:tab w:val="right" w:leader="dot" w:pos="9350"/>
        </w:tabs>
        <w:rPr>
          <w:rFonts w:asciiTheme="minorHAnsi" w:hAnsiTheme="minorHAnsi"/>
          <w:noProof/>
          <w:sz w:val="22"/>
        </w:rPr>
      </w:pPr>
      <w:hyperlink w:anchor="_Toc113125138" w:history="1">
        <w:r w:rsidR="00C85413" w:rsidRPr="00C85413">
          <w:rPr>
            <w:rStyle w:val="Hyperlink"/>
            <w:b/>
            <w:noProof/>
          </w:rPr>
          <w:t xml:space="preserve">Table 3: </w:t>
        </w:r>
        <w:r w:rsidR="00C85413" w:rsidRPr="00364686">
          <w:rPr>
            <w:rStyle w:val="Hyperlink"/>
            <w:noProof/>
          </w:rPr>
          <w:t>Summary Analytical Model</w:t>
        </w:r>
        <w:r w:rsidR="00C85413">
          <w:rPr>
            <w:noProof/>
            <w:webHidden/>
          </w:rPr>
          <w:tab/>
        </w:r>
        <w:r w:rsidR="00C85413">
          <w:rPr>
            <w:noProof/>
            <w:webHidden/>
          </w:rPr>
          <w:fldChar w:fldCharType="begin"/>
        </w:r>
        <w:r w:rsidR="00C85413">
          <w:rPr>
            <w:noProof/>
            <w:webHidden/>
          </w:rPr>
          <w:instrText xml:space="preserve"> PAGEREF _Toc113125138 \h </w:instrText>
        </w:r>
        <w:r w:rsidR="00C85413">
          <w:rPr>
            <w:noProof/>
            <w:webHidden/>
          </w:rPr>
        </w:r>
        <w:r w:rsidR="00C85413">
          <w:rPr>
            <w:noProof/>
            <w:webHidden/>
          </w:rPr>
          <w:fldChar w:fldCharType="separate"/>
        </w:r>
        <w:r w:rsidR="00956EA4">
          <w:rPr>
            <w:noProof/>
            <w:webHidden/>
          </w:rPr>
          <w:t>82</w:t>
        </w:r>
        <w:r w:rsidR="00C85413">
          <w:rPr>
            <w:noProof/>
            <w:webHidden/>
          </w:rPr>
          <w:fldChar w:fldCharType="end"/>
        </w:r>
      </w:hyperlink>
    </w:p>
    <w:p w14:paraId="0C804D04" w14:textId="4D8BF3F4" w:rsidR="00C85413" w:rsidRDefault="002B5444">
      <w:pPr>
        <w:pStyle w:val="TableofFigures"/>
        <w:tabs>
          <w:tab w:val="right" w:leader="dot" w:pos="9350"/>
        </w:tabs>
        <w:rPr>
          <w:rFonts w:asciiTheme="minorHAnsi" w:hAnsiTheme="minorHAnsi"/>
          <w:noProof/>
          <w:sz w:val="22"/>
        </w:rPr>
      </w:pPr>
      <w:hyperlink w:anchor="_Toc113125139" w:history="1">
        <w:r w:rsidR="00C85413" w:rsidRPr="00C85413">
          <w:rPr>
            <w:rStyle w:val="Hyperlink"/>
            <w:b/>
            <w:noProof/>
          </w:rPr>
          <w:t xml:space="preserve">Table 4: </w:t>
        </w:r>
        <w:r w:rsidR="00C85413" w:rsidRPr="00364686">
          <w:rPr>
            <w:rStyle w:val="Hyperlink"/>
            <w:noProof/>
          </w:rPr>
          <w:t>Response Rate</w:t>
        </w:r>
        <w:r w:rsidR="00C85413">
          <w:rPr>
            <w:noProof/>
            <w:webHidden/>
          </w:rPr>
          <w:tab/>
        </w:r>
        <w:r w:rsidR="00C85413">
          <w:rPr>
            <w:noProof/>
            <w:webHidden/>
          </w:rPr>
          <w:fldChar w:fldCharType="begin"/>
        </w:r>
        <w:r w:rsidR="00C85413">
          <w:rPr>
            <w:noProof/>
            <w:webHidden/>
          </w:rPr>
          <w:instrText xml:space="preserve"> PAGEREF _Toc113125139 \h </w:instrText>
        </w:r>
        <w:r w:rsidR="00C85413">
          <w:rPr>
            <w:noProof/>
            <w:webHidden/>
          </w:rPr>
        </w:r>
        <w:r w:rsidR="00C85413">
          <w:rPr>
            <w:noProof/>
            <w:webHidden/>
          </w:rPr>
          <w:fldChar w:fldCharType="separate"/>
        </w:r>
        <w:r w:rsidR="00956EA4">
          <w:rPr>
            <w:noProof/>
            <w:webHidden/>
          </w:rPr>
          <w:t>85</w:t>
        </w:r>
        <w:r w:rsidR="00C85413">
          <w:rPr>
            <w:noProof/>
            <w:webHidden/>
          </w:rPr>
          <w:fldChar w:fldCharType="end"/>
        </w:r>
      </w:hyperlink>
    </w:p>
    <w:p w14:paraId="31175477" w14:textId="0954A9DA" w:rsidR="00C85413" w:rsidRDefault="002B5444">
      <w:pPr>
        <w:pStyle w:val="TableofFigures"/>
        <w:tabs>
          <w:tab w:val="right" w:leader="dot" w:pos="9350"/>
        </w:tabs>
        <w:rPr>
          <w:rFonts w:asciiTheme="minorHAnsi" w:hAnsiTheme="minorHAnsi"/>
          <w:noProof/>
          <w:sz w:val="22"/>
        </w:rPr>
      </w:pPr>
      <w:hyperlink w:anchor="_Toc113125140" w:history="1">
        <w:r w:rsidR="00C85413" w:rsidRPr="00C85413">
          <w:rPr>
            <w:rStyle w:val="Hyperlink"/>
            <w:b/>
            <w:noProof/>
          </w:rPr>
          <w:t>Table 5:</w:t>
        </w:r>
        <w:r w:rsidR="00C85413" w:rsidRPr="00364686">
          <w:rPr>
            <w:rStyle w:val="Hyperlink"/>
            <w:noProof/>
          </w:rPr>
          <w:t xml:space="preserve"> Gender of Respondents</w:t>
        </w:r>
        <w:r w:rsidR="00C85413">
          <w:rPr>
            <w:noProof/>
            <w:webHidden/>
          </w:rPr>
          <w:tab/>
        </w:r>
        <w:r w:rsidR="00C85413">
          <w:rPr>
            <w:noProof/>
            <w:webHidden/>
          </w:rPr>
          <w:fldChar w:fldCharType="begin"/>
        </w:r>
        <w:r w:rsidR="00C85413">
          <w:rPr>
            <w:noProof/>
            <w:webHidden/>
          </w:rPr>
          <w:instrText xml:space="preserve"> PAGEREF _Toc113125140 \h </w:instrText>
        </w:r>
        <w:r w:rsidR="00C85413">
          <w:rPr>
            <w:noProof/>
            <w:webHidden/>
          </w:rPr>
        </w:r>
        <w:r w:rsidR="00C85413">
          <w:rPr>
            <w:noProof/>
            <w:webHidden/>
          </w:rPr>
          <w:fldChar w:fldCharType="separate"/>
        </w:r>
        <w:r w:rsidR="00956EA4">
          <w:rPr>
            <w:noProof/>
            <w:webHidden/>
          </w:rPr>
          <w:t>86</w:t>
        </w:r>
        <w:r w:rsidR="00C85413">
          <w:rPr>
            <w:noProof/>
            <w:webHidden/>
          </w:rPr>
          <w:fldChar w:fldCharType="end"/>
        </w:r>
      </w:hyperlink>
    </w:p>
    <w:p w14:paraId="6710340B" w14:textId="0A1763EA" w:rsidR="00C85413" w:rsidRDefault="002B5444">
      <w:pPr>
        <w:pStyle w:val="TableofFigures"/>
        <w:tabs>
          <w:tab w:val="right" w:leader="dot" w:pos="9350"/>
        </w:tabs>
        <w:rPr>
          <w:rFonts w:asciiTheme="minorHAnsi" w:hAnsiTheme="minorHAnsi"/>
          <w:noProof/>
          <w:sz w:val="22"/>
        </w:rPr>
      </w:pPr>
      <w:hyperlink w:anchor="_Toc113125141" w:history="1">
        <w:r w:rsidR="00C85413" w:rsidRPr="00C85413">
          <w:rPr>
            <w:rStyle w:val="Hyperlink"/>
            <w:rFonts w:eastAsia="Calibri"/>
            <w:b/>
            <w:noProof/>
            <w:lang w:bidi="en-US"/>
          </w:rPr>
          <w:t xml:space="preserve">Table 6: </w:t>
        </w:r>
        <w:r w:rsidR="00C85413" w:rsidRPr="00364686">
          <w:rPr>
            <w:rStyle w:val="Hyperlink"/>
            <w:noProof/>
          </w:rPr>
          <w:t>Respondents</w:t>
        </w:r>
        <w:r w:rsidR="00C85413" w:rsidRPr="00364686">
          <w:rPr>
            <w:rStyle w:val="Hyperlink"/>
            <w:rFonts w:eastAsia="Calibri"/>
            <w:noProof/>
            <w:lang w:bidi="en-US"/>
          </w:rPr>
          <w:t xml:space="preserve"> Age Brackets</w:t>
        </w:r>
        <w:r w:rsidR="00C85413">
          <w:rPr>
            <w:noProof/>
            <w:webHidden/>
          </w:rPr>
          <w:tab/>
        </w:r>
        <w:r w:rsidR="00C85413">
          <w:rPr>
            <w:noProof/>
            <w:webHidden/>
          </w:rPr>
          <w:fldChar w:fldCharType="begin"/>
        </w:r>
        <w:r w:rsidR="00C85413">
          <w:rPr>
            <w:noProof/>
            <w:webHidden/>
          </w:rPr>
          <w:instrText xml:space="preserve"> PAGEREF _Toc113125141 \h </w:instrText>
        </w:r>
        <w:r w:rsidR="00C85413">
          <w:rPr>
            <w:noProof/>
            <w:webHidden/>
          </w:rPr>
        </w:r>
        <w:r w:rsidR="00C85413">
          <w:rPr>
            <w:noProof/>
            <w:webHidden/>
          </w:rPr>
          <w:fldChar w:fldCharType="separate"/>
        </w:r>
        <w:r w:rsidR="00956EA4">
          <w:rPr>
            <w:noProof/>
            <w:webHidden/>
          </w:rPr>
          <w:t>87</w:t>
        </w:r>
        <w:r w:rsidR="00C85413">
          <w:rPr>
            <w:noProof/>
            <w:webHidden/>
          </w:rPr>
          <w:fldChar w:fldCharType="end"/>
        </w:r>
      </w:hyperlink>
    </w:p>
    <w:p w14:paraId="73A96987" w14:textId="03E8851C" w:rsidR="00C85413" w:rsidRDefault="002B5444">
      <w:pPr>
        <w:pStyle w:val="TableofFigures"/>
        <w:tabs>
          <w:tab w:val="right" w:leader="dot" w:pos="9350"/>
        </w:tabs>
        <w:rPr>
          <w:rFonts w:asciiTheme="minorHAnsi" w:hAnsiTheme="minorHAnsi"/>
          <w:noProof/>
          <w:sz w:val="22"/>
        </w:rPr>
      </w:pPr>
      <w:hyperlink w:anchor="_Toc113125142" w:history="1">
        <w:r w:rsidR="00C85413" w:rsidRPr="00C85413">
          <w:rPr>
            <w:rStyle w:val="Hyperlink"/>
            <w:b/>
            <w:noProof/>
          </w:rPr>
          <w:t>Table 7:</w:t>
        </w:r>
        <w:r w:rsidR="00C85413" w:rsidRPr="00364686">
          <w:rPr>
            <w:rStyle w:val="Hyperlink"/>
            <w:noProof/>
          </w:rPr>
          <w:t xml:space="preserve"> Level of Education</w:t>
        </w:r>
        <w:r w:rsidR="00C85413">
          <w:rPr>
            <w:noProof/>
            <w:webHidden/>
          </w:rPr>
          <w:tab/>
        </w:r>
        <w:r w:rsidR="00C85413">
          <w:rPr>
            <w:noProof/>
            <w:webHidden/>
          </w:rPr>
          <w:fldChar w:fldCharType="begin"/>
        </w:r>
        <w:r w:rsidR="00C85413">
          <w:rPr>
            <w:noProof/>
            <w:webHidden/>
          </w:rPr>
          <w:instrText xml:space="preserve"> PAGEREF _Toc113125142 \h </w:instrText>
        </w:r>
        <w:r w:rsidR="00C85413">
          <w:rPr>
            <w:noProof/>
            <w:webHidden/>
          </w:rPr>
        </w:r>
        <w:r w:rsidR="00C85413">
          <w:rPr>
            <w:noProof/>
            <w:webHidden/>
          </w:rPr>
          <w:fldChar w:fldCharType="separate"/>
        </w:r>
        <w:r w:rsidR="00956EA4">
          <w:rPr>
            <w:noProof/>
            <w:webHidden/>
          </w:rPr>
          <w:t>87</w:t>
        </w:r>
        <w:r w:rsidR="00C85413">
          <w:rPr>
            <w:noProof/>
            <w:webHidden/>
          </w:rPr>
          <w:fldChar w:fldCharType="end"/>
        </w:r>
      </w:hyperlink>
    </w:p>
    <w:p w14:paraId="45425096" w14:textId="341DC58A" w:rsidR="00C85413" w:rsidRDefault="002B5444">
      <w:pPr>
        <w:pStyle w:val="TableofFigures"/>
        <w:tabs>
          <w:tab w:val="right" w:leader="dot" w:pos="9350"/>
        </w:tabs>
        <w:rPr>
          <w:rFonts w:asciiTheme="minorHAnsi" w:hAnsiTheme="minorHAnsi"/>
          <w:noProof/>
          <w:sz w:val="22"/>
        </w:rPr>
      </w:pPr>
      <w:hyperlink w:anchor="_Toc113125143" w:history="1">
        <w:r w:rsidR="00C85413" w:rsidRPr="00C85413">
          <w:rPr>
            <w:rStyle w:val="Hyperlink"/>
            <w:rFonts w:eastAsia="Calibri"/>
            <w:b/>
            <w:noProof/>
            <w:lang w:bidi="en-US"/>
          </w:rPr>
          <w:t>Table 8:</w:t>
        </w:r>
        <w:r w:rsidR="00C85413" w:rsidRPr="00364686">
          <w:rPr>
            <w:rStyle w:val="Hyperlink"/>
            <w:rFonts w:eastAsia="Calibri"/>
            <w:noProof/>
            <w:lang w:bidi="en-US"/>
          </w:rPr>
          <w:t xml:space="preserve"> </w:t>
        </w:r>
        <w:r w:rsidR="00C85413" w:rsidRPr="00364686">
          <w:rPr>
            <w:rStyle w:val="Hyperlink"/>
            <w:noProof/>
          </w:rPr>
          <w:t>Respondents</w:t>
        </w:r>
        <w:r w:rsidR="00C85413" w:rsidRPr="00364686">
          <w:rPr>
            <w:rStyle w:val="Hyperlink"/>
            <w:rFonts w:eastAsia="Calibri"/>
            <w:noProof/>
            <w:lang w:bidi="en-US"/>
          </w:rPr>
          <w:t xml:space="preserve"> </w:t>
        </w:r>
        <w:r w:rsidR="00C85413" w:rsidRPr="00364686">
          <w:rPr>
            <w:rStyle w:val="Hyperlink"/>
            <w:noProof/>
          </w:rPr>
          <w:t>Years in Service</w:t>
        </w:r>
        <w:r w:rsidR="00C85413">
          <w:rPr>
            <w:noProof/>
            <w:webHidden/>
          </w:rPr>
          <w:tab/>
        </w:r>
        <w:r w:rsidR="00C85413">
          <w:rPr>
            <w:noProof/>
            <w:webHidden/>
          </w:rPr>
          <w:fldChar w:fldCharType="begin"/>
        </w:r>
        <w:r w:rsidR="00C85413">
          <w:rPr>
            <w:noProof/>
            <w:webHidden/>
          </w:rPr>
          <w:instrText xml:space="preserve"> PAGEREF _Toc113125143 \h </w:instrText>
        </w:r>
        <w:r w:rsidR="00C85413">
          <w:rPr>
            <w:noProof/>
            <w:webHidden/>
          </w:rPr>
        </w:r>
        <w:r w:rsidR="00C85413">
          <w:rPr>
            <w:noProof/>
            <w:webHidden/>
          </w:rPr>
          <w:fldChar w:fldCharType="separate"/>
        </w:r>
        <w:r w:rsidR="00956EA4">
          <w:rPr>
            <w:noProof/>
            <w:webHidden/>
          </w:rPr>
          <w:t>88</w:t>
        </w:r>
        <w:r w:rsidR="00C85413">
          <w:rPr>
            <w:noProof/>
            <w:webHidden/>
          </w:rPr>
          <w:fldChar w:fldCharType="end"/>
        </w:r>
      </w:hyperlink>
    </w:p>
    <w:p w14:paraId="1C1A5DBD" w14:textId="1F0CABF8" w:rsidR="00C85413" w:rsidRDefault="002B5444">
      <w:pPr>
        <w:pStyle w:val="TableofFigures"/>
        <w:tabs>
          <w:tab w:val="right" w:leader="dot" w:pos="9350"/>
        </w:tabs>
        <w:rPr>
          <w:rFonts w:asciiTheme="minorHAnsi" w:hAnsiTheme="minorHAnsi"/>
          <w:noProof/>
          <w:sz w:val="22"/>
        </w:rPr>
      </w:pPr>
      <w:hyperlink w:anchor="_Toc113125144" w:history="1">
        <w:r w:rsidR="00C85413" w:rsidRPr="00C85413">
          <w:rPr>
            <w:rStyle w:val="Hyperlink"/>
            <w:b/>
            <w:noProof/>
          </w:rPr>
          <w:t>Table</w:t>
        </w:r>
        <w:r w:rsidR="00C85413" w:rsidRPr="00C85413">
          <w:rPr>
            <w:rStyle w:val="Hyperlink"/>
            <w:rFonts w:eastAsia="Calibri"/>
            <w:b/>
            <w:noProof/>
            <w:lang w:bidi="en-US"/>
          </w:rPr>
          <w:t xml:space="preserve"> 9: </w:t>
        </w:r>
        <w:r w:rsidR="00C85413" w:rsidRPr="00364686">
          <w:rPr>
            <w:rStyle w:val="Hyperlink"/>
            <w:rFonts w:eastAsia="Calibri"/>
            <w:noProof/>
            <w:lang w:bidi="en-US"/>
          </w:rPr>
          <w:t>Size of Pension Fund Managers</w:t>
        </w:r>
        <w:r w:rsidR="00C85413">
          <w:rPr>
            <w:noProof/>
            <w:webHidden/>
          </w:rPr>
          <w:tab/>
        </w:r>
        <w:r w:rsidR="00C85413">
          <w:rPr>
            <w:noProof/>
            <w:webHidden/>
          </w:rPr>
          <w:fldChar w:fldCharType="begin"/>
        </w:r>
        <w:r w:rsidR="00C85413">
          <w:rPr>
            <w:noProof/>
            <w:webHidden/>
          </w:rPr>
          <w:instrText xml:space="preserve"> PAGEREF _Toc113125144 \h </w:instrText>
        </w:r>
        <w:r w:rsidR="00C85413">
          <w:rPr>
            <w:noProof/>
            <w:webHidden/>
          </w:rPr>
        </w:r>
        <w:r w:rsidR="00C85413">
          <w:rPr>
            <w:noProof/>
            <w:webHidden/>
          </w:rPr>
          <w:fldChar w:fldCharType="separate"/>
        </w:r>
        <w:r w:rsidR="00956EA4">
          <w:rPr>
            <w:noProof/>
            <w:webHidden/>
          </w:rPr>
          <w:t>89</w:t>
        </w:r>
        <w:r w:rsidR="00C85413">
          <w:rPr>
            <w:noProof/>
            <w:webHidden/>
          </w:rPr>
          <w:fldChar w:fldCharType="end"/>
        </w:r>
      </w:hyperlink>
    </w:p>
    <w:p w14:paraId="3A8AEDEF" w14:textId="4B8F816E" w:rsidR="00C85413" w:rsidRDefault="002B5444">
      <w:pPr>
        <w:pStyle w:val="TableofFigures"/>
        <w:tabs>
          <w:tab w:val="right" w:leader="dot" w:pos="9350"/>
        </w:tabs>
        <w:rPr>
          <w:rFonts w:asciiTheme="minorHAnsi" w:hAnsiTheme="minorHAnsi"/>
          <w:noProof/>
          <w:sz w:val="22"/>
        </w:rPr>
      </w:pPr>
      <w:hyperlink w:anchor="_Toc113125145" w:history="1">
        <w:r w:rsidR="00C85413" w:rsidRPr="00C85413">
          <w:rPr>
            <w:rStyle w:val="Hyperlink"/>
            <w:b/>
            <w:noProof/>
          </w:rPr>
          <w:t xml:space="preserve">Table 10: </w:t>
        </w:r>
        <w:r w:rsidR="00C85413" w:rsidRPr="00364686">
          <w:rPr>
            <w:rStyle w:val="Hyperlink"/>
            <w:noProof/>
          </w:rPr>
          <w:t>Reliability Test</w:t>
        </w:r>
        <w:r w:rsidR="00C85413">
          <w:rPr>
            <w:noProof/>
            <w:webHidden/>
          </w:rPr>
          <w:tab/>
        </w:r>
        <w:r w:rsidR="00C85413">
          <w:rPr>
            <w:noProof/>
            <w:webHidden/>
          </w:rPr>
          <w:fldChar w:fldCharType="begin"/>
        </w:r>
        <w:r w:rsidR="00C85413">
          <w:rPr>
            <w:noProof/>
            <w:webHidden/>
          </w:rPr>
          <w:instrText xml:space="preserve"> PAGEREF _Toc113125145 \h </w:instrText>
        </w:r>
        <w:r w:rsidR="00C85413">
          <w:rPr>
            <w:noProof/>
            <w:webHidden/>
          </w:rPr>
        </w:r>
        <w:r w:rsidR="00C85413">
          <w:rPr>
            <w:noProof/>
            <w:webHidden/>
          </w:rPr>
          <w:fldChar w:fldCharType="separate"/>
        </w:r>
        <w:r w:rsidR="00956EA4">
          <w:rPr>
            <w:noProof/>
            <w:webHidden/>
          </w:rPr>
          <w:t>90</w:t>
        </w:r>
        <w:r w:rsidR="00C85413">
          <w:rPr>
            <w:noProof/>
            <w:webHidden/>
          </w:rPr>
          <w:fldChar w:fldCharType="end"/>
        </w:r>
      </w:hyperlink>
    </w:p>
    <w:p w14:paraId="7ED6AE3B" w14:textId="5E3CF764" w:rsidR="00C85413" w:rsidRDefault="002B5444">
      <w:pPr>
        <w:pStyle w:val="TableofFigures"/>
        <w:tabs>
          <w:tab w:val="right" w:leader="dot" w:pos="9350"/>
        </w:tabs>
        <w:rPr>
          <w:rFonts w:asciiTheme="minorHAnsi" w:hAnsiTheme="minorHAnsi"/>
          <w:noProof/>
          <w:sz w:val="22"/>
        </w:rPr>
      </w:pPr>
      <w:hyperlink w:anchor="_Toc113125146" w:history="1">
        <w:r w:rsidR="00C85413" w:rsidRPr="00C85413">
          <w:rPr>
            <w:rStyle w:val="Hyperlink"/>
            <w:b/>
            <w:noProof/>
          </w:rPr>
          <w:t xml:space="preserve">Table 11: </w:t>
        </w:r>
        <w:r w:rsidR="00C85413" w:rsidRPr="00364686">
          <w:rPr>
            <w:rStyle w:val="Hyperlink"/>
            <w:noProof/>
          </w:rPr>
          <w:t>Factor Loading for pillars of corporate governance</w:t>
        </w:r>
        <w:r w:rsidR="00C85413">
          <w:rPr>
            <w:noProof/>
            <w:webHidden/>
          </w:rPr>
          <w:tab/>
        </w:r>
        <w:r w:rsidR="00C85413">
          <w:rPr>
            <w:noProof/>
            <w:webHidden/>
          </w:rPr>
          <w:fldChar w:fldCharType="begin"/>
        </w:r>
        <w:r w:rsidR="00C85413">
          <w:rPr>
            <w:noProof/>
            <w:webHidden/>
          </w:rPr>
          <w:instrText xml:space="preserve"> PAGEREF _Toc113125146 \h </w:instrText>
        </w:r>
        <w:r w:rsidR="00C85413">
          <w:rPr>
            <w:noProof/>
            <w:webHidden/>
          </w:rPr>
        </w:r>
        <w:r w:rsidR="00C85413">
          <w:rPr>
            <w:noProof/>
            <w:webHidden/>
          </w:rPr>
          <w:fldChar w:fldCharType="separate"/>
        </w:r>
        <w:r w:rsidR="00956EA4">
          <w:rPr>
            <w:noProof/>
            <w:webHidden/>
          </w:rPr>
          <w:t>91</w:t>
        </w:r>
        <w:r w:rsidR="00C85413">
          <w:rPr>
            <w:noProof/>
            <w:webHidden/>
          </w:rPr>
          <w:fldChar w:fldCharType="end"/>
        </w:r>
      </w:hyperlink>
    </w:p>
    <w:p w14:paraId="0CE7076C" w14:textId="67B8DA67" w:rsidR="00C85413" w:rsidRDefault="002B5444">
      <w:pPr>
        <w:pStyle w:val="TableofFigures"/>
        <w:tabs>
          <w:tab w:val="right" w:leader="dot" w:pos="9350"/>
        </w:tabs>
        <w:rPr>
          <w:rFonts w:asciiTheme="minorHAnsi" w:hAnsiTheme="minorHAnsi"/>
          <w:noProof/>
          <w:sz w:val="22"/>
        </w:rPr>
      </w:pPr>
      <w:hyperlink w:anchor="_Toc113125147" w:history="1">
        <w:r w:rsidR="00C85413" w:rsidRPr="00C85413">
          <w:rPr>
            <w:rStyle w:val="Hyperlink"/>
            <w:b/>
            <w:noProof/>
          </w:rPr>
          <w:t xml:space="preserve">Table 12: </w:t>
        </w:r>
        <w:r w:rsidR="00C85413" w:rsidRPr="00364686">
          <w:rPr>
            <w:rStyle w:val="Hyperlink"/>
            <w:noProof/>
          </w:rPr>
          <w:t>Factor Loading for Investment Policies</w:t>
        </w:r>
        <w:r w:rsidR="00C85413">
          <w:rPr>
            <w:noProof/>
            <w:webHidden/>
          </w:rPr>
          <w:tab/>
        </w:r>
        <w:r w:rsidR="00C85413">
          <w:rPr>
            <w:noProof/>
            <w:webHidden/>
          </w:rPr>
          <w:fldChar w:fldCharType="begin"/>
        </w:r>
        <w:r w:rsidR="00C85413">
          <w:rPr>
            <w:noProof/>
            <w:webHidden/>
          </w:rPr>
          <w:instrText xml:space="preserve"> PAGEREF _Toc113125147 \h </w:instrText>
        </w:r>
        <w:r w:rsidR="00C85413">
          <w:rPr>
            <w:noProof/>
            <w:webHidden/>
          </w:rPr>
        </w:r>
        <w:r w:rsidR="00C85413">
          <w:rPr>
            <w:noProof/>
            <w:webHidden/>
          </w:rPr>
          <w:fldChar w:fldCharType="separate"/>
        </w:r>
        <w:r w:rsidR="00956EA4">
          <w:rPr>
            <w:noProof/>
            <w:webHidden/>
          </w:rPr>
          <w:t>93</w:t>
        </w:r>
        <w:r w:rsidR="00C85413">
          <w:rPr>
            <w:noProof/>
            <w:webHidden/>
          </w:rPr>
          <w:fldChar w:fldCharType="end"/>
        </w:r>
      </w:hyperlink>
    </w:p>
    <w:p w14:paraId="161462A0" w14:textId="120BD37C" w:rsidR="00C85413" w:rsidRDefault="002B5444">
      <w:pPr>
        <w:pStyle w:val="TableofFigures"/>
        <w:tabs>
          <w:tab w:val="right" w:leader="dot" w:pos="9350"/>
        </w:tabs>
        <w:rPr>
          <w:rFonts w:asciiTheme="minorHAnsi" w:hAnsiTheme="minorHAnsi"/>
          <w:noProof/>
          <w:sz w:val="22"/>
        </w:rPr>
      </w:pPr>
      <w:hyperlink w:anchor="_Toc113125148" w:history="1">
        <w:r w:rsidR="00C85413" w:rsidRPr="00C85413">
          <w:rPr>
            <w:rStyle w:val="Hyperlink"/>
            <w:b/>
            <w:noProof/>
          </w:rPr>
          <w:t>Table 13:</w:t>
        </w:r>
        <w:r w:rsidR="00C85413" w:rsidRPr="00364686">
          <w:rPr>
            <w:rStyle w:val="Hyperlink"/>
            <w:noProof/>
          </w:rPr>
          <w:t xml:space="preserve"> Factor Loading for Regulations</w:t>
        </w:r>
        <w:r w:rsidR="00C85413">
          <w:rPr>
            <w:noProof/>
            <w:webHidden/>
          </w:rPr>
          <w:tab/>
        </w:r>
        <w:r w:rsidR="00C85413">
          <w:rPr>
            <w:noProof/>
            <w:webHidden/>
          </w:rPr>
          <w:fldChar w:fldCharType="begin"/>
        </w:r>
        <w:r w:rsidR="00C85413">
          <w:rPr>
            <w:noProof/>
            <w:webHidden/>
          </w:rPr>
          <w:instrText xml:space="preserve"> PAGEREF _Toc113125148 \h </w:instrText>
        </w:r>
        <w:r w:rsidR="00C85413">
          <w:rPr>
            <w:noProof/>
            <w:webHidden/>
          </w:rPr>
        </w:r>
        <w:r w:rsidR="00C85413">
          <w:rPr>
            <w:noProof/>
            <w:webHidden/>
          </w:rPr>
          <w:fldChar w:fldCharType="separate"/>
        </w:r>
        <w:r w:rsidR="00956EA4">
          <w:rPr>
            <w:noProof/>
            <w:webHidden/>
          </w:rPr>
          <w:t>94</w:t>
        </w:r>
        <w:r w:rsidR="00C85413">
          <w:rPr>
            <w:noProof/>
            <w:webHidden/>
          </w:rPr>
          <w:fldChar w:fldCharType="end"/>
        </w:r>
      </w:hyperlink>
    </w:p>
    <w:p w14:paraId="271843EE" w14:textId="214F82F2" w:rsidR="00C85413" w:rsidRDefault="002B5444">
      <w:pPr>
        <w:pStyle w:val="TableofFigures"/>
        <w:tabs>
          <w:tab w:val="right" w:leader="dot" w:pos="9350"/>
        </w:tabs>
        <w:rPr>
          <w:rFonts w:asciiTheme="minorHAnsi" w:hAnsiTheme="minorHAnsi"/>
          <w:noProof/>
          <w:sz w:val="22"/>
        </w:rPr>
      </w:pPr>
      <w:hyperlink w:anchor="_Toc113125149" w:history="1">
        <w:r w:rsidR="00C85413" w:rsidRPr="00C85413">
          <w:rPr>
            <w:rStyle w:val="Hyperlink"/>
            <w:b/>
            <w:noProof/>
          </w:rPr>
          <w:t xml:space="preserve">Table 14: </w:t>
        </w:r>
        <w:r w:rsidR="00C85413" w:rsidRPr="00364686">
          <w:rPr>
            <w:rStyle w:val="Hyperlink"/>
            <w:noProof/>
          </w:rPr>
          <w:t>Factor Loading for Firm Performance</w:t>
        </w:r>
        <w:r w:rsidR="00C85413">
          <w:rPr>
            <w:noProof/>
            <w:webHidden/>
          </w:rPr>
          <w:tab/>
        </w:r>
        <w:r w:rsidR="00C85413">
          <w:rPr>
            <w:noProof/>
            <w:webHidden/>
          </w:rPr>
          <w:fldChar w:fldCharType="begin"/>
        </w:r>
        <w:r w:rsidR="00C85413">
          <w:rPr>
            <w:noProof/>
            <w:webHidden/>
          </w:rPr>
          <w:instrText xml:space="preserve"> PAGEREF _Toc113125149 \h </w:instrText>
        </w:r>
        <w:r w:rsidR="00C85413">
          <w:rPr>
            <w:noProof/>
            <w:webHidden/>
          </w:rPr>
        </w:r>
        <w:r w:rsidR="00C85413">
          <w:rPr>
            <w:noProof/>
            <w:webHidden/>
          </w:rPr>
          <w:fldChar w:fldCharType="separate"/>
        </w:r>
        <w:r w:rsidR="00956EA4">
          <w:rPr>
            <w:noProof/>
            <w:webHidden/>
          </w:rPr>
          <w:t>95</w:t>
        </w:r>
        <w:r w:rsidR="00C85413">
          <w:rPr>
            <w:noProof/>
            <w:webHidden/>
          </w:rPr>
          <w:fldChar w:fldCharType="end"/>
        </w:r>
      </w:hyperlink>
    </w:p>
    <w:p w14:paraId="68F2D6F4" w14:textId="7275AAA6" w:rsidR="00C85413" w:rsidRDefault="002B5444">
      <w:pPr>
        <w:pStyle w:val="TableofFigures"/>
        <w:tabs>
          <w:tab w:val="right" w:leader="dot" w:pos="9350"/>
        </w:tabs>
        <w:rPr>
          <w:rFonts w:asciiTheme="minorHAnsi" w:hAnsiTheme="minorHAnsi"/>
          <w:noProof/>
          <w:sz w:val="22"/>
        </w:rPr>
      </w:pPr>
      <w:hyperlink w:anchor="_Toc113125150" w:history="1">
        <w:r w:rsidR="00C85413" w:rsidRPr="00C85413">
          <w:rPr>
            <w:rStyle w:val="Hyperlink"/>
            <w:b/>
            <w:noProof/>
          </w:rPr>
          <w:t>Table 15:</w:t>
        </w:r>
        <w:r w:rsidR="00C85413" w:rsidRPr="00364686">
          <w:rPr>
            <w:rStyle w:val="Hyperlink"/>
            <w:noProof/>
          </w:rPr>
          <w:t xml:space="preserve"> Test for Normality</w:t>
        </w:r>
        <w:r w:rsidR="00C85413">
          <w:rPr>
            <w:noProof/>
            <w:webHidden/>
          </w:rPr>
          <w:tab/>
        </w:r>
        <w:r w:rsidR="00C85413">
          <w:rPr>
            <w:noProof/>
            <w:webHidden/>
          </w:rPr>
          <w:fldChar w:fldCharType="begin"/>
        </w:r>
        <w:r w:rsidR="00C85413">
          <w:rPr>
            <w:noProof/>
            <w:webHidden/>
          </w:rPr>
          <w:instrText xml:space="preserve"> PAGEREF _Toc113125150 \h </w:instrText>
        </w:r>
        <w:r w:rsidR="00C85413">
          <w:rPr>
            <w:noProof/>
            <w:webHidden/>
          </w:rPr>
        </w:r>
        <w:r w:rsidR="00C85413">
          <w:rPr>
            <w:noProof/>
            <w:webHidden/>
          </w:rPr>
          <w:fldChar w:fldCharType="separate"/>
        </w:r>
        <w:r w:rsidR="00956EA4">
          <w:rPr>
            <w:noProof/>
            <w:webHidden/>
          </w:rPr>
          <w:t>97</w:t>
        </w:r>
        <w:r w:rsidR="00C85413">
          <w:rPr>
            <w:noProof/>
            <w:webHidden/>
          </w:rPr>
          <w:fldChar w:fldCharType="end"/>
        </w:r>
      </w:hyperlink>
    </w:p>
    <w:p w14:paraId="472D3225" w14:textId="18D51171" w:rsidR="00C85413" w:rsidRDefault="002B5444">
      <w:pPr>
        <w:pStyle w:val="TableofFigures"/>
        <w:tabs>
          <w:tab w:val="right" w:leader="dot" w:pos="9350"/>
        </w:tabs>
        <w:rPr>
          <w:rFonts w:asciiTheme="minorHAnsi" w:hAnsiTheme="minorHAnsi"/>
          <w:noProof/>
          <w:sz w:val="22"/>
        </w:rPr>
      </w:pPr>
      <w:hyperlink w:anchor="_Toc113125151" w:history="1">
        <w:r w:rsidR="00C85413" w:rsidRPr="00C85413">
          <w:rPr>
            <w:rStyle w:val="Hyperlink"/>
            <w:b/>
            <w:noProof/>
          </w:rPr>
          <w:t>Table 16:</w:t>
        </w:r>
        <w:r w:rsidR="00C85413" w:rsidRPr="00364686">
          <w:rPr>
            <w:rStyle w:val="Hyperlink"/>
            <w:noProof/>
          </w:rPr>
          <w:t xml:space="preserve"> Multicollinearity Test Using Tolerance and VIF</w:t>
        </w:r>
        <w:r w:rsidR="00C85413">
          <w:rPr>
            <w:noProof/>
            <w:webHidden/>
          </w:rPr>
          <w:tab/>
        </w:r>
        <w:r w:rsidR="00C85413">
          <w:rPr>
            <w:noProof/>
            <w:webHidden/>
          </w:rPr>
          <w:fldChar w:fldCharType="begin"/>
        </w:r>
        <w:r w:rsidR="00C85413">
          <w:rPr>
            <w:noProof/>
            <w:webHidden/>
          </w:rPr>
          <w:instrText xml:space="preserve"> PAGEREF _Toc113125151 \h </w:instrText>
        </w:r>
        <w:r w:rsidR="00C85413">
          <w:rPr>
            <w:noProof/>
            <w:webHidden/>
          </w:rPr>
        </w:r>
        <w:r w:rsidR="00C85413">
          <w:rPr>
            <w:noProof/>
            <w:webHidden/>
          </w:rPr>
          <w:fldChar w:fldCharType="separate"/>
        </w:r>
        <w:r w:rsidR="00956EA4">
          <w:rPr>
            <w:noProof/>
            <w:webHidden/>
          </w:rPr>
          <w:t>97</w:t>
        </w:r>
        <w:r w:rsidR="00C85413">
          <w:rPr>
            <w:noProof/>
            <w:webHidden/>
          </w:rPr>
          <w:fldChar w:fldCharType="end"/>
        </w:r>
      </w:hyperlink>
    </w:p>
    <w:p w14:paraId="2BE997AD" w14:textId="415070F9" w:rsidR="00C85413" w:rsidRDefault="002B5444">
      <w:pPr>
        <w:pStyle w:val="TableofFigures"/>
        <w:tabs>
          <w:tab w:val="right" w:leader="dot" w:pos="9350"/>
        </w:tabs>
        <w:rPr>
          <w:rFonts w:asciiTheme="minorHAnsi" w:hAnsiTheme="minorHAnsi"/>
          <w:noProof/>
          <w:sz w:val="22"/>
        </w:rPr>
      </w:pPr>
      <w:hyperlink w:anchor="_Toc113125152" w:history="1">
        <w:r w:rsidR="00C85413" w:rsidRPr="00C85413">
          <w:rPr>
            <w:rStyle w:val="Hyperlink"/>
            <w:b/>
            <w:noProof/>
          </w:rPr>
          <w:t xml:space="preserve">Table 17: </w:t>
        </w:r>
        <w:r w:rsidR="00C85413" w:rsidRPr="00364686">
          <w:rPr>
            <w:rStyle w:val="Hyperlink"/>
            <w:noProof/>
          </w:rPr>
          <w:t>Heteroscedasticity Results</w:t>
        </w:r>
        <w:r w:rsidR="00C85413">
          <w:rPr>
            <w:noProof/>
            <w:webHidden/>
          </w:rPr>
          <w:tab/>
        </w:r>
        <w:r w:rsidR="00C85413">
          <w:rPr>
            <w:noProof/>
            <w:webHidden/>
          </w:rPr>
          <w:fldChar w:fldCharType="begin"/>
        </w:r>
        <w:r w:rsidR="00C85413">
          <w:rPr>
            <w:noProof/>
            <w:webHidden/>
          </w:rPr>
          <w:instrText xml:space="preserve"> PAGEREF _Toc113125152 \h </w:instrText>
        </w:r>
        <w:r w:rsidR="00C85413">
          <w:rPr>
            <w:noProof/>
            <w:webHidden/>
          </w:rPr>
        </w:r>
        <w:r w:rsidR="00C85413">
          <w:rPr>
            <w:noProof/>
            <w:webHidden/>
          </w:rPr>
          <w:fldChar w:fldCharType="separate"/>
        </w:r>
        <w:r w:rsidR="00956EA4">
          <w:rPr>
            <w:noProof/>
            <w:webHidden/>
          </w:rPr>
          <w:t>98</w:t>
        </w:r>
        <w:r w:rsidR="00C85413">
          <w:rPr>
            <w:noProof/>
            <w:webHidden/>
          </w:rPr>
          <w:fldChar w:fldCharType="end"/>
        </w:r>
      </w:hyperlink>
    </w:p>
    <w:p w14:paraId="3B6C8058" w14:textId="523AC9F5" w:rsidR="00C85413" w:rsidRDefault="002B5444">
      <w:pPr>
        <w:pStyle w:val="TableofFigures"/>
        <w:tabs>
          <w:tab w:val="right" w:leader="dot" w:pos="9350"/>
        </w:tabs>
        <w:rPr>
          <w:rFonts w:asciiTheme="minorHAnsi" w:hAnsiTheme="minorHAnsi"/>
          <w:noProof/>
          <w:sz w:val="22"/>
        </w:rPr>
      </w:pPr>
      <w:hyperlink w:anchor="_Toc113125153" w:history="1">
        <w:r w:rsidR="00C85413" w:rsidRPr="00C85413">
          <w:rPr>
            <w:rStyle w:val="Hyperlink"/>
            <w:b/>
            <w:noProof/>
          </w:rPr>
          <w:t xml:space="preserve">Table 18: </w:t>
        </w:r>
        <w:r w:rsidR="00C85413" w:rsidRPr="00364686">
          <w:rPr>
            <w:rStyle w:val="Hyperlink"/>
            <w:noProof/>
          </w:rPr>
          <w:t>Descriptive Statistics for pillars of corporate governance</w:t>
        </w:r>
        <w:r w:rsidR="00C85413">
          <w:rPr>
            <w:noProof/>
            <w:webHidden/>
          </w:rPr>
          <w:tab/>
        </w:r>
        <w:r w:rsidR="00C85413">
          <w:rPr>
            <w:noProof/>
            <w:webHidden/>
          </w:rPr>
          <w:fldChar w:fldCharType="begin"/>
        </w:r>
        <w:r w:rsidR="00C85413">
          <w:rPr>
            <w:noProof/>
            <w:webHidden/>
          </w:rPr>
          <w:instrText xml:space="preserve"> PAGEREF _Toc113125153 \h </w:instrText>
        </w:r>
        <w:r w:rsidR="00C85413">
          <w:rPr>
            <w:noProof/>
            <w:webHidden/>
          </w:rPr>
        </w:r>
        <w:r w:rsidR="00C85413">
          <w:rPr>
            <w:noProof/>
            <w:webHidden/>
          </w:rPr>
          <w:fldChar w:fldCharType="separate"/>
        </w:r>
        <w:r w:rsidR="00956EA4">
          <w:rPr>
            <w:noProof/>
            <w:webHidden/>
          </w:rPr>
          <w:t>100</w:t>
        </w:r>
        <w:r w:rsidR="00C85413">
          <w:rPr>
            <w:noProof/>
            <w:webHidden/>
          </w:rPr>
          <w:fldChar w:fldCharType="end"/>
        </w:r>
      </w:hyperlink>
    </w:p>
    <w:p w14:paraId="4C848829" w14:textId="45EB8F88" w:rsidR="00C85413" w:rsidRDefault="002B5444">
      <w:pPr>
        <w:pStyle w:val="TableofFigures"/>
        <w:tabs>
          <w:tab w:val="right" w:leader="dot" w:pos="9350"/>
        </w:tabs>
        <w:rPr>
          <w:rFonts w:asciiTheme="minorHAnsi" w:hAnsiTheme="minorHAnsi"/>
          <w:noProof/>
          <w:sz w:val="22"/>
        </w:rPr>
      </w:pPr>
      <w:hyperlink w:anchor="_Toc113125154" w:history="1">
        <w:r w:rsidR="00C85413" w:rsidRPr="00C85413">
          <w:rPr>
            <w:rStyle w:val="Hyperlink"/>
            <w:b/>
            <w:noProof/>
          </w:rPr>
          <w:t xml:space="preserve">Table 19: </w:t>
        </w:r>
        <w:r w:rsidR="00C85413" w:rsidRPr="00364686">
          <w:rPr>
            <w:rStyle w:val="Hyperlink"/>
            <w:noProof/>
          </w:rPr>
          <w:t>Descriptive Statistics for investment policies</w:t>
        </w:r>
        <w:r w:rsidR="00C85413">
          <w:rPr>
            <w:noProof/>
            <w:webHidden/>
          </w:rPr>
          <w:tab/>
        </w:r>
        <w:r w:rsidR="00C85413">
          <w:rPr>
            <w:noProof/>
            <w:webHidden/>
          </w:rPr>
          <w:fldChar w:fldCharType="begin"/>
        </w:r>
        <w:r w:rsidR="00C85413">
          <w:rPr>
            <w:noProof/>
            <w:webHidden/>
          </w:rPr>
          <w:instrText xml:space="preserve"> PAGEREF _Toc113125154 \h </w:instrText>
        </w:r>
        <w:r w:rsidR="00C85413">
          <w:rPr>
            <w:noProof/>
            <w:webHidden/>
          </w:rPr>
        </w:r>
        <w:r w:rsidR="00C85413">
          <w:rPr>
            <w:noProof/>
            <w:webHidden/>
          </w:rPr>
          <w:fldChar w:fldCharType="separate"/>
        </w:r>
        <w:r w:rsidR="00956EA4">
          <w:rPr>
            <w:noProof/>
            <w:webHidden/>
          </w:rPr>
          <w:t>102</w:t>
        </w:r>
        <w:r w:rsidR="00C85413">
          <w:rPr>
            <w:noProof/>
            <w:webHidden/>
          </w:rPr>
          <w:fldChar w:fldCharType="end"/>
        </w:r>
      </w:hyperlink>
    </w:p>
    <w:p w14:paraId="13685EB8" w14:textId="21DCB6AF" w:rsidR="00C85413" w:rsidRDefault="002B5444">
      <w:pPr>
        <w:pStyle w:val="TableofFigures"/>
        <w:tabs>
          <w:tab w:val="right" w:leader="dot" w:pos="9350"/>
        </w:tabs>
        <w:rPr>
          <w:rFonts w:asciiTheme="minorHAnsi" w:hAnsiTheme="minorHAnsi"/>
          <w:noProof/>
          <w:sz w:val="22"/>
        </w:rPr>
      </w:pPr>
      <w:hyperlink w:anchor="_Toc113125155" w:history="1">
        <w:r w:rsidR="00C85413" w:rsidRPr="00C85413">
          <w:rPr>
            <w:rStyle w:val="Hyperlink"/>
            <w:b/>
            <w:noProof/>
          </w:rPr>
          <w:t xml:space="preserve">Table 20: </w:t>
        </w:r>
        <w:r w:rsidR="00C85413">
          <w:rPr>
            <w:rStyle w:val="Hyperlink"/>
            <w:noProof/>
          </w:rPr>
          <w:t>Descriptive Statistics for r</w:t>
        </w:r>
        <w:r w:rsidR="00C85413" w:rsidRPr="00364686">
          <w:rPr>
            <w:rStyle w:val="Hyperlink"/>
            <w:noProof/>
          </w:rPr>
          <w:t>egulation</w:t>
        </w:r>
        <w:r w:rsidR="00C85413">
          <w:rPr>
            <w:noProof/>
            <w:webHidden/>
          </w:rPr>
          <w:tab/>
        </w:r>
        <w:r w:rsidR="00C85413">
          <w:rPr>
            <w:noProof/>
            <w:webHidden/>
          </w:rPr>
          <w:fldChar w:fldCharType="begin"/>
        </w:r>
        <w:r w:rsidR="00C85413">
          <w:rPr>
            <w:noProof/>
            <w:webHidden/>
          </w:rPr>
          <w:instrText xml:space="preserve"> PAGEREF _Toc113125155 \h </w:instrText>
        </w:r>
        <w:r w:rsidR="00C85413">
          <w:rPr>
            <w:noProof/>
            <w:webHidden/>
          </w:rPr>
        </w:r>
        <w:r w:rsidR="00C85413">
          <w:rPr>
            <w:noProof/>
            <w:webHidden/>
          </w:rPr>
          <w:fldChar w:fldCharType="separate"/>
        </w:r>
        <w:r w:rsidR="00956EA4">
          <w:rPr>
            <w:noProof/>
            <w:webHidden/>
          </w:rPr>
          <w:t>103</w:t>
        </w:r>
        <w:r w:rsidR="00C85413">
          <w:rPr>
            <w:noProof/>
            <w:webHidden/>
          </w:rPr>
          <w:fldChar w:fldCharType="end"/>
        </w:r>
      </w:hyperlink>
    </w:p>
    <w:p w14:paraId="260679CF" w14:textId="3EEDE231" w:rsidR="00C85413" w:rsidRDefault="002B5444">
      <w:pPr>
        <w:pStyle w:val="TableofFigures"/>
        <w:tabs>
          <w:tab w:val="right" w:leader="dot" w:pos="9350"/>
        </w:tabs>
        <w:rPr>
          <w:rFonts w:asciiTheme="minorHAnsi" w:hAnsiTheme="minorHAnsi"/>
          <w:noProof/>
          <w:sz w:val="22"/>
        </w:rPr>
      </w:pPr>
      <w:hyperlink w:anchor="_Toc113125156" w:history="1">
        <w:r w:rsidR="00C85413" w:rsidRPr="00C85413">
          <w:rPr>
            <w:rStyle w:val="Hyperlink"/>
            <w:b/>
            <w:noProof/>
          </w:rPr>
          <w:t>Table 21:</w:t>
        </w:r>
        <w:r w:rsidR="00C85413" w:rsidRPr="00364686">
          <w:rPr>
            <w:rStyle w:val="Hyperlink"/>
            <w:noProof/>
          </w:rPr>
          <w:t xml:space="preserve"> Descriptive Statistics for performance of pension fund managers</w:t>
        </w:r>
        <w:r w:rsidR="00C85413">
          <w:rPr>
            <w:noProof/>
            <w:webHidden/>
          </w:rPr>
          <w:tab/>
        </w:r>
        <w:r w:rsidR="00C85413">
          <w:rPr>
            <w:noProof/>
            <w:webHidden/>
          </w:rPr>
          <w:fldChar w:fldCharType="begin"/>
        </w:r>
        <w:r w:rsidR="00C85413">
          <w:rPr>
            <w:noProof/>
            <w:webHidden/>
          </w:rPr>
          <w:instrText xml:space="preserve"> PAGEREF _Toc113125156 \h </w:instrText>
        </w:r>
        <w:r w:rsidR="00C85413">
          <w:rPr>
            <w:noProof/>
            <w:webHidden/>
          </w:rPr>
        </w:r>
        <w:r w:rsidR="00C85413">
          <w:rPr>
            <w:noProof/>
            <w:webHidden/>
          </w:rPr>
          <w:fldChar w:fldCharType="separate"/>
        </w:r>
        <w:r w:rsidR="00956EA4">
          <w:rPr>
            <w:noProof/>
            <w:webHidden/>
          </w:rPr>
          <w:t>104</w:t>
        </w:r>
        <w:r w:rsidR="00C85413">
          <w:rPr>
            <w:noProof/>
            <w:webHidden/>
          </w:rPr>
          <w:fldChar w:fldCharType="end"/>
        </w:r>
      </w:hyperlink>
    </w:p>
    <w:p w14:paraId="617BC02E" w14:textId="03E93326" w:rsidR="00C85413" w:rsidRDefault="002B5444">
      <w:pPr>
        <w:pStyle w:val="TableofFigures"/>
        <w:tabs>
          <w:tab w:val="right" w:leader="dot" w:pos="9350"/>
        </w:tabs>
        <w:rPr>
          <w:rFonts w:asciiTheme="minorHAnsi" w:hAnsiTheme="minorHAnsi"/>
          <w:noProof/>
          <w:sz w:val="22"/>
        </w:rPr>
      </w:pPr>
      <w:hyperlink w:anchor="_Toc113125157" w:history="1">
        <w:r w:rsidR="00C85413" w:rsidRPr="00C85413">
          <w:rPr>
            <w:rStyle w:val="Hyperlink"/>
            <w:b/>
            <w:noProof/>
          </w:rPr>
          <w:t xml:space="preserve">Table 22: </w:t>
        </w:r>
        <w:r w:rsidR="00C85413" w:rsidRPr="00364686">
          <w:rPr>
            <w:rStyle w:val="Hyperlink"/>
            <w:noProof/>
          </w:rPr>
          <w:t>Correlation Matrix</w:t>
        </w:r>
        <w:r w:rsidR="00C85413">
          <w:rPr>
            <w:noProof/>
            <w:webHidden/>
          </w:rPr>
          <w:tab/>
        </w:r>
        <w:r w:rsidR="00C85413">
          <w:rPr>
            <w:noProof/>
            <w:webHidden/>
          </w:rPr>
          <w:fldChar w:fldCharType="begin"/>
        </w:r>
        <w:r w:rsidR="00C85413">
          <w:rPr>
            <w:noProof/>
            <w:webHidden/>
          </w:rPr>
          <w:instrText xml:space="preserve"> PAGEREF _Toc113125157 \h </w:instrText>
        </w:r>
        <w:r w:rsidR="00C85413">
          <w:rPr>
            <w:noProof/>
            <w:webHidden/>
          </w:rPr>
        </w:r>
        <w:r w:rsidR="00C85413">
          <w:rPr>
            <w:noProof/>
            <w:webHidden/>
          </w:rPr>
          <w:fldChar w:fldCharType="separate"/>
        </w:r>
        <w:r w:rsidR="00956EA4">
          <w:rPr>
            <w:noProof/>
            <w:webHidden/>
          </w:rPr>
          <w:t>105</w:t>
        </w:r>
        <w:r w:rsidR="00C85413">
          <w:rPr>
            <w:noProof/>
            <w:webHidden/>
          </w:rPr>
          <w:fldChar w:fldCharType="end"/>
        </w:r>
      </w:hyperlink>
    </w:p>
    <w:p w14:paraId="63889793" w14:textId="3BBF3CDD" w:rsidR="00C85413" w:rsidRDefault="002B5444">
      <w:pPr>
        <w:pStyle w:val="TableofFigures"/>
        <w:tabs>
          <w:tab w:val="right" w:leader="dot" w:pos="9350"/>
        </w:tabs>
        <w:rPr>
          <w:rFonts w:asciiTheme="minorHAnsi" w:hAnsiTheme="minorHAnsi"/>
          <w:noProof/>
          <w:sz w:val="22"/>
        </w:rPr>
      </w:pPr>
      <w:hyperlink w:anchor="_Toc113125158" w:history="1">
        <w:r w:rsidR="00C85413" w:rsidRPr="00C85413">
          <w:rPr>
            <w:rStyle w:val="Hyperlink"/>
            <w:b/>
            <w:noProof/>
          </w:rPr>
          <w:t xml:space="preserve">Table 23: </w:t>
        </w:r>
        <w:r w:rsidR="00C85413" w:rsidRPr="00364686">
          <w:rPr>
            <w:rStyle w:val="Hyperlink"/>
            <w:noProof/>
          </w:rPr>
          <w:t>Model Fitness for pillars of corporate governance and performance</w:t>
        </w:r>
        <w:r w:rsidR="00C85413">
          <w:rPr>
            <w:noProof/>
            <w:webHidden/>
          </w:rPr>
          <w:tab/>
        </w:r>
        <w:r w:rsidR="00C85413">
          <w:rPr>
            <w:noProof/>
            <w:webHidden/>
          </w:rPr>
          <w:fldChar w:fldCharType="begin"/>
        </w:r>
        <w:r w:rsidR="00C85413">
          <w:rPr>
            <w:noProof/>
            <w:webHidden/>
          </w:rPr>
          <w:instrText xml:space="preserve"> PAGEREF _Toc113125158 \h </w:instrText>
        </w:r>
        <w:r w:rsidR="00C85413">
          <w:rPr>
            <w:noProof/>
            <w:webHidden/>
          </w:rPr>
        </w:r>
        <w:r w:rsidR="00C85413">
          <w:rPr>
            <w:noProof/>
            <w:webHidden/>
          </w:rPr>
          <w:fldChar w:fldCharType="separate"/>
        </w:r>
        <w:r w:rsidR="00956EA4">
          <w:rPr>
            <w:noProof/>
            <w:webHidden/>
          </w:rPr>
          <w:t>107</w:t>
        </w:r>
        <w:r w:rsidR="00C85413">
          <w:rPr>
            <w:noProof/>
            <w:webHidden/>
          </w:rPr>
          <w:fldChar w:fldCharType="end"/>
        </w:r>
      </w:hyperlink>
    </w:p>
    <w:p w14:paraId="0A2BCDB4" w14:textId="629829FF" w:rsidR="00C85413" w:rsidRDefault="002B5444">
      <w:pPr>
        <w:pStyle w:val="TableofFigures"/>
        <w:tabs>
          <w:tab w:val="right" w:leader="dot" w:pos="9350"/>
        </w:tabs>
        <w:rPr>
          <w:rFonts w:asciiTheme="minorHAnsi" w:hAnsiTheme="minorHAnsi"/>
          <w:noProof/>
          <w:sz w:val="22"/>
        </w:rPr>
      </w:pPr>
      <w:hyperlink w:anchor="_Toc113125159" w:history="1">
        <w:r w:rsidR="00C85413" w:rsidRPr="00C85413">
          <w:rPr>
            <w:rStyle w:val="Hyperlink"/>
            <w:b/>
            <w:noProof/>
          </w:rPr>
          <w:t xml:space="preserve">Table 24: </w:t>
        </w:r>
        <w:r w:rsidR="00C85413" w:rsidRPr="00364686">
          <w:rPr>
            <w:rStyle w:val="Hyperlink"/>
            <w:noProof/>
          </w:rPr>
          <w:t>Regression of coefficients for pillars of corporate governance and performance</w:t>
        </w:r>
        <w:r w:rsidR="00C85413">
          <w:rPr>
            <w:noProof/>
            <w:webHidden/>
          </w:rPr>
          <w:tab/>
        </w:r>
        <w:r w:rsidR="00C85413">
          <w:rPr>
            <w:noProof/>
            <w:webHidden/>
          </w:rPr>
          <w:fldChar w:fldCharType="begin"/>
        </w:r>
        <w:r w:rsidR="00C85413">
          <w:rPr>
            <w:noProof/>
            <w:webHidden/>
          </w:rPr>
          <w:instrText xml:space="preserve"> PAGEREF _Toc113125159 \h </w:instrText>
        </w:r>
        <w:r w:rsidR="00C85413">
          <w:rPr>
            <w:noProof/>
            <w:webHidden/>
          </w:rPr>
        </w:r>
        <w:r w:rsidR="00C85413">
          <w:rPr>
            <w:noProof/>
            <w:webHidden/>
          </w:rPr>
          <w:fldChar w:fldCharType="separate"/>
        </w:r>
        <w:r w:rsidR="00956EA4">
          <w:rPr>
            <w:noProof/>
            <w:webHidden/>
          </w:rPr>
          <w:t>107</w:t>
        </w:r>
        <w:r w:rsidR="00C85413">
          <w:rPr>
            <w:noProof/>
            <w:webHidden/>
          </w:rPr>
          <w:fldChar w:fldCharType="end"/>
        </w:r>
      </w:hyperlink>
    </w:p>
    <w:p w14:paraId="4D7F2A10" w14:textId="714F06A1" w:rsidR="00C85413" w:rsidRDefault="002B5444">
      <w:pPr>
        <w:pStyle w:val="TableofFigures"/>
        <w:tabs>
          <w:tab w:val="right" w:leader="dot" w:pos="9350"/>
        </w:tabs>
        <w:rPr>
          <w:rFonts w:asciiTheme="minorHAnsi" w:hAnsiTheme="minorHAnsi"/>
          <w:noProof/>
          <w:sz w:val="22"/>
        </w:rPr>
      </w:pPr>
      <w:hyperlink w:anchor="_Toc113125160" w:history="1">
        <w:r w:rsidR="00C85413" w:rsidRPr="00C85413">
          <w:rPr>
            <w:rStyle w:val="Hyperlink"/>
            <w:b/>
            <w:noProof/>
          </w:rPr>
          <w:t>Table 25:</w:t>
        </w:r>
        <w:r w:rsidR="00C85413" w:rsidRPr="00364686">
          <w:rPr>
            <w:rStyle w:val="Hyperlink"/>
            <w:noProof/>
          </w:rPr>
          <w:t xml:space="preserve"> R</w:t>
        </w:r>
        <w:r w:rsidR="00C85413" w:rsidRPr="00364686">
          <w:rPr>
            <w:rStyle w:val="Hyperlink"/>
            <w:noProof/>
            <w:vertAlign w:val="superscript"/>
          </w:rPr>
          <w:t xml:space="preserve">2 </w:t>
        </w:r>
        <w:r w:rsidR="00C85413" w:rsidRPr="00364686">
          <w:rPr>
            <w:rStyle w:val="Hyperlink"/>
            <w:noProof/>
          </w:rPr>
          <w:t>for pillars of corporate governance, investment policies and performance</w:t>
        </w:r>
        <w:r w:rsidR="00C85413">
          <w:rPr>
            <w:noProof/>
            <w:webHidden/>
          </w:rPr>
          <w:tab/>
        </w:r>
        <w:r w:rsidR="00C85413">
          <w:rPr>
            <w:noProof/>
            <w:webHidden/>
          </w:rPr>
          <w:fldChar w:fldCharType="begin"/>
        </w:r>
        <w:r w:rsidR="00C85413">
          <w:rPr>
            <w:noProof/>
            <w:webHidden/>
          </w:rPr>
          <w:instrText xml:space="preserve"> PAGEREF _Toc113125160 \h </w:instrText>
        </w:r>
        <w:r w:rsidR="00C85413">
          <w:rPr>
            <w:noProof/>
            <w:webHidden/>
          </w:rPr>
        </w:r>
        <w:r w:rsidR="00C85413">
          <w:rPr>
            <w:noProof/>
            <w:webHidden/>
          </w:rPr>
          <w:fldChar w:fldCharType="separate"/>
        </w:r>
        <w:r w:rsidR="00956EA4">
          <w:rPr>
            <w:noProof/>
            <w:webHidden/>
          </w:rPr>
          <w:t>109</w:t>
        </w:r>
        <w:r w:rsidR="00C85413">
          <w:rPr>
            <w:noProof/>
            <w:webHidden/>
          </w:rPr>
          <w:fldChar w:fldCharType="end"/>
        </w:r>
      </w:hyperlink>
    </w:p>
    <w:p w14:paraId="227D8015" w14:textId="6B2962D1" w:rsidR="00C85413" w:rsidRDefault="002B5444">
      <w:pPr>
        <w:pStyle w:val="TableofFigures"/>
        <w:tabs>
          <w:tab w:val="right" w:leader="dot" w:pos="9350"/>
        </w:tabs>
        <w:rPr>
          <w:rFonts w:asciiTheme="minorHAnsi" w:hAnsiTheme="minorHAnsi"/>
          <w:noProof/>
          <w:sz w:val="22"/>
        </w:rPr>
      </w:pPr>
      <w:hyperlink w:anchor="_Toc113125161" w:history="1">
        <w:r w:rsidR="00C85413" w:rsidRPr="00C85413">
          <w:rPr>
            <w:rStyle w:val="Hyperlink"/>
            <w:b/>
            <w:noProof/>
          </w:rPr>
          <w:t xml:space="preserve">Table 26: </w:t>
        </w:r>
        <w:r w:rsidR="00C85413" w:rsidRPr="00364686">
          <w:rPr>
            <w:rStyle w:val="Hyperlink"/>
            <w:noProof/>
          </w:rPr>
          <w:t>ANOVA</w:t>
        </w:r>
        <w:r w:rsidR="00C85413" w:rsidRPr="00364686">
          <w:rPr>
            <w:rStyle w:val="Hyperlink"/>
            <w:noProof/>
            <w:vertAlign w:val="superscript"/>
          </w:rPr>
          <w:t xml:space="preserve"> </w:t>
        </w:r>
        <w:r w:rsidR="00C85413" w:rsidRPr="00364686">
          <w:rPr>
            <w:rStyle w:val="Hyperlink"/>
            <w:noProof/>
          </w:rPr>
          <w:t>for pillars of corporate governance, investment policies and performance</w:t>
        </w:r>
        <w:r w:rsidR="00C85413">
          <w:rPr>
            <w:noProof/>
            <w:webHidden/>
          </w:rPr>
          <w:tab/>
        </w:r>
        <w:r w:rsidR="00C85413">
          <w:rPr>
            <w:noProof/>
            <w:webHidden/>
          </w:rPr>
          <w:fldChar w:fldCharType="begin"/>
        </w:r>
        <w:r w:rsidR="00C85413">
          <w:rPr>
            <w:noProof/>
            <w:webHidden/>
          </w:rPr>
          <w:instrText xml:space="preserve"> PAGEREF _Toc113125161 \h </w:instrText>
        </w:r>
        <w:r w:rsidR="00C85413">
          <w:rPr>
            <w:noProof/>
            <w:webHidden/>
          </w:rPr>
        </w:r>
        <w:r w:rsidR="00C85413">
          <w:rPr>
            <w:noProof/>
            <w:webHidden/>
          </w:rPr>
          <w:fldChar w:fldCharType="separate"/>
        </w:r>
        <w:r w:rsidR="00956EA4">
          <w:rPr>
            <w:noProof/>
            <w:webHidden/>
          </w:rPr>
          <w:t>110</w:t>
        </w:r>
        <w:r w:rsidR="00C85413">
          <w:rPr>
            <w:noProof/>
            <w:webHidden/>
          </w:rPr>
          <w:fldChar w:fldCharType="end"/>
        </w:r>
      </w:hyperlink>
    </w:p>
    <w:p w14:paraId="43A7580E" w14:textId="3D9F32BB" w:rsidR="00C85413" w:rsidRDefault="002B5444">
      <w:pPr>
        <w:pStyle w:val="TableofFigures"/>
        <w:tabs>
          <w:tab w:val="right" w:leader="dot" w:pos="9350"/>
        </w:tabs>
        <w:rPr>
          <w:rFonts w:asciiTheme="minorHAnsi" w:hAnsiTheme="minorHAnsi"/>
          <w:noProof/>
          <w:sz w:val="22"/>
        </w:rPr>
      </w:pPr>
      <w:hyperlink w:anchor="_Toc113125162" w:history="1">
        <w:r w:rsidR="00C85413" w:rsidRPr="00C85413">
          <w:rPr>
            <w:rStyle w:val="Hyperlink"/>
            <w:b/>
            <w:noProof/>
          </w:rPr>
          <w:t xml:space="preserve">Table 27: </w:t>
        </w:r>
        <w:r w:rsidR="00C85413" w:rsidRPr="00364686">
          <w:rPr>
            <w:rStyle w:val="Hyperlink"/>
            <w:noProof/>
          </w:rPr>
          <w:t>Anova</w:t>
        </w:r>
        <w:r w:rsidR="00C85413" w:rsidRPr="00364686">
          <w:rPr>
            <w:rStyle w:val="Hyperlink"/>
            <w:noProof/>
            <w:vertAlign w:val="superscript"/>
          </w:rPr>
          <w:t xml:space="preserve"> </w:t>
        </w:r>
        <w:r w:rsidR="00C85413" w:rsidRPr="00364686">
          <w:rPr>
            <w:rStyle w:val="Hyperlink"/>
            <w:noProof/>
          </w:rPr>
          <w:t>for pillars of corporate governance, investment policies and performance</w:t>
        </w:r>
        <w:r w:rsidR="00C85413">
          <w:rPr>
            <w:noProof/>
            <w:webHidden/>
          </w:rPr>
          <w:tab/>
        </w:r>
        <w:r w:rsidR="00C85413">
          <w:rPr>
            <w:noProof/>
            <w:webHidden/>
          </w:rPr>
          <w:fldChar w:fldCharType="begin"/>
        </w:r>
        <w:r w:rsidR="00C85413">
          <w:rPr>
            <w:noProof/>
            <w:webHidden/>
          </w:rPr>
          <w:instrText xml:space="preserve"> PAGEREF _Toc113125162 \h </w:instrText>
        </w:r>
        <w:r w:rsidR="00C85413">
          <w:rPr>
            <w:noProof/>
            <w:webHidden/>
          </w:rPr>
        </w:r>
        <w:r w:rsidR="00C85413">
          <w:rPr>
            <w:noProof/>
            <w:webHidden/>
          </w:rPr>
          <w:fldChar w:fldCharType="separate"/>
        </w:r>
        <w:r w:rsidR="00956EA4">
          <w:rPr>
            <w:noProof/>
            <w:webHidden/>
          </w:rPr>
          <w:t>111</w:t>
        </w:r>
        <w:r w:rsidR="00C85413">
          <w:rPr>
            <w:noProof/>
            <w:webHidden/>
          </w:rPr>
          <w:fldChar w:fldCharType="end"/>
        </w:r>
      </w:hyperlink>
    </w:p>
    <w:p w14:paraId="05E9F44B" w14:textId="6FE2490E" w:rsidR="00C85413" w:rsidRDefault="002B5444">
      <w:pPr>
        <w:pStyle w:val="TableofFigures"/>
        <w:tabs>
          <w:tab w:val="right" w:leader="dot" w:pos="9350"/>
        </w:tabs>
        <w:rPr>
          <w:rFonts w:asciiTheme="minorHAnsi" w:hAnsiTheme="minorHAnsi"/>
          <w:noProof/>
          <w:sz w:val="22"/>
        </w:rPr>
      </w:pPr>
      <w:hyperlink w:anchor="_Toc113125163" w:history="1">
        <w:r w:rsidR="00C85413" w:rsidRPr="00C85413">
          <w:rPr>
            <w:rStyle w:val="Hyperlink"/>
            <w:b/>
            <w:noProof/>
          </w:rPr>
          <w:t>Table 28:</w:t>
        </w:r>
        <w:r w:rsidR="00C85413" w:rsidRPr="00364686">
          <w:rPr>
            <w:rStyle w:val="Hyperlink"/>
            <w:noProof/>
          </w:rPr>
          <w:t xml:space="preserve"> R</w:t>
        </w:r>
        <w:r w:rsidR="00C85413" w:rsidRPr="00364686">
          <w:rPr>
            <w:rStyle w:val="Hyperlink"/>
            <w:noProof/>
            <w:vertAlign w:val="superscript"/>
          </w:rPr>
          <w:t xml:space="preserve">2 </w:t>
        </w:r>
        <w:r w:rsidR="00C85413" w:rsidRPr="00364686">
          <w:rPr>
            <w:rStyle w:val="Hyperlink"/>
            <w:noProof/>
          </w:rPr>
          <w:t>for pillars of corporate governance, government regulations on performance</w:t>
        </w:r>
        <w:r w:rsidR="00C85413">
          <w:rPr>
            <w:noProof/>
            <w:webHidden/>
          </w:rPr>
          <w:tab/>
        </w:r>
        <w:r w:rsidR="00C85413">
          <w:rPr>
            <w:noProof/>
            <w:webHidden/>
          </w:rPr>
          <w:fldChar w:fldCharType="begin"/>
        </w:r>
        <w:r w:rsidR="00C85413">
          <w:rPr>
            <w:noProof/>
            <w:webHidden/>
          </w:rPr>
          <w:instrText xml:space="preserve"> PAGEREF _Toc113125163 \h </w:instrText>
        </w:r>
        <w:r w:rsidR="00C85413">
          <w:rPr>
            <w:noProof/>
            <w:webHidden/>
          </w:rPr>
        </w:r>
        <w:r w:rsidR="00C85413">
          <w:rPr>
            <w:noProof/>
            <w:webHidden/>
          </w:rPr>
          <w:fldChar w:fldCharType="separate"/>
        </w:r>
        <w:r w:rsidR="00956EA4">
          <w:rPr>
            <w:noProof/>
            <w:webHidden/>
          </w:rPr>
          <w:t>113</w:t>
        </w:r>
        <w:r w:rsidR="00C85413">
          <w:rPr>
            <w:noProof/>
            <w:webHidden/>
          </w:rPr>
          <w:fldChar w:fldCharType="end"/>
        </w:r>
      </w:hyperlink>
    </w:p>
    <w:p w14:paraId="7B4DA79A" w14:textId="51DABA41" w:rsidR="00C85413" w:rsidRDefault="002B5444">
      <w:pPr>
        <w:pStyle w:val="TableofFigures"/>
        <w:tabs>
          <w:tab w:val="right" w:leader="dot" w:pos="9350"/>
        </w:tabs>
        <w:rPr>
          <w:rFonts w:asciiTheme="minorHAnsi" w:hAnsiTheme="minorHAnsi"/>
          <w:noProof/>
          <w:sz w:val="22"/>
        </w:rPr>
      </w:pPr>
      <w:hyperlink w:anchor="_Toc113125164" w:history="1">
        <w:r w:rsidR="00C85413" w:rsidRPr="00C85413">
          <w:rPr>
            <w:rStyle w:val="Hyperlink"/>
            <w:b/>
            <w:noProof/>
          </w:rPr>
          <w:t xml:space="preserve">Table 29: </w:t>
        </w:r>
        <w:r w:rsidR="00C85413" w:rsidRPr="00364686">
          <w:rPr>
            <w:rStyle w:val="Hyperlink"/>
            <w:noProof/>
          </w:rPr>
          <w:t>ANOVA for pillars of corporate governance, government regulations on performance</w:t>
        </w:r>
        <w:r w:rsidR="00C85413">
          <w:rPr>
            <w:noProof/>
            <w:webHidden/>
          </w:rPr>
          <w:tab/>
        </w:r>
        <w:r w:rsidR="00C85413">
          <w:rPr>
            <w:noProof/>
            <w:webHidden/>
          </w:rPr>
          <w:fldChar w:fldCharType="begin"/>
        </w:r>
        <w:r w:rsidR="00C85413">
          <w:rPr>
            <w:noProof/>
            <w:webHidden/>
          </w:rPr>
          <w:instrText xml:space="preserve"> PAGEREF _Toc113125164 \h </w:instrText>
        </w:r>
        <w:r w:rsidR="00C85413">
          <w:rPr>
            <w:noProof/>
            <w:webHidden/>
          </w:rPr>
        </w:r>
        <w:r w:rsidR="00C85413">
          <w:rPr>
            <w:noProof/>
            <w:webHidden/>
          </w:rPr>
          <w:fldChar w:fldCharType="separate"/>
        </w:r>
        <w:r w:rsidR="00956EA4">
          <w:rPr>
            <w:noProof/>
            <w:webHidden/>
          </w:rPr>
          <w:t>114</w:t>
        </w:r>
        <w:r w:rsidR="00C85413">
          <w:rPr>
            <w:noProof/>
            <w:webHidden/>
          </w:rPr>
          <w:fldChar w:fldCharType="end"/>
        </w:r>
      </w:hyperlink>
    </w:p>
    <w:p w14:paraId="6D23AE49" w14:textId="072E09AF" w:rsidR="00C85413" w:rsidRDefault="002B5444">
      <w:pPr>
        <w:pStyle w:val="TableofFigures"/>
        <w:tabs>
          <w:tab w:val="right" w:leader="dot" w:pos="9350"/>
        </w:tabs>
        <w:rPr>
          <w:rFonts w:asciiTheme="minorHAnsi" w:hAnsiTheme="minorHAnsi"/>
          <w:noProof/>
          <w:sz w:val="22"/>
        </w:rPr>
      </w:pPr>
      <w:hyperlink w:anchor="_Toc113125165" w:history="1">
        <w:r w:rsidR="00C85413" w:rsidRPr="00C85413">
          <w:rPr>
            <w:rStyle w:val="Hyperlink"/>
            <w:b/>
            <w:noProof/>
          </w:rPr>
          <w:t xml:space="preserve">Table 30: </w:t>
        </w:r>
        <w:r w:rsidR="00C85413" w:rsidRPr="00364686">
          <w:rPr>
            <w:rStyle w:val="Hyperlink"/>
            <w:noProof/>
          </w:rPr>
          <w:t>Regression coefficients for moderating model</w:t>
        </w:r>
        <w:r w:rsidR="00C85413">
          <w:rPr>
            <w:noProof/>
            <w:webHidden/>
          </w:rPr>
          <w:tab/>
        </w:r>
        <w:r w:rsidR="00C85413">
          <w:rPr>
            <w:noProof/>
            <w:webHidden/>
          </w:rPr>
          <w:fldChar w:fldCharType="begin"/>
        </w:r>
        <w:r w:rsidR="00C85413">
          <w:rPr>
            <w:noProof/>
            <w:webHidden/>
          </w:rPr>
          <w:instrText xml:space="preserve"> PAGEREF _Toc113125165 \h </w:instrText>
        </w:r>
        <w:r w:rsidR="00C85413">
          <w:rPr>
            <w:noProof/>
            <w:webHidden/>
          </w:rPr>
        </w:r>
        <w:r w:rsidR="00C85413">
          <w:rPr>
            <w:noProof/>
            <w:webHidden/>
          </w:rPr>
          <w:fldChar w:fldCharType="separate"/>
        </w:r>
        <w:r w:rsidR="00956EA4">
          <w:rPr>
            <w:noProof/>
            <w:webHidden/>
          </w:rPr>
          <w:t>115</w:t>
        </w:r>
        <w:r w:rsidR="00C85413">
          <w:rPr>
            <w:noProof/>
            <w:webHidden/>
          </w:rPr>
          <w:fldChar w:fldCharType="end"/>
        </w:r>
      </w:hyperlink>
    </w:p>
    <w:p w14:paraId="0CE223BA" w14:textId="271244A4" w:rsidR="00C85413" w:rsidRDefault="002B5444">
      <w:pPr>
        <w:pStyle w:val="TableofFigures"/>
        <w:tabs>
          <w:tab w:val="right" w:leader="dot" w:pos="9350"/>
        </w:tabs>
        <w:rPr>
          <w:rFonts w:asciiTheme="minorHAnsi" w:hAnsiTheme="minorHAnsi"/>
          <w:noProof/>
          <w:sz w:val="22"/>
        </w:rPr>
      </w:pPr>
      <w:hyperlink w:anchor="_Toc113125166" w:history="1">
        <w:r w:rsidR="00C85413" w:rsidRPr="00C85413">
          <w:rPr>
            <w:rStyle w:val="Hyperlink"/>
            <w:b/>
            <w:noProof/>
          </w:rPr>
          <w:t xml:space="preserve">Table 31: </w:t>
        </w:r>
        <w:r w:rsidR="00C85413" w:rsidRPr="00364686">
          <w:rPr>
            <w:rStyle w:val="Hyperlink"/>
            <w:noProof/>
          </w:rPr>
          <w:t>Model summary for moderation – mediator effect</w:t>
        </w:r>
        <w:r w:rsidR="00C85413">
          <w:rPr>
            <w:noProof/>
            <w:webHidden/>
          </w:rPr>
          <w:tab/>
        </w:r>
        <w:r w:rsidR="00C85413">
          <w:rPr>
            <w:noProof/>
            <w:webHidden/>
          </w:rPr>
          <w:fldChar w:fldCharType="begin"/>
        </w:r>
        <w:r w:rsidR="00C85413">
          <w:rPr>
            <w:noProof/>
            <w:webHidden/>
          </w:rPr>
          <w:instrText xml:space="preserve"> PAGEREF _Toc113125166 \h </w:instrText>
        </w:r>
        <w:r w:rsidR="00C85413">
          <w:rPr>
            <w:noProof/>
            <w:webHidden/>
          </w:rPr>
        </w:r>
        <w:r w:rsidR="00C85413">
          <w:rPr>
            <w:noProof/>
            <w:webHidden/>
          </w:rPr>
          <w:fldChar w:fldCharType="separate"/>
        </w:r>
        <w:r w:rsidR="00956EA4">
          <w:rPr>
            <w:noProof/>
            <w:webHidden/>
          </w:rPr>
          <w:t>117</w:t>
        </w:r>
        <w:r w:rsidR="00C85413">
          <w:rPr>
            <w:noProof/>
            <w:webHidden/>
          </w:rPr>
          <w:fldChar w:fldCharType="end"/>
        </w:r>
      </w:hyperlink>
    </w:p>
    <w:p w14:paraId="5A815E20" w14:textId="4663708F" w:rsidR="00C85413" w:rsidRDefault="002B5444">
      <w:pPr>
        <w:pStyle w:val="TableofFigures"/>
        <w:tabs>
          <w:tab w:val="right" w:leader="dot" w:pos="9350"/>
        </w:tabs>
        <w:rPr>
          <w:rFonts w:asciiTheme="minorHAnsi" w:hAnsiTheme="minorHAnsi"/>
          <w:noProof/>
          <w:sz w:val="22"/>
        </w:rPr>
      </w:pPr>
      <w:hyperlink w:anchor="_Toc113125167" w:history="1">
        <w:r w:rsidR="00C85413" w:rsidRPr="00C85413">
          <w:rPr>
            <w:rStyle w:val="Hyperlink"/>
            <w:b/>
            <w:noProof/>
          </w:rPr>
          <w:t xml:space="preserve">Table 32: </w:t>
        </w:r>
        <w:r w:rsidR="00C85413" w:rsidRPr="00364686">
          <w:rPr>
            <w:rStyle w:val="Hyperlink"/>
            <w:noProof/>
          </w:rPr>
          <w:t>ANOVA</w:t>
        </w:r>
        <w:r w:rsidR="00C85413">
          <w:rPr>
            <w:noProof/>
            <w:webHidden/>
          </w:rPr>
          <w:tab/>
        </w:r>
        <w:r w:rsidR="00C85413">
          <w:rPr>
            <w:noProof/>
            <w:webHidden/>
          </w:rPr>
          <w:fldChar w:fldCharType="begin"/>
        </w:r>
        <w:r w:rsidR="00C85413">
          <w:rPr>
            <w:noProof/>
            <w:webHidden/>
          </w:rPr>
          <w:instrText xml:space="preserve"> PAGEREF _Toc113125167 \h </w:instrText>
        </w:r>
        <w:r w:rsidR="00C85413">
          <w:rPr>
            <w:noProof/>
            <w:webHidden/>
          </w:rPr>
        </w:r>
        <w:r w:rsidR="00C85413">
          <w:rPr>
            <w:noProof/>
            <w:webHidden/>
          </w:rPr>
          <w:fldChar w:fldCharType="separate"/>
        </w:r>
        <w:r w:rsidR="00956EA4">
          <w:rPr>
            <w:noProof/>
            <w:webHidden/>
          </w:rPr>
          <w:t>117</w:t>
        </w:r>
        <w:r w:rsidR="00C85413">
          <w:rPr>
            <w:noProof/>
            <w:webHidden/>
          </w:rPr>
          <w:fldChar w:fldCharType="end"/>
        </w:r>
      </w:hyperlink>
    </w:p>
    <w:p w14:paraId="3004DD60" w14:textId="71668270" w:rsidR="00C85413" w:rsidRDefault="002B5444">
      <w:pPr>
        <w:pStyle w:val="TableofFigures"/>
        <w:tabs>
          <w:tab w:val="right" w:leader="dot" w:pos="9350"/>
        </w:tabs>
        <w:rPr>
          <w:rFonts w:asciiTheme="minorHAnsi" w:hAnsiTheme="minorHAnsi"/>
          <w:noProof/>
          <w:sz w:val="22"/>
        </w:rPr>
      </w:pPr>
      <w:hyperlink w:anchor="_Toc113125168" w:history="1">
        <w:r w:rsidR="00C85413" w:rsidRPr="00C85413">
          <w:rPr>
            <w:rStyle w:val="Hyperlink"/>
            <w:b/>
            <w:noProof/>
            <w:lang w:val="en-GB" w:eastAsia="en-GB"/>
          </w:rPr>
          <w:t xml:space="preserve">Table 33: </w:t>
        </w:r>
        <w:r w:rsidR="00C85413" w:rsidRPr="00364686">
          <w:rPr>
            <w:rStyle w:val="Hyperlink"/>
            <w:noProof/>
          </w:rPr>
          <w:t>Regression</w:t>
        </w:r>
        <w:r w:rsidR="00C85413" w:rsidRPr="00364686">
          <w:rPr>
            <w:rStyle w:val="Hyperlink"/>
            <w:noProof/>
            <w:lang w:val="en-GB" w:eastAsia="en-GB"/>
          </w:rPr>
          <w:t xml:space="preserve"> coefficients for </w:t>
        </w:r>
        <w:r w:rsidR="00C85413" w:rsidRPr="00364686">
          <w:rPr>
            <w:rStyle w:val="Hyperlink"/>
            <w:noProof/>
          </w:rPr>
          <w:t xml:space="preserve">moderation – mediator </w:t>
        </w:r>
        <w:r w:rsidR="00C85413" w:rsidRPr="00364686">
          <w:rPr>
            <w:rStyle w:val="Hyperlink"/>
            <w:noProof/>
            <w:lang w:val="en-GB" w:eastAsia="en-GB"/>
          </w:rPr>
          <w:t>effect</w:t>
        </w:r>
        <w:r w:rsidR="00C85413">
          <w:rPr>
            <w:noProof/>
            <w:webHidden/>
          </w:rPr>
          <w:tab/>
        </w:r>
        <w:r w:rsidR="00C85413">
          <w:rPr>
            <w:noProof/>
            <w:webHidden/>
          </w:rPr>
          <w:fldChar w:fldCharType="begin"/>
        </w:r>
        <w:r w:rsidR="00C85413">
          <w:rPr>
            <w:noProof/>
            <w:webHidden/>
          </w:rPr>
          <w:instrText xml:space="preserve"> PAGEREF _Toc113125168 \h </w:instrText>
        </w:r>
        <w:r w:rsidR="00C85413">
          <w:rPr>
            <w:noProof/>
            <w:webHidden/>
          </w:rPr>
        </w:r>
        <w:r w:rsidR="00C85413">
          <w:rPr>
            <w:noProof/>
            <w:webHidden/>
          </w:rPr>
          <w:fldChar w:fldCharType="separate"/>
        </w:r>
        <w:r w:rsidR="00956EA4">
          <w:rPr>
            <w:noProof/>
            <w:webHidden/>
          </w:rPr>
          <w:t>118</w:t>
        </w:r>
        <w:r w:rsidR="00C85413">
          <w:rPr>
            <w:noProof/>
            <w:webHidden/>
          </w:rPr>
          <w:fldChar w:fldCharType="end"/>
        </w:r>
      </w:hyperlink>
    </w:p>
    <w:p w14:paraId="45AD66FE" w14:textId="476E4D4A" w:rsidR="00C85413" w:rsidRDefault="002B5444">
      <w:pPr>
        <w:pStyle w:val="TableofFigures"/>
        <w:tabs>
          <w:tab w:val="right" w:leader="dot" w:pos="9350"/>
        </w:tabs>
        <w:rPr>
          <w:rFonts w:asciiTheme="minorHAnsi" w:hAnsiTheme="minorHAnsi"/>
          <w:noProof/>
          <w:sz w:val="22"/>
        </w:rPr>
      </w:pPr>
      <w:hyperlink w:anchor="_Toc113125169" w:history="1">
        <w:r w:rsidR="00C85413" w:rsidRPr="00C85413">
          <w:rPr>
            <w:rStyle w:val="Hyperlink"/>
            <w:b/>
            <w:noProof/>
          </w:rPr>
          <w:t>Table 34:</w:t>
        </w:r>
        <w:r w:rsidR="00C85413" w:rsidRPr="00364686">
          <w:rPr>
            <w:rStyle w:val="Hyperlink"/>
            <w:noProof/>
          </w:rPr>
          <w:t xml:space="preserve"> Summary of key findings</w:t>
        </w:r>
        <w:r w:rsidR="00C85413">
          <w:rPr>
            <w:noProof/>
            <w:webHidden/>
          </w:rPr>
          <w:tab/>
        </w:r>
        <w:r w:rsidR="00C85413">
          <w:rPr>
            <w:noProof/>
            <w:webHidden/>
          </w:rPr>
          <w:fldChar w:fldCharType="begin"/>
        </w:r>
        <w:r w:rsidR="00C85413">
          <w:rPr>
            <w:noProof/>
            <w:webHidden/>
          </w:rPr>
          <w:instrText xml:space="preserve"> PAGEREF _Toc113125169 \h </w:instrText>
        </w:r>
        <w:r w:rsidR="00C85413">
          <w:rPr>
            <w:noProof/>
            <w:webHidden/>
          </w:rPr>
        </w:r>
        <w:r w:rsidR="00C85413">
          <w:rPr>
            <w:noProof/>
            <w:webHidden/>
          </w:rPr>
          <w:fldChar w:fldCharType="separate"/>
        </w:r>
        <w:r w:rsidR="00956EA4">
          <w:rPr>
            <w:noProof/>
            <w:webHidden/>
          </w:rPr>
          <w:t>129</w:t>
        </w:r>
        <w:r w:rsidR="00C85413">
          <w:rPr>
            <w:noProof/>
            <w:webHidden/>
          </w:rPr>
          <w:fldChar w:fldCharType="end"/>
        </w:r>
      </w:hyperlink>
    </w:p>
    <w:p w14:paraId="138FF1D6" w14:textId="0D12F1EA" w:rsidR="00267BE6" w:rsidRPr="00C0591E" w:rsidRDefault="001633DA" w:rsidP="00970FD5">
      <w:pPr>
        <w:pStyle w:val="Header"/>
        <w:tabs>
          <w:tab w:val="clear" w:pos="4680"/>
          <w:tab w:val="clear" w:pos="9360"/>
        </w:tabs>
        <w:spacing w:after="200" w:line="360" w:lineRule="auto"/>
      </w:pPr>
      <w:r w:rsidRPr="00C0591E">
        <w:fldChar w:fldCharType="end"/>
      </w:r>
    </w:p>
    <w:p w14:paraId="143D5CA3" w14:textId="77777777" w:rsidR="00267BE6" w:rsidRPr="00C0591E" w:rsidRDefault="00267BE6" w:rsidP="00267BE6"/>
    <w:p w14:paraId="1117A50C" w14:textId="77777777" w:rsidR="00267BE6" w:rsidRPr="00C0591E" w:rsidRDefault="00267BE6" w:rsidP="00267BE6"/>
    <w:p w14:paraId="10A41F51" w14:textId="77777777" w:rsidR="0082612E" w:rsidRPr="00C0591E" w:rsidRDefault="0082612E" w:rsidP="00347D67">
      <w:pPr>
        <w:pStyle w:val="Heading1"/>
      </w:pPr>
      <w:r w:rsidRPr="00C0591E">
        <w:br w:type="page"/>
      </w:r>
      <w:bookmarkStart w:id="16" w:name="_Toc113125067"/>
      <w:r w:rsidRPr="00C0591E">
        <w:t>LIST OF FIGURES</w:t>
      </w:r>
      <w:bookmarkEnd w:id="16"/>
    </w:p>
    <w:p w14:paraId="567F6932" w14:textId="3FC1C77C" w:rsidR="00C85413" w:rsidRDefault="001633DA">
      <w:pPr>
        <w:pStyle w:val="TableofFigures"/>
        <w:tabs>
          <w:tab w:val="right" w:leader="dot" w:pos="9350"/>
        </w:tabs>
        <w:rPr>
          <w:rFonts w:asciiTheme="minorHAnsi" w:hAnsiTheme="minorHAnsi"/>
          <w:noProof/>
          <w:sz w:val="22"/>
        </w:rPr>
      </w:pPr>
      <w:r w:rsidRPr="00C0591E">
        <w:fldChar w:fldCharType="begin"/>
      </w:r>
      <w:r w:rsidRPr="00C0591E">
        <w:instrText xml:space="preserve"> TOC \h \z \t "Heading 5" \c </w:instrText>
      </w:r>
      <w:r w:rsidRPr="00C0591E">
        <w:fldChar w:fldCharType="separate"/>
      </w:r>
      <w:hyperlink w:anchor="_Toc113125170" w:history="1">
        <w:r w:rsidR="00C85413" w:rsidRPr="00C85413">
          <w:rPr>
            <w:rStyle w:val="Hyperlink"/>
            <w:b/>
            <w:noProof/>
          </w:rPr>
          <w:t xml:space="preserve">Figure 1: </w:t>
        </w:r>
        <w:r w:rsidR="00C85413" w:rsidRPr="006116AE">
          <w:rPr>
            <w:rStyle w:val="Hyperlink"/>
            <w:noProof/>
          </w:rPr>
          <w:t>Conceptual Model</w:t>
        </w:r>
        <w:r w:rsidR="00C85413">
          <w:rPr>
            <w:noProof/>
            <w:webHidden/>
          </w:rPr>
          <w:tab/>
        </w:r>
        <w:r w:rsidR="00C85413">
          <w:rPr>
            <w:noProof/>
            <w:webHidden/>
          </w:rPr>
          <w:fldChar w:fldCharType="begin"/>
        </w:r>
        <w:r w:rsidR="00C85413">
          <w:rPr>
            <w:noProof/>
            <w:webHidden/>
          </w:rPr>
          <w:instrText xml:space="preserve"> PAGEREF _Toc113125170 \h </w:instrText>
        </w:r>
        <w:r w:rsidR="00C85413">
          <w:rPr>
            <w:noProof/>
            <w:webHidden/>
          </w:rPr>
        </w:r>
        <w:r w:rsidR="00C85413">
          <w:rPr>
            <w:noProof/>
            <w:webHidden/>
          </w:rPr>
          <w:fldChar w:fldCharType="separate"/>
        </w:r>
        <w:r w:rsidR="00956EA4">
          <w:rPr>
            <w:noProof/>
            <w:webHidden/>
          </w:rPr>
          <w:t>72</w:t>
        </w:r>
        <w:r w:rsidR="00C85413">
          <w:rPr>
            <w:noProof/>
            <w:webHidden/>
          </w:rPr>
          <w:fldChar w:fldCharType="end"/>
        </w:r>
      </w:hyperlink>
    </w:p>
    <w:p w14:paraId="70F39248" w14:textId="141F62B8" w:rsidR="00C85413" w:rsidRDefault="002B5444">
      <w:pPr>
        <w:pStyle w:val="TableofFigures"/>
        <w:tabs>
          <w:tab w:val="right" w:leader="dot" w:pos="9350"/>
        </w:tabs>
        <w:rPr>
          <w:rFonts w:asciiTheme="minorHAnsi" w:hAnsiTheme="minorHAnsi"/>
          <w:noProof/>
          <w:sz w:val="22"/>
        </w:rPr>
      </w:pPr>
      <w:hyperlink w:anchor="_Toc113125171" w:history="1">
        <w:r w:rsidR="00C85413" w:rsidRPr="00C85413">
          <w:rPr>
            <w:rStyle w:val="Hyperlink"/>
            <w:b/>
            <w:noProof/>
          </w:rPr>
          <w:t>Figure 2:</w:t>
        </w:r>
        <w:r w:rsidR="00C85413" w:rsidRPr="00C85413">
          <w:rPr>
            <w:rStyle w:val="Hyperlink"/>
            <w:rFonts w:eastAsiaTheme="majorEastAsia" w:cstheme="majorBidi"/>
            <w:b/>
            <w:noProof/>
          </w:rPr>
          <w:t xml:space="preserve"> </w:t>
        </w:r>
        <w:r w:rsidR="00C85413" w:rsidRPr="006116AE">
          <w:rPr>
            <w:rStyle w:val="Hyperlink"/>
            <w:rFonts w:eastAsiaTheme="majorEastAsia" w:cstheme="majorBidi"/>
            <w:noProof/>
          </w:rPr>
          <w:t xml:space="preserve">Linearity for </w:t>
        </w:r>
        <w:r w:rsidR="00C85413" w:rsidRPr="006116AE">
          <w:rPr>
            <w:rStyle w:val="Hyperlink"/>
            <w:noProof/>
          </w:rPr>
          <w:t>pillars of corporate governance, investment policies and government regulation</w:t>
        </w:r>
        <w:r w:rsidR="00C85413">
          <w:rPr>
            <w:noProof/>
            <w:webHidden/>
          </w:rPr>
          <w:tab/>
        </w:r>
        <w:r w:rsidR="00C85413">
          <w:rPr>
            <w:noProof/>
            <w:webHidden/>
          </w:rPr>
          <w:fldChar w:fldCharType="begin"/>
        </w:r>
        <w:r w:rsidR="00C85413">
          <w:rPr>
            <w:noProof/>
            <w:webHidden/>
          </w:rPr>
          <w:instrText xml:space="preserve"> PAGEREF _Toc113125171 \h </w:instrText>
        </w:r>
        <w:r w:rsidR="00C85413">
          <w:rPr>
            <w:noProof/>
            <w:webHidden/>
          </w:rPr>
        </w:r>
        <w:r w:rsidR="00C85413">
          <w:rPr>
            <w:noProof/>
            <w:webHidden/>
          </w:rPr>
          <w:fldChar w:fldCharType="separate"/>
        </w:r>
        <w:r w:rsidR="00956EA4">
          <w:rPr>
            <w:noProof/>
            <w:webHidden/>
          </w:rPr>
          <w:t>99</w:t>
        </w:r>
        <w:r w:rsidR="00C85413">
          <w:rPr>
            <w:noProof/>
            <w:webHidden/>
          </w:rPr>
          <w:fldChar w:fldCharType="end"/>
        </w:r>
      </w:hyperlink>
    </w:p>
    <w:p w14:paraId="4B3FBC4E" w14:textId="7CBD9444" w:rsidR="00C85413" w:rsidRDefault="002B5444">
      <w:pPr>
        <w:pStyle w:val="TableofFigures"/>
        <w:tabs>
          <w:tab w:val="right" w:leader="dot" w:pos="9350"/>
        </w:tabs>
        <w:rPr>
          <w:rFonts w:asciiTheme="minorHAnsi" w:hAnsiTheme="minorHAnsi"/>
          <w:noProof/>
          <w:sz w:val="22"/>
        </w:rPr>
      </w:pPr>
      <w:hyperlink r:id="rId9" w:anchor="_Toc113125172" w:history="1">
        <w:r w:rsidR="00C85413" w:rsidRPr="00C85413">
          <w:rPr>
            <w:rStyle w:val="Hyperlink"/>
            <w:rFonts w:eastAsia="Times New Roman"/>
            <w:b/>
            <w:noProof/>
          </w:rPr>
          <w:t>Figure 3:</w:t>
        </w:r>
        <w:r w:rsidR="00C85413" w:rsidRPr="006116AE">
          <w:rPr>
            <w:rStyle w:val="Hyperlink"/>
            <w:rFonts w:eastAsia="Times New Roman"/>
            <w:noProof/>
          </w:rPr>
          <w:t xml:space="preserve"> Optimal Conceptual Model</w:t>
        </w:r>
        <w:r w:rsidR="00C85413">
          <w:rPr>
            <w:noProof/>
            <w:webHidden/>
          </w:rPr>
          <w:tab/>
        </w:r>
        <w:r w:rsidR="00C85413">
          <w:rPr>
            <w:noProof/>
            <w:webHidden/>
          </w:rPr>
          <w:fldChar w:fldCharType="begin"/>
        </w:r>
        <w:r w:rsidR="00C85413">
          <w:rPr>
            <w:noProof/>
            <w:webHidden/>
          </w:rPr>
          <w:instrText xml:space="preserve"> PAGEREF _Toc113125172 \h </w:instrText>
        </w:r>
        <w:r w:rsidR="00C85413">
          <w:rPr>
            <w:noProof/>
            <w:webHidden/>
          </w:rPr>
        </w:r>
        <w:r w:rsidR="00C85413">
          <w:rPr>
            <w:noProof/>
            <w:webHidden/>
          </w:rPr>
          <w:fldChar w:fldCharType="separate"/>
        </w:r>
        <w:r w:rsidR="00956EA4">
          <w:rPr>
            <w:noProof/>
            <w:webHidden/>
          </w:rPr>
          <w:t>130</w:t>
        </w:r>
        <w:r w:rsidR="00C85413">
          <w:rPr>
            <w:noProof/>
            <w:webHidden/>
          </w:rPr>
          <w:fldChar w:fldCharType="end"/>
        </w:r>
      </w:hyperlink>
    </w:p>
    <w:p w14:paraId="7EFACD1F" w14:textId="7B5DBF43" w:rsidR="0082612E" w:rsidRPr="00C0591E" w:rsidRDefault="001633DA">
      <w:pPr>
        <w:spacing w:after="160" w:line="259" w:lineRule="auto"/>
      </w:pPr>
      <w:r w:rsidRPr="00C0591E">
        <w:fldChar w:fldCharType="end"/>
      </w:r>
    </w:p>
    <w:p w14:paraId="769C2176" w14:textId="77777777" w:rsidR="0082612E" w:rsidRPr="00C0591E" w:rsidRDefault="0082612E" w:rsidP="0082612E">
      <w:r w:rsidRPr="00C0591E">
        <w:br w:type="page"/>
      </w:r>
    </w:p>
    <w:p w14:paraId="5EBC9EBB" w14:textId="5B88CB3C" w:rsidR="00267BE6" w:rsidRPr="00C0591E" w:rsidRDefault="0082612E" w:rsidP="00347D67">
      <w:pPr>
        <w:pStyle w:val="Heading1"/>
      </w:pPr>
      <w:bookmarkStart w:id="17" w:name="_Toc113125068"/>
      <w:r w:rsidRPr="00C0591E">
        <w:t>ABSTRACT</w:t>
      </w:r>
      <w:bookmarkEnd w:id="17"/>
    </w:p>
    <w:p w14:paraId="117C3058" w14:textId="3EE341D4" w:rsidR="0082612E" w:rsidRPr="00C0591E" w:rsidRDefault="00B12312" w:rsidP="004D708E">
      <w:pPr>
        <w:spacing w:line="240" w:lineRule="auto"/>
      </w:pPr>
      <w:r w:rsidRPr="00C0591E">
        <w:t xml:space="preserve">Pension fund performance has received increased attention across the world with public pension fund performing dismally when compared to private pension fund. </w:t>
      </w:r>
      <w:r w:rsidR="00AF7B8D" w:rsidRPr="00C0591E">
        <w:t>P</w:t>
      </w:r>
      <w:r w:rsidR="0082612E" w:rsidRPr="00C0591E">
        <w:rPr>
          <w:noProof/>
        </w:rPr>
        <w:t xml:space="preserve">ension funds </w:t>
      </w:r>
      <w:r w:rsidR="008618A0" w:rsidRPr="00C0591E">
        <w:rPr>
          <w:noProof/>
        </w:rPr>
        <w:t xml:space="preserve">performance </w:t>
      </w:r>
      <w:r w:rsidR="00AF7B8D" w:rsidRPr="00C0591E">
        <w:rPr>
          <w:noProof/>
        </w:rPr>
        <w:t xml:space="preserve">in </w:t>
      </w:r>
      <w:r w:rsidR="00823E8E" w:rsidRPr="00C0591E">
        <w:rPr>
          <w:noProof/>
        </w:rPr>
        <w:t xml:space="preserve">Kenya have been facing myriad of challenges ranging </w:t>
      </w:r>
      <w:r w:rsidR="00AF7B8D" w:rsidRPr="00C0591E">
        <w:rPr>
          <w:noProof/>
        </w:rPr>
        <w:t>from</w:t>
      </w:r>
      <w:r w:rsidR="00AF7B8D" w:rsidRPr="00C0591E">
        <w:t xml:space="preserve"> poor administration and investments of pension funds, lack of transparency and accountability, non-remittance of monthly contributions by employers, misappropriation of scheme assets by the trustees, loss of scheme funds through negligence of trustees and poor investment of the scheme assets.</w:t>
      </w:r>
      <w:r w:rsidR="00D63597" w:rsidRPr="00C0591E">
        <w:t xml:space="preserve"> </w:t>
      </w:r>
      <w:r w:rsidR="00E54918" w:rsidRPr="00C0591E">
        <w:rPr>
          <w:rFonts w:cs="Times New Roman"/>
          <w:szCs w:val="24"/>
        </w:rPr>
        <w:t xml:space="preserve">The broad objective of this study </w:t>
      </w:r>
      <w:r w:rsidR="00366F53" w:rsidRPr="00C0591E">
        <w:rPr>
          <w:rFonts w:cs="Times New Roman"/>
          <w:szCs w:val="24"/>
        </w:rPr>
        <w:t>was</w:t>
      </w:r>
      <w:r w:rsidR="00E54918" w:rsidRPr="00C0591E">
        <w:rPr>
          <w:rFonts w:cs="Times New Roman"/>
          <w:szCs w:val="24"/>
        </w:rPr>
        <w:t xml:space="preserve"> to examine the relationships between </w:t>
      </w:r>
      <w:r w:rsidR="005A543D">
        <w:rPr>
          <w:rFonts w:cs="Times New Roman"/>
          <w:szCs w:val="24"/>
        </w:rPr>
        <w:t>p</w:t>
      </w:r>
      <w:r w:rsidR="005A543D" w:rsidRPr="005A543D">
        <w:rPr>
          <w:rFonts w:cs="Times New Roman"/>
          <w:szCs w:val="24"/>
        </w:rPr>
        <w:t xml:space="preserve">illars of </w:t>
      </w:r>
      <w:r w:rsidR="00E54918" w:rsidRPr="00C0591E">
        <w:rPr>
          <w:rFonts w:cs="Times New Roman"/>
          <w:szCs w:val="24"/>
        </w:rPr>
        <w:t>corporate governance, investment policies, government regulation</w:t>
      </w:r>
      <w:r w:rsidR="00CB70A7" w:rsidRPr="00C0591E">
        <w:rPr>
          <w:rFonts w:cs="Times New Roman"/>
          <w:szCs w:val="24"/>
        </w:rPr>
        <w:t>s</w:t>
      </w:r>
      <w:r w:rsidR="00E54918" w:rsidRPr="00C0591E">
        <w:rPr>
          <w:rFonts w:cs="Times New Roman"/>
          <w:szCs w:val="24"/>
        </w:rPr>
        <w:t xml:space="preserve"> </w:t>
      </w:r>
      <w:r w:rsidR="00E54918" w:rsidRPr="00C0591E">
        <w:rPr>
          <w:rFonts w:eastAsia="Times New Roman" w:cs="Times New Roman"/>
          <w:color w:val="222222"/>
          <w:szCs w:val="19"/>
        </w:rPr>
        <w:t>and performance of pension fund managers in Kenya</w:t>
      </w:r>
      <w:r w:rsidR="0082612E" w:rsidRPr="00C0591E">
        <w:rPr>
          <w:noProof/>
        </w:rPr>
        <w:t xml:space="preserve">. The study </w:t>
      </w:r>
      <w:r w:rsidR="0015128E" w:rsidRPr="00C0591E">
        <w:rPr>
          <w:noProof/>
        </w:rPr>
        <w:t>sought</w:t>
      </w:r>
      <w:r w:rsidR="0082612E" w:rsidRPr="00C0591E">
        <w:rPr>
          <w:noProof/>
        </w:rPr>
        <w:t xml:space="preserve"> to </w:t>
      </w:r>
      <w:r w:rsidR="00C07844" w:rsidRPr="00C0591E">
        <w:rPr>
          <w:noProof/>
        </w:rPr>
        <w:t>determine</w:t>
      </w:r>
      <w:r w:rsidR="0082612E" w:rsidRPr="00C0591E">
        <w:rPr>
          <w:noProof/>
        </w:rPr>
        <w:t xml:space="preserve"> the intervening effect of investment policies on the relationship between </w:t>
      </w:r>
      <w:r w:rsidR="00C85413">
        <w:rPr>
          <w:noProof/>
        </w:rPr>
        <w:t>pillars of corporate governance</w:t>
      </w:r>
      <w:r w:rsidR="0082612E" w:rsidRPr="00C0591E">
        <w:rPr>
          <w:noProof/>
        </w:rPr>
        <w:t xml:space="preserve"> and performance of pension fund managers in Kenya; to establish the moderating effect of government regulations on the relationship between </w:t>
      </w:r>
      <w:r w:rsidR="00C85413">
        <w:rPr>
          <w:noProof/>
        </w:rPr>
        <w:t>pillars of corporate governance</w:t>
      </w:r>
      <w:r w:rsidR="0082612E" w:rsidRPr="00C0591E">
        <w:rPr>
          <w:noProof/>
        </w:rPr>
        <w:t xml:space="preserve"> and performance of pension fund managers in Kenya; and to </w:t>
      </w:r>
      <w:r w:rsidR="000524F5" w:rsidRPr="00C0591E">
        <w:rPr>
          <w:noProof/>
        </w:rPr>
        <w:t xml:space="preserve">determine the moderation - mediator effect on the relationship between </w:t>
      </w:r>
      <w:r w:rsidR="00C85413">
        <w:rPr>
          <w:noProof/>
        </w:rPr>
        <w:t>pillars of corporate governance</w:t>
      </w:r>
      <w:r w:rsidR="000524F5" w:rsidRPr="00C0591E">
        <w:rPr>
          <w:noProof/>
        </w:rPr>
        <w:t xml:space="preserve"> and performance of pension fund managers in Kenya</w:t>
      </w:r>
      <w:r w:rsidR="0082612E" w:rsidRPr="00C0591E">
        <w:rPr>
          <w:noProof/>
        </w:rPr>
        <w:t xml:space="preserve">. Neoclassical theory, Q-theory, contingency theory and stakeholder theory </w:t>
      </w:r>
      <w:r w:rsidR="004605AB" w:rsidRPr="00C0591E">
        <w:rPr>
          <w:noProof/>
        </w:rPr>
        <w:t>was</w:t>
      </w:r>
      <w:r w:rsidR="0082612E" w:rsidRPr="00C0591E">
        <w:rPr>
          <w:noProof/>
        </w:rPr>
        <w:t xml:space="preserve"> used in the study. This study adopt</w:t>
      </w:r>
      <w:r w:rsidR="0015128E" w:rsidRPr="00C0591E">
        <w:rPr>
          <w:noProof/>
        </w:rPr>
        <w:t>ed</w:t>
      </w:r>
      <w:r w:rsidR="0082612E" w:rsidRPr="00C0591E">
        <w:rPr>
          <w:noProof/>
        </w:rPr>
        <w:t xml:space="preserve"> positivism philosophy. The study employ</w:t>
      </w:r>
      <w:r w:rsidR="0015128E" w:rsidRPr="00C0591E">
        <w:rPr>
          <w:noProof/>
        </w:rPr>
        <w:t>ed</w:t>
      </w:r>
      <w:r w:rsidR="0082612E" w:rsidRPr="00C0591E">
        <w:rPr>
          <w:noProof/>
        </w:rPr>
        <w:t xml:space="preserve"> a </w:t>
      </w:r>
      <w:r w:rsidR="00C95794" w:rsidRPr="00C0591E">
        <w:t xml:space="preserve">cross sectional survey design </w:t>
      </w:r>
      <w:r w:rsidR="0082612E" w:rsidRPr="00C0591E">
        <w:rPr>
          <w:noProof/>
        </w:rPr>
        <w:t xml:space="preserve">whereby access to the widest possible amount of data from the targeted Fund Managers in Kenya </w:t>
      </w:r>
      <w:r w:rsidR="004605AB" w:rsidRPr="00C0591E">
        <w:rPr>
          <w:noProof/>
        </w:rPr>
        <w:t>was</w:t>
      </w:r>
      <w:r w:rsidR="0082612E" w:rsidRPr="00C0591E">
        <w:rPr>
          <w:noProof/>
        </w:rPr>
        <w:t xml:space="preserve"> sought. The population of interest of the study </w:t>
      </w:r>
      <w:r w:rsidR="004605AB" w:rsidRPr="00C0591E">
        <w:rPr>
          <w:noProof/>
        </w:rPr>
        <w:t>was</w:t>
      </w:r>
      <w:r w:rsidR="0082612E" w:rsidRPr="00C0591E">
        <w:rPr>
          <w:noProof/>
        </w:rPr>
        <w:t xml:space="preserve"> </w:t>
      </w:r>
      <w:r w:rsidR="00C95794" w:rsidRPr="00C0591E">
        <w:rPr>
          <w:noProof/>
        </w:rPr>
        <w:t>31</w:t>
      </w:r>
      <w:r w:rsidR="0082612E" w:rsidRPr="00C0591E">
        <w:rPr>
          <w:noProof/>
        </w:rPr>
        <w:t xml:space="preserve"> Fund Managers in Kenya licensed by RBA and CMA. The study use</w:t>
      </w:r>
      <w:r w:rsidR="0015128E" w:rsidRPr="00C0591E">
        <w:rPr>
          <w:noProof/>
        </w:rPr>
        <w:t>d</w:t>
      </w:r>
      <w:r w:rsidR="0082612E" w:rsidRPr="00C0591E">
        <w:rPr>
          <w:noProof/>
        </w:rPr>
        <w:t xml:space="preserve"> purely primary data sources. Primary data </w:t>
      </w:r>
      <w:r w:rsidR="004605AB" w:rsidRPr="00C0591E">
        <w:rPr>
          <w:noProof/>
        </w:rPr>
        <w:t>was</w:t>
      </w:r>
      <w:r w:rsidR="0082612E" w:rsidRPr="00C0591E">
        <w:rPr>
          <w:noProof/>
        </w:rPr>
        <w:t xml:space="preserve"> obtained from the selected respondents. Primary data </w:t>
      </w:r>
      <w:r w:rsidR="004605AB" w:rsidRPr="00C0591E">
        <w:rPr>
          <w:noProof/>
        </w:rPr>
        <w:t>was</w:t>
      </w:r>
      <w:r w:rsidR="0082612E" w:rsidRPr="00C0591E">
        <w:rPr>
          <w:noProof/>
        </w:rPr>
        <w:t xml:space="preserve"> collected through questionnaire.</w:t>
      </w:r>
      <w:r w:rsidR="00E15F39" w:rsidRPr="00C0591E">
        <w:rPr>
          <w:noProof/>
        </w:rPr>
        <w:t xml:space="preserve"> </w:t>
      </w:r>
      <w:r w:rsidR="0082612E" w:rsidRPr="00C0591E">
        <w:rPr>
          <w:noProof/>
        </w:rPr>
        <w:t xml:space="preserve">Regression analysis </w:t>
      </w:r>
      <w:r w:rsidR="004605AB" w:rsidRPr="00C0591E">
        <w:rPr>
          <w:noProof/>
        </w:rPr>
        <w:t>was</w:t>
      </w:r>
      <w:r w:rsidR="0082612E" w:rsidRPr="00C0591E">
        <w:rPr>
          <w:noProof/>
        </w:rPr>
        <w:t xml:space="preserve"> used to establish the relative significance of each of the variables on the influence of </w:t>
      </w:r>
      <w:r w:rsidR="00C85413">
        <w:rPr>
          <w:noProof/>
        </w:rPr>
        <w:t>pillars of corporate governance</w:t>
      </w:r>
      <w:r w:rsidR="0082612E" w:rsidRPr="00C0591E">
        <w:rPr>
          <w:noProof/>
        </w:rPr>
        <w:t>, investment policies, government regulation</w:t>
      </w:r>
      <w:r w:rsidR="00831282" w:rsidRPr="00C0591E">
        <w:rPr>
          <w:noProof/>
        </w:rPr>
        <w:t>s</w:t>
      </w:r>
      <w:r w:rsidR="0082612E" w:rsidRPr="00C0591E">
        <w:rPr>
          <w:noProof/>
        </w:rPr>
        <w:t xml:space="preserve"> on the performance of pension fund managers in Kenya.</w:t>
      </w:r>
      <w:r w:rsidR="00E15F39" w:rsidRPr="00C0591E">
        <w:rPr>
          <w:noProof/>
        </w:rPr>
        <w:t xml:space="preserve"> The study findings indicated that</w:t>
      </w:r>
      <w:r w:rsidR="00E15F39" w:rsidRPr="00C0591E">
        <w:t xml:space="preserve"> there was significant relationship between </w:t>
      </w:r>
      <w:r w:rsidR="00C85413">
        <w:t>pillars of corporate governance</w:t>
      </w:r>
      <w:r w:rsidR="00E15F39" w:rsidRPr="00C0591E">
        <w:t xml:space="preserve"> and performance of pension fund managers</w:t>
      </w:r>
      <w:r w:rsidR="00E15F39" w:rsidRPr="00C0591E">
        <w:rPr>
          <w:lang w:val="en-GB"/>
        </w:rPr>
        <w:t xml:space="preserve"> </w:t>
      </w:r>
      <w:r w:rsidR="00E15F39" w:rsidRPr="00C0591E">
        <w:t xml:space="preserve">in Kenya. In addition, the findings indicated that there was a partial intervening effect of investment policies in the relationship between </w:t>
      </w:r>
      <w:r w:rsidR="00C85413">
        <w:rPr>
          <w:rFonts w:eastAsia="Times New Roman"/>
        </w:rPr>
        <w:t>pillars of corporate governance</w:t>
      </w:r>
      <w:r w:rsidR="00E15F39" w:rsidRPr="00C0591E">
        <w:rPr>
          <w:rFonts w:eastAsia="Times New Roman"/>
        </w:rPr>
        <w:t xml:space="preserve"> and performance of pension fund managers in Kenya. </w:t>
      </w:r>
      <w:r w:rsidR="00E15F39" w:rsidRPr="00C0591E">
        <w:t xml:space="preserve">There was a significant moderating effect of government regulations on the relationship between </w:t>
      </w:r>
      <w:r w:rsidR="00C85413">
        <w:t>pillars of corporate governance</w:t>
      </w:r>
      <w:r w:rsidR="00E15F39" w:rsidRPr="00C0591E">
        <w:t xml:space="preserve"> and </w:t>
      </w:r>
      <w:r w:rsidR="00E15F39" w:rsidRPr="00C0591E">
        <w:rPr>
          <w:rFonts w:cs="Times New Roman"/>
          <w:szCs w:val="24"/>
        </w:rPr>
        <w:t>performance of pension fund managers</w:t>
      </w:r>
      <w:r w:rsidR="00E15F39" w:rsidRPr="00C0591E">
        <w:t xml:space="preserve"> in Kenya. Lastly, </w:t>
      </w:r>
      <w:r w:rsidR="00E55126" w:rsidRPr="00C0591E">
        <w:t xml:space="preserve">there was a significant moderation – mediator effect on the relationship between </w:t>
      </w:r>
      <w:r w:rsidR="00C85413">
        <w:t>pillars of corporate governance</w:t>
      </w:r>
      <w:r w:rsidR="00E55126" w:rsidRPr="00C0591E">
        <w:t xml:space="preserve"> and performance of pension fund managers in Kenya</w:t>
      </w:r>
      <w:r w:rsidR="00E15F39" w:rsidRPr="00C0591E">
        <w:t>. The study concluded that</w:t>
      </w:r>
      <w:r w:rsidR="004D708E" w:rsidRPr="00C0591E">
        <w:t xml:space="preserve"> </w:t>
      </w:r>
      <w:r w:rsidR="00C85413">
        <w:rPr>
          <w:rFonts w:eastAsia="Times New Roman"/>
        </w:rPr>
        <w:t>pillars of corporate governance</w:t>
      </w:r>
      <w:r w:rsidR="00E15F39" w:rsidRPr="00C0591E">
        <w:rPr>
          <w:rFonts w:eastAsia="Times New Roman"/>
        </w:rPr>
        <w:t xml:space="preserve"> practices being implemented had been incorporated in the Pension Fund’s investment management decisions with its assets being more diversified and having enhanced reporting on investments</w:t>
      </w:r>
      <w:r w:rsidR="004D708E" w:rsidRPr="00C0591E">
        <w:rPr>
          <w:rFonts w:eastAsia="Times New Roman"/>
        </w:rPr>
        <w:t xml:space="preserve">. </w:t>
      </w:r>
      <w:r w:rsidR="00E15F39" w:rsidRPr="00C0591E">
        <w:rPr>
          <w:rFonts w:eastAsia="Times New Roman"/>
        </w:rPr>
        <w:t xml:space="preserve">This implied that the adoption of the regulations from the regulatory bodies such as number of trustees, tax on non-exempt incomes of pension fund members, regulatory meetings, risk tolerance limits imposed by the RBA, competition as stipulated by RBA led to better </w:t>
      </w:r>
      <w:r w:rsidR="004D708E" w:rsidRPr="00C0591E">
        <w:rPr>
          <w:rFonts w:eastAsia="Times New Roman"/>
        </w:rPr>
        <w:t xml:space="preserve">performance. The study recommended </w:t>
      </w:r>
      <w:r w:rsidR="004D708E" w:rsidRPr="00C0591E">
        <w:t>on pension reforms, by creating a new class of potential activist shareholders in the form of pension funds, could in principle improve corporate governance and increased shareholder discipline. The study recommend that the pension fund managers must work with stakeholders to bring about a harmonized, workable and transparent legislative and institutional framework for the retirement benefits industry. Lastly, the study recommends that the governing body of the pension fund should set forth in a written statement and actively observe an overall investment policy</w:t>
      </w:r>
    </w:p>
    <w:p w14:paraId="64574DC0" w14:textId="77777777" w:rsidR="00267BE6" w:rsidRPr="00C0591E" w:rsidRDefault="00267BE6" w:rsidP="00267BE6"/>
    <w:p w14:paraId="044E97EB" w14:textId="77777777" w:rsidR="00323DB6" w:rsidRPr="00C0591E" w:rsidRDefault="00323DB6" w:rsidP="00267BE6">
      <w:pPr>
        <w:tabs>
          <w:tab w:val="center" w:pos="4680"/>
        </w:tabs>
        <w:sectPr w:rsidR="00323DB6" w:rsidRPr="00C0591E" w:rsidSect="00F92837">
          <w:pgSz w:w="12240" w:h="15840"/>
          <w:pgMar w:top="1440" w:right="1440" w:bottom="1440" w:left="1440" w:header="720" w:footer="720" w:gutter="0"/>
          <w:pgNumType w:fmt="lowerRoman" w:start="7"/>
          <w:cols w:space="720"/>
          <w:docGrid w:linePitch="360"/>
        </w:sectPr>
      </w:pPr>
    </w:p>
    <w:p w14:paraId="5AA833A7" w14:textId="77777777" w:rsidR="00347D67" w:rsidRPr="00C0591E" w:rsidRDefault="00267BE6" w:rsidP="00347D67">
      <w:pPr>
        <w:pStyle w:val="Heading1"/>
      </w:pPr>
      <w:bookmarkStart w:id="18" w:name="_Toc113125069"/>
      <w:bookmarkStart w:id="19" w:name="_Toc495672593"/>
      <w:r w:rsidRPr="00C0591E">
        <w:t>CHAPTER ONE</w:t>
      </w:r>
      <w:bookmarkEnd w:id="18"/>
    </w:p>
    <w:p w14:paraId="5626CBB1" w14:textId="15348AA8" w:rsidR="00267BE6" w:rsidRPr="00C0591E" w:rsidRDefault="00267BE6" w:rsidP="00347D67">
      <w:pPr>
        <w:pStyle w:val="Heading1"/>
      </w:pPr>
      <w:bookmarkStart w:id="20" w:name="_Toc113125070"/>
      <w:r w:rsidRPr="00C0591E">
        <w:t>INTRODUCTION</w:t>
      </w:r>
      <w:bookmarkEnd w:id="19"/>
      <w:bookmarkEnd w:id="20"/>
    </w:p>
    <w:p w14:paraId="1A63D2B4" w14:textId="77777777" w:rsidR="00FF512C" w:rsidRPr="00C0591E" w:rsidRDefault="00FF512C" w:rsidP="00FF512C">
      <w:pPr>
        <w:pStyle w:val="Heading2"/>
      </w:pPr>
      <w:bookmarkStart w:id="21" w:name="_Toc109897078"/>
      <w:bookmarkStart w:id="22" w:name="_Toc113125071"/>
      <w:r w:rsidRPr="00C0591E">
        <w:t>1.0 Introduction</w:t>
      </w:r>
      <w:bookmarkEnd w:id="21"/>
      <w:bookmarkEnd w:id="22"/>
    </w:p>
    <w:p w14:paraId="0296FD2B" w14:textId="2C58E18D" w:rsidR="00FF512C" w:rsidRPr="00C0591E" w:rsidRDefault="00FF512C" w:rsidP="00994172">
      <w:r w:rsidRPr="00C0591E">
        <w:t xml:space="preserve">This chapter contextualizes and discusses the research study with global and regional perspectives and insights. It elaborates on the concepts of </w:t>
      </w:r>
      <w:r w:rsidR="00C85413">
        <w:t>pillars of corporate governance</w:t>
      </w:r>
      <w:r w:rsidRPr="00C0591E">
        <w:t xml:space="preserve">, investment policies, government regulations and performance. It also outlines the objectives, hypotheses, rationale, and scope </w:t>
      </w:r>
      <w:r w:rsidRPr="00C0591E">
        <w:rPr>
          <w:lang w:val="en-GB"/>
        </w:rPr>
        <w:t>of</w:t>
      </w:r>
      <w:r w:rsidRPr="00C0591E">
        <w:t xml:space="preserve"> the study. </w:t>
      </w:r>
    </w:p>
    <w:p w14:paraId="0E9C10A8" w14:textId="79E2CCB0" w:rsidR="00267BE6" w:rsidRPr="00C0591E" w:rsidRDefault="00267BE6" w:rsidP="00347D67">
      <w:pPr>
        <w:pStyle w:val="Heading2"/>
      </w:pPr>
      <w:bookmarkStart w:id="23" w:name="_Toc495672594"/>
      <w:bookmarkStart w:id="24" w:name="_Toc113125072"/>
      <w:bookmarkEnd w:id="1"/>
      <w:r w:rsidRPr="00C0591E">
        <w:t xml:space="preserve">1.1 Background of the </w:t>
      </w:r>
      <w:r w:rsidR="00103E8A" w:rsidRPr="00C0591E">
        <w:t>S</w:t>
      </w:r>
      <w:r w:rsidRPr="00C0591E">
        <w:t>tudy</w:t>
      </w:r>
      <w:bookmarkEnd w:id="23"/>
      <w:bookmarkEnd w:id="24"/>
    </w:p>
    <w:p w14:paraId="1437C2A5" w14:textId="408300DC" w:rsidR="00267BE6" w:rsidRPr="00C0591E" w:rsidRDefault="00267BE6" w:rsidP="00994172">
      <w:pPr>
        <w:rPr>
          <w:rFonts w:cs="Times New Roman"/>
          <w:color w:val="000000"/>
          <w:szCs w:val="24"/>
          <w:lang w:val="en-GB"/>
        </w:rPr>
      </w:pPr>
      <w:r w:rsidRPr="00C0591E">
        <w:t>Management of pension funds is influenced by the level of corporate governance, investment policies and government regulation</w:t>
      </w:r>
      <w:r w:rsidR="00831282" w:rsidRPr="00C0591E">
        <w:t>s</w:t>
      </w:r>
      <w:r w:rsidRPr="00C0591E">
        <w:t xml:space="preserve"> employed within the pension schemes (Christensen, 201</w:t>
      </w:r>
      <w:r w:rsidR="00B25757" w:rsidRPr="00C0591E">
        <w:t>9</w:t>
      </w:r>
      <w:r w:rsidRPr="00C0591E">
        <w:t xml:space="preserve">). However, some larger corporations operate their pension funds in-house. </w:t>
      </w:r>
      <w:r w:rsidRPr="00C0591E">
        <w:rPr>
          <w:rFonts w:cs="Times New Roman"/>
          <w:color w:val="000000"/>
          <w:szCs w:val="24"/>
          <w:lang w:val="en-GB"/>
        </w:rPr>
        <w:t xml:space="preserve">Many international leaders of known firms have been involved in famous </w:t>
      </w:r>
      <w:r w:rsidRPr="00C0591E">
        <w:rPr>
          <w:rFonts w:cs="Times New Roman"/>
          <w:szCs w:val="24"/>
          <w:lang w:val="en-GB"/>
        </w:rPr>
        <w:t>financial</w:t>
      </w:r>
      <w:r w:rsidRPr="00C0591E">
        <w:rPr>
          <w:rFonts w:cs="Times New Roman"/>
          <w:color w:val="000000"/>
          <w:szCs w:val="24"/>
          <w:lang w:val="en-GB"/>
        </w:rPr>
        <w:t xml:space="preserve"> </w:t>
      </w:r>
      <w:r w:rsidR="00F53D43" w:rsidRPr="00C0591E">
        <w:rPr>
          <w:rFonts w:cs="Times New Roman"/>
          <w:color w:val="000000"/>
          <w:szCs w:val="24"/>
          <w:lang w:val="en-GB"/>
        </w:rPr>
        <w:t>crises</w:t>
      </w:r>
      <w:r w:rsidRPr="00C0591E">
        <w:rPr>
          <w:rFonts w:cs="Times New Roman"/>
          <w:color w:val="000000"/>
          <w:szCs w:val="24"/>
          <w:lang w:val="en-GB"/>
        </w:rPr>
        <w:t xml:space="preserve">, such as the leaders of Enron, Anderson, WorldCom, Xerox, Parmalat, </w:t>
      </w:r>
      <w:r w:rsidRPr="00C0591E">
        <w:rPr>
          <w:rFonts w:cs="Times New Roman"/>
          <w:szCs w:val="24"/>
          <w:lang w:val="en-GB"/>
        </w:rPr>
        <w:t>Merrill</w:t>
      </w:r>
      <w:r w:rsidRPr="00C0591E">
        <w:rPr>
          <w:rFonts w:cs="Times New Roman"/>
          <w:color w:val="000000"/>
          <w:szCs w:val="24"/>
          <w:lang w:val="en-GB"/>
        </w:rPr>
        <w:t xml:space="preserve"> Lynch, Maxwell, Allied Irish Bank, and </w:t>
      </w:r>
      <w:r w:rsidRPr="00C0591E">
        <w:t>Sellafield (Alimehmeti</w:t>
      </w:r>
      <w:r w:rsidR="00323DB6" w:rsidRPr="00C0591E">
        <w:t xml:space="preserve"> </w:t>
      </w:r>
      <w:r w:rsidRPr="00C0591E">
        <w:t>&amp;</w:t>
      </w:r>
      <w:r w:rsidR="00323DB6" w:rsidRPr="00C0591E">
        <w:t xml:space="preserve"> </w:t>
      </w:r>
      <w:r w:rsidR="00B25757" w:rsidRPr="00C0591E">
        <w:t>Paletta, 2018</w:t>
      </w:r>
      <w:r w:rsidRPr="00C0591E">
        <w:t xml:space="preserve">). </w:t>
      </w:r>
      <w:r w:rsidRPr="00C0591E">
        <w:rPr>
          <w:rFonts w:cs="Times New Roman"/>
          <w:color w:val="000000"/>
          <w:szCs w:val="24"/>
          <w:lang w:val="en-GB"/>
        </w:rPr>
        <w:t xml:space="preserve">A common cause for this failure resulted from weak internal </w:t>
      </w:r>
      <w:r w:rsidR="007D3F8E" w:rsidRPr="00C0591E">
        <w:rPr>
          <w:rFonts w:cs="Times New Roman"/>
          <w:color w:val="000000"/>
          <w:szCs w:val="24"/>
          <w:lang w:val="en-GB"/>
        </w:rPr>
        <w:t>control, which</w:t>
      </w:r>
      <w:r w:rsidRPr="00C0591E">
        <w:rPr>
          <w:rFonts w:cs="Times New Roman"/>
          <w:color w:val="000000"/>
          <w:szCs w:val="24"/>
          <w:lang w:val="en-GB"/>
        </w:rPr>
        <w:t xml:space="preserve"> arises from poor corporate governance of organizations (Darus &amp; </w:t>
      </w:r>
      <w:r w:rsidRPr="00C0591E">
        <w:t>Yusoff</w:t>
      </w:r>
      <w:r w:rsidR="00B25757" w:rsidRPr="00C0591E">
        <w:rPr>
          <w:rFonts w:cs="Times New Roman"/>
          <w:color w:val="000000"/>
          <w:szCs w:val="24"/>
          <w:lang w:val="en-GB"/>
        </w:rPr>
        <w:t>, 2018</w:t>
      </w:r>
      <w:r w:rsidRPr="00C0591E">
        <w:rPr>
          <w:rFonts w:cs="Times New Roman"/>
          <w:color w:val="000000"/>
          <w:szCs w:val="24"/>
          <w:lang w:val="en-GB"/>
        </w:rPr>
        <w:t xml:space="preserve">).  </w:t>
      </w:r>
    </w:p>
    <w:p w14:paraId="5A53B57C" w14:textId="7F080CE0" w:rsidR="001250A1" w:rsidRPr="00C0591E" w:rsidRDefault="001250A1" w:rsidP="00740FEA">
      <w:r w:rsidRPr="00C0591E">
        <w:t xml:space="preserve">The existing studies mention that </w:t>
      </w:r>
      <w:r w:rsidR="002F299F" w:rsidRPr="002F299F">
        <w:t xml:space="preserve">pillars of </w:t>
      </w:r>
      <w:r w:rsidRPr="00C0591E">
        <w:t>corporate governance practice: strengthens the board, helps in effective board monitoring, improves firm profitability and performance, and achieves better economic efficiency and growth (Al-Baidhani, 201</w:t>
      </w:r>
      <w:r w:rsidR="00B25757" w:rsidRPr="00C0591E">
        <w:t>7</w:t>
      </w:r>
      <w:r w:rsidRPr="00C0591E">
        <w:t>; Sarkar &amp; Sarkar, 2018).</w:t>
      </w:r>
      <w:r w:rsidR="00515E4B" w:rsidRPr="00C0591E">
        <w:t xml:space="preserve"> Al-Sager and Samontaray (2018) explained the corporate governance concepts and the importance of ownership structure and board of directors (size, composition and committees). Buallay</w:t>
      </w:r>
      <w:r w:rsidR="00BF4D20" w:rsidRPr="00C0591E">
        <w:t>,</w:t>
      </w:r>
      <w:r w:rsidR="00515E4B" w:rsidRPr="00C0591E">
        <w:t xml:space="preserve"> </w:t>
      </w:r>
      <w:r w:rsidR="00BF4D20" w:rsidRPr="00C0591E">
        <w:t xml:space="preserve">Hamdan and Zureigat </w:t>
      </w:r>
      <w:r w:rsidR="00515E4B" w:rsidRPr="00C0591E">
        <w:t xml:space="preserve">(2017) used </w:t>
      </w:r>
      <w:r w:rsidR="002F299F" w:rsidRPr="002F299F">
        <w:t xml:space="preserve">pillars of </w:t>
      </w:r>
      <w:r w:rsidR="00515E4B" w:rsidRPr="00C0591E">
        <w:t xml:space="preserve">corporate governance practices as the independent </w:t>
      </w:r>
      <w:r w:rsidR="000C3E27" w:rsidRPr="00C0591E">
        <w:t>variable, the firm performance</w:t>
      </w:r>
      <w:r w:rsidR="00515E4B" w:rsidRPr="00C0591E">
        <w:t xml:space="preserve"> as the dependent variable and five control variables: firm size, firm age, auditing quality, board size, and an industry dummy, to find the impact of governance practice on the performance. </w:t>
      </w:r>
      <w:r w:rsidR="00E043B8" w:rsidRPr="00C0591E">
        <w:t>In spite of the recognition that corporate governance is critical for firm performance and for sustained macroeconomic growth coupled with the heightened interest in the area, research in corporate governance has not received the needed attention on the continent. </w:t>
      </w:r>
      <w:r w:rsidR="000A3DA9" w:rsidRPr="00C0591E">
        <w:t xml:space="preserve"> This study assess</w:t>
      </w:r>
      <w:r w:rsidR="00740FEA" w:rsidRPr="00C0591E">
        <w:t>ed</w:t>
      </w:r>
      <w:r w:rsidR="000A3DA9" w:rsidRPr="00C0591E">
        <w:t xml:space="preserve"> the relationship between </w:t>
      </w:r>
      <w:r w:rsidR="002F299F">
        <w:t xml:space="preserve">the </w:t>
      </w:r>
      <w:r w:rsidR="002F299F" w:rsidRPr="002F299F">
        <w:t xml:space="preserve">pillars of </w:t>
      </w:r>
      <w:r w:rsidR="000A3DA9" w:rsidRPr="00C0591E">
        <w:t xml:space="preserve">corporate governance, investment policies, government regulations and </w:t>
      </w:r>
      <w:r w:rsidR="001D1660" w:rsidRPr="00C0591E">
        <w:t>performance of pension fund managers in Kenya.</w:t>
      </w:r>
    </w:p>
    <w:p w14:paraId="3A32DD9A" w14:textId="383796C0" w:rsidR="00267BE6" w:rsidRPr="00C0591E" w:rsidRDefault="00267BE6" w:rsidP="00347D67">
      <w:pPr>
        <w:rPr>
          <w:lang w:val="en-GB"/>
        </w:rPr>
      </w:pPr>
      <w:r w:rsidRPr="00C0591E">
        <w:rPr>
          <w:lang w:val="en-GB"/>
        </w:rPr>
        <w:t xml:space="preserve">The financial </w:t>
      </w:r>
      <w:r w:rsidR="00F53D43" w:rsidRPr="00C0591E">
        <w:rPr>
          <w:lang w:val="en-GB"/>
        </w:rPr>
        <w:t>crises</w:t>
      </w:r>
      <w:r w:rsidRPr="00C0591E">
        <w:rPr>
          <w:lang w:val="en-GB"/>
        </w:rPr>
        <w:t xml:space="preserve"> and several cases of corporate mismanagement have led to increasing attention on corporate governance rules and regulations, in close relation with business ethics issues </w:t>
      </w:r>
      <w:r w:rsidR="00B25757" w:rsidRPr="00C0591E">
        <w:rPr>
          <w:lang w:val="en-GB"/>
        </w:rPr>
        <w:t>(Roudaki, 2019</w:t>
      </w:r>
      <w:r w:rsidRPr="00C0591E">
        <w:rPr>
          <w:lang w:val="en-GB"/>
        </w:rPr>
        <w:t>). In addition, the financial crises have served as justification for new rules and legislations to regulate corporate governance practices in developed and dev</w:t>
      </w:r>
      <w:r w:rsidR="005C4DBF" w:rsidRPr="00C0591E">
        <w:rPr>
          <w:lang w:val="en-GB"/>
        </w:rPr>
        <w:t xml:space="preserve">eloping countries (Jen, 2014). </w:t>
      </w:r>
      <w:r w:rsidRPr="00C0591E">
        <w:rPr>
          <w:lang w:val="en-GB"/>
        </w:rPr>
        <w:t>The financial crises resulted in the legislators and regulators of most nations seeking to strengthen and enhance their corporate governance rules and regulations, disclosure, and transparency levels (Sáenz González &amp;</w:t>
      </w:r>
      <w:r w:rsidR="00794FD6" w:rsidRPr="00C0591E">
        <w:rPr>
          <w:lang w:val="en-GB"/>
        </w:rPr>
        <w:t xml:space="preserve"> </w:t>
      </w:r>
      <w:r w:rsidR="00B25757" w:rsidRPr="00C0591E">
        <w:rPr>
          <w:lang w:val="en-GB"/>
        </w:rPr>
        <w:t>García-meca, 2019</w:t>
      </w:r>
      <w:r w:rsidRPr="00C0591E">
        <w:rPr>
          <w:lang w:val="en-GB"/>
        </w:rPr>
        <w:t xml:space="preserve">).  As per the Sarbanes-Oxley Act, stock exchanges’ administrators should impose corporate governance rules and regulations on listed companies regarding audit independence, board independence, and reliability of </w:t>
      </w:r>
      <w:r w:rsidR="00B25757" w:rsidRPr="00C0591E">
        <w:rPr>
          <w:lang w:val="en-GB"/>
        </w:rPr>
        <w:t>corporate disclosures (Ali, 2018</w:t>
      </w:r>
      <w:r w:rsidRPr="00C0591E">
        <w:rPr>
          <w:lang w:val="en-GB"/>
        </w:rPr>
        <w:t>; Alimehmeti</w:t>
      </w:r>
      <w:r w:rsidR="00323DB6" w:rsidRPr="00C0591E">
        <w:rPr>
          <w:lang w:val="en-GB"/>
        </w:rPr>
        <w:t xml:space="preserve"> </w:t>
      </w:r>
      <w:r w:rsidRPr="00C0591E">
        <w:rPr>
          <w:lang w:val="en-GB"/>
        </w:rPr>
        <w:t>&amp;</w:t>
      </w:r>
      <w:r w:rsidR="00323DB6" w:rsidRPr="00C0591E">
        <w:rPr>
          <w:lang w:val="en-GB"/>
        </w:rPr>
        <w:t xml:space="preserve"> </w:t>
      </w:r>
      <w:r w:rsidR="00B25757" w:rsidRPr="00C0591E">
        <w:rPr>
          <w:lang w:val="en-GB"/>
        </w:rPr>
        <w:t>Paletta, 2018</w:t>
      </w:r>
      <w:r w:rsidRPr="00C0591E">
        <w:rPr>
          <w:lang w:val="en-GB"/>
        </w:rPr>
        <w:t xml:space="preserve">).   </w:t>
      </w:r>
    </w:p>
    <w:p w14:paraId="4C6C367C" w14:textId="24E7F209" w:rsidR="00267BE6" w:rsidRPr="00C0591E" w:rsidRDefault="00740FEA" w:rsidP="005D4FD0">
      <w:pPr>
        <w:rPr>
          <w:rFonts w:cs="Times New Roman"/>
          <w:szCs w:val="24"/>
          <w:lang w:val="en-GB"/>
        </w:rPr>
      </w:pPr>
      <w:r w:rsidRPr="00C0591E">
        <w:t xml:space="preserve">Globally, the EU, pension funds in 2019 accounted for around 30% of GDP, while insurance company assets were over 50% of GDP and investment funds 40%. The total value of institutional assets in Europe was around Euro11 tn, which implies annual revenue of around Euro 40 </w:t>
      </w:r>
      <w:r w:rsidR="003D32B7" w:rsidRPr="00C0591E">
        <w:t>billion (OECD, 2019).</w:t>
      </w:r>
      <w:r w:rsidRPr="00C0591E">
        <w:t xml:space="preserve"> The size of pension fund sectors differs markedly between countries, with Denmark, the Netherlands and Sweden as well as Switzerland standing out in Continental Europe, and the UK and Ireland also having major pension fund sectors. </w:t>
      </w:r>
      <w:r w:rsidR="003D5C71" w:rsidRPr="00C0591E">
        <w:t>The</w:t>
      </w:r>
      <w:r w:rsidRPr="00C0591E">
        <w:t xml:space="preserve"> value of institutional funds under management in Europe is dominated by the United Kingdom, which accounts for around </w:t>
      </w:r>
      <w:r w:rsidR="003D32B7" w:rsidRPr="00C0591E">
        <w:t>30 % (OECD, 2019).</w:t>
      </w:r>
      <w:r w:rsidRPr="00C0591E">
        <w:t xml:space="preserve"> </w:t>
      </w:r>
      <w:r w:rsidR="005D4FD0" w:rsidRPr="00C0591E">
        <w:t>In Continental Europe, managers tend to be balanced, offering investment management services for whole portfolios, as in the United Kingdom, rather than specialists as in the United States. Size of asset managers differs widely, largely reflecting the size of the domestic markets; hence in countries such as Ireland and in Scandinavia, firms are generally quite small. In Southern European countries, including Spain, Italy, and Portugal, there are only six companies that feature in the largest 150 in Europe. Since managers are usually balanced, this implies inefficient scale and a potential benefit from consolidation of the industry</w:t>
      </w:r>
      <w:r w:rsidR="003D32B7" w:rsidRPr="00C0591E">
        <w:t xml:space="preserve"> (OECD, 2019)</w:t>
      </w:r>
      <w:r w:rsidR="005D4FD0" w:rsidRPr="00C0591E">
        <w:t>.</w:t>
      </w:r>
    </w:p>
    <w:p w14:paraId="6E730F35" w14:textId="1B301C67" w:rsidR="00267BE6" w:rsidRPr="00C0591E" w:rsidRDefault="00740FEA" w:rsidP="00964472">
      <w:pPr>
        <w:rPr>
          <w:rFonts w:cs="Times New Roman"/>
          <w:szCs w:val="24"/>
          <w:lang w:val="en-GB"/>
        </w:rPr>
      </w:pPr>
      <w:r w:rsidRPr="00C0591E">
        <w:t xml:space="preserve">In the regional perspective, South Africa </w:t>
      </w:r>
      <w:r w:rsidR="00267BE6" w:rsidRPr="00C0591E">
        <w:t xml:space="preserve">pension market had assets totaling to US$ 252 billion representing only 0.5% of total assets (Global Pension Assets Study Report of </w:t>
      </w:r>
      <w:r w:rsidR="00C940EA" w:rsidRPr="00C0591E">
        <w:t>2019</w:t>
      </w:r>
      <w:r w:rsidR="00267BE6" w:rsidRPr="00C0591E">
        <w:t xml:space="preserve">). </w:t>
      </w:r>
      <w:r w:rsidR="00267BE6" w:rsidRPr="00C0591E">
        <w:rPr>
          <w:rFonts w:cs="Times New Roman"/>
          <w:szCs w:val="24"/>
          <w:lang w:val="en-GB"/>
        </w:rPr>
        <w:t xml:space="preserve">Most African countries have a multiplicity of pension systems. Pension </w:t>
      </w:r>
      <w:r w:rsidR="00E91FAA" w:rsidRPr="00C0591E">
        <w:rPr>
          <w:rFonts w:cs="Times New Roman"/>
          <w:szCs w:val="24"/>
          <w:lang w:val="en-GB"/>
        </w:rPr>
        <w:t>systems</w:t>
      </w:r>
      <w:r w:rsidR="00267BE6" w:rsidRPr="00C0591E">
        <w:rPr>
          <w:rFonts w:cs="Times New Roman"/>
          <w:szCs w:val="24"/>
          <w:lang w:val="en-GB"/>
        </w:rPr>
        <w:t xml:space="preserve"> exists inform </w:t>
      </w:r>
      <w:r w:rsidR="00E91FAA" w:rsidRPr="00C0591E">
        <w:rPr>
          <w:rFonts w:cs="Times New Roman"/>
          <w:szCs w:val="24"/>
          <w:lang w:val="en-GB"/>
        </w:rPr>
        <w:t>of; National</w:t>
      </w:r>
      <w:r w:rsidR="00267BE6" w:rsidRPr="00C0591E">
        <w:rPr>
          <w:rFonts w:cs="Times New Roman"/>
          <w:szCs w:val="24"/>
          <w:lang w:val="en-GB"/>
        </w:rPr>
        <w:t xml:space="preserve"> Social Security Fund (NSSF); Local Authorities Pensions Funds (LAPF); Parastatal Pensions Fund (PPF); Government Employees Provident Fund (GEPF); Public Service Pensions Fund (PSPF); and National Health Insurance Fund (NHIF) (Kyando, 2014). </w:t>
      </w:r>
      <w:r w:rsidR="00964472" w:rsidRPr="00C0591E">
        <w:rPr>
          <w:lang w:val="en-GB"/>
        </w:rPr>
        <w:t>Most African countries have a multiplicity of pension systems. In Tanzania for example, there are six (6) major formal institutions that provide social security protection. These are:  National Social Security Fund (NSSF); Local Authorities Pensions Funds (LAPF); Parastatal Pensions Fund (PPF); Government Employees Provident Fund (GEPF); Public Service Pensions Fund (PSPF); and National Health Insurance Fund (NHIF) (Kyando, 2014).</w:t>
      </w:r>
    </w:p>
    <w:p w14:paraId="08C4CE25" w14:textId="45735BCB" w:rsidR="00964472" w:rsidRPr="00C0591E" w:rsidRDefault="00740FEA" w:rsidP="006D3BB0">
      <w:pPr>
        <w:rPr>
          <w:lang w:val="en-GB"/>
        </w:rPr>
      </w:pPr>
      <w:r w:rsidRPr="00C0591E">
        <w:rPr>
          <w:lang w:val="en-GB"/>
        </w:rPr>
        <w:t>Locally</w:t>
      </w:r>
      <w:r w:rsidR="00267BE6" w:rsidRPr="00C0591E">
        <w:rPr>
          <w:lang w:val="en-GB"/>
        </w:rPr>
        <w:t xml:space="preserve">, employers or </w:t>
      </w:r>
      <w:r w:rsidR="003D32B7" w:rsidRPr="00C0591E">
        <w:rPr>
          <w:lang w:val="en-GB"/>
        </w:rPr>
        <w:t xml:space="preserve">trust corporations </w:t>
      </w:r>
      <w:r w:rsidR="00267BE6" w:rsidRPr="00C0591E">
        <w:rPr>
          <w:lang w:val="en-GB"/>
        </w:rPr>
        <w:t xml:space="preserve">set up pension schemes under irrevocable trusts. This is done in accordance with following Acts of Parliament: Trustees (Perpetual Succession) Act Cap 164; Trustees Act Cap 167; Public Trustee Act Cap 168; Perpetuities and Accumulation Act 1984; Income Tax Act Cap 487 and Retirement Benefit Act, (1997). The Retirement Benefit Act, (1997) gave rise to the development of the Retirement Benefit Regulation for occupational schemes 2001. The Kenyan retirement benefits industry is regulated by the RBA. The funds are divided into four categories: the Civil Service Pension Scheme and the National Social Security Fund both created by Act of parliament; and Occupational Schemes and Individual Schemes both created by trustee deeds. Except Civil Service Pension Scheme, the categories are under the RBA. </w:t>
      </w:r>
    </w:p>
    <w:p w14:paraId="659114CA" w14:textId="35F85421" w:rsidR="00267BE6" w:rsidRPr="00C0591E" w:rsidRDefault="00964472" w:rsidP="00347D67">
      <w:pPr>
        <w:rPr>
          <w:rFonts w:cs="Times New Roman"/>
          <w:szCs w:val="24"/>
        </w:rPr>
      </w:pPr>
      <w:r w:rsidRPr="00C0591E">
        <w:rPr>
          <w:rFonts w:cs="Times New Roman"/>
          <w:szCs w:val="24"/>
          <w:lang w:val="en-GB"/>
        </w:rPr>
        <w:t>The</w:t>
      </w:r>
      <w:r w:rsidR="00267BE6" w:rsidRPr="00C0591E">
        <w:rPr>
          <w:rFonts w:cs="Times New Roman"/>
          <w:szCs w:val="24"/>
          <w:lang w:val="en-GB"/>
        </w:rPr>
        <w:t xml:space="preserve">re are 1232 pension </w:t>
      </w:r>
      <w:r w:rsidR="005D4FD0" w:rsidRPr="00C0591E">
        <w:rPr>
          <w:rFonts w:cs="Times New Roman"/>
          <w:szCs w:val="24"/>
          <w:lang w:val="en-GB"/>
        </w:rPr>
        <w:t>schemes by</w:t>
      </w:r>
      <w:r w:rsidR="00267BE6" w:rsidRPr="00C0591E">
        <w:rPr>
          <w:rFonts w:cs="Times New Roman"/>
          <w:szCs w:val="24"/>
          <w:lang w:val="en-GB"/>
        </w:rPr>
        <w:t xml:space="preserve"> the RBA as at 06</w:t>
      </w:r>
      <w:r w:rsidR="00267BE6" w:rsidRPr="00C0591E">
        <w:rPr>
          <w:rFonts w:cs="Times New Roman"/>
          <w:szCs w:val="24"/>
          <w:vertAlign w:val="superscript"/>
          <w:lang w:val="en-GB"/>
        </w:rPr>
        <w:t>th</w:t>
      </w:r>
      <w:r w:rsidR="00267BE6" w:rsidRPr="00C0591E">
        <w:rPr>
          <w:rFonts w:cs="Times New Roman"/>
          <w:szCs w:val="24"/>
          <w:lang w:val="en-GB"/>
        </w:rPr>
        <w:t xml:space="preserve"> May 2016 (RBA, 2016). </w:t>
      </w:r>
      <w:r w:rsidR="00267BE6" w:rsidRPr="00C0591E">
        <w:rPr>
          <w:rFonts w:cs="Times New Roman"/>
          <w:szCs w:val="24"/>
        </w:rPr>
        <w:t>According to the Africa Asset Management 2020, the projected returns on equity for the period starting in 2011 to 2018 continued to decline from 7.8 to 7.2% as at the end of 2016 (Price Water Coopers, 2016). Studies such as Njuguna (201</w:t>
      </w:r>
      <w:r w:rsidR="00A07918" w:rsidRPr="00C0591E">
        <w:rPr>
          <w:rFonts w:cs="Times New Roman"/>
          <w:szCs w:val="24"/>
        </w:rPr>
        <w:t>4</w:t>
      </w:r>
      <w:r w:rsidR="00267BE6" w:rsidRPr="00C0591E">
        <w:rPr>
          <w:rFonts w:cs="Times New Roman"/>
          <w:szCs w:val="24"/>
        </w:rPr>
        <w:t>) focusses on intake of pension schemes generally but do not investigate the factors influencing investment decisions. The study by Oluoch (</w:t>
      </w:r>
      <w:r w:rsidR="00C940EA" w:rsidRPr="00C0591E">
        <w:rPr>
          <w:rFonts w:cs="Times New Roman"/>
          <w:szCs w:val="24"/>
        </w:rPr>
        <w:t>2019</w:t>
      </w:r>
      <w:r w:rsidR="00267BE6" w:rsidRPr="00C0591E">
        <w:rPr>
          <w:rFonts w:cs="Times New Roman"/>
          <w:szCs w:val="24"/>
        </w:rPr>
        <w:t xml:space="preserve">) investigated the determinants of performance of pension schemes in Kenya but does not narrow down to the factors affecting the factors influencing investment decisions. There exist little knowledge investment policies in pension funds, hence the study </w:t>
      </w:r>
      <w:r w:rsidR="00E47492" w:rsidRPr="00C0591E">
        <w:rPr>
          <w:rFonts w:cs="Times New Roman"/>
          <w:szCs w:val="24"/>
        </w:rPr>
        <w:t>sought</w:t>
      </w:r>
      <w:r w:rsidR="00267BE6" w:rsidRPr="00C0591E">
        <w:rPr>
          <w:rFonts w:cs="Times New Roman"/>
          <w:szCs w:val="24"/>
        </w:rPr>
        <w:t xml:space="preserve"> to establish the link.</w:t>
      </w:r>
    </w:p>
    <w:p w14:paraId="09D76A32" w14:textId="205DDDC9" w:rsidR="0094288F" w:rsidRPr="00C0591E" w:rsidRDefault="0094288F" w:rsidP="00347D67">
      <w:pPr>
        <w:pStyle w:val="Heading3"/>
      </w:pPr>
      <w:r w:rsidRPr="00C0591E">
        <w:t xml:space="preserve">1.1.1 </w:t>
      </w:r>
      <w:bookmarkStart w:id="25" w:name="_Toc495672596"/>
      <w:r w:rsidR="0087781E">
        <w:t xml:space="preserve">Pillars of </w:t>
      </w:r>
      <w:r w:rsidRPr="00C0591E">
        <w:t xml:space="preserve">Corporate </w:t>
      </w:r>
      <w:r w:rsidR="00103E8A" w:rsidRPr="00C0591E">
        <w:t>G</w:t>
      </w:r>
      <w:r w:rsidRPr="00C0591E">
        <w:t>overnance</w:t>
      </w:r>
      <w:bookmarkEnd w:id="25"/>
    </w:p>
    <w:p w14:paraId="74E47D2A" w14:textId="194488C4" w:rsidR="003D32B7" w:rsidRPr="00C0591E" w:rsidRDefault="003D32B7" w:rsidP="003D32B7">
      <w:r w:rsidRPr="00C0591E">
        <w:t xml:space="preserve">Corporate governance is regarded as the system through which the management of firm’s are able to direct and control their various activities. In addition, corporate governance is considered as a system of rules, processes as well as practices against which the entire operations of an organization are directed and controlled (Tricker &amp; Tricker, 2015). Corporate governance is also regarded as a framework of rules and practices through which organizational board of directors as well as the executive management ensures that there is accountability, fairness, and transparency throughout the organization as well as with its key stakeholders especially the state, the society in which they operate, customers, suppliers, staff as well as their management. Corporate governance also refers to the way boards of directors and management steer a business (Dore, 2017). </w:t>
      </w:r>
    </w:p>
    <w:p w14:paraId="77943239" w14:textId="72566D08" w:rsidR="00AE0F9D" w:rsidRDefault="00BF40D0" w:rsidP="00B16232">
      <w:r w:rsidRPr="00C0591E">
        <w:t xml:space="preserve">Several determinants have been used by different scholars to determine the </w:t>
      </w:r>
      <w:r w:rsidR="00AE0F9D">
        <w:t>pillars of corporate governance</w:t>
      </w:r>
      <w:r w:rsidRPr="00C0591E">
        <w:t>.</w:t>
      </w:r>
      <w:r w:rsidR="00B16232" w:rsidRPr="00B16232">
        <w:t xml:space="preserve"> </w:t>
      </w:r>
      <w:r w:rsidR="00B16232">
        <w:t xml:space="preserve">These pillars includes transparency, ownership structure, board accountability board size, multiple directorship and ownership structure, independence of directors, independence of committees, board size, duality problem and board meetings. </w:t>
      </w:r>
      <w:r w:rsidR="0087781E" w:rsidRPr="00B16232">
        <w:t>Transparency</w:t>
      </w:r>
      <w:r w:rsidR="0087781E" w:rsidRPr="00AE0F9D">
        <w:rPr>
          <w:b/>
        </w:rPr>
        <w:t xml:space="preserve"> </w:t>
      </w:r>
      <w:r w:rsidR="00AE0F9D" w:rsidRPr="00AE0F9D">
        <w:t>is the ac</w:t>
      </w:r>
      <w:r w:rsidR="00AE0F9D" w:rsidRPr="00E862F8">
        <w:t>cess and proper disclosure of financial information, such as a company's audited financial reports</w:t>
      </w:r>
      <w:r w:rsidR="00AE0F9D" w:rsidRPr="00AE0F9D">
        <w:t xml:space="preserve"> </w:t>
      </w:r>
      <w:r w:rsidR="00AE0F9D">
        <w:t xml:space="preserve">(Ramírez &amp; Tejada, </w:t>
      </w:r>
      <w:r w:rsidR="00AE0F9D" w:rsidRPr="001276E2">
        <w:t>2018)</w:t>
      </w:r>
      <w:r w:rsidR="00AE0F9D">
        <w:t xml:space="preserve">. It </w:t>
      </w:r>
      <w:r w:rsidR="00AE0F9D" w:rsidRPr="00E862F8">
        <w:t>enable</w:t>
      </w:r>
      <w:r w:rsidR="00AE0F9D">
        <w:t>s</w:t>
      </w:r>
      <w:r w:rsidR="00AE0F9D" w:rsidRPr="00E862F8">
        <w:t xml:space="preserve"> others to see and understand how they operate in an honest way.</w:t>
      </w:r>
      <w:r w:rsidR="00AE0F9D" w:rsidRPr="00C63E43">
        <w:t xml:space="preserve"> </w:t>
      </w:r>
      <w:r w:rsidR="00AE0F9D" w:rsidRPr="001276E2">
        <w:t>Widiatmika and Darma (2018) defines transparency</w:t>
      </w:r>
      <w:r w:rsidR="00AE0F9D" w:rsidRPr="00E62275">
        <w:t xml:space="preserve"> </w:t>
      </w:r>
      <w:r w:rsidR="00AE0F9D">
        <w:t>as</w:t>
      </w:r>
      <w:r w:rsidR="00AE0F9D" w:rsidRPr="00E62275">
        <w:t xml:space="preserve"> having full disclosure</w:t>
      </w:r>
      <w:r w:rsidR="00AE0F9D">
        <w:t xml:space="preserve"> in public companies</w:t>
      </w:r>
      <w:r w:rsidR="00AE0F9D" w:rsidRPr="00E62275">
        <w:t>.</w:t>
      </w:r>
      <w:r w:rsidR="00AE0F9D">
        <w:t xml:space="preserve"> Transparency </w:t>
      </w:r>
      <w:r w:rsidR="00AE0F9D" w:rsidRPr="00C63E43">
        <w:t>allows its processes and transactions observable to outsiders. It also makes necessary disclosures, informs everyone affected about its decisions. Transparency is a critical component of corporate governance because it ensures that all of entity’s actions can be checked at any gi</w:t>
      </w:r>
      <w:r w:rsidR="00AE0F9D">
        <w:t>ven time by an outside observer</w:t>
      </w:r>
      <w:r w:rsidR="00AE0F9D" w:rsidRPr="00E62275">
        <w:t xml:space="preserve"> (Azeez, 2015). Transparency ensures that all company’s actions can be checked at any giv</w:t>
      </w:r>
      <w:r w:rsidR="00AE0F9D">
        <w:t xml:space="preserve">en time by an outside observer especially in the insurance sector where pool funds are invested. </w:t>
      </w:r>
    </w:p>
    <w:p w14:paraId="664FB947" w14:textId="77777777" w:rsidR="00AE0F9D" w:rsidRPr="00C420ED" w:rsidRDefault="00AE0F9D" w:rsidP="00B16232">
      <w:pPr>
        <w:rPr>
          <w:color w:val="FF0000"/>
        </w:rPr>
      </w:pPr>
      <w:r w:rsidRPr="00B16232">
        <w:t>Ownership structure</w:t>
      </w:r>
      <w:r w:rsidRPr="00FC36CD">
        <w:t xml:space="preserve"> is defined by the distribution of equity with regard to votes and capital but also by the identity of the equity owners (Paniagua, Rivelles &amp; Sapena, 2018). Ownership structure</w:t>
      </w:r>
      <w:r w:rsidRPr="00E862F8">
        <w:t xml:space="preserve"> concerns the internal organization of a business entity and the rights and duties of the individual holding the equitable or legal interest in that </w:t>
      </w:r>
      <w:r>
        <w:t>company (</w:t>
      </w:r>
      <w:r w:rsidRPr="00AF1088">
        <w:t xml:space="preserve">Utama, </w:t>
      </w:r>
      <w:r>
        <w:t xml:space="preserve">&amp; Amarullah, </w:t>
      </w:r>
      <w:r w:rsidRPr="00AF1088">
        <w:t>2017).</w:t>
      </w:r>
      <w:r w:rsidRPr="003C55EF">
        <w:t xml:space="preserve"> </w:t>
      </w:r>
      <w:r>
        <w:t xml:space="preserve">Ownership concentration is perceived by agency theory assumptions as an effective monitoring technique by which shareholders can ensure that managers are behaving in line with their interests. </w:t>
      </w:r>
      <w:r w:rsidRPr="000A1184">
        <w:t xml:space="preserve">Ownership structures are of major importance in corporate governance because they affect the incentives of managers and thereby the running and performance of the insurance firms. </w:t>
      </w:r>
    </w:p>
    <w:p w14:paraId="76BE324F" w14:textId="2B871383" w:rsidR="00AE0F9D" w:rsidRDefault="00AE0F9D" w:rsidP="00B16232">
      <w:r w:rsidRPr="001276E2">
        <w:t xml:space="preserve">Board </w:t>
      </w:r>
      <w:r>
        <w:t xml:space="preserve">accountability in </w:t>
      </w:r>
      <w:r w:rsidRPr="00E862F8">
        <w:t xml:space="preserve">governance </w:t>
      </w:r>
      <w:r w:rsidR="00B16232">
        <w:t>is</w:t>
      </w:r>
      <w:r w:rsidRPr="00E862F8">
        <w:t xml:space="preserve"> the framework that structures the board and how it operates</w:t>
      </w:r>
      <w:r w:rsidR="00B16232">
        <w:t xml:space="preserve"> (Naciti, </w:t>
      </w:r>
      <w:r w:rsidR="00B16232" w:rsidRPr="001276E2">
        <w:t>2019)</w:t>
      </w:r>
      <w:r w:rsidRPr="00E862F8">
        <w:t xml:space="preserve">. </w:t>
      </w:r>
      <w:r>
        <w:t xml:space="preserve">According to Alabdullah, </w:t>
      </w:r>
      <w:r w:rsidRPr="00AF1088">
        <w:t>Ahmed</w:t>
      </w:r>
      <w:r>
        <w:t xml:space="preserve"> and Muneerali (2019),</w:t>
      </w:r>
      <w:r w:rsidRPr="00AF1088">
        <w:t xml:space="preserve"> </w:t>
      </w:r>
      <w:r w:rsidRPr="00FC36CD">
        <w:t xml:space="preserve">board’s </w:t>
      </w:r>
      <w:r>
        <w:t>accountability</w:t>
      </w:r>
      <w:r w:rsidRPr="00FC36CD">
        <w:t xml:space="preserve"> </w:t>
      </w:r>
      <w:r>
        <w:t>entails</w:t>
      </w:r>
      <w:r w:rsidRPr="00FC36CD">
        <w:t xml:space="preserve"> providing leadership to achieve these aims, establishing a supervisory process to ensure that the management of the business is effective and to report to shareholders on its performance</w:t>
      </w:r>
      <w:r>
        <w:t>.</w:t>
      </w:r>
      <w:r w:rsidRPr="00FC36CD">
        <w:t xml:space="preserve"> </w:t>
      </w:r>
      <w:r w:rsidRPr="00E862F8">
        <w:t>At its core, board includes the boards’ responsibilities and organisational well-being.</w:t>
      </w:r>
      <w:r w:rsidRPr="00E62275">
        <w:t xml:space="preserve"> </w:t>
      </w:r>
      <w:r w:rsidRPr="00FC36CD">
        <w:t xml:space="preserve">Board </w:t>
      </w:r>
      <w:r w:rsidRPr="00AE0F9D">
        <w:t xml:space="preserve">accountability </w:t>
      </w:r>
      <w:r w:rsidRPr="00E62275">
        <w:t xml:space="preserve">is </w:t>
      </w:r>
      <w:r>
        <w:t xml:space="preserve">an </w:t>
      </w:r>
      <w:r w:rsidRPr="00E62275">
        <w:t>important component of corporate governance which means being answerable or liable for something (Ullah, 2016).</w:t>
      </w:r>
      <w:r>
        <w:t xml:space="preserve"> In the insurance sector, the board has a key responsibility to ensure that the pool funds are invested responsibly and reporting.</w:t>
      </w:r>
    </w:p>
    <w:p w14:paraId="484E0176" w14:textId="7F24FD12" w:rsidR="0094288F" w:rsidRPr="00C0591E" w:rsidRDefault="00B16232" w:rsidP="00B16232">
      <w:r w:rsidRPr="00B16232">
        <w:t>Stakeholder participation</w:t>
      </w:r>
      <w:r w:rsidR="002F299F">
        <w:t xml:space="preserve"> are the</w:t>
      </w:r>
      <w:r w:rsidRPr="00B16232">
        <w:t xml:space="preserve"> </w:t>
      </w:r>
      <w:r w:rsidR="002F299F" w:rsidRPr="002F299F">
        <w:t xml:space="preserve">processes that enable stakeholders to understand and influence decisions and processes that may interest or affect them </w:t>
      </w:r>
      <w:r>
        <w:t>(</w:t>
      </w:r>
      <w:r w:rsidRPr="00C0591E">
        <w:t>Adebayo, Mudash</w:t>
      </w:r>
      <w:r>
        <w:t xml:space="preserve">iru, Brahim &amp; Ishmael, 2014). </w:t>
      </w:r>
      <w:r w:rsidRPr="00B16232">
        <w:t xml:space="preserve">Stakeholder participation promotes sustainable decisions by considering the needs and interests of all participants, including the decision-makers. The rights of shareholders, investors and all other stakeholders that are established by law or through mutual agreements are to be respected </w:t>
      </w:r>
      <w:r>
        <w:t xml:space="preserve">(Guzeh, </w:t>
      </w:r>
      <w:r w:rsidRPr="00C0591E">
        <w:t>2019</w:t>
      </w:r>
      <w:r>
        <w:t xml:space="preserve">). </w:t>
      </w:r>
      <w:r w:rsidR="00BF40D0" w:rsidRPr="00C0591E">
        <w:t>This research focus</w:t>
      </w:r>
      <w:r w:rsidR="0015128E" w:rsidRPr="00C0591E">
        <w:t>ed</w:t>
      </w:r>
      <w:r w:rsidR="00BF40D0" w:rsidRPr="00C0591E">
        <w:t xml:space="preserve"> on four governance attributes; </w:t>
      </w:r>
      <w:r w:rsidR="0015128E" w:rsidRPr="00C0591E">
        <w:t xml:space="preserve">predictability, accountability, transparency and </w:t>
      </w:r>
      <w:r w:rsidRPr="00C0591E">
        <w:t>participation</w:t>
      </w:r>
      <w:r>
        <w:t xml:space="preserve"> as guided by the studies by Ramírez and Tejada (2018); Paniagua, Rivelles and</w:t>
      </w:r>
      <w:r w:rsidRPr="00FC36CD">
        <w:t xml:space="preserve"> Sapena, </w:t>
      </w:r>
      <w:r>
        <w:t>(</w:t>
      </w:r>
      <w:r w:rsidRPr="00FC36CD">
        <w:t>2018</w:t>
      </w:r>
      <w:r>
        <w:t>); Naciti (</w:t>
      </w:r>
      <w:r w:rsidRPr="001276E2">
        <w:t>2019</w:t>
      </w:r>
      <w:r>
        <w:t xml:space="preserve">); </w:t>
      </w:r>
      <w:r w:rsidRPr="00C0591E">
        <w:t>Adebayo, Mudash</w:t>
      </w:r>
      <w:r>
        <w:t>iru, Brahim and Ishmael (2014)</w:t>
      </w:r>
      <w:r w:rsidR="000018E9" w:rsidRPr="00C0591E">
        <w:t>.</w:t>
      </w:r>
    </w:p>
    <w:p w14:paraId="739AD691" w14:textId="61916BCB" w:rsidR="0094288F" w:rsidRPr="00C0591E" w:rsidRDefault="0094288F" w:rsidP="00347D67">
      <w:pPr>
        <w:pStyle w:val="Heading3"/>
        <w:rPr>
          <w:lang w:val="en-GB"/>
        </w:rPr>
      </w:pPr>
      <w:bookmarkStart w:id="26" w:name="_Toc523231687"/>
      <w:r w:rsidRPr="00C0591E">
        <w:rPr>
          <w:lang w:val="en-GB"/>
        </w:rPr>
        <w:t xml:space="preserve">1.1.2 </w:t>
      </w:r>
      <w:r w:rsidRPr="00C0591E">
        <w:t>Investment</w:t>
      </w:r>
      <w:r w:rsidRPr="00C0591E">
        <w:rPr>
          <w:lang w:val="en-GB"/>
        </w:rPr>
        <w:t xml:space="preserve"> </w:t>
      </w:r>
      <w:r w:rsidR="00103E8A" w:rsidRPr="00C0591E">
        <w:rPr>
          <w:lang w:val="en-GB"/>
        </w:rPr>
        <w:t>Policies</w:t>
      </w:r>
      <w:bookmarkEnd w:id="26"/>
      <w:r w:rsidR="00103E8A" w:rsidRPr="00C0591E">
        <w:rPr>
          <w:lang w:val="en-GB"/>
        </w:rPr>
        <w:t xml:space="preserve"> </w:t>
      </w:r>
    </w:p>
    <w:p w14:paraId="7B8DBE91" w14:textId="16CD3DE1" w:rsidR="00E2135A" w:rsidRPr="00C0591E" w:rsidRDefault="0094288F" w:rsidP="003D5C71">
      <w:r w:rsidRPr="00C0591E">
        <w:t>Acc</w:t>
      </w:r>
      <w:r w:rsidR="00B25757" w:rsidRPr="00C0591E">
        <w:t>ording to Musalem and Souto (201</w:t>
      </w:r>
      <w:r w:rsidRPr="00C0591E">
        <w:t xml:space="preserve">9) </w:t>
      </w:r>
      <w:r w:rsidR="002B55A9" w:rsidRPr="00C0591E">
        <w:t>an investment policy describes the parameters for investing funds and identifies the investment objectives, preferences or tolerance for risk, constraints on the investment portfolio, and how the investment program will be managed and monitored. Pension</w:t>
      </w:r>
      <w:r w:rsidRPr="00C0591E">
        <w:t xml:space="preserve"> schemes offer platforms for contributors to accumulate savings during their working life so as to finance their financial needs at old age. This is done either as a lump sum or by an </w:t>
      </w:r>
      <w:r w:rsidR="002B55A9" w:rsidRPr="00C0591E">
        <w:t>annuity</w:t>
      </w:r>
      <w:r w:rsidR="002B55A9" w:rsidRPr="00C0591E">
        <w:rPr>
          <w:rFonts w:cs="Times New Roman"/>
          <w:color w:val="000000"/>
          <w:szCs w:val="24"/>
          <w:lang w:val="en-GB"/>
        </w:rPr>
        <w:t xml:space="preserve"> (Darus &amp; </w:t>
      </w:r>
      <w:r w:rsidR="002B55A9" w:rsidRPr="00C0591E">
        <w:t>Yusoff</w:t>
      </w:r>
      <w:r w:rsidR="002B55A9" w:rsidRPr="00C0591E">
        <w:rPr>
          <w:rFonts w:cs="Times New Roman"/>
          <w:color w:val="000000"/>
          <w:szCs w:val="24"/>
          <w:lang w:val="en-GB"/>
        </w:rPr>
        <w:t xml:space="preserve">, 2018).  </w:t>
      </w:r>
      <w:r w:rsidRPr="00C0591E">
        <w:t>The pension fund is a common asset pool meant to generate stable growth over the long term, and provide pensions for employees when they reach the end of their working years and commence retirement. These targeted investments often require union built construction or are aimed at job creation and retention as in the case of private equity in</w:t>
      </w:r>
      <w:r w:rsidR="00B25757" w:rsidRPr="00C0591E">
        <w:t>vestments (Hebb &amp; Beeferman, 201</w:t>
      </w:r>
      <w:r w:rsidRPr="00C0591E">
        <w:t xml:space="preserve">8). </w:t>
      </w:r>
      <w:r w:rsidR="003D5C71" w:rsidRPr="00C0591E">
        <w:t>The key investment policies components include acts and covenants, leverage of the fund and fund liquidity.</w:t>
      </w:r>
    </w:p>
    <w:p w14:paraId="16267C8D" w14:textId="381DEDD2" w:rsidR="0094288F" w:rsidRPr="00C0591E" w:rsidRDefault="00E2135A" w:rsidP="002B55A9">
      <w:r w:rsidRPr="00C0591E">
        <w:t>The investment policies varies depending on the type of pension plan. In the case of defined benefit plans, the goal of the investment function is to generate the highest possible returns consistent with the liabilities and liquidity needs of the pension plan, and in light of the risk tolerances of affected parties</w:t>
      </w:r>
      <w:r w:rsidR="00964472" w:rsidRPr="00C0591E">
        <w:t xml:space="preserve"> (Buallay, Hamdan &amp; Zureigat, 2017)</w:t>
      </w:r>
      <w:r w:rsidRPr="00C0591E">
        <w:t xml:space="preserve">. In a defined contribution plan, the main goal of the investment function is to generate gains that accrue to individual member account balances in light of her investment goals. </w:t>
      </w:r>
      <w:r w:rsidR="0094288F" w:rsidRPr="00C0591E">
        <w:t>Although various economic issues arise due to various developments of pension schemes it is notable that similar issues also arise in least developed countries</w:t>
      </w:r>
      <w:r w:rsidR="00964472" w:rsidRPr="00C0591E">
        <w:rPr>
          <w:lang w:val="en-GB"/>
        </w:rPr>
        <w:t xml:space="preserve"> (Alimehmeti &amp; Paletta, 2018). </w:t>
      </w:r>
      <w:r w:rsidR="0094288F" w:rsidRPr="00C0591E">
        <w:t>Thus, traditional methods for providing the elderly with care are disintegrating because of the rapidly ageing population, industrialization,</w:t>
      </w:r>
      <w:r w:rsidR="0094288F" w:rsidRPr="00C0591E">
        <w:rPr>
          <w:lang w:val="en-GB"/>
        </w:rPr>
        <w:t xml:space="preserve"> and ill-conceived socia</w:t>
      </w:r>
      <w:r w:rsidR="00B25757" w:rsidRPr="00C0591E">
        <w:rPr>
          <w:lang w:val="en-GB"/>
        </w:rPr>
        <w:t>l-security systems (Sampson, 201</w:t>
      </w:r>
      <w:r w:rsidR="0094288F" w:rsidRPr="00C0591E">
        <w:rPr>
          <w:lang w:val="en-GB"/>
        </w:rPr>
        <w:t>7). These schemes often have a range of labour friendly policies and programs aimed at building strong and healthy communities. Such programs include responsible contractors’ policies, responsible investors’ policies, and specific allocations for targeted (or economically targeted) investment</w:t>
      </w:r>
      <w:r w:rsidR="00B25757" w:rsidRPr="00C0591E">
        <w:rPr>
          <w:lang w:val="en-GB"/>
        </w:rPr>
        <w:t>s in their investment portfolio thus acting as a suitable mediating variable.</w:t>
      </w:r>
    </w:p>
    <w:p w14:paraId="51A0D72D" w14:textId="5C58A95E" w:rsidR="0094288F" w:rsidRPr="00C0591E" w:rsidRDefault="0094288F" w:rsidP="00347D67">
      <w:pPr>
        <w:pStyle w:val="Heading3"/>
        <w:rPr>
          <w:lang w:val="en-GB"/>
        </w:rPr>
      </w:pPr>
      <w:bookmarkStart w:id="27" w:name="_Toc523231688"/>
      <w:r w:rsidRPr="00C0591E">
        <w:rPr>
          <w:lang w:val="en-GB"/>
        </w:rPr>
        <w:t xml:space="preserve">1.1.3 </w:t>
      </w:r>
      <w:r w:rsidRPr="00C0591E">
        <w:t>Government</w:t>
      </w:r>
      <w:r w:rsidRPr="00C0591E">
        <w:rPr>
          <w:lang w:val="en-GB"/>
        </w:rPr>
        <w:t xml:space="preserve"> Regulations</w:t>
      </w:r>
      <w:bookmarkEnd w:id="27"/>
    </w:p>
    <w:p w14:paraId="226BB9EF" w14:textId="3F4C22ED" w:rsidR="0094288F" w:rsidRPr="00C0591E" w:rsidRDefault="003D32B7" w:rsidP="00347D67">
      <w:r w:rsidRPr="00C0591E">
        <w:t>Government regulations are rules that define the bounds of legal behavior in the pension funds and may</w:t>
      </w:r>
      <w:r w:rsidR="0094288F" w:rsidRPr="00C0591E">
        <w:t xml:space="preserve"> take various forms. It could be restriction on industry structure where specific institutions can carry out the fund management business</w:t>
      </w:r>
      <w:r w:rsidR="0094288F" w:rsidRPr="00C0591E">
        <w:rPr>
          <w:szCs w:val="24"/>
        </w:rPr>
        <w:t xml:space="preserve"> (Njuguna, 201</w:t>
      </w:r>
      <w:r w:rsidRPr="00C0591E">
        <w:rPr>
          <w:szCs w:val="24"/>
        </w:rPr>
        <w:t>9</w:t>
      </w:r>
      <w:r w:rsidR="0094288F" w:rsidRPr="00C0591E">
        <w:rPr>
          <w:szCs w:val="24"/>
        </w:rPr>
        <w:t>).</w:t>
      </w:r>
      <w:r w:rsidR="0094288F" w:rsidRPr="00C0591E">
        <w:t xml:space="preserve"> For example, the Chilean pension reform established a new pension fund management industry. It could also be regulation of fund performance. In this </w:t>
      </w:r>
      <w:r w:rsidR="008A1A2D" w:rsidRPr="00C0591E">
        <w:t>case,</w:t>
      </w:r>
      <w:r w:rsidR="0094288F" w:rsidRPr="00C0591E">
        <w:t xml:space="preserve"> pension funds must guarantee an absolute return on </w:t>
      </w:r>
      <w:r w:rsidR="0094288F" w:rsidRPr="00C0591E">
        <w:rPr>
          <w:szCs w:val="24"/>
        </w:rPr>
        <w:t>investment (</w:t>
      </w:r>
      <w:r w:rsidR="005D0E3F" w:rsidRPr="00C0591E">
        <w:t>Economic Co-operation and Development (OECD),</w:t>
      </w:r>
      <w:r w:rsidR="0094288F" w:rsidRPr="00C0591E">
        <w:t xml:space="preserve"> </w:t>
      </w:r>
      <w:r w:rsidR="00C940EA" w:rsidRPr="00C0591E">
        <w:t>2019</w:t>
      </w:r>
      <w:r w:rsidR="0094288F" w:rsidRPr="00C0591E">
        <w:t>). The returns are chosen based on the industry’s average performance. This is the case in Germany and Chile. Lastly, it could be through regulations that impose limits on the share of investment assets held by pension plans</w:t>
      </w:r>
      <w:r w:rsidRPr="00C0591E">
        <w:t xml:space="preserve"> (Chirchir, 201</w:t>
      </w:r>
      <w:r w:rsidR="0094288F" w:rsidRPr="00C0591E">
        <w:t xml:space="preserve">7). </w:t>
      </w:r>
    </w:p>
    <w:p w14:paraId="19C8BE79" w14:textId="4CAB5391" w:rsidR="0094288F" w:rsidRPr="00C0591E" w:rsidRDefault="000E0DDC" w:rsidP="00347D67">
      <w:pPr>
        <w:rPr>
          <w:rFonts w:cs="Times New Roman"/>
        </w:rPr>
      </w:pPr>
      <w:r w:rsidRPr="00C0591E">
        <w:rPr>
          <w:rFonts w:cs="Times New Roman"/>
        </w:rPr>
        <w:t>It</w:t>
      </w:r>
      <w:r w:rsidR="0094288F" w:rsidRPr="00C0591E">
        <w:rPr>
          <w:rFonts w:cs="Times New Roman"/>
        </w:rPr>
        <w:t xml:space="preserve"> consist of setting ceilings (maximum) or floors (minimums) on the fund that can be invested in given assets. Different countries have adopted different degrees of pension regulations. Many countries </w:t>
      </w:r>
      <w:r w:rsidR="008A1A2D" w:rsidRPr="00C0591E">
        <w:rPr>
          <w:rFonts w:cs="Times New Roman"/>
        </w:rPr>
        <w:t>start</w:t>
      </w:r>
      <w:r w:rsidR="0094288F" w:rsidRPr="00C0591E">
        <w:rPr>
          <w:rFonts w:cs="Times New Roman"/>
        </w:rPr>
        <w:t xml:space="preserve"> with stringent regulations but relax over time as the industry matures. A pension fund can invest a maximum 40% in equities, 20% in commercial paper, 50% in government securities, 5 % self-investments and 12% </w:t>
      </w:r>
      <w:r w:rsidR="0094288F" w:rsidRPr="00C0591E">
        <w:rPr>
          <w:rFonts w:cs="Times New Roman"/>
          <w:szCs w:val="24"/>
        </w:rPr>
        <w:t xml:space="preserve">in foreign investments. In Argentina 98% of pension funds must be invested in Argentinean investments (OECD, </w:t>
      </w:r>
      <w:r w:rsidR="00C940EA" w:rsidRPr="00C0591E">
        <w:rPr>
          <w:rFonts w:cs="Times New Roman"/>
          <w:szCs w:val="24"/>
        </w:rPr>
        <w:t>2019</w:t>
      </w:r>
      <w:r w:rsidR="0094288F" w:rsidRPr="00C0591E">
        <w:rPr>
          <w:rFonts w:cs="Times New Roman"/>
          <w:szCs w:val="24"/>
        </w:rPr>
        <w:t>).</w:t>
      </w:r>
      <w:r w:rsidR="0094288F" w:rsidRPr="00C0591E">
        <w:rPr>
          <w:rFonts w:cs="Times New Roman"/>
        </w:rPr>
        <w:t xml:space="preserve"> South Africa pension funds must be invested within allowable limits as directed in the Pension Fund Act 1956, section 19</w:t>
      </w:r>
      <w:r w:rsidR="004244B2" w:rsidRPr="00C0591E">
        <w:rPr>
          <w:rFonts w:cs="Times New Roman"/>
        </w:rPr>
        <w:t xml:space="preserve"> </w:t>
      </w:r>
      <w:r w:rsidR="0094288F" w:rsidRPr="00C0591E">
        <w:rPr>
          <w:rFonts w:cs="Times New Roman"/>
        </w:rPr>
        <w:t xml:space="preserve">and Regulation 28. US pension sector, the largest and most established in the world has no set regulations on investments of pension funds. It is a fully liberalised sector wholly reliant on the “prudent man rule” of investments after a undergoing through a period of restricted investments. </w:t>
      </w:r>
    </w:p>
    <w:p w14:paraId="453FE7B9" w14:textId="0BDACF20" w:rsidR="0094288F" w:rsidRPr="00C0591E" w:rsidRDefault="0094288F" w:rsidP="002B55A9">
      <w:r w:rsidRPr="00C0591E">
        <w:t xml:space="preserve">United Kingdom (UK) regulates all the aspects of pension administration save investments, which remains unregulated. They too follow the principle of prudent man rule after a time of restricted investments (Even, 2004). The retirement benefits Act devotes several sections in the Retirement Benefits Act and Retirement Benefits Regulation that provides directives or guidelines on investment of pension </w:t>
      </w:r>
      <w:r w:rsidRPr="00C0591E">
        <w:rPr>
          <w:szCs w:val="24"/>
        </w:rPr>
        <w:t xml:space="preserve">funds (OECD, </w:t>
      </w:r>
      <w:r w:rsidR="00C940EA" w:rsidRPr="00C0591E">
        <w:rPr>
          <w:szCs w:val="24"/>
        </w:rPr>
        <w:t>2019</w:t>
      </w:r>
      <w:r w:rsidRPr="00C0591E">
        <w:rPr>
          <w:szCs w:val="24"/>
        </w:rPr>
        <w:t>). These</w:t>
      </w:r>
      <w:r w:rsidRPr="00C0591E">
        <w:t xml:space="preserve"> are contained in the Retirement Benefits Act 1997, sections 38 (1) (b), 39 and 40, Regulation 31 (1) of the retirement benefits (Individual Retirement Benefits Schemes) regulations 2000 and regulation 38 (1) of the Retirement Benefits (Occupational Retirement Benefits Schemes) Regulations 2000. Section 38 makes distinct restriction on the use of funds (Even, 2004). Scheme funds cannot be used to make direct or indirect loans or invested in a bank, non-banking financial institutions, insurance company, or building society with a view to securing a loan. </w:t>
      </w:r>
    </w:p>
    <w:p w14:paraId="23DF250F" w14:textId="56DA247E" w:rsidR="009D4BF2" w:rsidRPr="00C0591E" w:rsidRDefault="002B55A9" w:rsidP="009D4BF2">
      <w:pPr>
        <w:rPr>
          <w:lang w:val="en-GB"/>
        </w:rPr>
      </w:pPr>
      <w:r w:rsidRPr="00C0591E">
        <w:rPr>
          <w:lang w:val="en-GB"/>
        </w:rPr>
        <w:t>In Kenya, employers or Trust Corporations set up pension schemes under irrevocable trusts. This is done in accordance with following Acts of Parliament: Trustees (Perpetual Succession) Act Cap 164; Trustees Act Cap 167; Public Trustee Act Cap 168; Perpetuities and Accumulation Act 1984; Income Tax Act Cap 487 and Retirement Benefit Act, (1997). The Retirement Benefit Act, (1997) gave rise to the development of the Retirement Benefit Regulation for occupational schemes 2001.</w:t>
      </w:r>
      <w:r w:rsidR="009D4BF2" w:rsidRPr="00C0591E">
        <w:t xml:space="preserve"> The government regulations used in this study include</w:t>
      </w:r>
      <w:r w:rsidR="009D4BF2" w:rsidRPr="00C0591E">
        <w:rPr>
          <w:lang w:val="en-GB"/>
        </w:rPr>
        <w:t xml:space="preserve"> </w:t>
      </w:r>
      <w:r w:rsidR="00BF51FA" w:rsidRPr="00C0591E">
        <w:rPr>
          <w:lang w:val="en-GB"/>
        </w:rPr>
        <w:t>Retirement Benefit</w:t>
      </w:r>
      <w:r w:rsidR="009D4BF2" w:rsidRPr="00C0591E">
        <w:rPr>
          <w:lang w:val="en-GB"/>
        </w:rPr>
        <w:t>/CMA guidelines, taxation and inflation.</w:t>
      </w:r>
    </w:p>
    <w:p w14:paraId="3FA96DC9" w14:textId="3D0FE3E0" w:rsidR="0094288F" w:rsidRPr="00C0591E" w:rsidRDefault="0094288F" w:rsidP="00347D67">
      <w:pPr>
        <w:pStyle w:val="Heading3"/>
        <w:rPr>
          <w:lang w:val="en-GB"/>
        </w:rPr>
      </w:pPr>
      <w:bookmarkStart w:id="28" w:name="_Toc523231690"/>
      <w:r w:rsidRPr="00C0591E">
        <w:rPr>
          <w:lang w:val="en-GB"/>
        </w:rPr>
        <w:t>1.1.</w:t>
      </w:r>
      <w:r w:rsidR="002E3A73" w:rsidRPr="00C0591E">
        <w:rPr>
          <w:lang w:val="en-GB"/>
        </w:rPr>
        <w:t>4</w:t>
      </w:r>
      <w:r w:rsidRPr="00C0591E">
        <w:rPr>
          <w:lang w:val="en-GB"/>
        </w:rPr>
        <w:t xml:space="preserve"> </w:t>
      </w:r>
      <w:r w:rsidR="00B10E06" w:rsidRPr="00C0591E">
        <w:t>Performance</w:t>
      </w:r>
      <w:r w:rsidR="00B10E06" w:rsidRPr="00C0591E">
        <w:rPr>
          <w:lang w:val="en-GB"/>
        </w:rPr>
        <w:t xml:space="preserve"> of </w:t>
      </w:r>
      <w:r w:rsidRPr="00C0591E">
        <w:rPr>
          <w:lang w:val="en-GB"/>
        </w:rPr>
        <w:t>Pension Fund Managers</w:t>
      </w:r>
      <w:bookmarkEnd w:id="28"/>
      <w:r w:rsidR="00B10E06" w:rsidRPr="00C0591E">
        <w:rPr>
          <w:lang w:val="en-GB"/>
        </w:rPr>
        <w:t xml:space="preserve"> </w:t>
      </w:r>
    </w:p>
    <w:p w14:paraId="6236D5E9" w14:textId="2BA82F5D" w:rsidR="001F680E" w:rsidRPr="00C0591E" w:rsidRDefault="001F680E" w:rsidP="001F680E">
      <w:r w:rsidRPr="00C0591E">
        <w:t xml:space="preserve">Performance comprises the actual output or results of an organization as measured against its intended outputs. In other words, performance encompasses the actual output or results of an organization as measured against its intended outputs (or goals and objectives) (Cameron, 2017). Performance can be referred to as doing the work, as well as the results achieved after work completion. Performance refers to the work outcomes that provide the linkage to strategic goals of an organization and its contribution to the economy. Performance denotes its capability to efficiently utilize resources to achieve set objectives (Marinova et al., 2016). The extent of achievement of set goals is considered a measure of performance (Katou &amp; Budhwar, 2018). </w:t>
      </w:r>
    </w:p>
    <w:p w14:paraId="1330E11D" w14:textId="77777777" w:rsidR="001F680E" w:rsidRPr="00C0591E" w:rsidRDefault="001F680E" w:rsidP="001F680E">
      <w:r w:rsidRPr="00C0591E">
        <w:rPr>
          <w:rFonts w:cs="Times New Roman"/>
        </w:rPr>
        <w:t xml:space="preserve">Walker and Iglesias (2019) also counsel against international comparisons of traditional performance measures, including returns, volatility, and Sharpe ratios. They argue that in addition to the differences in investment alternatives, including different risk-free interest rates and different investment alternatives, pension fund managers in different countries are subject to different risks, including exchange rate risk and real interest risk, which make comparisons not meaningful </w:t>
      </w:r>
      <w:r w:rsidRPr="00C0591E">
        <w:rPr>
          <w:lang w:val="en-GB"/>
        </w:rPr>
        <w:t xml:space="preserve">(Roudaki, 2019). </w:t>
      </w:r>
      <w:r w:rsidRPr="00C0591E">
        <w:rPr>
          <w:rFonts w:cs="Times New Roman"/>
        </w:rPr>
        <w:t xml:space="preserve">They argue that volatility cannot be considered as a comprehensive measure of risk, because intrinsic risk elements are found in countries with different levels of development. For example, Sharpe ratios tend to vary overtime and across asset classes, and therefore comparing pension funds that have invested differently or in different time frames may not always be relevant </w:t>
      </w:r>
      <w:r w:rsidRPr="00C0591E">
        <w:t>(Alimehmeti &amp; Paletta, 2018)</w:t>
      </w:r>
      <w:r w:rsidRPr="00C0591E">
        <w:rPr>
          <w:rFonts w:cs="Times New Roman"/>
        </w:rPr>
        <w:t>.</w:t>
      </w:r>
    </w:p>
    <w:p w14:paraId="61E5A018" w14:textId="788E8E5B" w:rsidR="0094288F" w:rsidRPr="00C0591E" w:rsidRDefault="0094288F" w:rsidP="000E0DDC">
      <w:r w:rsidRPr="00C0591E">
        <w:t xml:space="preserve">In Kenya, the pension industry is regulated by the Retirement Benefits </w:t>
      </w:r>
      <w:r w:rsidR="007B0AD5" w:rsidRPr="00C0591E">
        <w:t xml:space="preserve">Authority (RBA) </w:t>
      </w:r>
      <w:r w:rsidR="00B76106" w:rsidRPr="00C0591E">
        <w:t>and Capital Markets Authority</w:t>
      </w:r>
      <w:r w:rsidR="007B0AD5" w:rsidRPr="00C0591E">
        <w:t xml:space="preserve"> (CMA)</w:t>
      </w:r>
      <w:r w:rsidRPr="00C0591E">
        <w:t>, a body established by an Act of Parliament. Pension funds act as an important stimulus to capital markets in most countries where they exist through financial intermediation. Pension funds complement, and hence stimulate development of capital markets, while acting as substitutes for banks as they generate returns themselves. According to Chirchir (20</w:t>
      </w:r>
      <w:r w:rsidR="000E0DDC" w:rsidRPr="00C0591E">
        <w:t>1</w:t>
      </w:r>
      <w:r w:rsidRPr="00C0591E">
        <w:t xml:space="preserve">7), until 1997, the pension industry in Kenya was by and large unregulated. The few regulations relevant to retirement benefits were in the Income Tax Act and the Trustees Act governing the industry. There were no specific regulations on investments, other than that exempting all those schemes registered with income tax from the withholding tax imposed on investment income. In 1997, the government enacted the Retirement Benefits Act and in 2000, approved the Retirement Benefits Regulation as new legislations to govern the entire management and administration of the pension industry. </w:t>
      </w:r>
    </w:p>
    <w:p w14:paraId="413B9E06" w14:textId="1E85473C" w:rsidR="00267BE6" w:rsidRPr="00C0591E" w:rsidRDefault="00267BE6" w:rsidP="00347D67">
      <w:pPr>
        <w:pStyle w:val="Heading2"/>
      </w:pPr>
      <w:bookmarkStart w:id="29" w:name="_Toc495672598"/>
      <w:bookmarkStart w:id="30" w:name="_Toc113125073"/>
      <w:r w:rsidRPr="00C0591E">
        <w:t xml:space="preserve">1.2 Statement of the </w:t>
      </w:r>
      <w:r w:rsidR="00103E8A" w:rsidRPr="00C0591E">
        <w:t>P</w:t>
      </w:r>
      <w:r w:rsidRPr="00C0591E">
        <w:t>roblem</w:t>
      </w:r>
      <w:bookmarkEnd w:id="29"/>
      <w:bookmarkEnd w:id="30"/>
    </w:p>
    <w:p w14:paraId="272A15D6" w14:textId="71F7BADD" w:rsidR="0064408F" w:rsidRPr="00C0591E" w:rsidRDefault="00236498" w:rsidP="00347D67">
      <w:r w:rsidRPr="00C0591E">
        <w:t>Pension fund performance has received increased attention across the world with public pension fund performing dismally when compared to private pension fund. Pension fund performance has thus given mixed results in different countries, with OECD countries recording positive real net investment returns in 201</w:t>
      </w:r>
      <w:r w:rsidR="001F680E" w:rsidRPr="00C0591E">
        <w:t>9</w:t>
      </w:r>
      <w:r w:rsidRPr="00C0591E">
        <w:t>, ranging from 1.2% in the Czech Republic to 16.7% in Denmark, with an OECD weighted average of 5.0</w:t>
      </w:r>
      <w:r w:rsidR="00B62250" w:rsidRPr="00C0591E">
        <w:t>%.</w:t>
      </w:r>
      <w:r w:rsidRPr="00C0591E">
        <w:t xml:space="preserve"> However, the same is not said of non-OECD countries, with majority</w:t>
      </w:r>
      <w:r w:rsidR="001F680E" w:rsidRPr="00C0591E">
        <w:t xml:space="preserve"> showing negative returns in 2020</w:t>
      </w:r>
      <w:r w:rsidRPr="00C0591E">
        <w:t>. These include Armenia, Nigeria among other countries in s</w:t>
      </w:r>
      <w:r w:rsidR="001F680E" w:rsidRPr="00C0591E">
        <w:t>ub-Saharan Africa (Andonov, 2020</w:t>
      </w:r>
      <w:r w:rsidRPr="00C0591E">
        <w:t>). Performance of the pension funds in Kenya has largely mirrored that of the Nairobi Securities Exchange which has been on the declin</w:t>
      </w:r>
      <w:r w:rsidR="001F680E" w:rsidRPr="00C0591E">
        <w:t>e, with pension results for 2019</w:t>
      </w:r>
      <w:r w:rsidRPr="00C0591E">
        <w:t xml:space="preserve"> showing a decline to average pension return of 15.5%. </w:t>
      </w:r>
    </w:p>
    <w:p w14:paraId="14947B6D" w14:textId="75E51842" w:rsidR="00267BE6" w:rsidRPr="00C0591E" w:rsidRDefault="001F680E" w:rsidP="00515AC2">
      <w:pPr>
        <w:spacing w:before="0" w:after="160"/>
      </w:pPr>
      <w:r w:rsidRPr="00C0591E">
        <w:t xml:space="preserve">Financial performance for most pension schemes have posted negative </w:t>
      </w:r>
      <w:r w:rsidR="00515AC2" w:rsidRPr="00C0591E">
        <w:t>performance (Price Water Coopers, 2019).</w:t>
      </w:r>
      <w:r w:rsidRPr="00C0591E">
        <w:t xml:space="preserve"> If pension funds are not well managed or if workers do not save for their pension then during retirement years or if employers fail to remit pension contributions, Kenyans would be exposed to poverty in their old age. Extended periods of investigations also discourage potential clients from saving with the pension schemes. In addition, t</w:t>
      </w:r>
      <w:r w:rsidRPr="00C0591E">
        <w:rPr>
          <w:rFonts w:eastAsia="Calibri" w:cs="Times New Roman"/>
        </w:rPr>
        <w:t xml:space="preserve">he environment in which pension funds operate has been fraught with various corporate governance challenges that have hindered its progress. Therefore, a deliberate effort has to be made to avoid future corporate mismanagement and company failures given the important role insurance plays in the economy of Kenya especially towards the development of the small and large scale firms through ensuring financial security. </w:t>
      </w:r>
      <w:r w:rsidR="00515AC2" w:rsidRPr="00C0591E">
        <w:rPr>
          <w:rFonts w:eastAsia="Calibri" w:cs="Times New Roman"/>
        </w:rPr>
        <w:t xml:space="preserve"> </w:t>
      </w:r>
      <w:r w:rsidR="00267BE6" w:rsidRPr="00C0591E">
        <w:t>Further, there is the limited understanding on how the concept of pension schemes works entirely. The perception is that the premiums received are meant to enrich the companies and not benefit the clients the claim is made (Price Water Coopers, 201</w:t>
      </w:r>
      <w:r w:rsidRPr="00C0591E">
        <w:t>9</w:t>
      </w:r>
      <w:r w:rsidR="00267BE6" w:rsidRPr="00C0591E">
        <w:t>). In an attempt to identify the reasons for the leniency in the growth of pension schemes and inability to compete effectively, various issues have come to light. These issues range from poor corporate governance, non-favorable investment policies and government regulations within the pension schemes.</w:t>
      </w:r>
    </w:p>
    <w:p w14:paraId="28700928" w14:textId="0F2DDEC3" w:rsidR="001F680E" w:rsidRPr="00C0591E" w:rsidRDefault="009C40B0" w:rsidP="001F680E">
      <w:pPr>
        <w:rPr>
          <w:rFonts w:eastAsia="Calibri" w:cs="Times New Roman"/>
          <w:szCs w:val="24"/>
        </w:rPr>
      </w:pPr>
      <w:r w:rsidRPr="00C0591E">
        <w:t>While several studies have been done on the effect of corporate governance on firm performance coming up with different findings, many have concluded that good corporate governance results in better financial performance of the firm (</w:t>
      </w:r>
      <w:r w:rsidR="001F680E" w:rsidRPr="00C0591E">
        <w:t>Stanwick &amp; Stanwick 2018</w:t>
      </w:r>
      <w:r w:rsidR="00324FD2" w:rsidRPr="00C0591E">
        <w:t xml:space="preserve">; </w:t>
      </w:r>
      <w:r w:rsidR="001F680E" w:rsidRPr="00C0591E">
        <w:t>Bebchuk, Cohen &amp; Ferrell, 201</w:t>
      </w:r>
      <w:r w:rsidRPr="00C0591E">
        <w:t xml:space="preserve">4; </w:t>
      </w:r>
      <w:r w:rsidR="001F680E" w:rsidRPr="00C0591E">
        <w:t>Kihara, 201</w:t>
      </w:r>
      <w:r w:rsidR="00324FD2" w:rsidRPr="00C0591E">
        <w:t>6)</w:t>
      </w:r>
      <w:r w:rsidRPr="00C0591E">
        <w:t xml:space="preserve"> yet, other studies including </w:t>
      </w:r>
      <w:r w:rsidR="00F03522" w:rsidRPr="00C0591E">
        <w:t>(</w:t>
      </w:r>
      <w:r w:rsidRPr="00C0591E">
        <w:t>Lamport</w:t>
      </w:r>
      <w:r w:rsidR="00F03522" w:rsidRPr="00C0591E">
        <w:t xml:space="preserve">, </w:t>
      </w:r>
      <w:r w:rsidR="00F03522" w:rsidRPr="00C0591E">
        <w:rPr>
          <w:rFonts w:cs="Times New Roman"/>
          <w:color w:val="222222"/>
          <w:szCs w:val="20"/>
          <w:shd w:val="clear" w:color="auto" w:fill="FFFFFF"/>
        </w:rPr>
        <w:t>Lat</w:t>
      </w:r>
      <w:r w:rsidR="001F680E" w:rsidRPr="00C0591E">
        <w:rPr>
          <w:rFonts w:cs="Times New Roman"/>
          <w:color w:val="222222"/>
          <w:szCs w:val="20"/>
          <w:shd w:val="clear" w:color="auto" w:fill="FFFFFF"/>
        </w:rPr>
        <w:t>ona, Seetanah, &amp; Sannassee, 2019</w:t>
      </w:r>
      <w:r w:rsidRPr="00C0591E">
        <w:t xml:space="preserve">) have found no significant difference in the performance of firms with poor corporate governance practice and those with excellent quality of governance </w:t>
      </w:r>
      <w:r w:rsidR="001F680E" w:rsidRPr="00C0591E">
        <w:t>practices</w:t>
      </w:r>
      <w:r w:rsidRPr="00C0591E">
        <w:t xml:space="preserve">. </w:t>
      </w:r>
      <w:r w:rsidR="001F680E" w:rsidRPr="00C0591E">
        <w:t xml:space="preserve">In addition, </w:t>
      </w:r>
      <w:r w:rsidR="001F680E" w:rsidRPr="00C0591E">
        <w:rPr>
          <w:rFonts w:eastAsia="Calibri" w:cs="Times New Roman"/>
          <w:szCs w:val="24"/>
        </w:rPr>
        <w:t>Kamau, Machuki and Aosa (2018) investigated the relationship between corporate governance and firm performance without a moderating or mediating variable thus presenting a conceptual gap. The current study included the mediating variable and the moderating variable, in investigating the relationship between corporate governance and performance. Kiratu (2016) conducted a study on the influence of corporate governance on performance in Kenya with a case of agricultural state corporations. The study creates a methodological gap by use of a correlational design while the current study adopted a cross sectional survey design to analyze the study objectives.</w:t>
      </w:r>
      <w:r w:rsidR="001F680E" w:rsidRPr="00C0591E">
        <w:rPr>
          <w:rFonts w:eastAsia="Calibri" w:cs="Times New Roman"/>
        </w:rPr>
        <w:t xml:space="preserve"> </w:t>
      </w:r>
      <w:r w:rsidR="001F680E" w:rsidRPr="00C0591E">
        <w:rPr>
          <w:rFonts w:eastAsia="Calibri" w:cs="Times New Roman"/>
          <w:szCs w:val="24"/>
        </w:rPr>
        <w:t>Wathanga (2017) conducted a study on the effect of corporate governance and was guided by correlational research design. The correlational research design may provide variations in findings when compared with a cross sectional research design, which presents a methodological gap. Najjar (2019) the study created a methodological gap by adoption of secondary data for analysis which differs with primary data in analysis.</w:t>
      </w:r>
    </w:p>
    <w:p w14:paraId="1F4FBF6B" w14:textId="0D54AA80" w:rsidR="00267BE6" w:rsidRPr="00C0591E" w:rsidRDefault="00267BE6" w:rsidP="0015128E">
      <w:pPr>
        <w:rPr>
          <w:rFonts w:eastAsia="Times New Roman" w:cs="Times New Roman"/>
          <w:color w:val="222222"/>
          <w:szCs w:val="24"/>
        </w:rPr>
      </w:pPr>
      <w:r w:rsidRPr="00C0591E">
        <w:t>This research aimed at filling the gaps that have not been explored by other researchers on the same subject. First, this research develop</w:t>
      </w:r>
      <w:r w:rsidR="00E47492" w:rsidRPr="00C0591E">
        <w:t>ed</w:t>
      </w:r>
      <w:r w:rsidRPr="00C0591E">
        <w:t xml:space="preserve"> a means to measure corporate governance, investment policies and government regulation</w:t>
      </w:r>
      <w:r w:rsidR="00831282" w:rsidRPr="00C0591E">
        <w:t>s</w:t>
      </w:r>
      <w:r w:rsidRPr="00C0591E">
        <w:t xml:space="preserve"> and rank the same findings and compare against performance to prove the relationship which </w:t>
      </w:r>
      <w:r w:rsidR="00E47492" w:rsidRPr="00C0591E">
        <w:t>sought</w:t>
      </w:r>
      <w:r w:rsidRPr="00C0591E">
        <w:rPr>
          <w:rFonts w:eastAsia="Times New Roman" w:cs="Times New Roman"/>
          <w:szCs w:val="24"/>
        </w:rPr>
        <w:t xml:space="preserve"> to assess effect of </w:t>
      </w:r>
      <w:r w:rsidRPr="00C0591E">
        <w:t>corporate governance, investment policies and government regulation</w:t>
      </w:r>
      <w:r w:rsidR="00831282" w:rsidRPr="00C0591E">
        <w:t>s</w:t>
      </w:r>
      <w:r w:rsidRPr="00C0591E">
        <w:t xml:space="preserve"> on performance.</w:t>
      </w:r>
    </w:p>
    <w:p w14:paraId="516F35E6" w14:textId="4AFF74DA" w:rsidR="00267BE6" w:rsidRPr="00C0591E" w:rsidRDefault="00267BE6" w:rsidP="00347D67">
      <w:pPr>
        <w:pStyle w:val="Heading2"/>
      </w:pPr>
      <w:bookmarkStart w:id="31" w:name="_Toc521858641"/>
      <w:bookmarkStart w:id="32" w:name="_Toc113125074"/>
      <w:bookmarkStart w:id="33" w:name="_Toc494643000"/>
      <w:bookmarkStart w:id="34" w:name="_Toc495672599"/>
      <w:r w:rsidRPr="00C0591E">
        <w:t xml:space="preserve">1.3 Objective of the </w:t>
      </w:r>
      <w:r w:rsidR="00103E8A" w:rsidRPr="00C0591E">
        <w:t>S</w:t>
      </w:r>
      <w:r w:rsidRPr="00C0591E">
        <w:t>tudy</w:t>
      </w:r>
      <w:bookmarkEnd w:id="31"/>
      <w:bookmarkEnd w:id="32"/>
    </w:p>
    <w:p w14:paraId="3273A414" w14:textId="734B0C77" w:rsidR="00ED5C45" w:rsidRPr="00C0591E" w:rsidRDefault="00ED5C45" w:rsidP="00347D67">
      <w:pPr>
        <w:pStyle w:val="Heading3"/>
        <w:rPr>
          <w:color w:val="FF0000"/>
        </w:rPr>
      </w:pPr>
      <w:r w:rsidRPr="00C0591E">
        <w:t xml:space="preserve">1.3.1 General Objective </w:t>
      </w:r>
    </w:p>
    <w:p w14:paraId="196A5FD8" w14:textId="1CBE20D0" w:rsidR="00267BE6" w:rsidRPr="00C0591E" w:rsidRDefault="00267BE6" w:rsidP="00347D67">
      <w:r w:rsidRPr="00C0591E">
        <w:t xml:space="preserve">The </w:t>
      </w:r>
      <w:r w:rsidR="00ED5C45" w:rsidRPr="00C0591E">
        <w:t>broad</w:t>
      </w:r>
      <w:r w:rsidRPr="00C0591E">
        <w:t xml:space="preserve"> objective of this study </w:t>
      </w:r>
      <w:r w:rsidR="00366F53" w:rsidRPr="00C0591E">
        <w:t>was</w:t>
      </w:r>
      <w:r w:rsidRPr="00C0591E">
        <w:t xml:space="preserve"> to examine the relationships between </w:t>
      </w:r>
      <w:r w:rsidR="00AF069B">
        <w:t xml:space="preserve">pillars of </w:t>
      </w:r>
      <w:r w:rsidRPr="00C0591E">
        <w:t>corporate governance, investment policies, government regulation</w:t>
      </w:r>
      <w:r w:rsidR="00831282" w:rsidRPr="00C0591E">
        <w:t>s</w:t>
      </w:r>
      <w:r w:rsidRPr="00C0591E">
        <w:t xml:space="preserve"> </w:t>
      </w:r>
      <w:r w:rsidRPr="00C0591E">
        <w:rPr>
          <w:rFonts w:eastAsia="Times New Roman"/>
          <w:color w:val="222222"/>
          <w:szCs w:val="19"/>
        </w:rPr>
        <w:t xml:space="preserve">and performance </w:t>
      </w:r>
      <w:r w:rsidR="000E0DDC" w:rsidRPr="00C0591E">
        <w:rPr>
          <w:rFonts w:eastAsia="Times New Roman"/>
          <w:color w:val="222222"/>
          <w:szCs w:val="19"/>
        </w:rPr>
        <w:t>of pension</w:t>
      </w:r>
      <w:r w:rsidRPr="00C0591E">
        <w:rPr>
          <w:rFonts w:eastAsia="Times New Roman"/>
          <w:color w:val="222222"/>
          <w:szCs w:val="19"/>
        </w:rPr>
        <w:t> fund managers in Kenya.</w:t>
      </w:r>
      <w:r w:rsidRPr="00C0591E">
        <w:t xml:space="preserve"> </w:t>
      </w:r>
    </w:p>
    <w:p w14:paraId="20EBAD60" w14:textId="77777777" w:rsidR="00ED5C45" w:rsidRPr="00C0591E" w:rsidRDefault="00ED5C45" w:rsidP="00347D67">
      <w:pPr>
        <w:pStyle w:val="Heading3"/>
        <w:rPr>
          <w:color w:val="FF0000"/>
        </w:rPr>
      </w:pPr>
      <w:r w:rsidRPr="00C0591E">
        <w:t xml:space="preserve">1.3.2 </w:t>
      </w:r>
      <w:r w:rsidR="008158B6" w:rsidRPr="00C0591E">
        <w:t xml:space="preserve">Specific </w:t>
      </w:r>
      <w:r w:rsidRPr="00C0591E">
        <w:t xml:space="preserve">Objectives </w:t>
      </w:r>
    </w:p>
    <w:bookmarkEnd w:id="33"/>
    <w:bookmarkEnd w:id="34"/>
    <w:p w14:paraId="0C66EF6E" w14:textId="5A769C22" w:rsidR="00267BE6" w:rsidRPr="00C0591E" w:rsidRDefault="00267BE6" w:rsidP="00267BE6">
      <w:pPr>
        <w:pStyle w:val="ListParagraph"/>
        <w:numPr>
          <w:ilvl w:val="0"/>
          <w:numId w:val="1"/>
        </w:numPr>
        <w:rPr>
          <w:rFonts w:cs="Times New Roman"/>
          <w:szCs w:val="24"/>
        </w:rPr>
      </w:pPr>
      <w:r w:rsidRPr="00C0591E">
        <w:rPr>
          <w:rFonts w:eastAsia="Times New Roman"/>
          <w:szCs w:val="24"/>
        </w:rPr>
        <w:t xml:space="preserve">To determine the </w:t>
      </w:r>
      <w:r w:rsidR="00482602" w:rsidRPr="00C0591E">
        <w:rPr>
          <w:rFonts w:cs="Times New Roman"/>
          <w:szCs w:val="24"/>
        </w:rPr>
        <w:t xml:space="preserve">relationship between </w:t>
      </w:r>
      <w:r w:rsidR="00AF069B">
        <w:t xml:space="preserve">pillars of </w:t>
      </w:r>
      <w:r w:rsidR="00482602" w:rsidRPr="00C0591E">
        <w:rPr>
          <w:rFonts w:cs="Times New Roman"/>
          <w:szCs w:val="24"/>
        </w:rPr>
        <w:t xml:space="preserve">corporate governance and performance </w:t>
      </w:r>
      <w:r w:rsidRPr="00C0591E">
        <w:rPr>
          <w:rFonts w:cs="Times New Roman"/>
          <w:szCs w:val="24"/>
        </w:rPr>
        <w:t>of pension fund managers in Kenya.</w:t>
      </w:r>
    </w:p>
    <w:p w14:paraId="63FC013C" w14:textId="0665BA45" w:rsidR="00267BE6" w:rsidRPr="00C0591E" w:rsidRDefault="00267BE6" w:rsidP="00267BE6">
      <w:pPr>
        <w:pStyle w:val="ListParagraph"/>
        <w:numPr>
          <w:ilvl w:val="0"/>
          <w:numId w:val="1"/>
        </w:numPr>
        <w:rPr>
          <w:rFonts w:cs="Times New Roman"/>
          <w:szCs w:val="24"/>
        </w:rPr>
      </w:pPr>
      <w:r w:rsidRPr="00C0591E">
        <w:rPr>
          <w:rFonts w:cs="Times New Roman"/>
          <w:szCs w:val="24"/>
        </w:rPr>
        <w:t xml:space="preserve">To </w:t>
      </w:r>
      <w:r w:rsidR="00E0049A" w:rsidRPr="00C0591E">
        <w:rPr>
          <w:rFonts w:cs="Times New Roman"/>
          <w:szCs w:val="24"/>
        </w:rPr>
        <w:t>establish</w:t>
      </w:r>
      <w:r w:rsidRPr="00C0591E">
        <w:rPr>
          <w:rFonts w:cs="Times New Roman"/>
          <w:szCs w:val="24"/>
        </w:rPr>
        <w:t xml:space="preserve"> the intervening effect of investment policies on the relationship between </w:t>
      </w:r>
      <w:r w:rsidR="00AF069B">
        <w:t xml:space="preserve">pillars of </w:t>
      </w:r>
      <w:r w:rsidRPr="00C0591E">
        <w:rPr>
          <w:rFonts w:cs="Times New Roman"/>
          <w:szCs w:val="24"/>
        </w:rPr>
        <w:t>corporate governance and performance of pension fund managers in Kenya.</w:t>
      </w:r>
    </w:p>
    <w:p w14:paraId="55C8566D" w14:textId="03043FB8" w:rsidR="00267BE6" w:rsidRPr="00C0591E" w:rsidRDefault="00267BE6" w:rsidP="00267BE6">
      <w:pPr>
        <w:pStyle w:val="ListParagraph"/>
        <w:numPr>
          <w:ilvl w:val="0"/>
          <w:numId w:val="1"/>
        </w:numPr>
        <w:autoSpaceDE w:val="0"/>
        <w:autoSpaceDN w:val="0"/>
        <w:adjustRightInd w:val="0"/>
        <w:spacing w:after="0"/>
        <w:rPr>
          <w:rFonts w:cs="Times New Roman"/>
          <w:szCs w:val="24"/>
        </w:rPr>
      </w:pPr>
      <w:r w:rsidRPr="00C0591E">
        <w:rPr>
          <w:rFonts w:cs="Times New Roman"/>
          <w:szCs w:val="24"/>
        </w:rPr>
        <w:t xml:space="preserve">To establish the moderating effect of government regulations on the relationship between </w:t>
      </w:r>
      <w:r w:rsidR="00AF069B">
        <w:rPr>
          <w:rFonts w:cs="Times New Roman"/>
          <w:szCs w:val="24"/>
        </w:rPr>
        <w:t>pillars of corporate governance</w:t>
      </w:r>
      <w:r w:rsidRPr="00C0591E">
        <w:rPr>
          <w:rFonts w:cs="Times New Roman"/>
          <w:szCs w:val="24"/>
        </w:rPr>
        <w:t xml:space="preserve"> and performance of pension fund managers in Kenya.</w:t>
      </w:r>
    </w:p>
    <w:p w14:paraId="671666AB" w14:textId="278BA676" w:rsidR="00031AA1" w:rsidRPr="00C0591E" w:rsidRDefault="00031AA1" w:rsidP="00031AA1">
      <w:pPr>
        <w:pStyle w:val="ListParagraph"/>
        <w:numPr>
          <w:ilvl w:val="0"/>
          <w:numId w:val="1"/>
        </w:numPr>
        <w:rPr>
          <w:rFonts w:cs="Times New Roman"/>
          <w:szCs w:val="24"/>
        </w:rPr>
      </w:pPr>
      <w:r w:rsidRPr="00C0591E">
        <w:rPr>
          <w:rFonts w:cs="Times New Roman"/>
          <w:szCs w:val="24"/>
        </w:rPr>
        <w:t>To determine the moderation</w:t>
      </w:r>
      <w:r w:rsidR="008A1A2D">
        <w:rPr>
          <w:rFonts w:cs="Times New Roman"/>
          <w:szCs w:val="24"/>
        </w:rPr>
        <w:t>-</w:t>
      </w:r>
      <w:r w:rsidRPr="00C0591E">
        <w:rPr>
          <w:rFonts w:cs="Times New Roman"/>
          <w:szCs w:val="24"/>
        </w:rPr>
        <w:t xml:space="preserve">mediator effect on the relationship between </w:t>
      </w:r>
      <w:r w:rsidR="00AF069B">
        <w:rPr>
          <w:rFonts w:cs="Times New Roman"/>
          <w:szCs w:val="24"/>
        </w:rPr>
        <w:t>pillars of corporate governance</w:t>
      </w:r>
      <w:r w:rsidRPr="00C0591E">
        <w:rPr>
          <w:rFonts w:cs="Times New Roman"/>
          <w:szCs w:val="24"/>
        </w:rPr>
        <w:t xml:space="preserve"> and performance of pension fund managers in Kenya.</w:t>
      </w:r>
    </w:p>
    <w:p w14:paraId="398BC48B" w14:textId="4EE4EB28" w:rsidR="00267BE6" w:rsidRPr="00C0591E" w:rsidRDefault="00267BE6" w:rsidP="00347D67">
      <w:pPr>
        <w:pStyle w:val="Heading2"/>
      </w:pPr>
      <w:bookmarkStart w:id="35" w:name="_Toc494643002"/>
      <w:bookmarkStart w:id="36" w:name="_Toc495672601"/>
      <w:bookmarkStart w:id="37" w:name="_Toc113125075"/>
      <w:r w:rsidRPr="00C0591E">
        <w:t>1.4 Significance of the Study</w:t>
      </w:r>
      <w:bookmarkEnd w:id="35"/>
      <w:bookmarkEnd w:id="36"/>
      <w:bookmarkEnd w:id="37"/>
    </w:p>
    <w:p w14:paraId="58D20C98" w14:textId="3E2A0DE3" w:rsidR="00F87B93" w:rsidRPr="00C0591E" w:rsidRDefault="007814B4" w:rsidP="00347D67">
      <w:r w:rsidRPr="00C0591E">
        <w:t>This study play</w:t>
      </w:r>
      <w:r w:rsidR="00BF51FA" w:rsidRPr="00C0591E">
        <w:t>s</w:t>
      </w:r>
      <w:r w:rsidRPr="00C0591E">
        <w:t xml:space="preserve"> a useful role in development of theory, assist government when developing </w:t>
      </w:r>
      <w:r w:rsidR="00FB18AC" w:rsidRPr="00C0591E">
        <w:t>investment policies</w:t>
      </w:r>
      <w:r w:rsidRPr="00C0591E">
        <w:t xml:space="preserve"> and </w:t>
      </w:r>
      <w:r w:rsidR="00FB18AC" w:rsidRPr="00C0591E">
        <w:t>regulations</w:t>
      </w:r>
      <w:r w:rsidRPr="00C0591E">
        <w:t xml:space="preserve"> on </w:t>
      </w:r>
      <w:r w:rsidR="00BF51FA" w:rsidRPr="00C0591E">
        <w:t>Retirement Benefits Authority</w:t>
      </w:r>
      <w:r w:rsidR="00FB18AC" w:rsidRPr="00C0591E">
        <w:t xml:space="preserve"> and Pension fund managers</w:t>
      </w:r>
      <w:r w:rsidRPr="00C0591E">
        <w:t xml:space="preserve"> to improve their </w:t>
      </w:r>
      <w:r w:rsidR="00DB5E10" w:rsidRPr="00C0591E">
        <w:t xml:space="preserve">financial </w:t>
      </w:r>
      <w:r w:rsidRPr="00C0591E">
        <w:t xml:space="preserve">performance. With respect to theory, this study </w:t>
      </w:r>
      <w:r w:rsidR="00BF51FA" w:rsidRPr="00C0591E">
        <w:t>is</w:t>
      </w:r>
      <w:r w:rsidRPr="00C0591E">
        <w:t xml:space="preserve"> useful in filling the research gap and providing information on the link between </w:t>
      </w:r>
      <w:r w:rsidR="00AF069B">
        <w:rPr>
          <w:rFonts w:cs="Times New Roman"/>
        </w:rPr>
        <w:t>pillars of corporate governance</w:t>
      </w:r>
      <w:r w:rsidR="00FB18AC" w:rsidRPr="00C0591E">
        <w:rPr>
          <w:rFonts w:cs="Times New Roman"/>
        </w:rPr>
        <w:t xml:space="preserve">, investment policies, government regulations </w:t>
      </w:r>
      <w:r w:rsidR="00FB18AC" w:rsidRPr="00C0591E">
        <w:rPr>
          <w:rFonts w:eastAsia="Times New Roman" w:cs="Times New Roman"/>
          <w:color w:val="222222"/>
          <w:szCs w:val="19"/>
        </w:rPr>
        <w:t xml:space="preserve">and performance </w:t>
      </w:r>
      <w:r w:rsidR="00607E16" w:rsidRPr="00C0591E">
        <w:rPr>
          <w:rFonts w:eastAsia="Times New Roman" w:cs="Times New Roman"/>
          <w:color w:val="222222"/>
          <w:szCs w:val="19"/>
        </w:rPr>
        <w:t>of pension</w:t>
      </w:r>
      <w:r w:rsidR="00FB18AC" w:rsidRPr="00C0591E">
        <w:rPr>
          <w:rFonts w:eastAsia="Times New Roman" w:cs="Times New Roman"/>
          <w:color w:val="222222"/>
          <w:szCs w:val="19"/>
        </w:rPr>
        <w:t> fund managers in Kenya</w:t>
      </w:r>
      <w:r w:rsidRPr="00C0591E">
        <w:t xml:space="preserve">. This study’s findings on the impact of </w:t>
      </w:r>
      <w:r w:rsidR="00AF069B">
        <w:t>pillars of corporate governance</w:t>
      </w:r>
      <w:r w:rsidRPr="00C0591E">
        <w:t xml:space="preserve"> to performance will strengthen its theoretical hypotheses. </w:t>
      </w:r>
      <w:r w:rsidR="00F87B93" w:rsidRPr="00C0591E">
        <w:t xml:space="preserve">The findings of this study </w:t>
      </w:r>
      <w:r w:rsidR="00BF51FA" w:rsidRPr="00C0591E">
        <w:t>are</w:t>
      </w:r>
      <w:r w:rsidR="00F87B93" w:rsidRPr="00C0591E">
        <w:t xml:space="preserve"> significant contribution to the existing literature on financial performance of pension schemes. Since this is an area that has great potential of further growth and will attract further academic research, the findings will assist in providing reference materials for future researchers</w:t>
      </w:r>
      <w:r w:rsidR="005A4C14" w:rsidRPr="00C0591E">
        <w:t>.</w:t>
      </w:r>
    </w:p>
    <w:p w14:paraId="41FFE63C" w14:textId="4F4EC8C5" w:rsidR="00786754" w:rsidRPr="00C0591E" w:rsidRDefault="00267BE6" w:rsidP="00347D67">
      <w:r w:rsidRPr="00C0591E">
        <w:t xml:space="preserve">This study </w:t>
      </w:r>
      <w:r w:rsidR="0029087F" w:rsidRPr="00C0591E">
        <w:t>may</w:t>
      </w:r>
      <w:r w:rsidRPr="00C0591E">
        <w:t xml:space="preserve"> be useful in filling the research gap and providing information on </w:t>
      </w:r>
      <w:r w:rsidRPr="00C0591E">
        <w:rPr>
          <w:rFonts w:cs="Times New Roman"/>
        </w:rPr>
        <w:t xml:space="preserve">establishing the link between </w:t>
      </w:r>
      <w:r w:rsidR="00AF069B">
        <w:rPr>
          <w:rFonts w:cs="Times New Roman"/>
        </w:rPr>
        <w:t>pillars of corporate governance</w:t>
      </w:r>
      <w:r w:rsidRPr="00C0591E">
        <w:rPr>
          <w:rFonts w:cs="Times New Roman"/>
        </w:rPr>
        <w:t>, investment policies, government regulations and performance</w:t>
      </w:r>
      <w:r w:rsidRPr="00C0591E">
        <w:t xml:space="preserve">. Knowledge </w:t>
      </w:r>
      <w:r w:rsidR="0029087F" w:rsidRPr="00C0591E">
        <w:t>may</w:t>
      </w:r>
      <w:r w:rsidRPr="00C0591E">
        <w:t xml:space="preserve"> also </w:t>
      </w:r>
      <w:r w:rsidRPr="00C0591E">
        <w:rPr>
          <w:noProof/>
        </w:rPr>
        <w:t>be added into</w:t>
      </w:r>
      <w:r w:rsidRPr="00C0591E">
        <w:t xml:space="preserve"> the already existing resources.</w:t>
      </w:r>
      <w:r w:rsidR="00786754" w:rsidRPr="00C0591E">
        <w:t xml:space="preserve"> The study </w:t>
      </w:r>
      <w:r w:rsidR="0029087F" w:rsidRPr="00C0591E">
        <w:t xml:space="preserve">may </w:t>
      </w:r>
      <w:r w:rsidR="00786754" w:rsidRPr="00C0591E">
        <w:t>a</w:t>
      </w:r>
      <w:r w:rsidRPr="00C0591E">
        <w:t xml:space="preserve">ssist Government when developing investment </w:t>
      </w:r>
      <w:r w:rsidRPr="00C0591E">
        <w:rPr>
          <w:noProof/>
        </w:rPr>
        <w:t>policy</w:t>
      </w:r>
      <w:r w:rsidRPr="00C0591E">
        <w:t xml:space="preserve"> to spur the economy of pension funds.</w:t>
      </w:r>
      <w:r w:rsidR="00140E21" w:rsidRPr="00C0591E">
        <w:t xml:space="preserve"> </w:t>
      </w:r>
      <w:r w:rsidRPr="00C0591E">
        <w:t xml:space="preserve">The findings from the study </w:t>
      </w:r>
      <w:r w:rsidR="0029087F" w:rsidRPr="00C0591E">
        <w:t>may</w:t>
      </w:r>
      <w:r w:rsidRPr="00C0591E">
        <w:t xml:space="preserve"> be used to provide useful information that will, if utilized and adapted; improve investment policy, transparency, governance, drive investments, increase consumer satisfaction and lead to improved performance of the pension fund managers</w:t>
      </w:r>
      <w:r w:rsidR="00786754" w:rsidRPr="00C0591E">
        <w:t xml:space="preserve">. </w:t>
      </w:r>
    </w:p>
    <w:p w14:paraId="113053A8" w14:textId="3DD1CBE8" w:rsidR="00267BE6" w:rsidRPr="00C0591E" w:rsidRDefault="00786754" w:rsidP="00347D67">
      <w:pPr>
        <w:rPr>
          <w:rFonts w:cs="Times New Roman"/>
        </w:rPr>
      </w:pPr>
      <w:r w:rsidRPr="00C0591E">
        <w:t xml:space="preserve">The </w:t>
      </w:r>
      <w:r w:rsidR="00267BE6" w:rsidRPr="00C0591E">
        <w:rPr>
          <w:rFonts w:cs="Times New Roman"/>
        </w:rPr>
        <w:t>study is expected to provide useful insights to various categories of stakeholders. This is important given that pension systems and retirement benefits schemes are necessary for developing countries like Kenya not only to secure people’s livelihoods after retirement, but also due to the fact that retirement schemes provide an avenue for mobilizing savings for long-term investments.</w:t>
      </w:r>
      <w:r w:rsidRPr="00C0591E">
        <w:rPr>
          <w:rFonts w:cs="Times New Roman"/>
        </w:rPr>
        <w:t xml:space="preserve"> </w:t>
      </w:r>
      <w:r w:rsidRPr="00C0591E">
        <w:t>Finally, d</w:t>
      </w:r>
      <w:r w:rsidR="00267BE6" w:rsidRPr="00C0591E">
        <w:rPr>
          <w:rFonts w:cs="Times New Roman"/>
        </w:rPr>
        <w:t>irecto</w:t>
      </w:r>
      <w:r w:rsidR="000F7CE0" w:rsidRPr="00C0591E">
        <w:rPr>
          <w:rFonts w:cs="Times New Roman"/>
        </w:rPr>
        <w:t>rs and management of the listed</w:t>
      </w:r>
      <w:r w:rsidR="00F22E25" w:rsidRPr="00C0591E">
        <w:rPr>
          <w:rFonts w:cs="Times New Roman"/>
        </w:rPr>
        <w:t xml:space="preserve"> </w:t>
      </w:r>
      <w:r w:rsidR="00267BE6" w:rsidRPr="00C0591E">
        <w:rPr>
          <w:rFonts w:cs="Times New Roman"/>
        </w:rPr>
        <w:t>pension fund managers in Kenya are expected to appreciate the importance of investment policies and assist in rating their level of compliance against those of their competitors.</w:t>
      </w:r>
    </w:p>
    <w:p w14:paraId="06060EEE" w14:textId="631C6400" w:rsidR="00267BE6" w:rsidRPr="00C0591E" w:rsidRDefault="00267BE6" w:rsidP="00347D67">
      <w:pPr>
        <w:pStyle w:val="Heading2"/>
      </w:pPr>
      <w:bookmarkStart w:id="38" w:name="_Toc113125076"/>
      <w:r w:rsidRPr="00C0591E">
        <w:t xml:space="preserve">1.5 Scope of the </w:t>
      </w:r>
      <w:r w:rsidR="00103E8A" w:rsidRPr="00C0591E">
        <w:t>S</w:t>
      </w:r>
      <w:r w:rsidRPr="00C0591E">
        <w:t>tudy</w:t>
      </w:r>
      <w:bookmarkEnd w:id="38"/>
    </w:p>
    <w:p w14:paraId="31776B19" w14:textId="5C0E7D40" w:rsidR="00267BE6" w:rsidRPr="00C0591E" w:rsidRDefault="00267BE6" w:rsidP="00347D67">
      <w:pPr>
        <w:rPr>
          <w:rFonts w:eastAsia="Times New Roman"/>
          <w:color w:val="000000"/>
        </w:rPr>
      </w:pPr>
      <w:r w:rsidRPr="00C0591E">
        <w:t>This study focus</w:t>
      </w:r>
      <w:r w:rsidR="00E47492" w:rsidRPr="00C0591E">
        <w:t>ed</w:t>
      </w:r>
      <w:r w:rsidRPr="00C0591E">
        <w:t xml:space="preserve"> on the </w:t>
      </w:r>
      <w:r w:rsidR="00F67258" w:rsidRPr="00C0591E">
        <w:t>31</w:t>
      </w:r>
      <w:r w:rsidRPr="00C0591E">
        <w:t xml:space="preserve"> registered pension fund managers in Kenya. The study </w:t>
      </w:r>
      <w:r w:rsidR="004605AB" w:rsidRPr="00C0591E">
        <w:t>was</w:t>
      </w:r>
      <w:r w:rsidRPr="00C0591E">
        <w:t xml:space="preserve"> done </w:t>
      </w:r>
      <w:r w:rsidR="00BE2974" w:rsidRPr="00C0591E">
        <w:t>on pension fund managers in Kenya</w:t>
      </w:r>
      <w:r w:rsidRPr="00C0591E">
        <w:t xml:space="preserve">. </w:t>
      </w:r>
      <w:r w:rsidR="000E0DDC" w:rsidRPr="00C0591E">
        <w:t xml:space="preserve">The conceptual scope included </w:t>
      </w:r>
      <w:r w:rsidR="00AF069B">
        <w:rPr>
          <w:rFonts w:cs="Times New Roman"/>
          <w:szCs w:val="24"/>
        </w:rPr>
        <w:t>pillars of corporate governance</w:t>
      </w:r>
      <w:r w:rsidR="000E0DDC" w:rsidRPr="00C0591E">
        <w:rPr>
          <w:rFonts w:cs="Times New Roman"/>
          <w:szCs w:val="24"/>
        </w:rPr>
        <w:t xml:space="preserve">, investment policies, government regulations and performance. </w:t>
      </w:r>
      <w:r w:rsidR="000E0DDC" w:rsidRPr="00C0591E">
        <w:t xml:space="preserve">The geographic scope was Kenya. </w:t>
      </w:r>
      <w:r w:rsidR="00E47492" w:rsidRPr="00C0591E">
        <w:t xml:space="preserve">The study </w:t>
      </w:r>
      <w:r w:rsidR="000D52A4" w:rsidRPr="00C0591E">
        <w:t>use</w:t>
      </w:r>
      <w:r w:rsidR="00E47492" w:rsidRPr="00C0591E">
        <w:t>d</w:t>
      </w:r>
      <w:r w:rsidR="000D52A4" w:rsidRPr="00C0591E">
        <w:t xml:space="preserve"> quantit</w:t>
      </w:r>
      <w:r w:rsidR="000229C8" w:rsidRPr="00C0591E">
        <w:t>ati</w:t>
      </w:r>
      <w:r w:rsidR="000D52A4" w:rsidRPr="00C0591E">
        <w:t>ve data</w:t>
      </w:r>
      <w:r w:rsidR="009D57CC" w:rsidRPr="00C0591E">
        <w:t xml:space="preserve"> which </w:t>
      </w:r>
      <w:r w:rsidR="004605AB" w:rsidRPr="00C0591E">
        <w:t>was</w:t>
      </w:r>
      <w:r w:rsidR="00177A77" w:rsidRPr="00C0591E">
        <w:t xml:space="preserve"> collected through questionnaires. </w:t>
      </w:r>
      <w:r w:rsidR="009D57CC" w:rsidRPr="00C0591E">
        <w:t>Secondary</w:t>
      </w:r>
      <w:r w:rsidR="000D52A4" w:rsidRPr="00C0591E">
        <w:t xml:space="preserve"> </w:t>
      </w:r>
      <w:r w:rsidR="000229C8" w:rsidRPr="00C0591E">
        <w:t>data</w:t>
      </w:r>
      <w:r w:rsidR="000D52A4" w:rsidRPr="00C0591E">
        <w:t xml:space="preserve"> </w:t>
      </w:r>
      <w:r w:rsidR="004605AB" w:rsidRPr="00C0591E">
        <w:t>was</w:t>
      </w:r>
      <w:r w:rsidR="000D52A4" w:rsidRPr="00C0591E">
        <w:t xml:space="preserve"> collected from the annual financial statements of the pension schemes in the custody of the Fund Managers as filed returns. For the purpose of this study, these </w:t>
      </w:r>
      <w:r w:rsidR="00FB35F4" w:rsidRPr="00C0591E">
        <w:t xml:space="preserve">performance </w:t>
      </w:r>
      <w:r w:rsidR="000D52A4" w:rsidRPr="00C0591E">
        <w:t xml:space="preserve">financial statements </w:t>
      </w:r>
      <w:r w:rsidR="004605AB" w:rsidRPr="00C0591E">
        <w:t>was</w:t>
      </w:r>
      <w:r w:rsidR="001A4CB5" w:rsidRPr="00C0591E">
        <w:t xml:space="preserve"> </w:t>
      </w:r>
      <w:r w:rsidR="000D52A4" w:rsidRPr="00C0591E">
        <w:t xml:space="preserve">sourced from the </w:t>
      </w:r>
      <w:r w:rsidR="00BF51FA" w:rsidRPr="00C0591E">
        <w:t xml:space="preserve">Retirement Benefits Authority </w:t>
      </w:r>
      <w:r w:rsidR="000D52A4" w:rsidRPr="00C0591E">
        <w:t xml:space="preserve">systems and the pension schemes for validity. </w:t>
      </w:r>
      <w:r w:rsidRPr="00C0591E">
        <w:rPr>
          <w:rFonts w:eastAsia="Times New Roman"/>
          <w:color w:val="000000"/>
        </w:rPr>
        <w:t xml:space="preserve">The study </w:t>
      </w:r>
      <w:r w:rsidR="000E0DDC" w:rsidRPr="00C0591E">
        <w:rPr>
          <w:rFonts w:eastAsia="Times New Roman"/>
          <w:color w:val="000000"/>
        </w:rPr>
        <w:t>time scope was</w:t>
      </w:r>
      <w:r w:rsidRPr="00C0591E">
        <w:rPr>
          <w:rFonts w:eastAsia="Times New Roman"/>
          <w:color w:val="000000"/>
        </w:rPr>
        <w:t xml:space="preserve"> between September </w:t>
      </w:r>
      <w:r w:rsidR="000E0DDC" w:rsidRPr="00C0591E">
        <w:rPr>
          <w:rFonts w:eastAsia="Times New Roman"/>
          <w:color w:val="000000"/>
        </w:rPr>
        <w:t>2020</w:t>
      </w:r>
      <w:r w:rsidRPr="00C0591E">
        <w:rPr>
          <w:rFonts w:eastAsia="Times New Roman"/>
          <w:color w:val="000000"/>
        </w:rPr>
        <w:t xml:space="preserve"> to </w:t>
      </w:r>
      <w:r w:rsidR="000E0DDC" w:rsidRPr="00C0591E">
        <w:rPr>
          <w:rFonts w:eastAsia="Times New Roman"/>
          <w:color w:val="000000"/>
        </w:rPr>
        <w:t>July</w:t>
      </w:r>
      <w:r w:rsidRPr="00C0591E">
        <w:rPr>
          <w:rFonts w:eastAsia="Times New Roman"/>
          <w:color w:val="000000"/>
        </w:rPr>
        <w:t xml:space="preserve"> 20</w:t>
      </w:r>
      <w:r w:rsidR="000E0DDC" w:rsidRPr="00C0591E">
        <w:rPr>
          <w:rFonts w:eastAsia="Times New Roman"/>
          <w:color w:val="000000"/>
        </w:rPr>
        <w:t>22</w:t>
      </w:r>
      <w:r w:rsidRPr="00C0591E">
        <w:rPr>
          <w:rFonts w:eastAsia="Times New Roman"/>
          <w:color w:val="000000"/>
        </w:rPr>
        <w:t>.</w:t>
      </w:r>
    </w:p>
    <w:p w14:paraId="4D545F1F" w14:textId="66CA00E1" w:rsidR="009E1A09" w:rsidRPr="00C0591E" w:rsidRDefault="009E1A09" w:rsidP="00347D67">
      <w:pPr>
        <w:pStyle w:val="Heading2"/>
      </w:pPr>
      <w:bookmarkStart w:id="39" w:name="_Toc515997243"/>
      <w:bookmarkStart w:id="40" w:name="_Toc523231697"/>
      <w:bookmarkStart w:id="41" w:name="_Toc113125077"/>
      <w:r w:rsidRPr="00C0591E">
        <w:t>1.</w:t>
      </w:r>
      <w:bookmarkStart w:id="42" w:name="_Toc366335003"/>
      <w:bookmarkStart w:id="43" w:name="_Toc506280629"/>
      <w:r w:rsidRPr="00C0591E">
        <w:t>6 Limitations</w:t>
      </w:r>
      <w:bookmarkEnd w:id="39"/>
      <w:bookmarkEnd w:id="40"/>
      <w:bookmarkEnd w:id="41"/>
      <w:bookmarkEnd w:id="42"/>
      <w:bookmarkEnd w:id="43"/>
    </w:p>
    <w:p w14:paraId="38D1F537" w14:textId="6B618C58" w:rsidR="009E1A09" w:rsidRPr="00C0591E" w:rsidRDefault="0015128E" w:rsidP="00347D67">
      <w:r w:rsidRPr="00C0591E">
        <w:t>The study anticipated to encounter some limitations that may hinder access to information that the study seeks. This included a</w:t>
      </w:r>
      <w:r w:rsidR="009E1A09" w:rsidRPr="00C0591E">
        <w:t xml:space="preserve"> low response by the respondents due to the organizations rigid policies, the respondents might not be free in answering the questions posed to them for fear of victimization by the authorities. This </w:t>
      </w:r>
      <w:r w:rsidR="004605AB" w:rsidRPr="00C0591E">
        <w:t>was</w:t>
      </w:r>
      <w:r w:rsidR="009E1A09" w:rsidRPr="00C0591E">
        <w:t xml:space="preserve"> overcome by assuring the staff that the study </w:t>
      </w:r>
      <w:r w:rsidR="00E47492" w:rsidRPr="00C0591E">
        <w:t>was</w:t>
      </w:r>
      <w:r w:rsidR="009E1A09" w:rsidRPr="00C0591E">
        <w:t xml:space="preserve"> not used anywhere else or by somebody else except for academic </w:t>
      </w:r>
      <w:r w:rsidR="008911FA" w:rsidRPr="00C0591E">
        <w:t>purposes. To</w:t>
      </w:r>
      <w:r w:rsidRPr="00C0591E">
        <w:t xml:space="preserve"> mitigate this the r</w:t>
      </w:r>
      <w:r w:rsidR="009E1A09" w:rsidRPr="00C0591E">
        <w:t>esearcher follow</w:t>
      </w:r>
      <w:r w:rsidRPr="00C0591E">
        <w:t>ed</w:t>
      </w:r>
      <w:r w:rsidR="009E1A09" w:rsidRPr="00C0591E">
        <w:t xml:space="preserve"> up the respondents regularly. In order to counter the constraints that might be experienced during the study, the researcher </w:t>
      </w:r>
      <w:r w:rsidR="009E1A09" w:rsidRPr="00C0591E">
        <w:rPr>
          <w:noProof/>
        </w:rPr>
        <w:t>use</w:t>
      </w:r>
      <w:r w:rsidRPr="00C0591E">
        <w:rPr>
          <w:noProof/>
        </w:rPr>
        <w:t>d</w:t>
      </w:r>
      <w:r w:rsidR="009E1A09" w:rsidRPr="00C0591E">
        <w:rPr>
          <w:noProof/>
        </w:rPr>
        <w:t xml:space="preserve"> the</w:t>
      </w:r>
      <w:r w:rsidR="009E1A09" w:rsidRPr="00C0591E">
        <w:t xml:space="preserve"> introductory letter from the University. Official consent letter </w:t>
      </w:r>
      <w:r w:rsidR="004605AB" w:rsidRPr="00C0591E">
        <w:t>was</w:t>
      </w:r>
      <w:r w:rsidR="009E1A09" w:rsidRPr="00C0591E">
        <w:t xml:space="preserve"> sent to the institutions seek</w:t>
      </w:r>
      <w:r w:rsidRPr="00C0591E">
        <w:t>ing</w:t>
      </w:r>
      <w:r w:rsidR="009E1A09" w:rsidRPr="00C0591E">
        <w:t xml:space="preserve"> for the permission to access the institution.</w:t>
      </w:r>
    </w:p>
    <w:p w14:paraId="69B9075C" w14:textId="2CABA634" w:rsidR="009E1A09" w:rsidRPr="00C0591E" w:rsidRDefault="009E1A09" w:rsidP="00347D67">
      <w:pPr>
        <w:pStyle w:val="Heading2"/>
      </w:pPr>
      <w:bookmarkStart w:id="44" w:name="_Toc515997244"/>
      <w:bookmarkStart w:id="45" w:name="_Toc523231698"/>
      <w:bookmarkStart w:id="46" w:name="_Toc113125078"/>
      <w:r w:rsidRPr="00C0591E">
        <w:t>1.7 Delimitations</w:t>
      </w:r>
      <w:bookmarkEnd w:id="44"/>
      <w:bookmarkEnd w:id="45"/>
      <w:bookmarkEnd w:id="46"/>
    </w:p>
    <w:p w14:paraId="7A5C4017" w14:textId="3E75DBC3" w:rsidR="0054528F" w:rsidRPr="00C0591E" w:rsidRDefault="00347D67" w:rsidP="00347D67">
      <w:r w:rsidRPr="00C0591E">
        <w:t>The study</w:t>
      </w:r>
      <w:r w:rsidR="0054528F" w:rsidRPr="00C0591E">
        <w:t xml:space="preserve"> </w:t>
      </w:r>
      <w:r w:rsidR="004605AB" w:rsidRPr="00C0591E">
        <w:t>was</w:t>
      </w:r>
      <w:r w:rsidR="0054528F" w:rsidRPr="00C0591E">
        <w:t xml:space="preserve"> carried out in Nairobi </w:t>
      </w:r>
      <w:r w:rsidR="0015128E" w:rsidRPr="00C0591E">
        <w:t>County in the year 2020</w:t>
      </w:r>
      <w:r w:rsidR="0054528F" w:rsidRPr="00C0591E">
        <w:t>. The study target</w:t>
      </w:r>
      <w:r w:rsidR="0015128E" w:rsidRPr="00C0591E">
        <w:t>ed</w:t>
      </w:r>
      <w:r w:rsidR="0054528F" w:rsidRPr="00C0591E">
        <w:t xml:space="preserve"> the </w:t>
      </w:r>
      <w:r w:rsidR="00F67258" w:rsidRPr="00C0591E">
        <w:rPr>
          <w:rFonts w:cs="Times New Roman"/>
          <w:szCs w:val="24"/>
        </w:rPr>
        <w:t xml:space="preserve">31 </w:t>
      </w:r>
      <w:r w:rsidR="0054528F" w:rsidRPr="00C0591E">
        <w:rPr>
          <w:rFonts w:cs="Times New Roman"/>
          <w:szCs w:val="24"/>
        </w:rPr>
        <w:t>registered pension fund managers in Kenya</w:t>
      </w:r>
      <w:r w:rsidR="0054528F" w:rsidRPr="00C0591E">
        <w:t>. The study target</w:t>
      </w:r>
      <w:r w:rsidR="0015128E" w:rsidRPr="00C0591E">
        <w:t>ed</w:t>
      </w:r>
      <w:r w:rsidR="0054528F" w:rsidRPr="00C0591E">
        <w:t xml:space="preserve"> respondents </w:t>
      </w:r>
      <w:r w:rsidR="004605AB" w:rsidRPr="00C0591E">
        <w:t>was</w:t>
      </w:r>
      <w:r w:rsidR="0054528F" w:rsidRPr="00C0591E">
        <w:t xml:space="preserve"> the </w:t>
      </w:r>
      <w:r w:rsidR="0054528F" w:rsidRPr="00C0591E">
        <w:rPr>
          <w:rFonts w:cs="Times New Roman"/>
          <w:szCs w:val="24"/>
        </w:rPr>
        <w:t>top management, middle management and lower level management of the pension fund managers</w:t>
      </w:r>
      <w:r w:rsidR="0054528F" w:rsidRPr="00C0591E">
        <w:t>. The study adopt</w:t>
      </w:r>
      <w:r w:rsidR="0015128E" w:rsidRPr="00C0591E">
        <w:t>ed</w:t>
      </w:r>
      <w:r w:rsidR="0054528F" w:rsidRPr="00C0591E">
        <w:t xml:space="preserve"> </w:t>
      </w:r>
      <w:r w:rsidR="0054528F" w:rsidRPr="00C0591E">
        <w:rPr>
          <w:rFonts w:cs="Times New Roman"/>
          <w:szCs w:val="24"/>
        </w:rPr>
        <w:t xml:space="preserve">a survey design </w:t>
      </w:r>
      <w:r w:rsidR="0054528F" w:rsidRPr="00C0591E">
        <w:t>and use</w:t>
      </w:r>
      <w:r w:rsidR="0015128E" w:rsidRPr="00C0591E">
        <w:t>d</w:t>
      </w:r>
      <w:r w:rsidR="0054528F" w:rsidRPr="00C0591E">
        <w:t xml:space="preserve"> data from primary and secondary sources. </w:t>
      </w:r>
      <w:r w:rsidR="0015128E" w:rsidRPr="00C0591E">
        <w:t>S</w:t>
      </w:r>
      <w:r w:rsidR="0054528F" w:rsidRPr="00C0591E">
        <w:t xml:space="preserve">tructured questionnaires </w:t>
      </w:r>
      <w:r w:rsidR="0015128E" w:rsidRPr="00C0591E">
        <w:t>were</w:t>
      </w:r>
      <w:r w:rsidR="0054528F" w:rsidRPr="00C0591E">
        <w:t xml:space="preserve"> used to collect primary data.</w:t>
      </w:r>
    </w:p>
    <w:p w14:paraId="144A0B2C" w14:textId="0E1A6F98" w:rsidR="00267BE6" w:rsidRPr="00C0591E" w:rsidRDefault="009601BC" w:rsidP="00347D67">
      <w:pPr>
        <w:pStyle w:val="Heading2"/>
      </w:pPr>
      <w:bookmarkStart w:id="47" w:name="_Toc113125079"/>
      <w:r w:rsidRPr="00C0591E">
        <w:t xml:space="preserve">1.8 </w:t>
      </w:r>
      <w:r w:rsidR="00267BE6" w:rsidRPr="00C0591E">
        <w:t>Chapter Summary</w:t>
      </w:r>
      <w:bookmarkEnd w:id="47"/>
    </w:p>
    <w:p w14:paraId="1A4830C4" w14:textId="36805CE7" w:rsidR="00267BE6" w:rsidRPr="00C0591E" w:rsidRDefault="00267BE6" w:rsidP="00347D67">
      <w:r w:rsidRPr="00C0591E">
        <w:t xml:space="preserve">This chapter has considered the background of the problem by articulating what other researchers and practitioners in the area under consideration have found out with regard to </w:t>
      </w:r>
      <w:r w:rsidR="00AF069B">
        <w:t>pillars of corporate governance</w:t>
      </w:r>
      <w:r w:rsidRPr="00C0591E">
        <w:t>, investment policies and government regulation</w:t>
      </w:r>
      <w:r w:rsidR="00831282" w:rsidRPr="00C0591E">
        <w:t>s</w:t>
      </w:r>
      <w:r w:rsidRPr="00C0591E">
        <w:t xml:space="preserve"> and their relationship with performance. It also listed the general and specific objectives underlying the study and clearly defined the importance and scope of the study.</w:t>
      </w:r>
      <w:r w:rsidR="0015128E" w:rsidRPr="00C0591E">
        <w:t xml:space="preserve"> </w:t>
      </w:r>
      <w:r w:rsidRPr="00C0591E">
        <w:t>The next chapter discuss</w:t>
      </w:r>
      <w:r w:rsidR="0015128E" w:rsidRPr="00C0591E">
        <w:t>ed</w:t>
      </w:r>
      <w:r w:rsidRPr="00C0591E">
        <w:t xml:space="preserve"> critical reviews of available literature on the subject matter, with keen focus on the theoretical framework underpinning this study and what other scholars have published with regard to each of the study’s specific objectives.</w:t>
      </w:r>
    </w:p>
    <w:p w14:paraId="5E83A18C" w14:textId="77777777" w:rsidR="00267BE6" w:rsidRPr="00C0591E" w:rsidRDefault="00267BE6" w:rsidP="00267BE6">
      <w:pPr>
        <w:rPr>
          <w:rFonts w:eastAsiaTheme="majorEastAsia" w:cstheme="majorBidi"/>
          <w:b/>
          <w:bCs/>
          <w:szCs w:val="28"/>
        </w:rPr>
      </w:pPr>
      <w:r w:rsidRPr="00C0591E">
        <w:br w:type="page"/>
      </w:r>
    </w:p>
    <w:p w14:paraId="2F05E4CA" w14:textId="77777777" w:rsidR="00347D67" w:rsidRPr="00C0591E" w:rsidRDefault="00267BE6" w:rsidP="00347D67">
      <w:pPr>
        <w:pStyle w:val="Heading1"/>
      </w:pPr>
      <w:bookmarkStart w:id="48" w:name="_Toc113125080"/>
      <w:r w:rsidRPr="00C0591E">
        <w:t>CHAPTER TWO</w:t>
      </w:r>
      <w:bookmarkEnd w:id="48"/>
    </w:p>
    <w:p w14:paraId="7AD96999" w14:textId="46A430B0" w:rsidR="00267BE6" w:rsidRPr="00C0591E" w:rsidRDefault="00267BE6" w:rsidP="00347D67">
      <w:pPr>
        <w:pStyle w:val="Heading1"/>
      </w:pPr>
      <w:bookmarkStart w:id="49" w:name="_Toc113125081"/>
      <w:r w:rsidRPr="00C0591E">
        <w:t>LITERATURE REVIEW</w:t>
      </w:r>
      <w:bookmarkEnd w:id="49"/>
    </w:p>
    <w:p w14:paraId="01B50873" w14:textId="25157C2B" w:rsidR="00267BE6" w:rsidRPr="00C0591E" w:rsidRDefault="00267BE6" w:rsidP="00347D67">
      <w:pPr>
        <w:pStyle w:val="Heading2"/>
      </w:pPr>
      <w:bookmarkStart w:id="50" w:name="_Toc495672603"/>
      <w:bookmarkStart w:id="51" w:name="_Toc113125082"/>
      <w:r w:rsidRPr="00C0591E">
        <w:t>2.0 Introduction</w:t>
      </w:r>
      <w:bookmarkEnd w:id="50"/>
      <w:bookmarkEnd w:id="51"/>
      <w:r w:rsidRPr="00C0591E">
        <w:t xml:space="preserve"> </w:t>
      </w:r>
    </w:p>
    <w:p w14:paraId="1911CC9E" w14:textId="24FD7393" w:rsidR="00267BE6" w:rsidRPr="00C0591E" w:rsidRDefault="00267BE6" w:rsidP="00347D67">
      <w:pPr>
        <w:rPr>
          <w:lang w:val="en-GB"/>
        </w:rPr>
      </w:pPr>
      <w:r w:rsidRPr="00C0591E">
        <w:rPr>
          <w:lang w:val="en-GB"/>
        </w:rPr>
        <w:t>This chapter deal</w:t>
      </w:r>
      <w:r w:rsidR="0015128E" w:rsidRPr="00C0591E">
        <w:rPr>
          <w:lang w:val="en-GB"/>
        </w:rPr>
        <w:t>t</w:t>
      </w:r>
      <w:r w:rsidRPr="00C0591E">
        <w:rPr>
          <w:lang w:val="en-GB"/>
        </w:rPr>
        <w:t xml:space="preserve"> with the available literature that has been reviewed for the study. The literature </w:t>
      </w:r>
      <w:r w:rsidR="0015128E" w:rsidRPr="00C0591E">
        <w:rPr>
          <w:lang w:val="en-GB"/>
        </w:rPr>
        <w:t>was</w:t>
      </w:r>
      <w:r w:rsidRPr="00C0591E">
        <w:rPr>
          <w:lang w:val="en-GB"/>
        </w:rPr>
        <w:t xml:space="preserve"> mainly on the </w:t>
      </w:r>
      <w:r w:rsidR="00AF069B">
        <w:rPr>
          <w:lang w:val="en-GB"/>
        </w:rPr>
        <w:t>pillars of corporate governance</w:t>
      </w:r>
      <w:r w:rsidRPr="00C0591E">
        <w:rPr>
          <w:lang w:val="en-GB"/>
        </w:rPr>
        <w:t xml:space="preserve"> practices,</w:t>
      </w:r>
      <w:r w:rsidRPr="00C0591E">
        <w:t xml:space="preserve"> investment policies</w:t>
      </w:r>
      <w:r w:rsidRPr="00C0591E">
        <w:rPr>
          <w:lang w:val="en-GB"/>
        </w:rPr>
        <w:t xml:space="preserve">, government regulations and </w:t>
      </w:r>
      <w:r w:rsidRPr="00C0591E">
        <w:t>performance</w:t>
      </w:r>
      <w:r w:rsidRPr="00C0591E">
        <w:rPr>
          <w:lang w:val="en-GB"/>
        </w:rPr>
        <w:t>. The specific areas covered include</w:t>
      </w:r>
      <w:r w:rsidR="0015128E" w:rsidRPr="00C0591E">
        <w:rPr>
          <w:lang w:val="en-GB"/>
        </w:rPr>
        <w:t>d</w:t>
      </w:r>
      <w:r w:rsidRPr="00C0591E">
        <w:rPr>
          <w:lang w:val="en-GB"/>
        </w:rPr>
        <w:t xml:space="preserve"> different governance mechanisms and indices. Investment policies and government regulations and their relationship </w:t>
      </w:r>
      <w:r w:rsidR="00140E21" w:rsidRPr="00C0591E">
        <w:rPr>
          <w:lang w:val="en-GB"/>
        </w:rPr>
        <w:t xml:space="preserve">with </w:t>
      </w:r>
      <w:r w:rsidR="00AF069B">
        <w:rPr>
          <w:lang w:val="en-GB"/>
        </w:rPr>
        <w:t>pillars of corporate governance</w:t>
      </w:r>
      <w:r w:rsidRPr="00C0591E">
        <w:rPr>
          <w:lang w:val="en-GB"/>
        </w:rPr>
        <w:t xml:space="preserve"> and performance </w:t>
      </w:r>
      <w:r w:rsidR="004605AB" w:rsidRPr="00C0591E">
        <w:rPr>
          <w:lang w:val="en-GB"/>
        </w:rPr>
        <w:t>was</w:t>
      </w:r>
      <w:r w:rsidRPr="00C0591E">
        <w:rPr>
          <w:lang w:val="en-GB"/>
        </w:rPr>
        <w:t xml:space="preserve"> evaluated.</w:t>
      </w:r>
    </w:p>
    <w:p w14:paraId="5AE37CA7" w14:textId="5DD8D94D" w:rsidR="00267BE6" w:rsidRPr="00C0591E" w:rsidRDefault="00267BE6" w:rsidP="00347D67">
      <w:pPr>
        <w:pStyle w:val="Heading2"/>
        <w:rPr>
          <w:lang w:val="en-GB"/>
        </w:rPr>
      </w:pPr>
      <w:bookmarkStart w:id="52" w:name="_Toc495672604"/>
      <w:bookmarkStart w:id="53" w:name="_Toc113125083"/>
      <w:r w:rsidRPr="00C0591E">
        <w:rPr>
          <w:lang w:val="en-GB"/>
        </w:rPr>
        <w:t xml:space="preserve">2.1 </w:t>
      </w:r>
      <w:r w:rsidRPr="00C0591E">
        <w:t>Theoretical</w:t>
      </w:r>
      <w:r w:rsidRPr="00C0591E">
        <w:rPr>
          <w:lang w:val="en-GB"/>
        </w:rPr>
        <w:t xml:space="preserve"> </w:t>
      </w:r>
      <w:r w:rsidR="00103E8A" w:rsidRPr="00C0591E">
        <w:rPr>
          <w:lang w:val="en-GB"/>
        </w:rPr>
        <w:t>R</w:t>
      </w:r>
      <w:r w:rsidRPr="00C0591E">
        <w:rPr>
          <w:lang w:val="en-GB"/>
        </w:rPr>
        <w:t>eviews</w:t>
      </w:r>
      <w:bookmarkEnd w:id="52"/>
      <w:bookmarkEnd w:id="53"/>
    </w:p>
    <w:p w14:paraId="6431E670" w14:textId="4E541292" w:rsidR="00267BE6" w:rsidRPr="00C0591E" w:rsidRDefault="00267BE6" w:rsidP="00267BE6">
      <w:pPr>
        <w:rPr>
          <w:rFonts w:cs="Times New Roman"/>
          <w:szCs w:val="24"/>
        </w:rPr>
      </w:pPr>
      <w:r w:rsidRPr="00C0591E">
        <w:rPr>
          <w:rFonts w:cs="Times New Roman"/>
          <w:color w:val="000000"/>
          <w:szCs w:val="24"/>
          <w:lang w:val="en-GB"/>
        </w:rPr>
        <w:t>This study employ</w:t>
      </w:r>
      <w:r w:rsidR="0015128E" w:rsidRPr="00C0591E">
        <w:rPr>
          <w:rFonts w:cs="Times New Roman"/>
          <w:color w:val="000000"/>
          <w:szCs w:val="24"/>
          <w:lang w:val="en-GB"/>
        </w:rPr>
        <w:t>ed</w:t>
      </w:r>
      <w:r w:rsidRPr="00C0591E">
        <w:rPr>
          <w:rFonts w:cs="Times New Roman"/>
          <w:color w:val="000000"/>
          <w:szCs w:val="24"/>
          <w:lang w:val="en-GB"/>
        </w:rPr>
        <w:t xml:space="preserve"> several theoretical approaches which can be used to outline the performance of organizations, to select the predictors to the models, and to justify the functional form between these predictors. In this review these approaches </w:t>
      </w:r>
      <w:r w:rsidR="0015128E" w:rsidRPr="00C0591E">
        <w:rPr>
          <w:rFonts w:cs="Times New Roman"/>
          <w:color w:val="000000"/>
          <w:szCs w:val="24"/>
          <w:lang w:val="en-GB"/>
        </w:rPr>
        <w:t>were</w:t>
      </w:r>
      <w:r w:rsidRPr="00C0591E">
        <w:rPr>
          <w:rFonts w:cs="Times New Roman"/>
          <w:color w:val="000000"/>
          <w:szCs w:val="24"/>
          <w:lang w:val="en-GB"/>
        </w:rPr>
        <w:t xml:space="preserve"> classified into the following categories; </w:t>
      </w:r>
      <w:r w:rsidR="00E06178" w:rsidRPr="00C0591E">
        <w:rPr>
          <w:rFonts w:cs="Times New Roman"/>
          <w:color w:val="000000"/>
          <w:szCs w:val="24"/>
          <w:lang w:val="en-GB"/>
        </w:rPr>
        <w:t xml:space="preserve">stakeholder theory, agency theory, </w:t>
      </w:r>
      <w:r w:rsidRPr="00C0591E">
        <w:rPr>
          <w:rFonts w:cs="Times New Roman"/>
          <w:color w:val="000000"/>
          <w:szCs w:val="24"/>
          <w:lang w:val="en-GB"/>
        </w:rPr>
        <w:t xml:space="preserve">neoclassical theory, </w:t>
      </w:r>
      <w:r w:rsidRPr="00C0591E">
        <w:t>Q-theory</w:t>
      </w:r>
      <w:r w:rsidRPr="00C0591E">
        <w:rPr>
          <w:rFonts w:cs="Times New Roman"/>
          <w:color w:val="000000"/>
          <w:szCs w:val="24"/>
          <w:lang w:val="en-GB"/>
        </w:rPr>
        <w:t xml:space="preserve">, contingency </w:t>
      </w:r>
      <w:r w:rsidRPr="00C0591E">
        <w:t>theory</w:t>
      </w:r>
      <w:r w:rsidR="00E06178" w:rsidRPr="00C0591E">
        <w:t xml:space="preserve"> </w:t>
      </w:r>
      <w:r w:rsidRPr="00C0591E">
        <w:t>and</w:t>
      </w:r>
      <w:r w:rsidR="00E06178" w:rsidRPr="00C0591E">
        <w:t xml:space="preserve"> resource dependency</w:t>
      </w:r>
      <w:r w:rsidR="0002790F" w:rsidRPr="00C0591E">
        <w:t xml:space="preserve"> theory</w:t>
      </w:r>
      <w:r w:rsidRPr="00C0591E">
        <w:t xml:space="preserve">. This study </w:t>
      </w:r>
      <w:r w:rsidR="0015128E" w:rsidRPr="00C0591E">
        <w:t>was</w:t>
      </w:r>
      <w:r w:rsidRPr="00C0591E">
        <w:t xml:space="preserve"> anchored on agency theory, and two complimentary theories namely: Stakeholders theory and </w:t>
      </w:r>
      <w:r w:rsidR="0002790F" w:rsidRPr="00C0591E">
        <w:t>resource dependency theory</w:t>
      </w:r>
      <w:r w:rsidRPr="00C0591E">
        <w:t xml:space="preserve">. </w:t>
      </w:r>
      <w:r w:rsidR="00AF069B">
        <w:t>Pillars of corporate governance</w:t>
      </w:r>
      <w:r w:rsidRPr="00C0591E">
        <w:t xml:space="preserve"> and investment policy </w:t>
      </w:r>
      <w:r w:rsidR="004605AB" w:rsidRPr="00C0591E">
        <w:t>was</w:t>
      </w:r>
      <w:r w:rsidRPr="00C0591E">
        <w:t xml:space="preserve"> anchored on agency theory. Stakeholders’ theory support</w:t>
      </w:r>
      <w:r w:rsidR="0015128E" w:rsidRPr="00C0591E">
        <w:t>ed</w:t>
      </w:r>
      <w:r w:rsidRPr="00C0591E">
        <w:t xml:space="preserve"> agency conflicts and government regulations, while </w:t>
      </w:r>
      <w:r w:rsidR="00CB007B" w:rsidRPr="00C0591E">
        <w:t xml:space="preserve">resource dependency theory </w:t>
      </w:r>
      <w:r w:rsidRPr="00C0591E">
        <w:t>anchor</w:t>
      </w:r>
      <w:r w:rsidR="0015128E" w:rsidRPr="00C0591E">
        <w:t>ed</w:t>
      </w:r>
      <w:r w:rsidRPr="00C0591E">
        <w:t xml:space="preserve"> </w:t>
      </w:r>
      <w:r w:rsidR="00AF069B">
        <w:t>pillars of corporate governance</w:t>
      </w:r>
      <w:r w:rsidRPr="00C0591E">
        <w:t xml:space="preserve"> and performance. </w:t>
      </w:r>
      <w:r w:rsidR="00C90E0F" w:rsidRPr="00C0591E">
        <w:t xml:space="preserve">Agency theory </w:t>
      </w:r>
      <w:r w:rsidR="004605AB" w:rsidRPr="00C0591E">
        <w:t>was</w:t>
      </w:r>
      <w:r w:rsidR="00C90E0F" w:rsidRPr="00C0591E">
        <w:t xml:space="preserve"> supported by </w:t>
      </w:r>
      <w:r w:rsidR="00CB007B" w:rsidRPr="00C0591E">
        <w:t>Neoclassical and Q-theories</w:t>
      </w:r>
      <w:r w:rsidR="00C90E0F" w:rsidRPr="00C0591E">
        <w:t>. These</w:t>
      </w:r>
      <w:r w:rsidRPr="00C0591E">
        <w:t xml:space="preserve"> theories </w:t>
      </w:r>
      <w:r w:rsidR="0015128E" w:rsidRPr="00C0591E">
        <w:t>were</w:t>
      </w:r>
      <w:r w:rsidRPr="00C0591E">
        <w:t xml:space="preserve"> interlinked and complements each other towards exemplifying the overall greater picture of firm performance. The assumptions and</w:t>
      </w:r>
      <w:r w:rsidRPr="00C0591E">
        <w:rPr>
          <w:rFonts w:cs="Times New Roman"/>
          <w:szCs w:val="24"/>
        </w:rPr>
        <w:t xml:space="preserve"> limitations of one theory </w:t>
      </w:r>
      <w:r w:rsidR="004605AB" w:rsidRPr="00C0591E">
        <w:rPr>
          <w:rFonts w:cs="Times New Roman"/>
          <w:szCs w:val="24"/>
        </w:rPr>
        <w:t>was</w:t>
      </w:r>
      <w:r w:rsidRPr="00C0591E">
        <w:rPr>
          <w:rFonts w:cs="Times New Roman"/>
          <w:szCs w:val="24"/>
        </w:rPr>
        <w:t xml:space="preserve"> supplemented by other theories. </w:t>
      </w:r>
    </w:p>
    <w:p w14:paraId="1B279DFC" w14:textId="5EFA35C9" w:rsidR="003D5C71" w:rsidRPr="00C0591E" w:rsidRDefault="003D5C71" w:rsidP="003D5C71">
      <w:pPr>
        <w:pStyle w:val="Heading3"/>
      </w:pPr>
      <w:r w:rsidRPr="00C0591E">
        <w:rPr>
          <w:color w:val="000000"/>
          <w:lang w:val="en-GB"/>
        </w:rPr>
        <w:t xml:space="preserve">2.1.1 </w:t>
      </w:r>
      <w:r w:rsidRPr="00C0591E">
        <w:t>Agency Theory</w:t>
      </w:r>
    </w:p>
    <w:p w14:paraId="59E48E68" w14:textId="77777777" w:rsidR="003D5C71" w:rsidRPr="00C0591E" w:rsidRDefault="003D5C71" w:rsidP="003D5C71">
      <w:r w:rsidRPr="00C0591E">
        <w:t xml:space="preserve">Agency theory was formed in 1973 by Stephen Ross and Barry Mitnick (Mitnick, 1973). Creation of the theory was due to separation of ownership and control which leads to a n agency problem whereby management operates the firm aligning with their own interests, not those of the shareholders (Nyamongo &amp; Temesgen, 2019). Advocates of agency theory argue that separation of the stipulating clear guidelines on agency conflict does maximize corporate performance since the managers are guided on do’s and don’ts of using organizations resources for self-aggrandizement. </w:t>
      </w:r>
    </w:p>
    <w:p w14:paraId="30381F06" w14:textId="77777777" w:rsidR="003D5C71" w:rsidRPr="00C0591E" w:rsidRDefault="003D5C71" w:rsidP="003D5C71">
      <w:r w:rsidRPr="00C0591E">
        <w:t>Similarly, a study conducted by Pi and Timme (2019) noted that in the banking industry, in the period between 1990- 2019, non-duality firms outperformed duality firms because agency conflict issues were eliminated. Where a manager has authority to set organizations agenda, chair the board’s agenda, approve and operationalize the same agenda, is a recipe for performance problems (Bonn, Yoshikawa, &amp; Phan, 2014). In such cases, it is difficult to hold managers to accountability standard that are in line with corporate code of conduct. When managers are the bosses of themselves, levels of accountability become weak, and opportunities for agency conflict increase threatening the organizational performance.</w:t>
      </w:r>
    </w:p>
    <w:p w14:paraId="740AEA97" w14:textId="77777777" w:rsidR="003D5C71" w:rsidRPr="00C0591E" w:rsidRDefault="003D5C71" w:rsidP="003D5C71">
      <w:pPr>
        <w:rPr>
          <w:szCs w:val="24"/>
        </w:rPr>
      </w:pPr>
      <w:r w:rsidRPr="00C0591E">
        <w:rPr>
          <w:szCs w:val="24"/>
        </w:rPr>
        <w:t>Jensen and Meckling (1976) built on the Modigliani and Miller theory model by theorizing the relationship between the principal (shareholder) and the agent (manager). The agency concept arose out of the need for separation of ownership and control, whereby the principal (shareholder) appoints an agent (manager) to act on their behalf. This contractual relationship involves the principal (s) engaging the agent to perform some service with delegated decision-making authority. Agents are engaged in the daily operation of organizations thus have undue information advantages. This results in information asymmetry in the agency relationship. The principal- agent relationship results in monitoring costs employed by principals to reduce the opportunistic behavior and expropriation by managers (Jensen &amp; Meckling, 1976).</w:t>
      </w:r>
    </w:p>
    <w:p w14:paraId="61D692A6" w14:textId="77777777" w:rsidR="003D5C71" w:rsidRPr="00C0591E" w:rsidRDefault="003D5C71" w:rsidP="003D5C71">
      <w:pPr>
        <w:rPr>
          <w:szCs w:val="24"/>
        </w:rPr>
      </w:pPr>
      <w:r w:rsidRPr="00C0591E">
        <w:t>Agency theory is the most dominant theoretical underpinning documented in corporate governance research (Jensen &amp; Meckling, 1976). According to Syriopoulos and Tsatsaronis (2012), conflict of interest arising out of separation of ownership and control is minimized by entrenching corporate governance mechanisms.  Although Agency theory is the dominant perspective in corporate governance studies, researchers have criticized</w:t>
      </w:r>
      <w:r w:rsidRPr="00C0591E">
        <w:rPr>
          <w:szCs w:val="24"/>
        </w:rPr>
        <w:t xml:space="preserve"> its limitation to explain the inherent principal-agent interactions as relates to sociological mechanisms. The theory identifies shareholders as the only interest group in the agency relationship and does not provide for the interests of other stakeholders.</w:t>
      </w:r>
    </w:p>
    <w:p w14:paraId="7FC4C471" w14:textId="77777777" w:rsidR="003D5C71" w:rsidRPr="00C0591E" w:rsidRDefault="003D5C71" w:rsidP="003D5C71">
      <w:pPr>
        <w:rPr>
          <w:szCs w:val="24"/>
        </w:rPr>
      </w:pPr>
      <w:r w:rsidRPr="00C0591E">
        <w:rPr>
          <w:szCs w:val="24"/>
        </w:rPr>
        <w:t>The fundamental premise of agency theory is that conflicts of interest arise in corporate relationships due to the divergence of the interests of managers and shareholders (whereby the agents are assumed to be rational but opportunistic). The core assumptions of agency theory are that: managers may maximize their own utility instead of enhancing shareholder value (Jensen &amp; Meckling, 1976); contracts are not costless when writing and enforcing (Fama &amp; Jensen, 1983); information is distributed asymmetrically between principals and agents; and (4) the parties have limited or bounded rationality. Consequently, the theory holds that due to the asymmetric information distribution between managers and shareholders, principals cannot correctly measure the efforts of managers who know the details of the operations of the firm.</w:t>
      </w:r>
    </w:p>
    <w:p w14:paraId="3AB11099" w14:textId="77777777" w:rsidR="003D5C71" w:rsidRPr="00C0591E" w:rsidRDefault="003D5C71" w:rsidP="003D5C71">
      <w:pPr>
        <w:rPr>
          <w:szCs w:val="24"/>
        </w:rPr>
      </w:pPr>
      <w:r w:rsidRPr="00C0591E">
        <w:rPr>
          <w:szCs w:val="24"/>
        </w:rPr>
        <w:t>Agency costs include monitoring costs, bonding costs and residual losses (Jensen &amp; Meckling, 1976). Monitoring costs are the costs incurred by shareholders for monitoring the conduct of managers. Bonding costs are financial or non-financial costs of setting up systems or structures intended to ensure that managers act in the best interests of the shareholders or compensate them accordingly if they do not (Jensen &amp; Meckling, 1976). Residual losses occur due to the mismatch of actions promoting the self-interest of the principal and the agent, despite (i.e. due to the failure of) monitoring and bonding activities. Fama and Jensen (1983) stated that residual loss is in fact the value of profit lost because the contract‘s full enforcement costs exceed its benefits.</w:t>
      </w:r>
    </w:p>
    <w:p w14:paraId="35D686A3" w14:textId="77777777" w:rsidR="003D5C71" w:rsidRPr="00C0591E" w:rsidRDefault="003D5C71" w:rsidP="003D5C71">
      <w:pPr>
        <w:rPr>
          <w:szCs w:val="24"/>
        </w:rPr>
      </w:pPr>
      <w:r w:rsidRPr="00C0591E">
        <w:rPr>
          <w:szCs w:val="24"/>
        </w:rPr>
        <w:t>The agency theory views the relationship between shareholders and managers as the classical principal-agent relationship, in which owners hire managers to run the firm in the best interests of the former, while the latter is rewarded for their effort (Jensen &amp; Meckling, 1976). The performance or outcome depends on the extent of the agent‘s efforts and the risks involved, but the efforts of the agent are not fully observable to the principal, thus information asymmetry makes it difficult for the principal to measure the efforts made by and to correspondingly compensate the agent, which implies greater reward for the risk-averse agent due to less incentive to</w:t>
      </w:r>
      <w:r w:rsidRPr="00C0591E">
        <w:t xml:space="preserve"> </w:t>
      </w:r>
      <w:r w:rsidRPr="00C0591E">
        <w:rPr>
          <w:szCs w:val="24"/>
        </w:rPr>
        <w:t>make effort. In this incentive-risk puzzle inherent in the agency relationship; the relevant issue is how to determine the optimal balance between efficiency and risk-bearing. The principal might thus employ other monitoring schemes in order to control the desired action of the agent and incur monitoring costs to reduce information asymmetry (Arnorld &amp; De Lange, 2014).</w:t>
      </w:r>
    </w:p>
    <w:p w14:paraId="01F7F8E1" w14:textId="77777777" w:rsidR="003D5C71" w:rsidRPr="00C0591E" w:rsidRDefault="003D5C71" w:rsidP="003D5C71">
      <w:pPr>
        <w:rPr>
          <w:szCs w:val="24"/>
        </w:rPr>
      </w:pPr>
      <w:r w:rsidRPr="00C0591E">
        <w:rPr>
          <w:szCs w:val="24"/>
        </w:rPr>
        <w:t>The problem of information asymmetry itself is related to adverse selection and moral hazard problems. Principals face adverse selection problem because they cannot correctly verify the skills or abilities the agent claims to possess at the time of contracting (i.e. hiring), thus they might not be able to select the best applicant or to know whether the agent is performing the related duties properly or not (Eisenhardt, 1989). The moral hazard agency problems, first proposed by Jensen and Meckling (1976), arise when managers might not make the required managerial efforts in the best interests of the principal. Since the principal might not know this fully, they need information to monitor the effort level and measure it in order to reward it correctly.</w:t>
      </w:r>
    </w:p>
    <w:p w14:paraId="2113852A" w14:textId="77777777" w:rsidR="003D5C71" w:rsidRPr="00C0591E" w:rsidRDefault="003D5C71" w:rsidP="003D5C71">
      <w:pPr>
        <w:rPr>
          <w:szCs w:val="24"/>
        </w:rPr>
      </w:pPr>
      <w:r w:rsidRPr="00C0591E">
        <w:rPr>
          <w:szCs w:val="24"/>
        </w:rPr>
        <w:t>According to literature, the sources of such problems are related to numerous factors, such as managers‘ investment decisions (under- or over-investments), free cash flow, earning retentions and shirking that diverge from the positive net present value rule (Jensen, 1993). In practice, both principals and agents face a trade-off between incentives, whereby the agent should be motivated by creating attractive performance-based rewards; and risk sharing, whereby the agent needs to be protected from risk by low performance based incentive. Therefore, agency problem stems from the incentive-risk sharing puzzle (Hart, 1995).</w:t>
      </w:r>
    </w:p>
    <w:p w14:paraId="04E8634C" w14:textId="77777777" w:rsidR="003D5C71" w:rsidRPr="00C0591E" w:rsidRDefault="003D5C71" w:rsidP="003D5C71">
      <w:pPr>
        <w:rPr>
          <w:szCs w:val="24"/>
        </w:rPr>
      </w:pPr>
      <w:r w:rsidRPr="00C0591E">
        <w:rPr>
          <w:szCs w:val="24"/>
        </w:rPr>
        <w:t>Jensen and Meckling (1976) defined the principal-agent relationship and explored the ownership structure of corporation, especially the role of equity ownership of managers as a mechanism to align the manager‘s interest with that of owners. Moreover, Fama and Jensen (1983) described the role of the board of directors in monitoring the potential opportunism of executive managers in large corporations. Thus agency theory is mainly concerned with the institutional arrangements (ownership structure and organisational structures) that affect agency conflicts. This closely relates it to property rights, since the effects of the distribution of property rights are important in analysis of principal-agent relationships.</w:t>
      </w:r>
    </w:p>
    <w:p w14:paraId="62360637" w14:textId="77777777" w:rsidR="003D5C71" w:rsidRPr="00C0591E" w:rsidRDefault="003D5C71" w:rsidP="003D5C71">
      <w:pPr>
        <w:rPr>
          <w:szCs w:val="24"/>
        </w:rPr>
      </w:pPr>
      <w:r w:rsidRPr="00C0591E">
        <w:rPr>
          <w:szCs w:val="24"/>
        </w:rPr>
        <w:t>In terms of corporate governance mechanisms of the board of directors (board size, CEO duality and NEDs), agency theory proposes that NEDs play an important role in monitoring and supervising executives, due to the assumption that they are independent and concerned with their own reputations (Fama and Jensen, 1983). NEDs can thus add value to firms due to their external knowledge and expertise as well as their monitoring function (Fama, 1980; Fama and Jensen, 1983). Similarly, resource dependency theory attributes improved firm performance to NEDs due to their input for decision making (e.g. investment and strategic planning decisions), and their networking value with the external environment and other stakeholders. Thus, both agency theory and resource dependency theory predict a causal, positive relationship between firm performance and the presence of NEDs (i.e. board independence), while stewardship theory conversely holds that insider directors can better monitor management that NEDs due to their enhanced knowledge of firm operations (Baysinger &amp; Hoskinsson, 2016). Additionally, stewardship theory holds that the part-time/ceremonial position of NEDs in many cases inhibits their monitoring function and renders their contribution to decision making negligible.</w:t>
      </w:r>
    </w:p>
    <w:p w14:paraId="4D99613E" w14:textId="77777777" w:rsidR="003D5C71" w:rsidRPr="00C0591E" w:rsidRDefault="003D5C71" w:rsidP="003D5C71">
      <w:pPr>
        <w:rPr>
          <w:szCs w:val="24"/>
        </w:rPr>
      </w:pPr>
      <w:r w:rsidRPr="00C0591E">
        <w:rPr>
          <w:szCs w:val="24"/>
        </w:rPr>
        <w:t>On the other hand, when considering the ownership structure mechanisms, agency theory posits that incentives for agents are necessary to align their interest with principals (i.e. to encourage managers to priorities the maximization of shareholder value). As managerial ownership increases the interests of the shareholders and managers become more aligned, thus the incentive for opportunistic behavior decreases, thus agency problems decreased (Jensen, 1993; Jensen &amp; Meckling, 1976). Furthermore, large and controlling shareholders contribute to the mitigation of the agency problems because they have the incentives, motivations and capacity to monitor the managers for the shared benefit of control (Vishny &amp; Shliefer, 2017). Conversely, resource dependency and stewardship theories provide no testable hypothesis concerning the ownership structure. Therefore, resource dependency and stewardship theory will be included only where testable hypotheses are pertinent, while agency theory will be employed as the main theory guiding this analysis.</w:t>
      </w:r>
    </w:p>
    <w:p w14:paraId="10346BA2" w14:textId="77777777" w:rsidR="003D5C71" w:rsidRPr="00C0591E" w:rsidRDefault="003D5C71" w:rsidP="003D5C71">
      <w:pPr>
        <w:rPr>
          <w:szCs w:val="24"/>
        </w:rPr>
      </w:pPr>
      <w:r w:rsidRPr="00C0591E">
        <w:rPr>
          <w:szCs w:val="24"/>
        </w:rPr>
        <w:t>The agency theory suggests that due to the separation of ownership and control in modern firms, agents are less likely to always work in the interests of principals. To reduce this divergence of interests, shareholders will have to use internal corporate governance mechanisms to monitor managers and thus induces rational managers to fulfil their function of maximising the value of shareholders, improving firm performance. This latent structural factor must be complemented by deliberate efforts to monitor and control managers, with corporate governance mechanisms that identify any potential problems as well as rewarding positive behaviours and good performance by managers. The resultant costs of residual loss, bonding and monitoring agents (managers) are known as agency costs. Presuming that agency costs ensure that managers do not pursue their self-interest while neglecting shareholders' interests, agency costs reduce the agency problem and contribute to improved firm performance.</w:t>
      </w:r>
    </w:p>
    <w:p w14:paraId="4611CCBD" w14:textId="77777777" w:rsidR="003D5C71" w:rsidRPr="00C0591E" w:rsidRDefault="003D5C71" w:rsidP="003D5C71">
      <w:pPr>
        <w:rPr>
          <w:szCs w:val="24"/>
        </w:rPr>
      </w:pPr>
      <w:r w:rsidRPr="00C0591E">
        <w:rPr>
          <w:szCs w:val="24"/>
        </w:rPr>
        <w:t xml:space="preserve">Arising from criticism of the Agency theory, Donaldson and Davis (1991) conceptualized the stewardship theory that assumes that the interest of shareholders and the interest of management are aligned and therefore management is motivated to take decisions that would maximize performance. This theory has its roots from psychology and sociology as a steward protects and maximizes shareholders wealth through firm performance and in effect maximizing the steward’s utility. The stewardship theory therefore postulates that stewards are satisfied and motivated when organizational success is attained. The theory therefore argues that the effective control held by managers empowers them to maximize firm performance and corporate profits through autonomous behavior and not necessary control mechanisms put in place as in the case of the agency theory. </w:t>
      </w:r>
    </w:p>
    <w:p w14:paraId="33E852EA" w14:textId="0717ACAE" w:rsidR="003D5C71" w:rsidRPr="00C0591E" w:rsidRDefault="003D5C71" w:rsidP="003D5C71">
      <w:pPr>
        <w:rPr>
          <w:szCs w:val="24"/>
        </w:rPr>
      </w:pPr>
      <w:r w:rsidRPr="00C0591E">
        <w:rPr>
          <w:szCs w:val="24"/>
        </w:rPr>
        <w:t xml:space="preserve">This study is therefore anchored on Agency as the dominant theory underpinning the need to entrench </w:t>
      </w:r>
      <w:r w:rsidR="00AF069B">
        <w:rPr>
          <w:szCs w:val="24"/>
        </w:rPr>
        <w:t>pillars of corporate governance</w:t>
      </w:r>
      <w:r w:rsidRPr="00C0591E">
        <w:rPr>
          <w:szCs w:val="24"/>
        </w:rPr>
        <w:t xml:space="preserve"> practices as an essential monitoring device to ensure principal agent conflict is minimized and profits maximized.</w:t>
      </w:r>
    </w:p>
    <w:p w14:paraId="6962335F" w14:textId="020F9CDC" w:rsidR="0051556D" w:rsidRPr="00C0591E" w:rsidRDefault="003D5C71" w:rsidP="00347D67">
      <w:pPr>
        <w:pStyle w:val="Heading3"/>
        <w:rPr>
          <w:color w:val="000000"/>
          <w:szCs w:val="24"/>
          <w:lang w:val="en-GB"/>
        </w:rPr>
      </w:pPr>
      <w:r w:rsidRPr="00C0591E">
        <w:rPr>
          <w:color w:val="000000"/>
          <w:szCs w:val="24"/>
          <w:lang w:val="en-GB"/>
        </w:rPr>
        <w:t xml:space="preserve">2.1.2 </w:t>
      </w:r>
      <w:r w:rsidR="0051556D" w:rsidRPr="00C0591E">
        <w:t>Stakeholder Theory</w:t>
      </w:r>
    </w:p>
    <w:p w14:paraId="7759B7CC" w14:textId="3B7F2254" w:rsidR="0051556D" w:rsidRPr="00C0591E" w:rsidRDefault="0051556D" w:rsidP="00827B63">
      <w:pPr>
        <w:rPr>
          <w:rFonts w:cs="Times New Roman"/>
          <w:szCs w:val="24"/>
        </w:rPr>
      </w:pPr>
      <w:r w:rsidRPr="00C0591E">
        <w:t>The stakeholders’ theory was developed by Edward Freeman in 1984 to fill the observed gap created by omission found in the agency theory which identifies shareholders as the only interest group of a corporate entity. Within the framework of the stakeholders’ theory the problem of agency has been widened to include multiple principals (Sand, Garba &amp; Mikailu</w:t>
      </w:r>
      <w:r w:rsidR="00901089" w:rsidRPr="00C0591E">
        <w:t xml:space="preserve">, </w:t>
      </w:r>
      <w:r w:rsidRPr="00C0591E">
        <w:t xml:space="preserve">2011). </w:t>
      </w:r>
      <w:r w:rsidRPr="00C0591E">
        <w:rPr>
          <w:rFonts w:cs="Times New Roman"/>
          <w:szCs w:val="24"/>
        </w:rPr>
        <w:t>Propone</w:t>
      </w:r>
      <w:r w:rsidR="003D5C71" w:rsidRPr="00C0591E">
        <w:rPr>
          <w:rFonts w:cs="Times New Roman"/>
          <w:szCs w:val="24"/>
        </w:rPr>
        <w:t>nts of this theory assert that o</w:t>
      </w:r>
      <w:r w:rsidRPr="00C0591E">
        <w:rPr>
          <w:rFonts w:cs="Times New Roman"/>
          <w:szCs w:val="24"/>
        </w:rPr>
        <w:t>rganization performance depends on how well an Organization manages and satisfies its stakeholders and builds closer customer relationships</w:t>
      </w:r>
      <w:r w:rsidRPr="00C0591E">
        <w:rPr>
          <w:rFonts w:cs="Times New Roman"/>
          <w:noProof/>
          <w:szCs w:val="24"/>
        </w:rPr>
        <w:t xml:space="preserve"> (</w:t>
      </w:r>
      <w:r w:rsidRPr="00C0591E">
        <w:t>Njoroge, Machuki, Ongeti &amp; Kinuu, 2015</w:t>
      </w:r>
      <w:r w:rsidRPr="00C0591E">
        <w:rPr>
          <w:rFonts w:cs="Times New Roman"/>
          <w:noProof/>
          <w:szCs w:val="24"/>
        </w:rPr>
        <w:t>)</w:t>
      </w:r>
      <w:r w:rsidRPr="00C0591E">
        <w:rPr>
          <w:rFonts w:cs="Times New Roman"/>
          <w:szCs w:val="24"/>
        </w:rPr>
        <w:t xml:space="preserve">. Managers are agents who manage the organization on behalf of and for the benefit of stakeholders. </w:t>
      </w:r>
    </w:p>
    <w:p w14:paraId="47ED09B7" w14:textId="6AAD369D" w:rsidR="0051556D" w:rsidRPr="00C0591E" w:rsidRDefault="0051556D" w:rsidP="00827B63">
      <w:r w:rsidRPr="00C0591E">
        <w:t>Organizational performance is</w:t>
      </w:r>
      <w:r w:rsidR="003D5C71" w:rsidRPr="00C0591E">
        <w:t xml:space="preserve"> an indication of how well the o</w:t>
      </w:r>
      <w:r w:rsidRPr="00C0591E">
        <w:t>rganization has served the various stakeholders</w:t>
      </w:r>
      <w:r w:rsidRPr="00C0591E">
        <w:rPr>
          <w:noProof/>
        </w:rPr>
        <w:t xml:space="preserve"> (</w:t>
      </w:r>
      <w:r w:rsidRPr="00C0591E">
        <w:t>Freeman &amp; Ehrhardt, 2012</w:t>
      </w:r>
      <w:r w:rsidRPr="00C0591E">
        <w:rPr>
          <w:noProof/>
        </w:rPr>
        <w:t>)</w:t>
      </w:r>
      <w:r w:rsidRPr="00C0591E">
        <w:t>. Stakeholder theory has revolutionized performance measurement from the conventional economic prosperity measures of return on assets (ROA), return on equity (ROE), sales growth to non-financial measures which include environmental integrity and social equity</w:t>
      </w:r>
      <w:r w:rsidRPr="00C0591E">
        <w:rPr>
          <w:noProof/>
        </w:rPr>
        <w:t xml:space="preserve"> (</w:t>
      </w:r>
      <w:r w:rsidRPr="00C0591E">
        <w:t>Freeman &amp; Ehrhardt, 2012</w:t>
      </w:r>
      <w:r w:rsidRPr="00C0591E">
        <w:rPr>
          <w:noProof/>
        </w:rPr>
        <w:t>)</w:t>
      </w:r>
      <w:r w:rsidRPr="00C0591E">
        <w:t xml:space="preserve">. The interconnected network of stakeholders affects the procedure for </w:t>
      </w:r>
      <w:r w:rsidRPr="00C0591E">
        <w:rPr>
          <w:noProof/>
        </w:rPr>
        <w:t>making decision of</w:t>
      </w:r>
      <w:r w:rsidRPr="00C0591E">
        <w:t xml:space="preserve"> the Organization, its effectiveness and performance.</w:t>
      </w:r>
    </w:p>
    <w:p w14:paraId="029E6F49" w14:textId="77777777" w:rsidR="00EE2ADD" w:rsidRPr="00C0591E" w:rsidRDefault="00EE2ADD" w:rsidP="00EE2ADD">
      <w:pPr>
        <w:rPr>
          <w:szCs w:val="24"/>
        </w:rPr>
      </w:pPr>
      <w:r w:rsidRPr="00C0591E">
        <w:t>De Villiers and Van Staden (</w:t>
      </w:r>
      <w:r w:rsidRPr="00C0591E">
        <w:rPr>
          <w:rStyle w:val="ref-lnk"/>
        </w:rPr>
        <w:t>2011</w:t>
      </w:r>
      <w:r w:rsidRPr="00C0591E">
        <w:t xml:space="preserve">) stated that managers disseminate information to shareholders and also other stakeholders. Managers are duty – bound to disclose information and engage with the stakeholders in order to gain access to the resources they control (Hill &amp; Jones, </w:t>
      </w:r>
      <w:r w:rsidRPr="00C0591E">
        <w:rPr>
          <w:rStyle w:val="ref-lnk"/>
        </w:rPr>
        <w:t>1992</w:t>
      </w:r>
      <w:r w:rsidRPr="00C0591E">
        <w:t xml:space="preserve">). The resource dependency therefore gives the stakeholders other than shareholders a legitimate claim on a firm’s resources (Kock </w:t>
      </w:r>
      <w:r w:rsidRPr="00C0591E">
        <w:rPr>
          <w:i/>
        </w:rPr>
        <w:t>et al.,</w:t>
      </w:r>
      <w:r w:rsidRPr="00C0591E">
        <w:t xml:space="preserve"> </w:t>
      </w:r>
      <w:r w:rsidRPr="00C0591E">
        <w:rPr>
          <w:rStyle w:val="ref-lnk"/>
        </w:rPr>
        <w:t>2012</w:t>
      </w:r>
      <w:r w:rsidRPr="00C0591E">
        <w:t xml:space="preserve">). The principal – agent relationship within the stakeholder framework is therefore extended to mean the relationship that exists between a manager and stakeholders (Kock </w:t>
      </w:r>
      <w:r w:rsidRPr="00C0591E">
        <w:rPr>
          <w:i/>
        </w:rPr>
        <w:t>et al.,</w:t>
      </w:r>
      <w:r w:rsidRPr="00C0591E">
        <w:t xml:space="preserve"> </w:t>
      </w:r>
      <w:r w:rsidRPr="00C0591E">
        <w:rPr>
          <w:rStyle w:val="ref-lnk"/>
        </w:rPr>
        <w:t>2012</w:t>
      </w:r>
      <w:r w:rsidRPr="00C0591E">
        <w:t>).</w:t>
      </w:r>
    </w:p>
    <w:p w14:paraId="131FF919" w14:textId="121637E4" w:rsidR="00EE2ADD" w:rsidRPr="00C0591E" w:rsidRDefault="00EE2ADD" w:rsidP="00EE2ADD">
      <w:pPr>
        <w:rPr>
          <w:szCs w:val="24"/>
        </w:rPr>
      </w:pPr>
      <w:r w:rsidRPr="00C0591E">
        <w:rPr>
          <w:szCs w:val="24"/>
        </w:rPr>
        <w:t xml:space="preserve">The stakeholder theory therefore takes into account a wider group of constituents comprising of stakeholders rather than focusing on shareholders (Mallin, </w:t>
      </w:r>
      <w:r w:rsidR="00901089" w:rsidRPr="00C0591E">
        <w:rPr>
          <w:szCs w:val="24"/>
        </w:rPr>
        <w:t>2016</w:t>
      </w:r>
      <w:r w:rsidRPr="00C0591E">
        <w:rPr>
          <w:szCs w:val="24"/>
        </w:rPr>
        <w:t>). The relevant stakeholders for an organization are creditors, customers, employees, banks, governments and society.  Kay (20</w:t>
      </w:r>
      <w:r w:rsidR="00901089" w:rsidRPr="00C0591E">
        <w:rPr>
          <w:szCs w:val="24"/>
        </w:rPr>
        <w:t>1</w:t>
      </w:r>
      <w:r w:rsidRPr="00C0591E">
        <w:rPr>
          <w:szCs w:val="24"/>
        </w:rPr>
        <w:t>4) defines the key assets of a firm as largely intangible assets that are managed by the informed members of staff. Governance structures are therefore aimed at maximizing the total wealth of organizations to benefit all stakeholders that contribute to firm specific assets such as skills, competencies and knowledge.  Stakeholder theory better conceptualizes the role of corporate governance compared to the agency theory by highlighting the different constituents that have an interest in the firm</w:t>
      </w:r>
      <w:r w:rsidRPr="00C0591E">
        <w:rPr>
          <w:color w:val="FF0000"/>
          <w:szCs w:val="24"/>
        </w:rPr>
        <w:t xml:space="preserve"> </w:t>
      </w:r>
      <w:r w:rsidRPr="00C0591E">
        <w:rPr>
          <w:szCs w:val="24"/>
        </w:rPr>
        <w:t>(Coleman, 20</w:t>
      </w:r>
      <w:r w:rsidR="00901089" w:rsidRPr="00C0591E">
        <w:rPr>
          <w:szCs w:val="24"/>
        </w:rPr>
        <w:t>1</w:t>
      </w:r>
      <w:r w:rsidRPr="00C0591E">
        <w:rPr>
          <w:szCs w:val="24"/>
        </w:rPr>
        <w:t>8). The stakeholder theory presupposes that the interests of all stakeholders in decision making is fundamental and that none of the interests are presumed to be controlling (</w:t>
      </w:r>
      <w:r w:rsidR="00901089" w:rsidRPr="00C0591E">
        <w:rPr>
          <w:szCs w:val="24"/>
        </w:rPr>
        <w:t>Abdullah &amp; Valentine, 201</w:t>
      </w:r>
      <w:r w:rsidRPr="00C0591E">
        <w:rPr>
          <w:szCs w:val="24"/>
        </w:rPr>
        <w:t xml:space="preserve">9). </w:t>
      </w:r>
    </w:p>
    <w:p w14:paraId="5FC128B8" w14:textId="77777777" w:rsidR="004824C7" w:rsidRPr="00C0591E" w:rsidRDefault="00901089" w:rsidP="00347D67">
      <w:pPr>
        <w:rPr>
          <w:szCs w:val="24"/>
        </w:rPr>
      </w:pPr>
      <w:r w:rsidRPr="00C0591E">
        <w:rPr>
          <w:szCs w:val="24"/>
        </w:rPr>
        <w:t>Mackenzie (201</w:t>
      </w:r>
      <w:r w:rsidR="00EE2ADD" w:rsidRPr="00C0591E">
        <w:rPr>
          <w:szCs w:val="24"/>
        </w:rPr>
        <w:t xml:space="preserve">7) asserts that the absence of or poor governance structures results in organization objectives or stakeholders demands not being met. In furtherance, </w:t>
      </w:r>
      <w:r w:rsidRPr="00C0591E">
        <w:rPr>
          <w:szCs w:val="24"/>
        </w:rPr>
        <w:t>Watkins (2014</w:t>
      </w:r>
      <w:r w:rsidR="00EE2ADD" w:rsidRPr="00C0591E">
        <w:rPr>
          <w:szCs w:val="24"/>
        </w:rPr>
        <w:t xml:space="preserve"> also link the corporate scandals leading to failure of giants   Enron and WorldCom to failure by management to take into account stakeholders views in their decision making. Elsewhere </w:t>
      </w:r>
      <w:r w:rsidR="00B2374B" w:rsidRPr="00C0591E">
        <w:rPr>
          <w:szCs w:val="24"/>
        </w:rPr>
        <w:t xml:space="preserve">Spitzeck (2019) </w:t>
      </w:r>
      <w:r w:rsidR="00EE2ADD" w:rsidRPr="00C0591E">
        <w:rPr>
          <w:szCs w:val="24"/>
        </w:rPr>
        <w:t>found that involving stakeholders in the decision-making process in organizations improves effectiveness, profitability and reduces conflicts. Sim</w:t>
      </w:r>
      <w:r w:rsidR="00B2374B" w:rsidRPr="00C0591E">
        <w:rPr>
          <w:szCs w:val="24"/>
        </w:rPr>
        <w:t>ilarly, Wheelen and Hunger (2018</w:t>
      </w:r>
      <w:r w:rsidR="00EE2ADD" w:rsidRPr="00C0591E">
        <w:rPr>
          <w:szCs w:val="24"/>
        </w:rPr>
        <w:t xml:space="preserve">)   argued that for organizations to gain dominance in the competitive arena they have to complement their vision, strategy and tactics with engagement of all players. </w:t>
      </w:r>
    </w:p>
    <w:p w14:paraId="21DAF9AA" w14:textId="4BAFF520" w:rsidR="00EE2ADD" w:rsidRPr="00C0591E" w:rsidRDefault="004824C7" w:rsidP="00347D67">
      <w:r w:rsidRPr="00C0591E">
        <w:rPr>
          <w:szCs w:val="24"/>
        </w:rPr>
        <w:t xml:space="preserve">The stakeholder theory is relevant and informs on the variable government regulations. </w:t>
      </w:r>
      <w:r w:rsidR="008E0156" w:rsidRPr="00C0591E">
        <w:rPr>
          <w:szCs w:val="24"/>
        </w:rPr>
        <w:t>Managers are the stakeholders and</w:t>
      </w:r>
      <w:r w:rsidRPr="00C0591E">
        <w:rPr>
          <w:szCs w:val="24"/>
        </w:rPr>
        <w:t xml:space="preserve"> they are bound to abide the </w:t>
      </w:r>
      <w:r w:rsidR="008E0156" w:rsidRPr="00C0591E">
        <w:rPr>
          <w:szCs w:val="24"/>
        </w:rPr>
        <w:t xml:space="preserve">governed regulations on behalf of other stakeholders. Stakeholder leaders are known to support government regulations as their goals are aligned with those of the principal agent and thus Stakeholder theory informs the variable on government regulations. </w:t>
      </w:r>
      <w:r w:rsidR="00EE2ADD" w:rsidRPr="00C0591E">
        <w:rPr>
          <w:szCs w:val="24"/>
        </w:rPr>
        <w:t>The theory</w:t>
      </w:r>
      <w:r w:rsidR="008E0156" w:rsidRPr="00C0591E">
        <w:rPr>
          <w:szCs w:val="24"/>
        </w:rPr>
        <w:t xml:space="preserve"> further</w:t>
      </w:r>
      <w:r w:rsidR="00EE2ADD" w:rsidRPr="00C0591E">
        <w:rPr>
          <w:szCs w:val="24"/>
        </w:rPr>
        <w:t xml:space="preserve"> sensitizes on the idea of involving all the stakeholders and people who have interest and are affected by the business decisions, therefore the manager should not only consider their shareholders but also all the stakeholders in their decision making.</w:t>
      </w:r>
    </w:p>
    <w:p w14:paraId="50610B3E" w14:textId="77777777" w:rsidR="00267BE6" w:rsidRPr="00C0591E" w:rsidRDefault="00267BE6" w:rsidP="00347D67">
      <w:pPr>
        <w:pStyle w:val="Heading3"/>
      </w:pPr>
      <w:bookmarkStart w:id="54" w:name="_Toc495672605"/>
      <w:r w:rsidRPr="00C0591E">
        <w:rPr>
          <w:lang w:val="en-GB"/>
        </w:rPr>
        <w:t>2.1.</w:t>
      </w:r>
      <w:r w:rsidR="00597BB8" w:rsidRPr="00C0591E">
        <w:rPr>
          <w:lang w:val="en-GB"/>
        </w:rPr>
        <w:t>3</w:t>
      </w:r>
      <w:r w:rsidRPr="00C0591E">
        <w:rPr>
          <w:lang w:val="en-GB"/>
        </w:rPr>
        <w:t xml:space="preserve"> </w:t>
      </w:r>
      <w:bookmarkStart w:id="55" w:name="_Toc495672607"/>
      <w:bookmarkEnd w:id="54"/>
      <w:r w:rsidRPr="00C0591E">
        <w:t xml:space="preserve">Neoclassical Theory </w:t>
      </w:r>
    </w:p>
    <w:p w14:paraId="35F927DC" w14:textId="4D749C95" w:rsidR="00267BE6" w:rsidRPr="00C0591E" w:rsidRDefault="00267BE6" w:rsidP="00347D67">
      <w:r w:rsidRPr="00C0591E">
        <w:t xml:space="preserve">This theory originates from Jorgenson (1963). The theory draws its fundamentals from the maximization of utility and wealth of a firm over time (Warström &amp; Niemelä, 2015). In the neoclassical theory, investment is seen as a distributed lag function of variations in the required capital. The required or desired capital here acts as a function to the output level, user capital cost and output price (Twine, Kiiza, &amp; Bashaasha, 2015). The theory presupposes that investment is a function of cost of capital and the firms output. Additionally, the theory contends that the capital and labour ratios adapt to the relative changes in prices (Virlics, </w:t>
      </w:r>
      <w:r w:rsidR="00C940EA" w:rsidRPr="00C0591E">
        <w:t>2019</w:t>
      </w:r>
      <w:r w:rsidRPr="00C0591E">
        <w:t xml:space="preserve">). The neoclassical theory of investment is premised on preposition that agents can make numerical probabilities and probability distribution of the expected returns. In the investment models, the firm is seen to be neutral to risks, and capital cost causes the risk (Virlics, </w:t>
      </w:r>
      <w:r w:rsidR="00C940EA" w:rsidRPr="00C0591E">
        <w:t>2019</w:t>
      </w:r>
      <w:r w:rsidRPr="00C0591E">
        <w:t>).</w:t>
      </w:r>
    </w:p>
    <w:p w14:paraId="104AEAE1" w14:textId="45F44E0B" w:rsidR="006F5AC3" w:rsidRPr="00C0591E" w:rsidRDefault="006F5AC3" w:rsidP="00B2374B">
      <w:r w:rsidRPr="00C0591E">
        <w:t xml:space="preserve">To understand the implications of </w:t>
      </w:r>
      <w:r w:rsidR="00B2374B" w:rsidRPr="00C0591E">
        <w:t>behavioral</w:t>
      </w:r>
      <w:r w:rsidRPr="00C0591E">
        <w:t xml:space="preserve"> economics for corporate governance, one must first understand explicitly what the traditional model of governance entails and the nature of its neoclassical economic roots. The Neoclassical Economic Theory spawned a neoclassical governance model to explain, why </w:t>
      </w:r>
      <w:r w:rsidR="00B2374B" w:rsidRPr="00C0591E">
        <w:t>organizations</w:t>
      </w:r>
      <w:r w:rsidRPr="00C0591E">
        <w:t xml:space="preserve"> exist and how to best govern such </w:t>
      </w:r>
      <w:r w:rsidR="00B2374B" w:rsidRPr="00C0591E">
        <w:t>organizations (Twine, Kiiza, &amp; Bashaasha, 2015).</w:t>
      </w:r>
      <w:r w:rsidRPr="00C0591E">
        <w:t xml:space="preserve"> This model consists of three major conceptual building blocks: the assumption of an agency problem, transactions costs economics (TCE), and contracting theory. These three blocks make up the neoclassical corporate governance stool from which most of the major corporate governance devices used today have their intellectual origins</w:t>
      </w:r>
      <w:r w:rsidR="00B2374B" w:rsidRPr="00C0591E">
        <w:t xml:space="preserve"> (Warström &amp; Niemelä, 2015).</w:t>
      </w:r>
    </w:p>
    <w:p w14:paraId="38DACDA8" w14:textId="77777777" w:rsidR="004824C7" w:rsidRPr="00C0591E" w:rsidRDefault="00267BE6" w:rsidP="00EE2ADD">
      <w:r w:rsidRPr="00C0591E">
        <w:t xml:space="preserve">The neoclassical argument assumes that firm managers act in the best interest of firm stakeholders. It also assumes managers and external suppliers of funds have the same information regarding the quantity and quality of investment opportunities available to the firm. These assumptions serve as a point of departure for models that demonstrate the potential importance of internal funds in the investment decision (Twine, Kiiza, &amp; Bashaasha, 2015). </w:t>
      </w:r>
    </w:p>
    <w:p w14:paraId="327AF0B3" w14:textId="4F74C5A4" w:rsidR="00267BE6" w:rsidRPr="00C0591E" w:rsidRDefault="004824C7" w:rsidP="004824C7">
      <w:r w:rsidRPr="00C0591E">
        <w:t>The neoclassical theory of investment is relevant to the study as it preposition that agents can make numerical probabilities and probability distribution of the expected returns. In the investment models, the firm is seen to be neutral to risks, and capital cost causes the risk. Investment is seen as a distributed lag function of variations in the required capital. The</w:t>
      </w:r>
      <w:r w:rsidR="00267BE6" w:rsidRPr="00C0591E">
        <w:t xml:space="preserve"> neoclassical theory </w:t>
      </w:r>
      <w:r w:rsidR="004605AB" w:rsidRPr="00C0591E">
        <w:t>was</w:t>
      </w:r>
      <w:r w:rsidR="00267BE6" w:rsidRPr="00C0591E">
        <w:t xml:space="preserve"> employed to explore whether investments policies maximize the wealth and utility of the owners of the firm.</w:t>
      </w:r>
    </w:p>
    <w:p w14:paraId="3170CB56" w14:textId="77777777" w:rsidR="00267BE6" w:rsidRPr="00C0591E" w:rsidRDefault="00267BE6" w:rsidP="00347D67">
      <w:pPr>
        <w:pStyle w:val="Heading3"/>
      </w:pPr>
      <w:r w:rsidRPr="00C0591E">
        <w:t>2.1.</w:t>
      </w:r>
      <w:r w:rsidR="00597BB8" w:rsidRPr="00C0591E">
        <w:t>4</w:t>
      </w:r>
      <w:r w:rsidRPr="00C0591E">
        <w:t xml:space="preserve"> The Q Theory of Investment </w:t>
      </w:r>
    </w:p>
    <w:p w14:paraId="4F356095" w14:textId="77777777" w:rsidR="009F2687" w:rsidRPr="00C0591E" w:rsidRDefault="00267BE6" w:rsidP="00347D67">
      <w:r w:rsidRPr="00C0591E">
        <w:t xml:space="preserve">This theory originated from Tobin and Brainard (1968) and Tobin (1969). The Q-theory is an extension of the neoclassical theory since it incorporates the adjustment costs as an explanation for output losses. According to the theory, firms choose investment levels, which maximize the estimated current firm value (Twine, Kiiza, &amp; Bashaasha, 2015). The theory presupposes that the market estimation of equities is the major element of investment by firms. Thus, investment decisions are stirred when financing sources are highly priced in the market place than it would cost to create it. This theory relates to investment rate as a Q function where Q refers to market value ratio of new added investment resources to their replacement cost. </w:t>
      </w:r>
    </w:p>
    <w:p w14:paraId="4DC712C3" w14:textId="4A5CBF10" w:rsidR="00267BE6" w:rsidRPr="00C0591E" w:rsidRDefault="00267BE6" w:rsidP="00347D67">
      <w:r w:rsidRPr="00C0591E">
        <w:t xml:space="preserve">This investment theory suggests the metric q, which is the ratio between a unit of physical capital's market value and its value of replacement, done to recap the existence/absence of opportunities for investments for a precise firm (Eklund, </w:t>
      </w:r>
      <w:r w:rsidR="00C940EA" w:rsidRPr="00C0591E">
        <w:t>2019</w:t>
      </w:r>
      <w:r w:rsidRPr="00C0591E">
        <w:t>). Tobin reasons that, when the capital adds marginal units to a firm value more than it costs to obtain it, that is, q is greater than 1, installing new capital will be profitable to the precise firm. Hence 1 &lt; q indicates that the firm should accrue more capital (i.e. embark on extra investment) and vice versa (Balfoussia &amp; Gibson, 2016).</w:t>
      </w:r>
    </w:p>
    <w:p w14:paraId="392592CF" w14:textId="471C228D" w:rsidR="006F5AC3" w:rsidRPr="00C0591E" w:rsidRDefault="006F5AC3" w:rsidP="006F2377">
      <w:r w:rsidRPr="00C0591E">
        <w:t>The Q-theory of investment states that all fluctuations in investment are related to marginal Q</w:t>
      </w:r>
      <w:r w:rsidR="00497C2D" w:rsidRPr="00C0591E">
        <w:t>, such as</w:t>
      </w:r>
      <w:r w:rsidRPr="00C0591E">
        <w:t xml:space="preserve"> the ratio of the shadow value to the market price of a unit of capital. One of the advantages of the Q-theory of investment is that it explicitly considers expected future profitability, and hence should account for the effect of uncertainty embedded in the future variables that are relevant to investment decisions</w:t>
      </w:r>
      <w:r w:rsidR="00497C2D" w:rsidRPr="00C0591E">
        <w:t xml:space="preserve"> (Twine, Kiiza, &amp; Bashaasha, 2015).</w:t>
      </w:r>
      <w:r w:rsidRPr="00C0591E">
        <w:t xml:space="preserve"> The standard Q-theory of investment implies that all factors, including different aspects of uncertainty, affect </w:t>
      </w:r>
      <w:r w:rsidR="00497C2D" w:rsidRPr="00C0591E">
        <w:t>corporate investment through Q</w:t>
      </w:r>
      <w:r w:rsidRPr="00C0591E">
        <w:t xml:space="preserve">. However, the empirical performance of the standard Q-model </w:t>
      </w:r>
      <w:r w:rsidR="00497C2D" w:rsidRPr="00C0591E">
        <w:t xml:space="preserve">of investment is disappointing. </w:t>
      </w:r>
      <w:r w:rsidRPr="00C0591E">
        <w:t>The explanatory power of the Q-model is often very low; the unexplained part of investment is usually highly serially correlated.</w:t>
      </w:r>
    </w:p>
    <w:p w14:paraId="7CE4A776" w14:textId="78C583F6" w:rsidR="006F5AC3" w:rsidRPr="00C0591E" w:rsidRDefault="00497C2D" w:rsidP="006F5AC3">
      <w:r w:rsidRPr="00C0591E">
        <w:t>Poterba and Summers (1983) examined</w:t>
      </w:r>
      <w:r w:rsidR="006F5AC3" w:rsidRPr="00C0591E">
        <w:t xml:space="preserve"> the relationship between marginal Q and average Q when both investment decisions and financial decisions are taken into account simultaneously. Both Hayashi and Poterba and Summers find that the Q- theory of investment does not hold for the financing regime where incremental investment is entirely debt-financed. On the other hand, on the basis of empirical evidence, Chirinko concludes that the source of the misspecification in the standard Q-model of investment is not related to the treatment of financial policies. More recently, Scaramozzino (1997) explains the unsatisfactory performance of the Q-model of investment by pointing at the irreversibility of investment and the existence of capital market constraints. Another direction of re-examining the Q-model of investment is to modify the adjustment cost function that is used in deriving the standard Q-model of investment. This theme of research is within the framework of irreversible investment under uncertainty. Abel and Eberly (1994) introduce the fixed cost of capital and irreversibility (the difference between the purchase price and the resale price of capital) into the traditional adjustment cost function. They show that the relationship between investment and Q is no longer linear.</w:t>
      </w:r>
    </w:p>
    <w:p w14:paraId="6927AC7D" w14:textId="6BBF0A48" w:rsidR="00267BE6" w:rsidRPr="00C0591E" w:rsidRDefault="004824C7" w:rsidP="00347D67">
      <w:r w:rsidRPr="00C0591E">
        <w:t>The Q Theory of Investment is relevant to the study and informs the variable on investment policies. When</w:t>
      </w:r>
      <w:r w:rsidR="00267BE6" w:rsidRPr="00C0591E">
        <w:t xml:space="preserve"> the firm’s value of market is more than the cost of replacement of capital firms will choose to invest until the value of capital equals the replacement cost,</w:t>
      </w:r>
      <w:r w:rsidRPr="00C0591E">
        <w:t xml:space="preserve"> thus optimizing capital stock.</w:t>
      </w:r>
      <w:r w:rsidR="00267BE6" w:rsidRPr="00C0591E">
        <w:t xml:space="preserve"> In this study, the Q theory of investment </w:t>
      </w:r>
      <w:r w:rsidR="004605AB" w:rsidRPr="00C0591E">
        <w:t>was</w:t>
      </w:r>
      <w:r w:rsidR="00267BE6" w:rsidRPr="00C0591E">
        <w:t xml:space="preserve"> explored to explain whether the investment policies chosen by a firm maximizes its current value.</w:t>
      </w:r>
    </w:p>
    <w:p w14:paraId="32111599" w14:textId="77777777" w:rsidR="00C90E0F" w:rsidRPr="00C0591E" w:rsidRDefault="00C90E0F" w:rsidP="00347D67">
      <w:pPr>
        <w:pStyle w:val="Heading3"/>
      </w:pPr>
      <w:bookmarkStart w:id="56" w:name="_Toc495672608"/>
      <w:bookmarkEnd w:id="55"/>
      <w:r w:rsidRPr="00C0591E">
        <w:t>2.1.</w:t>
      </w:r>
      <w:r w:rsidR="00597BB8" w:rsidRPr="00C0591E">
        <w:t>5</w:t>
      </w:r>
      <w:r w:rsidRPr="00C0591E">
        <w:t xml:space="preserve"> </w:t>
      </w:r>
      <w:r w:rsidR="00D02C31" w:rsidRPr="00C0591E">
        <w:t>Resource Dependency Theory</w:t>
      </w:r>
    </w:p>
    <w:p w14:paraId="54764E6C" w14:textId="0A70B2AE" w:rsidR="00D02C31" w:rsidRPr="00C0591E" w:rsidRDefault="0013468E" w:rsidP="00347D67">
      <w:pPr>
        <w:rPr>
          <w:rFonts w:cs="Times New Roman"/>
        </w:rPr>
      </w:pPr>
      <w:r w:rsidRPr="00C0591E">
        <w:t xml:space="preserve">This theory originated from </w:t>
      </w:r>
      <w:r w:rsidRPr="00C0591E">
        <w:rPr>
          <w:rFonts w:cs="Times New Roman"/>
          <w:shd w:val="clear" w:color="auto" w:fill="FFFFFF"/>
        </w:rPr>
        <w:t xml:space="preserve">Pfeffer and Salancik (1978). </w:t>
      </w:r>
      <w:r w:rsidR="00D02C31" w:rsidRPr="00C0591E">
        <w:t>The proponents of resource dependency theory argue that there is need to have environmental linkages between the firm and outside resources (Wan &amp; Idris 2012). These environmental linkages can help the firm reduce the levels of transaction costs associated with</w:t>
      </w:r>
      <w:r w:rsidR="00497C2D" w:rsidRPr="00C0591E">
        <w:t xml:space="preserve"> environmental interdependency</w:t>
      </w:r>
      <w:r w:rsidR="00D02C31" w:rsidRPr="00C0591E">
        <w:t>. Several factors have been known to intensify the character of these dependences. They include: the importance of the resource, the relative shortage of the resource and the extent to which the resource is concentrated in the environment (Wan &amp; Idris, 2012). Resource dependency theory strongly emphasizes the role of the board in providing the much needed resources to move the firm to the next level. The theory further recognizes the role of the administrative arm as a link between the firm and the resources re</w:t>
      </w:r>
      <w:r w:rsidR="00497C2D" w:rsidRPr="00C0591E">
        <w:t>quired to accomplish its goals</w:t>
      </w:r>
      <w:r w:rsidR="00D02C31" w:rsidRPr="00C0591E">
        <w:t xml:space="preserve">. </w:t>
      </w:r>
    </w:p>
    <w:p w14:paraId="59AB55C8" w14:textId="6333E3FA" w:rsidR="00D02C31" w:rsidRPr="00C0591E" w:rsidRDefault="00D02C31" w:rsidP="00347D67">
      <w:r w:rsidRPr="00C0591E">
        <w:t>Resource dependency theory further points to the fact that organizations tend to reduce the risks of external influences by ensuring that resources are available for their survival and growth. Therefore, the issue of effectiveness of the executive and non-executive directors on firm performance is irrelevant. What is relevant is the directors’ of the firm’s presences on the board of many other companies. This enables companies establish relationships that can help them access information that can be utilized to their</w:t>
      </w:r>
      <w:r w:rsidR="00C00492" w:rsidRPr="00C0591E">
        <w:t xml:space="preserve"> </w:t>
      </w:r>
      <w:r w:rsidRPr="00C0591E">
        <w:t xml:space="preserve">advantage. In view of the fact that much of these resources are scarce and unevenly distributed, it is only through inter-dependent organizational relationships that organizations can share these benefits (Hitt </w:t>
      </w:r>
      <w:r w:rsidRPr="00C0591E">
        <w:rPr>
          <w:i/>
        </w:rPr>
        <w:t>et al</w:t>
      </w:r>
      <w:r w:rsidRPr="00C0591E">
        <w:t>. 2012). This implies that, boards of directors in a company are an important mechanism that absorbs critical elements of environmental uncertainty that can help reduce transaction costs associated with environmental interdependency. Taking into account the fact that substantial amounts of resources available in a country are either directly or indirectly controlled by the government, appointing directors to the company’s board who have influence and are able to access key policy-makers and government offices is seen as an important milestone for the company’s survival and success</w:t>
      </w:r>
      <w:r w:rsidR="00144AFB" w:rsidRPr="00C0591E">
        <w:t>.</w:t>
      </w:r>
    </w:p>
    <w:p w14:paraId="58BDD2BF" w14:textId="224D54DC" w:rsidR="00144AFB" w:rsidRPr="00C0591E" w:rsidRDefault="00144AFB" w:rsidP="00347D67">
      <w:r w:rsidRPr="00C0591E">
        <w:t>The perspective of the resource dependence theory is more materialist and less organization-centred. It i</w:t>
      </w:r>
      <w:r w:rsidR="00497C2D" w:rsidRPr="00C0591E">
        <w:t>s primarily concerned with firm</w:t>
      </w:r>
      <w:r w:rsidRPr="00C0591E">
        <w:t xml:space="preserve"> access to resources, such as expertise and capital. According to resource dependence theory, structures of corporate governance such as the board of directors affect </w:t>
      </w:r>
      <w:r w:rsidR="00497C2D" w:rsidRPr="00C0591E">
        <w:t>firm’s</w:t>
      </w:r>
      <w:r w:rsidRPr="00C0591E">
        <w:t xml:space="preserve"> access to resources essential for</w:t>
      </w:r>
      <w:r w:rsidR="00497C2D" w:rsidRPr="00C0591E">
        <w:t xml:space="preserve"> firm performance (Pfeffer, 1978</w:t>
      </w:r>
      <w:r w:rsidRPr="00C0591E">
        <w:t>). Resource dependence theory particularly favours boards with a high composition of NEDs, due to the wider expertise and knowledge they can provide, as well as improved networking with the external environment and a generally improved reputation (Haniffa and Cooke, 2002; Haniffa and Hudaib, 2006). Thus NEDs can facilitate access to the political and business contacts, capital and information (Nicholson &amp; Kiel, 2003), by enhancing networking with external stakeholders, including customers, governments and other companies (e.g. creditors, suppliers and buyers); thus NEDs improve access to resources (Nicholson and Kiel, 2003), which put simply enables cheaper access to inputs and thus positively affects firm performance.</w:t>
      </w:r>
    </w:p>
    <w:p w14:paraId="3312D6EB" w14:textId="1FE5F849" w:rsidR="00144AFB" w:rsidRPr="00C0591E" w:rsidRDefault="00144AFB" w:rsidP="00144AFB">
      <w:r w:rsidRPr="00C0591E">
        <w:t>Pfeffer and Salancik (1978) argued that the diversity of the board size and the background of the outside directors are very important elements in managing the company needs for any capital in the future or to manage environment contingency. Pearce and Zahra (</w:t>
      </w:r>
      <w:r w:rsidR="00497C2D" w:rsidRPr="00C0591E">
        <w:t>2012</w:t>
      </w:r>
      <w:r w:rsidRPr="00C0591E">
        <w:t>) also assert that diversifying the board will help the company to survive by benefiting from the exchange of company resources and its external environment. In addition, they report that the presence of the outside directors will result in improving the organization efficient strategies by providing the firm with new viewpoints and perspectives, which will ultimately improve the financial performance.</w:t>
      </w:r>
    </w:p>
    <w:p w14:paraId="74CBD01B" w14:textId="34127C3B" w:rsidR="00144AFB" w:rsidRPr="00C0591E" w:rsidRDefault="00144AFB" w:rsidP="00144AFB">
      <w:r w:rsidRPr="00C0591E">
        <w:t xml:space="preserve">In addition, the resource dependence theory clarifies the methods that firms use in order to gain access to financial resources. In terms of solvency problems companies are highly advised to appoint representatives of the financial institutions on their boards (Mizruchi </w:t>
      </w:r>
      <w:r w:rsidR="00497C2D" w:rsidRPr="00C0591E">
        <w:t>&amp;</w:t>
      </w:r>
      <w:r w:rsidRPr="00C0591E">
        <w:t xml:space="preserve"> Stearns, </w:t>
      </w:r>
      <w:r w:rsidR="00497C2D" w:rsidRPr="00C0591E">
        <w:t>2018</w:t>
      </w:r>
      <w:r w:rsidRPr="00C0591E">
        <w:t>). However, if the firm is in high levels of bank debt, it is likely they will appoint an officer of the creditor bank inside the board to facilitate access to finance. Stearns and Mizruchi (</w:t>
      </w:r>
      <w:r w:rsidR="00C940EA" w:rsidRPr="00C0591E">
        <w:t>2019</w:t>
      </w:r>
      <w:r w:rsidRPr="00C0591E">
        <w:t>) report that there is a significant relationship between the identities of the financial representatives and a firm‘s borrowing strategy.</w:t>
      </w:r>
    </w:p>
    <w:p w14:paraId="49FB9ABD" w14:textId="132BDC71" w:rsidR="00144AFB" w:rsidRPr="00C0591E" w:rsidRDefault="00144AFB" w:rsidP="00144AFB">
      <w:r w:rsidRPr="00C0591E">
        <w:t>Moreover, Kaplan and Minton (1994) identified that firms often wish to appoint financial directors on the board if the prices of the stocks or the performance of the company deteriorate. In addition, inside directors are recommended to be replaced with experienced outside directors whe</w:t>
      </w:r>
      <w:r w:rsidR="00497C2D" w:rsidRPr="00C0591E">
        <w:t>n the firm performance worsens</w:t>
      </w:r>
      <w:r w:rsidRPr="00C0591E">
        <w:t>. The resource dependence theory uses the external linkages of the board in order to add value to the firm an</w:t>
      </w:r>
      <w:r w:rsidR="00497C2D" w:rsidRPr="00C0591E">
        <w:t xml:space="preserve">d improve the firm performance. Hitt </w:t>
      </w:r>
      <w:r w:rsidR="00497C2D" w:rsidRPr="00C0591E">
        <w:rPr>
          <w:i/>
        </w:rPr>
        <w:t>et al</w:t>
      </w:r>
      <w:r w:rsidR="00497C2D" w:rsidRPr="00C0591E">
        <w:t>. (2012</w:t>
      </w:r>
      <w:r w:rsidRPr="00C0591E">
        <w:t>) argued that emerging market countries suffer from low availability of capital, high costs, poorly developed financial markets and volatility in economic development. These conditions produce a resource gap between firms in emerging markets and those in developed markets. Therefore, companies are forced to find a creative way to benefit from the external links of the board. In other words, in developing countries it is always important for companies to have links with external resources.</w:t>
      </w:r>
    </w:p>
    <w:p w14:paraId="55BCDC4B" w14:textId="029C5A6E" w:rsidR="00144AFB" w:rsidRPr="00C0591E" w:rsidRDefault="004824C7" w:rsidP="00497C2D">
      <w:r w:rsidRPr="00C0591E">
        <w:t>The</w:t>
      </w:r>
      <w:r w:rsidR="00144AFB" w:rsidRPr="00C0591E">
        <w:t xml:space="preserve"> resource dependence theory </w:t>
      </w:r>
      <w:r w:rsidRPr="00C0591E">
        <w:t xml:space="preserve">is relevant and informs the variable on </w:t>
      </w:r>
      <w:r w:rsidR="00AF069B">
        <w:t>pillars of corporate governance</w:t>
      </w:r>
      <w:r w:rsidRPr="00C0591E">
        <w:t xml:space="preserve">. The theory </w:t>
      </w:r>
      <w:r w:rsidR="00144AFB" w:rsidRPr="00C0591E">
        <w:t>holds that the operational environment of the firm is re</w:t>
      </w:r>
      <w:r w:rsidR="00497C2D" w:rsidRPr="00C0591E">
        <w:t>flected in its board structure</w:t>
      </w:r>
      <w:r w:rsidR="00144AFB" w:rsidRPr="00C0591E">
        <w:t>, which entails that directors are selected according to their ability to facilitate access to required resources. Thus, it should be possible to identify firm dependencies from the board composition; for example, the presence of financiers in the board of directors suggests that firms seek cheap access to capital, from which it can be inferred that they plan large investment or that they are in financial difficult</w:t>
      </w:r>
      <w:r w:rsidR="00497C2D" w:rsidRPr="00C0591E">
        <w:t>y</w:t>
      </w:r>
      <w:r w:rsidR="00144AFB" w:rsidRPr="00C0591E">
        <w:t>. Generally, a board with diverse members with varied links to external resources can be expected to have greater access to such resources, which enhances firm performance and value.</w:t>
      </w:r>
    </w:p>
    <w:p w14:paraId="1D06BD9D" w14:textId="77777777" w:rsidR="00267BE6" w:rsidRPr="00C0591E" w:rsidRDefault="00267BE6" w:rsidP="00347D67">
      <w:pPr>
        <w:pStyle w:val="Heading2"/>
      </w:pPr>
      <w:bookmarkStart w:id="57" w:name="_Toc113125084"/>
      <w:r w:rsidRPr="00C0591E">
        <w:rPr>
          <w:rStyle w:val="Heading2Char"/>
          <w:b/>
          <w:bCs/>
        </w:rPr>
        <w:t>2.2 Empirical</w:t>
      </w:r>
      <w:r w:rsidRPr="00C0591E">
        <w:t xml:space="preserve"> </w:t>
      </w:r>
      <w:r w:rsidR="00544173" w:rsidRPr="00C0591E">
        <w:t>R</w:t>
      </w:r>
      <w:r w:rsidRPr="00C0591E">
        <w:t>eview</w:t>
      </w:r>
      <w:bookmarkEnd w:id="57"/>
    </w:p>
    <w:p w14:paraId="26A4EF5A" w14:textId="177112E8" w:rsidR="00267BE6" w:rsidRPr="00C0591E" w:rsidRDefault="0015128E" w:rsidP="00267BE6">
      <w:pPr>
        <w:rPr>
          <w:rFonts w:cs="Times New Roman"/>
          <w:szCs w:val="24"/>
        </w:rPr>
      </w:pPr>
      <w:r w:rsidRPr="00C0591E">
        <w:rPr>
          <w:rFonts w:cs="Times New Roman"/>
        </w:rPr>
        <w:t>This section covered</w:t>
      </w:r>
      <w:r w:rsidR="00267BE6" w:rsidRPr="00C0591E">
        <w:rPr>
          <w:rFonts w:cs="Times New Roman"/>
        </w:rPr>
        <w:t xml:space="preserve"> recent academic literature on </w:t>
      </w:r>
      <w:r w:rsidR="00AF069B">
        <w:rPr>
          <w:rFonts w:cs="Times New Roman"/>
        </w:rPr>
        <w:t>pillars of corporate governance</w:t>
      </w:r>
      <w:r w:rsidR="00267BE6" w:rsidRPr="00C0591E">
        <w:rPr>
          <w:rFonts w:cs="Times New Roman"/>
        </w:rPr>
        <w:t xml:space="preserve">, investment policies, </w:t>
      </w:r>
      <w:r w:rsidRPr="00C0591E">
        <w:rPr>
          <w:rFonts w:cs="Times New Roman"/>
        </w:rPr>
        <w:t>and government</w:t>
      </w:r>
      <w:r w:rsidR="00267BE6" w:rsidRPr="00C0591E">
        <w:rPr>
          <w:rFonts w:cs="Times New Roman"/>
        </w:rPr>
        <w:t xml:space="preserve"> </w:t>
      </w:r>
      <w:r w:rsidR="00267BE6" w:rsidRPr="00C0591E">
        <w:t>regulation</w:t>
      </w:r>
      <w:r w:rsidR="00831282" w:rsidRPr="00C0591E">
        <w:t>s</w:t>
      </w:r>
      <w:r w:rsidR="00267BE6" w:rsidRPr="00C0591E">
        <w:t xml:space="preserve"> and highlights the major determinants of firm’s performance. This section review</w:t>
      </w:r>
      <w:r w:rsidRPr="00C0591E">
        <w:t>ed</w:t>
      </w:r>
      <w:r w:rsidR="00267BE6" w:rsidRPr="00C0591E">
        <w:t xml:space="preserve"> literature from prior scholars regarding the contribution of </w:t>
      </w:r>
      <w:r w:rsidR="00AF069B">
        <w:t>pillars of corporate governance</w:t>
      </w:r>
      <w:r w:rsidR="00267BE6" w:rsidRPr="00C0591E">
        <w:t xml:space="preserve"> on performance of </w:t>
      </w:r>
      <w:r w:rsidR="00DA2069" w:rsidRPr="00C0591E">
        <w:t xml:space="preserve"> </w:t>
      </w:r>
      <w:r w:rsidR="00537953" w:rsidRPr="00C0591E">
        <w:t xml:space="preserve"> </w:t>
      </w:r>
      <w:r w:rsidR="00267BE6" w:rsidRPr="00C0591E">
        <w:t xml:space="preserve">pension fund managers in Kenya. A review of the </w:t>
      </w:r>
      <w:r w:rsidR="00AF069B">
        <w:t>pillars of corporate governance</w:t>
      </w:r>
      <w:r w:rsidR="00267BE6" w:rsidRPr="00C0591E">
        <w:t>, investment policies, government regulation</w:t>
      </w:r>
      <w:r w:rsidR="00831282" w:rsidRPr="00C0591E">
        <w:t>s</w:t>
      </w:r>
      <w:r w:rsidR="00267BE6" w:rsidRPr="00C0591E">
        <w:t xml:space="preserve"> and performance </w:t>
      </w:r>
      <w:r w:rsidRPr="00C0591E">
        <w:t>was</w:t>
      </w:r>
      <w:r w:rsidR="00267BE6" w:rsidRPr="00C0591E">
        <w:t xml:space="preserve"> provided. Furthermore, the literature review focuse</w:t>
      </w:r>
      <w:r w:rsidRPr="00C0591E">
        <w:t>d</w:t>
      </w:r>
      <w:r w:rsidR="00267BE6" w:rsidRPr="00C0591E">
        <w:t xml:space="preserve"> on the contribution of </w:t>
      </w:r>
      <w:r w:rsidR="00AF069B">
        <w:t>pillars of corporate governance</w:t>
      </w:r>
      <w:r w:rsidR="00267BE6" w:rsidRPr="00C0591E">
        <w:t>, investment policies</w:t>
      </w:r>
      <w:r w:rsidR="00267BE6" w:rsidRPr="00C0591E">
        <w:rPr>
          <w:rFonts w:cs="Times New Roman"/>
        </w:rPr>
        <w:t xml:space="preserve"> and government regulation</w:t>
      </w:r>
      <w:r w:rsidR="00831282" w:rsidRPr="00C0591E">
        <w:rPr>
          <w:rFonts w:cs="Times New Roman"/>
        </w:rPr>
        <w:t>s</w:t>
      </w:r>
      <w:r w:rsidR="00267BE6" w:rsidRPr="00C0591E">
        <w:rPr>
          <w:rFonts w:cs="Times New Roman"/>
        </w:rPr>
        <w:t xml:space="preserve"> and performance of </w:t>
      </w:r>
      <w:r w:rsidR="00537953" w:rsidRPr="00C0591E">
        <w:rPr>
          <w:rFonts w:cs="Times New Roman"/>
        </w:rPr>
        <w:t xml:space="preserve">registered </w:t>
      </w:r>
      <w:r w:rsidR="00267BE6" w:rsidRPr="00C0591E">
        <w:rPr>
          <w:rFonts w:cs="Times New Roman"/>
        </w:rPr>
        <w:t>pension fund managers in Kenya.</w:t>
      </w:r>
    </w:p>
    <w:p w14:paraId="207F15D5" w14:textId="1FDE0AED" w:rsidR="00267BE6" w:rsidRPr="00C0591E" w:rsidRDefault="00267BE6" w:rsidP="00347D67">
      <w:pPr>
        <w:pStyle w:val="Heading3"/>
        <w:rPr>
          <w:lang w:val="en-GB"/>
        </w:rPr>
      </w:pPr>
      <w:r w:rsidRPr="00C0591E">
        <w:rPr>
          <w:lang w:val="en-GB"/>
        </w:rPr>
        <w:t xml:space="preserve">2.2.1 </w:t>
      </w:r>
      <w:r w:rsidR="00AF069B">
        <w:t>Pillars of Corporate Governance</w:t>
      </w:r>
      <w:r w:rsidRPr="00C0591E">
        <w:rPr>
          <w:lang w:val="en-GB"/>
        </w:rPr>
        <w:t xml:space="preserve"> </w:t>
      </w:r>
      <w:bookmarkEnd w:id="56"/>
      <w:r w:rsidRPr="00C0591E">
        <w:rPr>
          <w:lang w:val="en-GB"/>
        </w:rPr>
        <w:t xml:space="preserve">and </w:t>
      </w:r>
      <w:r w:rsidR="009B22A4" w:rsidRPr="00C0591E">
        <w:rPr>
          <w:lang w:val="en-GB"/>
        </w:rPr>
        <w:t xml:space="preserve">Firm </w:t>
      </w:r>
      <w:r w:rsidRPr="00C0591E">
        <w:rPr>
          <w:lang w:val="en-GB"/>
        </w:rPr>
        <w:t>Performance</w:t>
      </w:r>
    </w:p>
    <w:p w14:paraId="46754074" w14:textId="1489AA74" w:rsidR="002D26F4" w:rsidRPr="00C0591E" w:rsidRDefault="002D26F4" w:rsidP="00347D67">
      <w:r w:rsidRPr="00C0591E">
        <w:t>Ujunwa (</w:t>
      </w:r>
      <w:r w:rsidR="00C940EA" w:rsidRPr="00C0591E">
        <w:t>2019</w:t>
      </w:r>
      <w:r w:rsidRPr="00C0591E">
        <w:t>) in Nigeria sampled data from 122 listed firms in the country between 1991 and 2008. The research findings showed that the board size, duality of the CEO and the diversity of was negatively correlated to the firm performance, while nationality of the board, ethnic diversity and the number of board members who had doctorate qualification positively influenced firms’ performance. Duality of the board was also linked to this good performance of the board. This study addressed the major components of corporate governance and their relationship to the performance of a firm but did not take into account firms that are not listed and the different observations across industries.</w:t>
      </w:r>
    </w:p>
    <w:p w14:paraId="1B368533" w14:textId="4E9CFFC3" w:rsidR="00EA44DB" w:rsidRPr="00C0591E" w:rsidRDefault="00EA44DB" w:rsidP="00347D67">
      <w:r w:rsidRPr="00C0591E">
        <w:t>Al Manaseer</w:t>
      </w:r>
      <w:r w:rsidR="00181434" w:rsidRPr="00C0591E">
        <w:t>, Al-Hindawi, Al-Dahiyat</w:t>
      </w:r>
      <w:r w:rsidR="00001383" w:rsidRPr="00C0591E">
        <w:t xml:space="preserve"> and</w:t>
      </w:r>
      <w:r w:rsidR="00181434" w:rsidRPr="00C0591E">
        <w:t xml:space="preserve"> Sartawi </w:t>
      </w:r>
      <w:r w:rsidRPr="00C0591E">
        <w:t>(</w:t>
      </w:r>
      <w:r w:rsidR="00C940EA" w:rsidRPr="00C0591E">
        <w:t>2019</w:t>
      </w:r>
      <w:r w:rsidRPr="00C0591E">
        <w:t xml:space="preserve">), in their study on the effect of corporate governance on bank performance used earnings per share, profit margin ROA and ROE as key performance measures. However, earnings per share are not the best measure of comparative performance because different banks have different capital structures. At the same time, it is difficult to obtain the company’s number of outstanding shares at a given period in time to enable one ascertain the firms EPS precisely because trading cannot be stopped. Profit margin on the other hand is derived from profitability figures of firms hence suffers from the setbacks profit as a measure of performance suffers. These include though not limited to: profit in absolute terms is not a proper guide to decision making because it leaves considerations of timing and duration undefined since there are no guidelines for comparing profit streams of different periods. This study adopted Tobin’s </w:t>
      </w:r>
      <w:r w:rsidR="000A3625" w:rsidRPr="00C0591E">
        <w:t>Q</w:t>
      </w:r>
      <w:r w:rsidRPr="00C0591E">
        <w:t xml:space="preserve"> as a market measure of performance that Al-Manaseer et al. (</w:t>
      </w:r>
      <w:r w:rsidR="00C940EA" w:rsidRPr="00C0591E">
        <w:t>2019</w:t>
      </w:r>
      <w:r w:rsidRPr="00C0591E">
        <w:t>) failed to adopt; in addition to ROA and ROE that represent accounting and financial measures of performance respectively as dependent variables. Institutional ownership, board independence, board size and block ownership were employed as independent variables whereas bank size was adopted as a control variable. Al-Manaseer et al. (</w:t>
      </w:r>
      <w:r w:rsidR="00C940EA" w:rsidRPr="00C0591E">
        <w:t>2019</w:t>
      </w:r>
      <w:r w:rsidRPr="00C0591E">
        <w:t xml:space="preserve">) failed to adopt institutional ownership as an independent variable too. They adopted bank size as a proxy for corporate governance when indeed it should be adopted as a moderating variable or a control variable as </w:t>
      </w:r>
      <w:r w:rsidR="004605AB" w:rsidRPr="00C0591E">
        <w:t>was</w:t>
      </w:r>
      <w:r w:rsidRPr="00C0591E">
        <w:t xml:space="preserve"> adopted in th</w:t>
      </w:r>
      <w:r w:rsidR="00534C82" w:rsidRPr="00C0591E">
        <w:t xml:space="preserve">e </w:t>
      </w:r>
      <w:r w:rsidR="002C5E5B" w:rsidRPr="00C0591E">
        <w:t>current</w:t>
      </w:r>
      <w:r w:rsidR="00534C82" w:rsidRPr="00C0591E">
        <w:t xml:space="preserve"> </w:t>
      </w:r>
      <w:r w:rsidRPr="00C0591E">
        <w:t>study</w:t>
      </w:r>
    </w:p>
    <w:p w14:paraId="15A0ADF4" w14:textId="4E2765D0" w:rsidR="006A38D0" w:rsidRPr="00C0591E" w:rsidRDefault="006A38D0" w:rsidP="00347D67">
      <w:pPr>
        <w:rPr>
          <w:rFonts w:eastAsia="Calibri" w:cs="Times New Roman"/>
          <w:szCs w:val="24"/>
        </w:rPr>
      </w:pPr>
      <w:bookmarkStart w:id="58" w:name="_Toc495672619"/>
      <w:r w:rsidRPr="00C0591E">
        <w:t>Kiruri (</w:t>
      </w:r>
      <w:r w:rsidR="00C940EA" w:rsidRPr="00C0591E">
        <w:t>2019</w:t>
      </w:r>
      <w:r w:rsidRPr="00C0591E">
        <w:t xml:space="preserve">) </w:t>
      </w:r>
      <w:r w:rsidR="001171BA" w:rsidRPr="00C0591E">
        <w:t>studied effects of ownership structure on bank profitability in Kenya</w:t>
      </w:r>
      <w:r w:rsidR="00393EC4" w:rsidRPr="00C0591E">
        <w:t>.</w:t>
      </w:r>
      <w:r w:rsidR="001171BA" w:rsidRPr="00C0591E">
        <w:t xml:space="preserve"> </w:t>
      </w:r>
      <w:r w:rsidR="00393EC4" w:rsidRPr="00C0591E">
        <w:t xml:space="preserve">Profitability was </w:t>
      </w:r>
      <w:r w:rsidRPr="00C0591E">
        <w:t>used as a measure of performance</w:t>
      </w:r>
      <w:r w:rsidR="00393EC4" w:rsidRPr="00C0591E">
        <w:t xml:space="preserve"> in his study</w:t>
      </w:r>
      <w:r w:rsidRPr="00C0591E">
        <w:t>. However, use of profit as a measure of performance suffers from the following limitations; profit in absolute terms is not a proper guide to decision making for it leaves considerations of timing and duration undefined. These setbacks definitely had some effects o</w:t>
      </w:r>
      <w:r w:rsidR="00E47492" w:rsidRPr="00C0591E">
        <w:t>n the findings.</w:t>
      </w:r>
      <w:r w:rsidRPr="00C0591E">
        <w:t xml:space="preserve"> This study also adopt</w:t>
      </w:r>
      <w:r w:rsidR="00E47492" w:rsidRPr="00C0591E">
        <w:t>ed</w:t>
      </w:r>
      <w:r w:rsidRPr="00C0591E">
        <w:t xml:space="preserve"> institutional ownership in addition to ownership concentration as proxies of corporate governance and bank size as a control variable that Kiruri, (</w:t>
      </w:r>
      <w:r w:rsidR="00C940EA" w:rsidRPr="00C0591E">
        <w:t>2019</w:t>
      </w:r>
      <w:r w:rsidRPr="00C0591E">
        <w:t xml:space="preserve">) failed to adopt. </w:t>
      </w:r>
      <w:r w:rsidR="00D202A7" w:rsidRPr="00C0591E">
        <w:t>The study found that ownership concentration and state ownership had negative and significant effects on bank profitability while foreign ownership and domestic ownership had positive and significant effects on bank profitability.</w:t>
      </w:r>
      <w:r w:rsidR="0070718E" w:rsidRPr="00C0591E">
        <w:rPr>
          <w:rFonts w:eastAsia="Calibri" w:cs="Times New Roman"/>
          <w:szCs w:val="24"/>
        </w:rPr>
        <w:t xml:space="preserve"> The research is significant to the current study in that unlike the other researches reviewed, survey design and quantitative analysis were used to study relationship between various constructs of corporate governance and performance.</w:t>
      </w:r>
    </w:p>
    <w:p w14:paraId="5962F9F6" w14:textId="6B34EAA9" w:rsidR="008D5D4F" w:rsidRPr="00C0591E" w:rsidRDefault="008D5D4F" w:rsidP="00BC5261">
      <w:r w:rsidRPr="00C0591E">
        <w:t xml:space="preserve">Mwanja </w:t>
      </w:r>
      <w:r w:rsidRPr="00C0591E">
        <w:rPr>
          <w:i/>
        </w:rPr>
        <w:t>et al.</w:t>
      </w:r>
      <w:r w:rsidRPr="00C0591E">
        <w:t xml:space="preserve">, (2014) examined the relationship between corporate governance and performance of Savings and Credit Cooperative Organizations (SACCOs) where the constructs for corporate governance were; transparency, accountability, involvement of shareholders, organization guidelines and policies, while performance was measured by turnover, customer satisfaction, share capital and growth in membership. The study adopted descriptive survey design and correlational survey research design. Primary data was gathered by use of a questionnaire and document review. The study findings revealed that corporate governance positively influences the performance of SACCOs. The study was limited to SACCOs in Kakamega County and focused on different constructs of corporate governance other than the constructs the current study is looking at namely; ownership structure, transparency, and board responsibility. The current study focused on all the insurance companies in Kenya. </w:t>
      </w:r>
    </w:p>
    <w:p w14:paraId="451C3A25" w14:textId="734F5AD7" w:rsidR="008D5D4F" w:rsidRPr="00C0591E" w:rsidRDefault="008D5D4F" w:rsidP="008D5D4F">
      <w:pPr>
        <w:rPr>
          <w:color w:val="000000" w:themeColor="text1"/>
          <w:szCs w:val="24"/>
        </w:rPr>
      </w:pPr>
      <w:r w:rsidRPr="00C0591E">
        <w:rPr>
          <w:szCs w:val="24"/>
        </w:rPr>
        <w:t xml:space="preserve">Amba (2014) finds a positive correlation between financial performance and proportion of institution ownership among firms trading </w:t>
      </w:r>
      <w:r w:rsidR="00497C2D" w:rsidRPr="00C0591E">
        <w:rPr>
          <w:szCs w:val="24"/>
        </w:rPr>
        <w:t>New York</w:t>
      </w:r>
      <w:r w:rsidRPr="00C0591E">
        <w:rPr>
          <w:szCs w:val="24"/>
        </w:rPr>
        <w:t xml:space="preserve">. The researcher looked at the influence of corporate governance variables </w:t>
      </w:r>
      <w:r w:rsidR="00B361A1" w:rsidRPr="00C0591E">
        <w:rPr>
          <w:szCs w:val="24"/>
        </w:rPr>
        <w:t>namely ownership structure, non</w:t>
      </w:r>
      <w:r w:rsidRPr="00C0591E">
        <w:rPr>
          <w:szCs w:val="24"/>
        </w:rPr>
        <w:t xml:space="preserve">–executive directors, CEO duality, audit committee, institutional investors on financial performance. Multiple regression analysis was used to </w:t>
      </w:r>
      <w:r w:rsidR="00EE2ADD" w:rsidRPr="00C0591E">
        <w:rPr>
          <w:szCs w:val="24"/>
        </w:rPr>
        <w:t>analyze</w:t>
      </w:r>
      <w:r w:rsidRPr="00C0591E">
        <w:rPr>
          <w:szCs w:val="24"/>
        </w:rPr>
        <w:t xml:space="preserve"> the financial performance measured by return on assets on corporate governance variable. The study </w:t>
      </w:r>
      <w:r w:rsidRPr="00C0591E">
        <w:rPr>
          <w:color w:val="000000" w:themeColor="text1"/>
          <w:szCs w:val="24"/>
        </w:rPr>
        <w:t>also</w:t>
      </w:r>
      <w:r w:rsidRPr="00C0591E">
        <w:rPr>
          <w:szCs w:val="24"/>
        </w:rPr>
        <w:t xml:space="preserve"> finds that CEO duality and proportion of non – executive directors have a negative influence on performance. </w:t>
      </w:r>
    </w:p>
    <w:p w14:paraId="66EF66DE" w14:textId="5C80292C" w:rsidR="008D5D4F" w:rsidRPr="00C0591E" w:rsidRDefault="008D5D4F" w:rsidP="008D5D4F">
      <w:pPr>
        <w:rPr>
          <w:szCs w:val="24"/>
        </w:rPr>
      </w:pPr>
      <w:r w:rsidRPr="00C0591E">
        <w:rPr>
          <w:szCs w:val="24"/>
        </w:rPr>
        <w:t xml:space="preserve">Zaman </w:t>
      </w:r>
      <w:r w:rsidRPr="00C0591E">
        <w:rPr>
          <w:i/>
          <w:szCs w:val="24"/>
        </w:rPr>
        <w:t>et al.</w:t>
      </w:r>
      <w:r w:rsidRPr="00C0591E">
        <w:rPr>
          <w:szCs w:val="24"/>
        </w:rPr>
        <w:t>, (2014) conclude that financial performance was positively related to transparency and disclosure among the banks in Pakistan.  The study constructs a transpa</w:t>
      </w:r>
      <w:r w:rsidR="00B361A1" w:rsidRPr="00C0591E">
        <w:rPr>
          <w:szCs w:val="24"/>
        </w:rPr>
        <w:t>rency index for the period 2007</w:t>
      </w:r>
      <w:r w:rsidRPr="00C0591E">
        <w:rPr>
          <w:szCs w:val="24"/>
        </w:rPr>
        <w:t xml:space="preserve">–2011 using board structure disclosure, ownership disclosure and financial transparency disclosure as proxies. The study reveals a negative relation between ownership structure and ROA and ROE. The study reviewed was limited to one corporate governance construct namely transparency and disclosure and was also conducted in Pakistan which is an emerging economy. </w:t>
      </w:r>
    </w:p>
    <w:p w14:paraId="094A5327" w14:textId="31958EE8" w:rsidR="008D5D4F" w:rsidRPr="00C0591E" w:rsidRDefault="008D5D4F" w:rsidP="008D5D4F">
      <w:pPr>
        <w:rPr>
          <w:szCs w:val="24"/>
        </w:rPr>
      </w:pPr>
      <w:r w:rsidRPr="00C0591E">
        <w:rPr>
          <w:rFonts w:eastAsia="Times New Roman"/>
          <w:szCs w:val="24"/>
        </w:rPr>
        <w:t xml:space="preserve">Ullah </w:t>
      </w:r>
      <w:r w:rsidRPr="00C0591E">
        <w:rPr>
          <w:i/>
          <w:szCs w:val="24"/>
        </w:rPr>
        <w:t>et al.</w:t>
      </w:r>
      <w:r w:rsidRPr="00C0591E">
        <w:rPr>
          <w:szCs w:val="24"/>
        </w:rPr>
        <w:t>, (201</w:t>
      </w:r>
      <w:r w:rsidR="00B361A1" w:rsidRPr="00C0591E">
        <w:rPr>
          <w:szCs w:val="24"/>
        </w:rPr>
        <w:t>9</w:t>
      </w:r>
      <w:r w:rsidRPr="00C0591E">
        <w:rPr>
          <w:szCs w:val="24"/>
        </w:rPr>
        <w:t xml:space="preserve">) </w:t>
      </w:r>
      <w:r w:rsidRPr="00C0591E">
        <w:rPr>
          <w:rFonts w:eastAsia="Times New Roman"/>
          <w:szCs w:val="24"/>
        </w:rPr>
        <w:t>study the effect of corporate accountability and transparency on performance of manufacturing firms in Pakistan. The researchers find a positive relationship between accountability, transparency and organizational performance.</w:t>
      </w:r>
      <w:r w:rsidRPr="00C0591E">
        <w:rPr>
          <w:szCs w:val="24"/>
        </w:rPr>
        <w:t xml:space="preserve"> The study findings also illustrated that accountability and transparency had a significant impact on the firm performance. The study reviewed was limited to one of the corporate governance constructs corporate accountability and transparency and was also conducted among manufacturing firms in Pakistan.  </w:t>
      </w:r>
    </w:p>
    <w:p w14:paraId="0364C65B" w14:textId="3FD7B3D4" w:rsidR="008D5D4F" w:rsidRPr="00C0591E" w:rsidRDefault="008D5D4F" w:rsidP="008D5D4F">
      <w:pPr>
        <w:rPr>
          <w:szCs w:val="24"/>
        </w:rPr>
      </w:pPr>
      <w:r w:rsidRPr="00C0591E">
        <w:rPr>
          <w:szCs w:val="24"/>
        </w:rPr>
        <w:t xml:space="preserve">Waithaka </w:t>
      </w:r>
      <w:r w:rsidRPr="00C0591E">
        <w:rPr>
          <w:i/>
          <w:szCs w:val="24"/>
        </w:rPr>
        <w:t>et al.</w:t>
      </w:r>
      <w:r w:rsidRPr="00C0591E">
        <w:rPr>
          <w:szCs w:val="24"/>
        </w:rPr>
        <w:t>, (201</w:t>
      </w:r>
      <w:r w:rsidR="00A46A11" w:rsidRPr="00C0591E">
        <w:rPr>
          <w:szCs w:val="24"/>
        </w:rPr>
        <w:t>7</w:t>
      </w:r>
      <w:r w:rsidRPr="00C0591E">
        <w:rPr>
          <w:szCs w:val="24"/>
        </w:rPr>
        <w:t>) established a negative and significant relationship between social performance and board remuneration. The study looked at the effect of board characteristics on social performance of microfinance institutions (MFIs) in Kenya.</w:t>
      </w:r>
      <w:r w:rsidRPr="00C0591E">
        <w:rPr>
          <w:color w:val="FF0000"/>
          <w:szCs w:val="24"/>
        </w:rPr>
        <w:t xml:space="preserve"> </w:t>
      </w:r>
      <w:r w:rsidRPr="00C0591E">
        <w:rPr>
          <w:szCs w:val="24"/>
        </w:rPr>
        <w:t xml:space="preserve">The researchers used survey research design, descriptive and inferential statistics. Multiple directorship and existence of board committees were positively related with social performance. The results indicated that MFI`s in Kenya could enhance their performance by having the appropriate board mix. The study was limited to finding out the effect of one corporate governance construct; board characteristics on social performance and was conducted in Microfinance institutions therefore the results cannot be generalized to other industries. </w:t>
      </w:r>
    </w:p>
    <w:p w14:paraId="4C1A339A" w14:textId="7563BB9D" w:rsidR="008D5D4F" w:rsidRPr="00C0591E" w:rsidRDefault="008D5D4F" w:rsidP="008D5D4F">
      <w:pPr>
        <w:rPr>
          <w:color w:val="FF0000"/>
          <w:szCs w:val="24"/>
        </w:rPr>
      </w:pPr>
      <w:r w:rsidRPr="00C0591E">
        <w:rPr>
          <w:szCs w:val="24"/>
        </w:rPr>
        <w:t xml:space="preserve">Akshita and Chandan (2016) find mixed results in their study on corporate governance and performance of Indian manufacturing companies. The study findings indicated that larger boards have greater access to information which enhances making of informed decisions and performance the results indicated that return on equity and profitability was not related to corporate governance indicators. The study found mixed results for different constructs of corporate governance such as CEO duality which had no effect on firm performance while large boards had a positive influence on performance. </w:t>
      </w:r>
    </w:p>
    <w:p w14:paraId="243A6AAC" w14:textId="1F0E6569" w:rsidR="008D5D4F" w:rsidRPr="00C0591E" w:rsidRDefault="008D5D4F" w:rsidP="008D5D4F">
      <w:pPr>
        <w:rPr>
          <w:i/>
          <w:iCs/>
          <w:szCs w:val="24"/>
        </w:rPr>
      </w:pPr>
      <w:r w:rsidRPr="00C0591E">
        <w:rPr>
          <w:szCs w:val="24"/>
        </w:rPr>
        <w:t>Lasisi (2017) find a positive but not statistically significant relationship between corporate governance mechanisms and financial performance of non - financial firms listed on the Nigerian stock exchange. The corporate governance dimensions studied were board independence, audit committee independence, board size, number of board meetings, and executive compensation. The study utilized secondary data which was gathered from financial statements for the period</w:t>
      </w:r>
      <w:r w:rsidRPr="00C0591E">
        <w:rPr>
          <w:color w:val="FF0000"/>
          <w:szCs w:val="24"/>
        </w:rPr>
        <w:t xml:space="preserve"> </w:t>
      </w:r>
      <w:r w:rsidRPr="00C0591E">
        <w:rPr>
          <w:szCs w:val="24"/>
        </w:rPr>
        <w:t xml:space="preserve">2011–2015. The study used Tobin’s Q, capital and asset returns as proxies of financial performance. This study looked at different constructs for corporate governance as compared to the current study which could have led to the positive but insignificant relationship. The study was carried out in the Nigerian context hence the results cannot be generalized. The current study was carried out in Kenya in the </w:t>
      </w:r>
      <w:r w:rsidR="00A46A11" w:rsidRPr="00C0591E">
        <w:rPr>
          <w:szCs w:val="24"/>
        </w:rPr>
        <w:t>pension fund managers</w:t>
      </w:r>
      <w:r w:rsidRPr="00C0591E">
        <w:rPr>
          <w:szCs w:val="24"/>
        </w:rPr>
        <w:t xml:space="preserve"> which have different operating environment as compared to non-financial firms in Nigeria. </w:t>
      </w:r>
    </w:p>
    <w:p w14:paraId="57C7CC73" w14:textId="52C2A465" w:rsidR="008D5D4F" w:rsidRPr="00C0591E" w:rsidRDefault="008D5D4F" w:rsidP="008D5D4F">
      <w:pPr>
        <w:rPr>
          <w:color w:val="000000"/>
          <w:szCs w:val="24"/>
        </w:rPr>
      </w:pPr>
      <w:r w:rsidRPr="00C0591E">
        <w:rPr>
          <w:szCs w:val="24"/>
        </w:rPr>
        <w:t xml:space="preserve">Mang’unyi (2011) established a positive relationship between ownership structure and financial performance of selected banks in Kenya. The study posits the need for promoting corporate governance to attract potential investors. The study was however limited to only one of the corporate governance constructs, ownership structure and was also conducted in commercial banks hence it is difficult to generalize. A study conducted by Mokaya and Jagongo (2015) finds a significant positive association between financial performances, ownership structure and ownership concentration of firms listed at the NSE. The study population consisted of all the 63 firms listed at NSE and relied on secondary data which was gathered from the annual financial statements. Regression analysis results show a significant association between financial performance, ownership structure and ownership concentration. The study was limited to only one corporate governance construct that is ownership structure and was also conducted in listed firms at NSE which a different context is. </w:t>
      </w:r>
    </w:p>
    <w:p w14:paraId="26FB404E" w14:textId="2D0023FE" w:rsidR="008D5D4F" w:rsidRPr="00C0591E" w:rsidRDefault="008D5D4F" w:rsidP="008D5D4F">
      <w:pPr>
        <w:rPr>
          <w:szCs w:val="24"/>
        </w:rPr>
      </w:pPr>
      <w:r w:rsidRPr="00C0591E">
        <w:rPr>
          <w:szCs w:val="24"/>
        </w:rPr>
        <w:t xml:space="preserve">Surya (2016) finds a negative correlation between large board size, ownership structure and firm performance of firms listed in the stock exchange in </w:t>
      </w:r>
      <w:r w:rsidR="00A46A11" w:rsidRPr="00C0591E">
        <w:rPr>
          <w:szCs w:val="24"/>
        </w:rPr>
        <w:t>India. The</w:t>
      </w:r>
      <w:r w:rsidRPr="00C0591E">
        <w:rPr>
          <w:szCs w:val="24"/>
        </w:rPr>
        <w:t xml:space="preserve"> study employed panel data for all listed companies during the period 2008-2012. The study</w:t>
      </w:r>
      <w:r w:rsidRPr="00C0591E">
        <w:rPr>
          <w:color w:val="000000"/>
          <w:szCs w:val="24"/>
        </w:rPr>
        <w:t xml:space="preserve"> revealed a positive relationship between board independence and number of board committees. The researcher concludes the existence of reverse causality</w:t>
      </w:r>
      <w:r w:rsidRPr="00C0591E">
        <w:rPr>
          <w:color w:val="FF0000"/>
          <w:szCs w:val="24"/>
        </w:rPr>
        <w:t xml:space="preserve"> </w:t>
      </w:r>
      <w:r w:rsidRPr="00C0591E">
        <w:rPr>
          <w:szCs w:val="24"/>
        </w:rPr>
        <w:t>between corporate governance and financial performance</w:t>
      </w:r>
      <w:r w:rsidRPr="00C0591E">
        <w:rPr>
          <w:color w:val="000000"/>
          <w:szCs w:val="24"/>
        </w:rPr>
        <w:t xml:space="preserve"> and hence further research is required to investigate the reverse causality. The reviewed study was conducted in India and focused on different constructs of corporate governance which may have different influence on the relationship with firm performance and thus the need to carry out research using other constructs of corporate governance to establish if there is any relationship.</w:t>
      </w:r>
    </w:p>
    <w:p w14:paraId="05673255" w14:textId="43112B68" w:rsidR="008D5D4F" w:rsidRPr="00C0591E" w:rsidRDefault="00A46A11" w:rsidP="00144AFB">
      <w:pPr>
        <w:rPr>
          <w:rFonts w:eastAsia="Calibri" w:cs="Times New Roman"/>
          <w:szCs w:val="24"/>
        </w:rPr>
      </w:pPr>
      <w:r w:rsidRPr="00C0591E">
        <w:t>Allen (201</w:t>
      </w:r>
      <w:r w:rsidR="00144AFB" w:rsidRPr="00C0591E">
        <w:t>5) argue that corporate governance in emerging markets has lately attracted much attention due to the weaknesses of corporate governance in developing countries, which was an important reason for a series of economic crises that affected these countries. Emerging markets tend to have quite well-developed physical financial infrastructure including central banks, commercial banks and stock exchanges, but to have less well-developed processes and systems of accounting, governance, regulation and other financial infrastructure, and less efficient markets with less liquidity than the world's most advanced systems. These differences lead to greater uncertainty and risk, and they enhance the international diversification possibilities for investors f</w:t>
      </w:r>
      <w:r w:rsidRPr="00C0591E">
        <w:t>rom all countries in the world</w:t>
      </w:r>
      <w:r w:rsidR="00144AFB" w:rsidRPr="00C0591E">
        <w:t>.</w:t>
      </w:r>
    </w:p>
    <w:p w14:paraId="6A2121D7" w14:textId="37E0F76C" w:rsidR="00144AFB" w:rsidRPr="00C0591E" w:rsidRDefault="00144AFB" w:rsidP="00144AFB">
      <w:r w:rsidRPr="00C0591E">
        <w:t xml:space="preserve">Tsamenyi </w:t>
      </w:r>
      <w:r w:rsidRPr="00C0591E">
        <w:rPr>
          <w:i/>
        </w:rPr>
        <w:t>et al</w:t>
      </w:r>
      <w:r w:rsidR="00A46A11" w:rsidRPr="00C0591E">
        <w:t>. (201</w:t>
      </w:r>
      <w:r w:rsidRPr="00C0591E">
        <w:t>7) have argued that there are a multitude of problems facing developing economies, including risk and uncertainty, political instability, weak legislation, high levels of government intervention and low levels of protection for investors. As such, there is a necessity for effective structures of corporate governance to be adopted. There have been a number of suggested measures to help improve governance structures including improving the strength and transparency of capital market structures to increase the overall confidence of investors, improving the performance of domestic firms, and encouraging growth through the</w:t>
      </w:r>
      <w:r w:rsidR="00A46A11" w:rsidRPr="00C0591E">
        <w:t xml:space="preserve"> use of equity instead of debt. </w:t>
      </w:r>
      <w:r w:rsidRPr="00C0591E">
        <w:t>Furthermore, the poor corporate governance and the close relationship between business, banks and government are one of the major problems tha</w:t>
      </w:r>
      <w:r w:rsidR="00A46A11" w:rsidRPr="00C0591E">
        <w:t>t have led to crony capitalism. Nenova (201</w:t>
      </w:r>
      <w:r w:rsidRPr="00C0591E">
        <w:t>9) points out that the main challenges in terms of corporate governance for the developing countries are: (1) value transfer (from non-controlling shareholders or stakeholders) to dominate large shareholders; (2) ineffective disclosure practices; (3) weak legal framework; and (4) audit problem.</w:t>
      </w:r>
    </w:p>
    <w:p w14:paraId="47241F5A" w14:textId="53981DB4" w:rsidR="00144AFB" w:rsidRPr="00C0591E" w:rsidRDefault="00144AFB" w:rsidP="00630056">
      <w:r w:rsidRPr="00C0591E">
        <w:t>Shleifer and Vishny (</w:t>
      </w:r>
      <w:r w:rsidR="00A46A11" w:rsidRPr="00C0591E">
        <w:t>2017</w:t>
      </w:r>
      <w:r w:rsidRPr="00C0591E">
        <w:t>) argued that the concentration of ownership is high in emerging markets, where the rights of the shareholders is weak due to the lack, or inadequacy, of the regulations provided by the relevant laws. In countries where ownership is concentrated among just a handful of major shareholders, agency problems occur because of a misalignment of interests between managers and owners and, thus, agency problems are inherent with large or small shareholders. Agency problems can exist between one or more owners and managers and, furthermore, even if it is assumed that managers and large shareholders are the same person, as is common in family companies, conflict still exists because of the potential misalignment of interests between managers and owners. Therefore, if it is assumed that the ownership is concentrated then agency theory can explain the conflict between managers and owners. Shleifer and Vishny (</w:t>
      </w:r>
      <w:r w:rsidR="00A46A11" w:rsidRPr="00C0591E">
        <w:t>2017</w:t>
      </w:r>
      <w:r w:rsidRPr="00C0591E">
        <w:t xml:space="preserve">) argued that when the ownership structure is concentrated, large and controlling shareholders contribute to the mitigation of the agency problems because they have the incentives, motivations and capacity to monitor the managers for the shared benefit of control (i.e. to the mutual benefit of all shareholders, whether large or small). On the other hand, large controlling shareholders might collude with managers to expropriate the firm resources and work for their own </w:t>
      </w:r>
      <w:r w:rsidR="008A1A2D" w:rsidRPr="00C0591E">
        <w:t>benefit, which</w:t>
      </w:r>
      <w:r w:rsidRPr="00C0591E">
        <w:t xml:space="preserve"> will result in increasing the agency problems leading </w:t>
      </w:r>
      <w:r w:rsidR="00A46A11" w:rsidRPr="00C0591E">
        <w:t>to lower firm performance</w:t>
      </w:r>
      <w:r w:rsidRPr="00C0591E">
        <w:t>.</w:t>
      </w:r>
    </w:p>
    <w:p w14:paraId="7DA1D020" w14:textId="2170A5FD" w:rsidR="00630056" w:rsidRPr="00C0591E" w:rsidRDefault="00A46A11" w:rsidP="00630056">
      <w:r w:rsidRPr="00C0591E">
        <w:t>According to Claessens and Yurtoglu (</w:t>
      </w:r>
      <w:r w:rsidR="00C940EA" w:rsidRPr="00C0591E">
        <w:t>2019</w:t>
      </w:r>
      <w:r w:rsidRPr="00C0591E">
        <w:t>),</w:t>
      </w:r>
      <w:r w:rsidR="00630056" w:rsidRPr="00C0591E">
        <w:t xml:space="preserve"> </w:t>
      </w:r>
      <w:r w:rsidRPr="00C0591E">
        <w:t>the</w:t>
      </w:r>
      <w:r w:rsidR="00630056" w:rsidRPr="00C0591E">
        <w:t xml:space="preserve"> ability of a board to act on behalf of the shareholders and monitor managers effectively is of crucial importance for a corporation in emerging markets where corporate governa</w:t>
      </w:r>
      <w:r w:rsidRPr="00C0591E">
        <w:t>nce mechanisms tend to be weak</w:t>
      </w:r>
      <w:r w:rsidR="00630056" w:rsidRPr="00C0591E">
        <w:t>. In listed firms in emerging economies, it is common for controlling families to occupy key managerial posts, and the succession planning of a firm is usually focused upon the appointment of other family members to managerial roles rath</w:t>
      </w:r>
      <w:r w:rsidRPr="00C0591E">
        <w:t>er than external professionals</w:t>
      </w:r>
      <w:r w:rsidR="00630056" w:rsidRPr="00C0591E">
        <w:t xml:space="preserve">. </w:t>
      </w:r>
    </w:p>
    <w:p w14:paraId="2350F826" w14:textId="796FB806" w:rsidR="00F0152A" w:rsidRPr="00C0591E" w:rsidRDefault="00F0152A" w:rsidP="00630056">
      <w:r w:rsidRPr="00C0591E">
        <w:t xml:space="preserve">According to Fan </w:t>
      </w:r>
      <w:r w:rsidRPr="00C0591E">
        <w:rPr>
          <w:i/>
        </w:rPr>
        <w:t>et a</w:t>
      </w:r>
      <w:r w:rsidRPr="00C0591E">
        <w:t>l., (2011), t</w:t>
      </w:r>
      <w:r w:rsidR="00630056" w:rsidRPr="00C0591E">
        <w:t xml:space="preserve">he presence of family members on a company board, especially the founder, has been associated with better performance levels within certain countries; relationships can be of prime importance with tight connections amongst the business elite within countries such as Thailand. On the other hand, a more positive effect upon performance from the presence of outsiders has been shown within other markets, such </w:t>
      </w:r>
      <w:r w:rsidRPr="00C0591E">
        <w:t xml:space="preserve">as that in the Korean Republic. </w:t>
      </w:r>
      <w:r w:rsidR="00630056" w:rsidRPr="00C0591E">
        <w:t xml:space="preserve">A high degree of independence for the board has been commonly recommended within corporate codes for governance, such as the UK Combined Code, and in the Cadbury Report. It is considered that there ought to be a high level of independence from the management within a board, with non-executive directors forming a high proportion of the members and the roles of </w:t>
      </w:r>
      <w:r w:rsidR="008A1A2D" w:rsidRPr="00C0591E">
        <w:t>chair</w:t>
      </w:r>
      <w:r w:rsidR="00630056" w:rsidRPr="00C0591E">
        <w:t xml:space="preserve"> and Chief Executive Officer being split, so that monitoring can improve</w:t>
      </w:r>
      <w:r w:rsidRPr="00C0591E">
        <w:t xml:space="preserve"> and agency problems can reduce.</w:t>
      </w:r>
    </w:p>
    <w:p w14:paraId="6919DD07" w14:textId="7E6DD984" w:rsidR="00144AFB" w:rsidRPr="00C0591E" w:rsidRDefault="002A28D5" w:rsidP="00630056">
      <w:r w:rsidRPr="00C0591E">
        <w:t>Ararat and Dallas (2017</w:t>
      </w:r>
      <w:r w:rsidR="00630056" w:rsidRPr="00C0591E">
        <w:t>) have also argued that when family members dominate boards they can become ineffective as there is not enough constructive criticism directed at the controlling shareholders. Controlling shareholders can be inclined to pursue agendas that are of little or no benefit to shareholders, with poor strategic decision-making having a negative impact upon the company.</w:t>
      </w:r>
    </w:p>
    <w:p w14:paraId="3B73C98C" w14:textId="21F97055" w:rsidR="00144AFB" w:rsidRPr="00C0591E" w:rsidRDefault="002A28D5" w:rsidP="00F61AAE">
      <w:r w:rsidRPr="00C0591E">
        <w:t>Singh (</w:t>
      </w:r>
      <w:r w:rsidR="00C940EA" w:rsidRPr="00C0591E">
        <w:t>2019</w:t>
      </w:r>
      <w:r w:rsidR="00F61AAE" w:rsidRPr="00C0591E">
        <w:t xml:space="preserve">) reports that most emerging markets are imperfect. He points that these markets suffer from information asymmetry, accounting transparency, governance and corruption to a much greater extent than markets in developed countries. </w:t>
      </w:r>
      <w:r w:rsidRPr="00C0591E">
        <w:t>Further,</w:t>
      </w:r>
      <w:r w:rsidR="00F61AAE" w:rsidRPr="00C0591E">
        <w:t xml:space="preserve"> one of the most substantial reasons for the economic crises in the emerging markets is the weakness of the corporate governance </w:t>
      </w:r>
      <w:r w:rsidRPr="00C0591E">
        <w:t>practices. Singh and Zammit (201</w:t>
      </w:r>
      <w:r w:rsidR="00F61AAE" w:rsidRPr="00C0591E">
        <w:t>6) asserted that the most important imperfections</w:t>
      </w:r>
      <w:r w:rsidRPr="00C0591E">
        <w:t xml:space="preserve"> of the emerging business are:  poor state of competition; </w:t>
      </w:r>
      <w:r w:rsidR="00F61AAE" w:rsidRPr="00C0591E">
        <w:t>p</w:t>
      </w:r>
      <w:r w:rsidRPr="00C0591E">
        <w:t>oor corporate governance; and</w:t>
      </w:r>
      <w:r w:rsidR="00F61AAE" w:rsidRPr="00C0591E">
        <w:t xml:space="preserve"> the close relationship between business, government and banks. Singh (</w:t>
      </w:r>
      <w:r w:rsidR="00C940EA" w:rsidRPr="00C0591E">
        <w:t>2019</w:t>
      </w:r>
      <w:r w:rsidR="00F61AAE" w:rsidRPr="00C0591E">
        <w:t xml:space="preserve">) believes that it necessary for emerging markets to improve their standards of corporate governance. </w:t>
      </w:r>
      <w:r w:rsidRPr="00C0591E">
        <w:t>They r</w:t>
      </w:r>
      <w:r w:rsidR="00F61AAE" w:rsidRPr="00C0591E">
        <w:t>ecommend that these markets to encourage companies to have good corporate governance practice.</w:t>
      </w:r>
    </w:p>
    <w:p w14:paraId="645756AB" w14:textId="04E2F842" w:rsidR="00144AFB" w:rsidRPr="00C0591E" w:rsidRDefault="002A28D5" w:rsidP="00144AFB">
      <w:r w:rsidRPr="00C0591E">
        <w:t xml:space="preserve">Apadore and Zainol (2014) argued that </w:t>
      </w:r>
      <w:r w:rsidR="00F61AAE" w:rsidRPr="00C0591E">
        <w:t xml:space="preserve">some principles to be complied in the construction of boards, to ensure the best structure: meeting frequently, effective communication between board members and shareholders, willingness to consider suggestions from each other, high level of integrity, concern about financial risks and awareness and rationale to solve financial problems, and to take any course of action to improve the efficiency of the company. </w:t>
      </w:r>
      <w:r w:rsidRPr="00C0591E">
        <w:t>They</w:t>
      </w:r>
      <w:r w:rsidR="00F61AAE" w:rsidRPr="00C0591E">
        <w:t xml:space="preserve"> stated that a significant concern to which attention should be given in the construction of a board structure is the appropriate appointing and compensation of</w:t>
      </w:r>
      <w:r w:rsidRPr="00C0591E">
        <w:t xml:space="preserve"> directors. Ingely and Walt (2014</w:t>
      </w:r>
      <w:r w:rsidR="00F61AAE" w:rsidRPr="00C0591E">
        <w:t xml:space="preserve">) supported the promotion of the diversity of the board by focusing on some criteria to select the appropriate directors: qualified individuals of both genders, and members with diversity of experience. The effectiveness of a board is measured by the extent to which it adds value to the company. </w:t>
      </w:r>
    </w:p>
    <w:p w14:paraId="3E05192E" w14:textId="7E3058D1" w:rsidR="00F61AAE" w:rsidRPr="00C0591E" w:rsidRDefault="00F61AAE" w:rsidP="00F61AAE">
      <w:r w:rsidRPr="00C0591E">
        <w:t>Yermack (</w:t>
      </w:r>
      <w:r w:rsidR="002A28D5" w:rsidRPr="00C0591E">
        <w:t>2016</w:t>
      </w:r>
      <w:r w:rsidRPr="00C0591E">
        <w:t xml:space="preserve">) found a negative relationship between the board size and firm performance, measured by Tobin‘s Q for 452 large US public firms during the period </w:t>
      </w:r>
      <w:r w:rsidR="002A28D5" w:rsidRPr="00C0591E">
        <w:t>2004</w:t>
      </w:r>
      <w:r w:rsidRPr="00C0591E">
        <w:t xml:space="preserve"> to </w:t>
      </w:r>
      <w:r w:rsidR="002A28D5" w:rsidRPr="00C0591E">
        <w:t>2010</w:t>
      </w:r>
      <w:r w:rsidRPr="00C0591E">
        <w:t>. He omitted the utility and financial companies from his sample because of the government regulations adopted by boards of directors in such companies. The study found that a small board has more favourable values for financial ratio. Also, Yermack (</w:t>
      </w:r>
      <w:r w:rsidR="002A28D5" w:rsidRPr="00C0591E">
        <w:t>2016</w:t>
      </w:r>
      <w:r w:rsidRPr="00C0591E">
        <w:t>) stated that the incremental cost will increase as long the number of board members increases, and the company will have higher market value if the number of the board is smaller. He proved that corporations and companies are more valued in the capital markets by testing different independent variables, for instance board composition, the presence of growth opportunities, diversification and company age. All of those independent variables did not change the result that the small boards are better from the large ones in improving firm performance. Small boards have been found to be more productive than large ones, evidenced by decreased efficiency when board size increases, which is attributed to barriers in coordination and processes.</w:t>
      </w:r>
    </w:p>
    <w:p w14:paraId="639E6D90" w14:textId="12166B88" w:rsidR="002A28D5" w:rsidRPr="00C0591E" w:rsidRDefault="00F61AAE" w:rsidP="00F61AAE">
      <w:r w:rsidRPr="00C0591E">
        <w:t xml:space="preserve">Sheikh </w:t>
      </w:r>
      <w:r w:rsidRPr="00C0591E">
        <w:rPr>
          <w:i/>
        </w:rPr>
        <w:t>et al</w:t>
      </w:r>
      <w:r w:rsidRPr="00C0591E">
        <w:t>. (</w:t>
      </w:r>
      <w:r w:rsidR="00C940EA" w:rsidRPr="00C0591E">
        <w:t>2019</w:t>
      </w:r>
      <w:r w:rsidRPr="00C0591E">
        <w:t xml:space="preserve">) found that when the board size increases the market responds </w:t>
      </w:r>
      <w:r w:rsidR="002A28D5" w:rsidRPr="00C0591E">
        <w:t>favorably</w:t>
      </w:r>
      <w:r w:rsidRPr="00C0591E">
        <w:t xml:space="preserve">. In their study they report that large boards provide better monitoring for companies with poor operating performance due to their diversity of backgrounds and communications skills. </w:t>
      </w:r>
      <w:r w:rsidR="002A28D5" w:rsidRPr="00C0591E">
        <w:t>The study established</w:t>
      </w:r>
      <w:r w:rsidRPr="00C0591E">
        <w:t xml:space="preserve"> a positive correlation between the board size and the firm profitability as measured by return on equity (ROE). Their results support that large boards have better access than smaller ones to the external environment by offering better chances to have wide resource for finance and raw materials. This is in line with resource dependence theory that large boards offer greater access to their firm external environment, which facilitate and secure critical resources (e.g. raw materials and fina</w:t>
      </w:r>
      <w:r w:rsidR="002A28D5" w:rsidRPr="00C0591E">
        <w:t>nce) and reduces uncertainties</w:t>
      </w:r>
      <w:r w:rsidRPr="00C0591E">
        <w:t xml:space="preserve">. </w:t>
      </w:r>
    </w:p>
    <w:p w14:paraId="221427F6" w14:textId="156AE61E" w:rsidR="00F61AAE" w:rsidRPr="00C0591E" w:rsidRDefault="00F61AAE" w:rsidP="00F61AAE">
      <w:r w:rsidRPr="00C0591E">
        <w:t>Haniffa and Hudaib (20</w:t>
      </w:r>
      <w:r w:rsidR="002A28D5" w:rsidRPr="00C0591E">
        <w:t>1</w:t>
      </w:r>
      <w:r w:rsidRPr="00C0591E">
        <w:t xml:space="preserve">6) found a positive relationship between the board size and the firm performance as measured by ROA, which is in contrast with their prior finding of a negative relationship between board size and the firm performance measured by Tobin‘s Q. This divergence takes place because of the perceptions of the investors and the management for the large boards which is based on large boards enhancing the knowledge of the business. </w:t>
      </w:r>
      <w:r w:rsidR="002A28D5" w:rsidRPr="00C0591E">
        <w:t>The study</w:t>
      </w:r>
      <w:r w:rsidRPr="00C0591E">
        <w:t xml:space="preserve"> found that the wider knowledge base inherent in larger boards facilitates better business decisions to reduce the agency problem. They demonstrated that their results stayed fixed and unchanged even if using inflation adjusted data. This indicates that large boards provide important role of effective monitoring in uncertain economic and political periods to reduce agency problems and improve firm performance.</w:t>
      </w:r>
    </w:p>
    <w:p w14:paraId="247F659B" w14:textId="5191C168" w:rsidR="00F61AAE" w:rsidRPr="00C0591E" w:rsidRDefault="00F61AAE" w:rsidP="00F61AAE">
      <w:r w:rsidRPr="00C0591E">
        <w:t>Rechner and Dalton (</w:t>
      </w:r>
      <w:r w:rsidR="002A28D5" w:rsidRPr="00C0591E">
        <w:t>2017</w:t>
      </w:r>
      <w:r w:rsidRPr="00C0591E">
        <w:t xml:space="preserve">) in their study of 141 large companies (Fortune 500 firms) used accounting measurements such as ROE, Profit Margin PM and ROI from 1978 to 1983 and found that firms with separated boards perform better than firms that have CEO duality in their boards. </w:t>
      </w:r>
      <w:r w:rsidR="002A28D5" w:rsidRPr="00C0591E">
        <w:t>T</w:t>
      </w:r>
      <w:r w:rsidRPr="00C0591E">
        <w:t>hey found the stock market is more favourable when the two roles are split from each other. Chahine and Tohme (20</w:t>
      </w:r>
      <w:r w:rsidR="002A28D5" w:rsidRPr="00C0591E">
        <w:t>1</w:t>
      </w:r>
      <w:r w:rsidRPr="00C0591E">
        <w:t xml:space="preserve">9) in their study of 127 initial price offerings (IPOs) firms used a sample from the Middle East and North Africa to investigate the relationship between initial </w:t>
      </w:r>
      <w:r w:rsidR="002A28D5" w:rsidRPr="00C0591E">
        <w:t>underpricing</w:t>
      </w:r>
      <w:r w:rsidRPr="00C0591E">
        <w:t xml:space="preserve"> and the CEO duality, finding that firms that combine the two roles in same person have more potential to face </w:t>
      </w:r>
      <w:r w:rsidR="002A28D5" w:rsidRPr="00C0591E">
        <w:t>underpricing</w:t>
      </w:r>
      <w:r w:rsidRPr="00C0591E">
        <w:t xml:space="preserve">. These findings support the agency view that splitting the two roles will remove the constraints on the board members to perform their role effectively to monitor the management opportunistic </w:t>
      </w:r>
      <w:r w:rsidR="002A28D5" w:rsidRPr="00C0591E">
        <w:t>behavior</w:t>
      </w:r>
      <w:r w:rsidRPr="00C0591E">
        <w:t>. In other words, splitting the two roles will reduce the CEO power to take advantage for his own interests rather than th</w:t>
      </w:r>
      <w:r w:rsidR="00167CC6" w:rsidRPr="00C0591E">
        <w:t xml:space="preserve">e interests of the shareholders </w:t>
      </w:r>
      <w:r w:rsidRPr="00C0591E">
        <w:t xml:space="preserve"> interests or the company.</w:t>
      </w:r>
    </w:p>
    <w:p w14:paraId="76C3B5C9" w14:textId="68F8B58C" w:rsidR="00F61AAE" w:rsidRPr="00C0591E" w:rsidRDefault="00F324E7" w:rsidP="00F12FB6">
      <w:r w:rsidRPr="00C0591E">
        <w:t xml:space="preserve">According to Jensen and Meckling (1976), the </w:t>
      </w:r>
      <w:r w:rsidR="007305F5" w:rsidRPr="00C0591E">
        <w:t>agency</w:t>
      </w:r>
      <w:r w:rsidR="00F12FB6" w:rsidRPr="00C0591E">
        <w:t xml:space="preserve"> theory posits that managers are agents of shareholders (principals) and they run the firm on behalf of the owners, thus engaging in a principal-agent relationship. Extensive literature indicates that there is an intrinsic conflict of interest between shareholders and managers, because the latter being engaged by the former to serve their own objectives of value maximization. It has been frequently observed that managers diverge from shareholders ‘interest and reduce and/or appropriate shareholders wealth for their own interests</w:t>
      </w:r>
      <w:r w:rsidRPr="00C0591E">
        <w:t>.</w:t>
      </w:r>
    </w:p>
    <w:p w14:paraId="26999217" w14:textId="67B0D6FC" w:rsidR="00A40ADB" w:rsidRPr="00C0591E" w:rsidRDefault="00A40ADB" w:rsidP="00A40ADB">
      <w:r w:rsidRPr="00C0591E">
        <w:t>Shleifer and Vishny (</w:t>
      </w:r>
      <w:r w:rsidR="00F324E7" w:rsidRPr="00C0591E">
        <w:t>2017</w:t>
      </w:r>
      <w:r w:rsidRPr="00C0591E">
        <w:t xml:space="preserve">) argued that when the ownership structure is concentrated, large and controlling shareholders contribute to the mitigation of the agency problems because they have the incentives, motivations and capacity to monitor the managers for the shared benefit of control (i.e. the mutual benefit of all shareholders, whether large or small). Moreover, </w:t>
      </w:r>
      <w:r w:rsidR="00F324E7" w:rsidRPr="00C0591E">
        <w:t xml:space="preserve">Baysinger and Butler (2015) </w:t>
      </w:r>
      <w:r w:rsidRPr="00C0591E">
        <w:t>observed that as ownership concentration increases, the degree to which benefits and costs are borne by the same owner increases, hence it can be inferred that large shareholders are more likely to be active in corporate governance to prevent information asymmetry between principals and agents due to their larger stakes in firms due to the greater risk incurred by their larger ownership. Thereby, if agency costs decreased it is more likely shareholders will get higher retunes on their shares and more profit.</w:t>
      </w:r>
    </w:p>
    <w:p w14:paraId="7D8F96A3" w14:textId="02AF3ABC" w:rsidR="00F12FB6" w:rsidRPr="00C0591E" w:rsidRDefault="00A40ADB" w:rsidP="00A40ADB">
      <w:r w:rsidRPr="00C0591E">
        <w:t>However, Jenson and Meckling (1976) argued that according to agency theory, major shareholders with high ownership concentration can prioritise their own interests, which can cause agency problems between managers and shareholders. Jenson and Meckling (1976) suggested that managerial ownership can be a solution to this agency problem, circumventing conflicts between management and shareholders by rendering both parties a single entity. Managerial interests can clearly be presumed to achieve greater alignment with those of shareholders with significant managerial ownership. However, Demsetz (</w:t>
      </w:r>
      <w:r w:rsidR="00C940EA" w:rsidRPr="00C0591E">
        <w:t>2019</w:t>
      </w:r>
      <w:r w:rsidRPr="00C0591E">
        <w:t>) cautioned that when managers own a large stake this could lead them to take decisions preferential to their own individual interests as a large shareholders rather than in the interests of other (smaller) shareholders (entrenchment effect).</w:t>
      </w:r>
    </w:p>
    <w:p w14:paraId="734DDAC3" w14:textId="33665F4B" w:rsidR="00F61AAE" w:rsidRPr="00C0591E" w:rsidRDefault="00A40ADB" w:rsidP="00F61AAE">
      <w:r w:rsidRPr="00C0591E">
        <w:t>Grossman and Hart (</w:t>
      </w:r>
      <w:r w:rsidR="00F324E7" w:rsidRPr="00C0591E">
        <w:t>2016</w:t>
      </w:r>
      <w:r w:rsidRPr="00C0591E">
        <w:t xml:space="preserve">) suggested that large shareholders bear monitoring costs, and their share of benefits will be proportionate to their cash flow rights (dividends or capital gains), and the pursuant benefits of monitoring by large shareholders is accrued by all shareholders proportional to cash flow rights. Other factors being constant, a rise in </w:t>
      </w:r>
      <w:r w:rsidR="00F324E7" w:rsidRPr="00C0591E">
        <w:t>block holder</w:t>
      </w:r>
      <w:r w:rsidRPr="00C0591E">
        <w:t xml:space="preserve"> stake endows large shareholders with a greater int</w:t>
      </w:r>
      <w:r w:rsidR="00F324E7" w:rsidRPr="00C0591E">
        <w:t xml:space="preserve">erest in increasing firm value. </w:t>
      </w:r>
      <w:r w:rsidRPr="00C0591E">
        <w:t>Indeed, it has even been argued that in such situations small sha</w:t>
      </w:r>
      <w:r w:rsidR="00F324E7" w:rsidRPr="00C0591E">
        <w:t>reholders f</w:t>
      </w:r>
      <w:r w:rsidRPr="00C0591E">
        <w:t xml:space="preserve">ree-ride firm success achieved by larger shareholders while bearing no monitoring costs, thus obtaining benefits disproportionate with their input to the firm. Different studies in developed and developing countries found a positive relationship between concentrated ownership and frim performance. </w:t>
      </w:r>
      <w:r w:rsidR="00F324E7" w:rsidRPr="00C0591E">
        <w:t>S</w:t>
      </w:r>
      <w:r w:rsidRPr="00C0591E">
        <w:t>ince the investor protections is weak in emerging markets, ownership concentration might play an alternative corporate governance mechanism in these markets. Therefore, concentrated ownership means more control in the hands of large shareholders, which translates into better monitoring of managers in the interest of all shareholders.</w:t>
      </w:r>
    </w:p>
    <w:p w14:paraId="762AED76" w14:textId="5D1A80AB" w:rsidR="00F61AAE" w:rsidRPr="00C0591E" w:rsidRDefault="00A40ADB" w:rsidP="00A40ADB">
      <w:r w:rsidRPr="00C0591E">
        <w:t>According to Vo and Nguyen (2014), the major concerns of corpo</w:t>
      </w:r>
      <w:r w:rsidR="00F324E7" w:rsidRPr="00C0591E">
        <w:t xml:space="preserve">rate governance are related to </w:t>
      </w:r>
      <w:r w:rsidRPr="00C0591E">
        <w:t>the structures and processes for the business dir</w:t>
      </w:r>
      <w:r w:rsidR="00F324E7" w:rsidRPr="00C0591E">
        <w:t>ections and management of firms</w:t>
      </w:r>
      <w:r w:rsidRPr="00C0591E">
        <w:t>. Thus, they claim that it concentrates on the relationships between company’ controlling system, shareholders, stakeholders and functions of board of directors. They conclude that board of directors is seen as the most important factor in corporate governance, which affects the whole business and owners’ interests.</w:t>
      </w:r>
    </w:p>
    <w:p w14:paraId="7DE4DDD3" w14:textId="111DEE98" w:rsidR="00A40ADB" w:rsidRPr="00C0591E" w:rsidRDefault="00A40ADB" w:rsidP="00A40ADB">
      <w:r w:rsidRPr="00C0591E">
        <w:t xml:space="preserve">Wu and Li (2015) clarifies the effectiveness of adding more outside directors by assessing the overall quality of board monitoring, which leads to better firm performance. This could be measured by reducing the probability of those events that cause the decrease in firm valuation. For example, the researchers show that there are three types of events, which include financial statement fraud, asset misappropriation and auditor’s negative opinion on firm’s financial report. They indicate that there is a positive relationship between an increase in board independence and firm performance measured by either in accounting return (ROA) or in stock market return. Thus, adding more independent directors would increase firm performance and improve corporate governance because of high quality of board monitoring (Wu </w:t>
      </w:r>
      <w:r w:rsidR="00650860" w:rsidRPr="00C0591E">
        <w:t>&amp;</w:t>
      </w:r>
      <w:r w:rsidRPr="00C0591E">
        <w:t xml:space="preserve"> Li, 2015). </w:t>
      </w:r>
    </w:p>
    <w:p w14:paraId="1BB7FF50" w14:textId="47FFF66A" w:rsidR="007C7342" w:rsidRPr="00C0591E" w:rsidRDefault="00650860" w:rsidP="007C7342">
      <w:r w:rsidRPr="00C0591E">
        <w:t>Chugh (2017</w:t>
      </w:r>
      <w:r w:rsidR="007C7342" w:rsidRPr="00C0591E">
        <w:t>) studied the relationship between shareholder rights and corporate performance in US corporations. Defining shareholders’ rights, he highlighted several provisions that are associated with this concept, on the basis that the corporate governance ideal embodies the concept that stockholders</w:t>
      </w:r>
      <w:r w:rsidRPr="00C0591E">
        <w:t xml:space="preserve"> own the corporation</w:t>
      </w:r>
      <w:r w:rsidR="007C7342" w:rsidRPr="00C0591E">
        <w:t>. In accordance, they are entitled to share in the profits and the future of the company through their voting rights. Every national legal framework prescribes the presence of a shareholder meeting, which is called to ratify some resolutions of primary importance for the company. These matters are the ones of crucial importance for the life of the company: Mergers and acquisitions, financial statement approval, election of the board members, and so forth. The circumstances in which the decision power is awarded to shareholders are defined by law. To this extent, shareholder rights are characteristic of a given legal framework rather than of a single company. However, the company can put in place some lawful measures that indirectly impede the exercise of these rights. These could include takeover defenses that might entrench management or the introduction of misalignment between ownership and voting power in the bylaws.</w:t>
      </w:r>
    </w:p>
    <w:p w14:paraId="67238DBB" w14:textId="349EC59B" w:rsidR="007C7342" w:rsidRPr="00C0591E" w:rsidRDefault="00650860" w:rsidP="007C7342">
      <w:r w:rsidRPr="00C0591E">
        <w:t xml:space="preserve">Allen (2015) </w:t>
      </w:r>
      <w:r w:rsidR="007C7342" w:rsidRPr="00C0591E">
        <w:t>described the shareholder rights’ which standard, which prescribes equal voting rights for all shareholders (without dual/multi-classes) and absence of takeover defenses, and restrictions on changing corporations’ by-laws or limiting shareholder proposals. The shareholders should have the right to elect the full board each year, without the limitation of staggered terms. The shareholders should have the right to an independent nominating committee. Essentially, the standard implies that the firm’s management is not entrenched and can be replaced. Moreover, shareholders are free to sell the firm to outside parties without any limitation.</w:t>
      </w:r>
    </w:p>
    <w:p w14:paraId="27C163FC" w14:textId="12C1EFAE" w:rsidR="007C7342" w:rsidRPr="00C0591E" w:rsidRDefault="00650860" w:rsidP="007C7342">
      <w:r w:rsidRPr="00C0591E">
        <w:t>Gompers, Ishii and Metrick (</w:t>
      </w:r>
      <w:r w:rsidR="00C940EA" w:rsidRPr="00C0591E">
        <w:t>2019</w:t>
      </w:r>
      <w:r w:rsidR="007C7342" w:rsidRPr="00C0591E">
        <w:t>) evaluated shareholder rights at about 1500 large US-based firms during the 1990s, and found that firms with strongest rights would have earned abnormal returns of 8,5% per year. Furthermore, they proved that the same companies had higher firm value, higher profits, higher sales growth, lower capital expenditures and made fewer acquisitions</w:t>
      </w:r>
      <w:r w:rsidRPr="00C0591E">
        <w:t>.</w:t>
      </w:r>
      <w:r w:rsidR="007C7342" w:rsidRPr="00C0591E">
        <w:t xml:space="preserve"> They found that firms with greater shareholder rights performed better in absolute terms, but when adjusted for volatility firms with lower shareholder rights performed better. Other streams of empirical literature demonstrate that greater shareholder rights generally are associated with higher share prices, higher growth rates, higher profitably and lower volatility in share prices.</w:t>
      </w:r>
    </w:p>
    <w:p w14:paraId="5FBAC672" w14:textId="5E892CDD" w:rsidR="00B22A5B" w:rsidRPr="00C0591E" w:rsidRDefault="00B22A5B" w:rsidP="00B22A5B">
      <w:r w:rsidRPr="00C0591E">
        <w:t xml:space="preserve">Wang </w:t>
      </w:r>
      <w:r w:rsidR="00650860" w:rsidRPr="00C0591E">
        <w:t>and Xiao (201</w:t>
      </w:r>
      <w:r w:rsidRPr="00C0591E">
        <w:t>6) investigated the relationship between CG characteristics and the risk of financial distress in the context of the Chinese transitional economy. They used a sample of 96 financially distressed companies and 96 healthy companies. They found that large shareholder ownership, state ownership, and the proportion of independent directors are negatively associated with the probability of distress. Additionally, managerial agency costs are badly detrimental to a company’s financial status. The results also indicate that the degree of balanced ownership, managerial ownership, board size, and CEO duality do not significantly affect the probability of default.</w:t>
      </w:r>
    </w:p>
    <w:p w14:paraId="51D48A3E" w14:textId="0FD42685" w:rsidR="007C7342" w:rsidRPr="00C0591E" w:rsidRDefault="00B22A5B" w:rsidP="00B22A5B">
      <w:r w:rsidRPr="00C0591E">
        <w:t xml:space="preserve">Gulpinar </w:t>
      </w:r>
      <w:r w:rsidRPr="00C0591E">
        <w:rPr>
          <w:i/>
        </w:rPr>
        <w:t>et al</w:t>
      </w:r>
      <w:r w:rsidRPr="00C0591E">
        <w:t xml:space="preserve"> (</w:t>
      </w:r>
      <w:r w:rsidR="00C940EA" w:rsidRPr="00C0591E">
        <w:t>2019</w:t>
      </w:r>
      <w:r w:rsidRPr="00C0591E">
        <w:t xml:space="preserve">) studied the US investment market following the infamous collapse that led to the Oakley-Sarbanes law to control the investment market. In their sample of 23 blue chip companies, the scholars used financial accounting reports and compared them with returns of those companies on Wall Street to conclude that various accounting systems were in use to give different results. However the scholars were convinced that the system of US accounting would still lead to suspicions from clients even though the market information was more and more open than in previous periods. </w:t>
      </w:r>
      <w:r w:rsidR="00650860" w:rsidRPr="00C0591E">
        <w:t xml:space="preserve">The study concluded that </w:t>
      </w:r>
      <w:r w:rsidRPr="00C0591E">
        <w:t>the accounting regimes should be investigated further for results of those blue chip companies.</w:t>
      </w:r>
    </w:p>
    <w:p w14:paraId="1D8E856F" w14:textId="0B7BA39E" w:rsidR="00A40ADB" w:rsidRPr="00C0591E" w:rsidRDefault="00B22A5B" w:rsidP="00F61AAE">
      <w:r w:rsidRPr="00C0591E">
        <w:t>Manyuru (</w:t>
      </w:r>
      <w:r w:rsidR="00650860" w:rsidRPr="00C0591E">
        <w:t>2017</w:t>
      </w:r>
      <w:r w:rsidRPr="00C0591E">
        <w:t>) found out that most of the companies quoted at the NSE practised high level corporate governance. The results further revealed that generally there is a correlation between performance and corporate governance. The strength of correlation however varied depending on the market segment considered and the performance measure used. Manyuru then recommended that the Kenya government and other stakeholders in companies should demand high levels of corporate governance as a way of enhancing performance in the long run and safeguarding the shareholders’ interests. This study however focused on investing companies which in this case can be said to be the clients whereas the present study is focused on the investment managers.</w:t>
      </w:r>
    </w:p>
    <w:p w14:paraId="600DE354" w14:textId="2F19C59A" w:rsidR="00B22A5B" w:rsidRPr="00C0591E" w:rsidRDefault="00B22A5B" w:rsidP="00B22A5B">
      <w:r w:rsidRPr="00C0591E">
        <w:t>Ndungu (</w:t>
      </w:r>
      <w:r w:rsidR="00C940EA" w:rsidRPr="00C0591E">
        <w:t>2019</w:t>
      </w:r>
      <w:r w:rsidRPr="00C0591E">
        <w:t>) evaluated the effect of corporate governance on financial performance of insurance companies in Kenya. The study found that a weak relationship exist between the Corporate Governance practices under study and the firms’ financial performance. The number of Board subcommittee members, number of dependent directors and the age of the company were found to affect the financial performance of insurance companies positively. The financial performance was however affected negatively by the Board size, number of Board meetings, number of independent directors and the asset value of the firms.</w:t>
      </w:r>
      <w:r w:rsidR="00650860" w:rsidRPr="00C0591E">
        <w:t xml:space="preserve"> </w:t>
      </w:r>
      <w:r w:rsidRPr="00C0591E">
        <w:t>Otieno (</w:t>
      </w:r>
      <w:r w:rsidR="00C940EA" w:rsidRPr="00C0591E">
        <w:t>2019</w:t>
      </w:r>
      <w:r w:rsidRPr="00C0591E">
        <w:t>) examined the effect of corporate governance on financial performance of Commercial Banks in Kenya. From the findings, it was found out that corporate governance play an important role on bank stability, performance and bank’s ability to provide liquidity in difficult market conditions. From the findings</w:t>
      </w:r>
      <w:r w:rsidR="00650860" w:rsidRPr="00C0591E">
        <w:t>, corporate governance factors</w:t>
      </w:r>
      <w:r w:rsidRPr="00C0591E">
        <w:t xml:space="preserve"> accounts for 22.4 % of the financial performance of commercial banks, derived from adjusted R square value of the regression test.</w:t>
      </w:r>
    </w:p>
    <w:p w14:paraId="3F848073" w14:textId="64F8B1D8" w:rsidR="00A40ADB" w:rsidRPr="00C0591E" w:rsidRDefault="00B22A5B" w:rsidP="00B22A5B">
      <w:r w:rsidRPr="00C0591E">
        <w:t>Wandabwa (201</w:t>
      </w:r>
      <w:r w:rsidR="00650860" w:rsidRPr="00C0591E">
        <w:t>6</w:t>
      </w:r>
      <w:r w:rsidRPr="00C0591E">
        <w:t>) reviewed the relationship between corporate governance and financial performance among broadcasting stations in Kenya. From the findings the study revealed that limited partnership agreements at the top level that prohibit headquarters from cross-subsidizing one division with the cash from another. There is high equity ownership on the part of managers and board members; board members who in their funds directly represent a large fraction of the equity owners of each subsidiary company. The board size and composition, splitting of the roles of chairman and chief executive, optimal mix of inside and outside directions and number board of directors affected the financial performance of the companies.</w:t>
      </w:r>
    </w:p>
    <w:p w14:paraId="0A5A001E" w14:textId="37BBB77F" w:rsidR="00A40ADB" w:rsidRPr="00C0591E" w:rsidRDefault="00B22A5B" w:rsidP="00DA5432">
      <w:r w:rsidRPr="00C0591E">
        <w:t>Munyao (</w:t>
      </w:r>
      <w:r w:rsidR="00C940EA" w:rsidRPr="00C0591E">
        <w:t>2019</w:t>
      </w:r>
      <w:r w:rsidRPr="00C0591E">
        <w:t>) reviewed the effects of corporate governance practices on the financial performance of Forex Bureaus in Kenya. The finding of this study suggests that established corporate governance practices in forex bureaus in Nairobi, includes the existence of the board of directors that also comprise independent board members, composition of the board of directors and the existence of internal controls. In addition, the study has established the effects and weaknesses of corporate governance practices in forex bureaus in Nairobi, Kenya. The effects include improved profitability, return on investment and reduced business risk, while the weaknesses includes irregular external audits, adequacy of staff rewards and internal controls in place</w:t>
      </w:r>
      <w:r w:rsidR="00FB7276" w:rsidRPr="00C0591E">
        <w:t>.</w:t>
      </w:r>
    </w:p>
    <w:p w14:paraId="6E0FB2DE" w14:textId="00C134D9" w:rsidR="00A40ADB" w:rsidRPr="00C0591E" w:rsidRDefault="000C3E27" w:rsidP="00F61AAE">
      <w:r w:rsidRPr="00C0591E">
        <w:t>Qureshi and McKay (2007) indentify three broad approaches of viewing pension governance in the context of multi-national companies namely: decentralized governance where the pension governance is exercised in different pension plans in the same country, compliant governance, which implies following the law and efficient governance, which refers to making financial and operational efficie</w:t>
      </w:r>
      <w:r w:rsidR="00650860" w:rsidRPr="00C0591E">
        <w:t>ncy gains. Quresh and McKay (201</w:t>
      </w:r>
      <w:r w:rsidRPr="00C0591E">
        <w:t xml:space="preserve">7) recommend the efficient governance option as it acts as a complacence to other approaches. In other words, efficient governance should enable pension plan to achieve compliance with the pension law and control of the decentralized units that eventually contributes to increased efficiency in operations. </w:t>
      </w:r>
      <w:r w:rsidR="00650860" w:rsidRPr="00C0591E">
        <w:t>Arun and Turner (</w:t>
      </w:r>
      <w:r w:rsidR="00C940EA" w:rsidRPr="00C0591E">
        <w:t>2019</w:t>
      </w:r>
      <w:r w:rsidRPr="00C0591E">
        <w:t xml:space="preserve">) contended that there exists a narrow approach to corporate governance, which views the subject as the mechanism through which shareholders are assured that managers will act in their interests. </w:t>
      </w:r>
      <w:r w:rsidR="00650860" w:rsidRPr="00C0591E">
        <w:t>They</w:t>
      </w:r>
      <w:r w:rsidRPr="00C0591E">
        <w:t xml:space="preserve"> observed that there is broader approach, which views the subject as the methods by which suppliers of finance control managers in order to ensure that their capital cannot be expropriated and that they earn a return on investment.</w:t>
      </w:r>
    </w:p>
    <w:p w14:paraId="1A692C0C" w14:textId="7AF45FB9" w:rsidR="00144AFB" w:rsidRPr="00C0591E" w:rsidRDefault="00650860" w:rsidP="00347D67">
      <w:r w:rsidRPr="00C0591E">
        <w:t>Okoye and Eze (</w:t>
      </w:r>
      <w:r w:rsidR="00C940EA" w:rsidRPr="00C0591E">
        <w:t>2019</w:t>
      </w:r>
      <w:r w:rsidRPr="00C0591E">
        <w:t>)</w:t>
      </w:r>
      <w:r w:rsidR="000C3E27" w:rsidRPr="00C0591E">
        <w:t xml:space="preserve"> in a study of pension reform, ownership structure and corporate governance in Sweden, found out that firm performance improves if large independent private pension funds and public pension funds increase their equity stakes in the firm, but not if smaller pension funds and pension funds related to financial institutions and industrial groups increase their shareholdings. Augusto (20</w:t>
      </w:r>
      <w:r w:rsidR="00BF6A1C" w:rsidRPr="00C0591E">
        <w:t>1</w:t>
      </w:r>
      <w:r w:rsidR="000C3E27" w:rsidRPr="00C0591E">
        <w:t xml:space="preserve">9) studied pension reform and corporate governance in Chile, and found that companies where pension funds have been invested are under close public scrutiny because of corporate governance and that capital market growth has also had positive consequence on corporate governance. </w:t>
      </w:r>
      <w:r w:rsidR="00BF6A1C" w:rsidRPr="00C0591E">
        <w:t xml:space="preserve">Saona (2019) </w:t>
      </w:r>
      <w:r w:rsidR="000C3E27" w:rsidRPr="00C0591E">
        <w:t>used ordinary least square method to determine corporate governance, stock market and economic growth in Brazil. By the methodology adopted, there are evidences that companies who adopt better practices of corporate gover</w:t>
      </w:r>
      <w:r w:rsidR="00BF6A1C" w:rsidRPr="00C0591E">
        <w:t>nance have better performances</w:t>
      </w:r>
      <w:r w:rsidR="000C3E27" w:rsidRPr="00C0591E">
        <w:t xml:space="preserve"> in the economic growth cycle than those companies that do not adopt them.</w:t>
      </w:r>
    </w:p>
    <w:p w14:paraId="18B6A0B3" w14:textId="344E56D6" w:rsidR="00630056" w:rsidRPr="00C0591E" w:rsidRDefault="00BF6A1C" w:rsidP="00BF6A1C">
      <w:r w:rsidRPr="00C0591E">
        <w:t>Yang and Mitchell (201</w:t>
      </w:r>
      <w:r w:rsidR="00090524" w:rsidRPr="00C0591E">
        <w:t>5) investigate</w:t>
      </w:r>
      <w:r w:rsidRPr="00C0591E">
        <w:t>d</w:t>
      </w:r>
      <w:r w:rsidR="00090524" w:rsidRPr="00C0591E">
        <w:t xml:space="preserve"> the effect of several organizational and structural pension fund features on the investment performance. They find evidence that the composition of the board of trustees as well as the reporting practices influence the investment performance of public pension funds. </w:t>
      </w:r>
      <w:r w:rsidRPr="00C0591E">
        <w:t>The study</w:t>
      </w:r>
      <w:r w:rsidR="00090524" w:rsidRPr="00C0591E">
        <w:t xml:space="preserve"> confirm</w:t>
      </w:r>
      <w:r w:rsidRPr="00C0591E">
        <w:t>s</w:t>
      </w:r>
      <w:r w:rsidR="00090524" w:rsidRPr="00C0591E">
        <w:t xml:space="preserve"> that the composition of public pension fund boards is significantly associated with the perf</w:t>
      </w:r>
      <w:r w:rsidRPr="00C0591E">
        <w:t>ormance. Useem and Mitchell (2016</w:t>
      </w:r>
      <w:r w:rsidR="00090524" w:rsidRPr="00C0591E">
        <w:t>), in contrast, find no direct relation between the governance qualities the governance quality and the investment performance. However, they show that governance has a direct effect on how pension funds invest their assets. The investment strategy, in turn, directly affects the investment performance. The authors conclude that governance quality indirectly affects the investment performance of pension funds.</w:t>
      </w:r>
    </w:p>
    <w:p w14:paraId="4111C32E" w14:textId="5FA400BF" w:rsidR="00090524" w:rsidRPr="00C0591E" w:rsidRDefault="00630D4E" w:rsidP="00090524">
      <w:r w:rsidRPr="00C0591E">
        <w:t>Turnbull (</w:t>
      </w:r>
      <w:r w:rsidR="00C940EA" w:rsidRPr="00C0591E">
        <w:t>2019</w:t>
      </w:r>
      <w:r w:rsidRPr="00C0591E">
        <w:t xml:space="preserve">) stated that Corporate Governance has become a key focus in the business around the world not only for corporations, but also of Government and Quasi Government authorities. </w:t>
      </w:r>
      <w:r w:rsidR="00BF6A1C" w:rsidRPr="00C0591E">
        <w:t>The study</w:t>
      </w:r>
      <w:r w:rsidRPr="00C0591E">
        <w:t xml:space="preserve"> argued that sudden collapse of business giants like Enron and World Com around the world sent shockwaves to the International business community on the very basis of governance of these corporations, which were key motivators for the heightened interest in Corporate Governance. </w:t>
      </w:r>
      <w:r w:rsidR="00BF6A1C" w:rsidRPr="00C0591E">
        <w:t>The study</w:t>
      </w:r>
      <w:r w:rsidRPr="00C0591E">
        <w:t xml:space="preserve"> added that integrity of corporations, financial institutions and markets is essential to maintaining confidence and economic activity, and to protecting the interests of stakeholders.</w:t>
      </w:r>
    </w:p>
    <w:p w14:paraId="3343DA63" w14:textId="43514710" w:rsidR="000C3E27" w:rsidRPr="00C0591E" w:rsidRDefault="00630D4E" w:rsidP="00347D67">
      <w:r w:rsidRPr="00C0591E">
        <w:t>Manville and Ober (</w:t>
      </w:r>
      <w:r w:rsidR="00C940EA" w:rsidRPr="00C0591E">
        <w:t>2019</w:t>
      </w:r>
      <w:r w:rsidRPr="00C0591E">
        <w:t xml:space="preserve">) conducted a study in Asia, in their study they conclude that Corporate Governance gained momentum, since the Asian financial crisis in 1997, and thus a good Corporate Governance is a source of competitive advantage and critical to economic and social progress. </w:t>
      </w:r>
      <w:r w:rsidR="00BF6A1C" w:rsidRPr="00C0591E">
        <w:t>The study stated that</w:t>
      </w:r>
      <w:r w:rsidRPr="00C0591E">
        <w:t xml:space="preserve"> Corporate Governance is the system of rights, structure and control mechanism established internally over the management of a listed public limited company, with the objective of protecting the interests of the various stakeholders.</w:t>
      </w:r>
    </w:p>
    <w:p w14:paraId="6D503651" w14:textId="77777777" w:rsidR="00BF6A1C" w:rsidRPr="00C0591E" w:rsidRDefault="00630D4E" w:rsidP="000F0FB7">
      <w:r w:rsidRPr="00C0591E">
        <w:t>Hi</w:t>
      </w:r>
      <w:r w:rsidR="00BF6A1C" w:rsidRPr="00C0591E">
        <w:t>mmelberg, Hubbard and Palia (201</w:t>
      </w:r>
      <w:r w:rsidRPr="00C0591E">
        <w:t xml:space="preserve">9) argued that Corporate Governance is an indirect mechanism in reducing agency costs and transaction costs imposed by managers acting in their own interests at the expense of companies and stakeholders. </w:t>
      </w:r>
      <w:r w:rsidR="00BF6A1C" w:rsidRPr="00C0591E">
        <w:t>The study</w:t>
      </w:r>
      <w:r w:rsidRPr="00C0591E">
        <w:t xml:space="preserve"> suggested that Corporate Governance is the system of checks and balances, both internal and external to companies which ensures that companies discharge their accountability to all their stakeholders and act in a socially responsible way in all areas in their business activity. Corporate Governance structure specifies the distribution of rights and responsibilities among different participants in the corporations, such as the board, managers, shareholders and other stakeholders and spells out the rules and procedure for making decisions on corporate affairs. In this way, Corporate Governance is a philosophy by which companies are directed, monitored, managed and controlled. However</w:t>
      </w:r>
      <w:r w:rsidRPr="00C0591E">
        <w:rPr>
          <w:b/>
          <w:bCs/>
        </w:rPr>
        <w:t xml:space="preserve">, </w:t>
      </w:r>
      <w:r w:rsidRPr="00C0591E">
        <w:t xml:space="preserve">the consequence of the separation of ownership and management was ownership dispersion and that such dispersion made subsequent monitoring and discipline of management difficult. </w:t>
      </w:r>
    </w:p>
    <w:p w14:paraId="714698A5" w14:textId="0CF13E6B" w:rsidR="000C3E27" w:rsidRPr="00C0591E" w:rsidRDefault="00F33DEE" w:rsidP="00347D67">
      <w:r w:rsidRPr="00C0591E">
        <w:t>Nguyen, Locke and Reddy (2015) revealed a divergent position from the effect of ownership concentration on earnings quality of companies in Singapore and Vietnam, using a dynamic framework by focusing on two different types of national governance systems. The findings show a positive effect of concentrated ownership on earnings was persists in these markets even after the dynamic nature of the ownership concentration–performance relationship is taken into consideration. Reyna (</w:t>
      </w:r>
      <w:r w:rsidR="00C940EA" w:rsidRPr="00C0591E">
        <w:t>2019</w:t>
      </w:r>
      <w:r w:rsidRPr="00C0591E">
        <w:t>) examined the relationship between ownership concentration and earnings quality of companies quoted on the Mexican Stock Exchange. The study used random sampling and regression model. The study covers a period of five years from 2005 to 2009. The findings show that ownership concentration has significant positive relationship with earrings quality of companies quoted on the Mexican Stock Exchange</w:t>
      </w:r>
      <w:r w:rsidR="009331C7" w:rsidRPr="00C0591E">
        <w:t>.</w:t>
      </w:r>
    </w:p>
    <w:p w14:paraId="657E9941" w14:textId="60838C20" w:rsidR="009B0C3D" w:rsidRPr="00C0591E" w:rsidRDefault="009331C7" w:rsidP="009B0C3D">
      <w:r w:rsidRPr="00C0591E">
        <w:t>Ehikioya (201</w:t>
      </w:r>
      <w:r w:rsidR="00F33DEE" w:rsidRPr="00C0591E">
        <w:t xml:space="preserve">9) investigated the effect of ownership concentration on earnings quality of listed companies in Nigeria. The study used a sample of 107 companies for a period of five years. The study also used multiple regressions to analyze the data. The findings revealed that ownership concentration has significant positive effect on earnings quality. </w:t>
      </w:r>
      <w:r w:rsidR="009B0C3D" w:rsidRPr="00C0591E">
        <w:t>Conyon and Mallin (</w:t>
      </w:r>
      <w:r w:rsidR="00C940EA" w:rsidRPr="00C0591E">
        <w:t>2019</w:t>
      </w:r>
      <w:r w:rsidR="009B0C3D" w:rsidRPr="00C0591E">
        <w:t>) stated that Corporate Governance is different from corporate management, as the former is more ethical oriented and the later on operations specific. Management has the specific connotations of using the available resources comprising time, resources finance and human, physical to get the result delivered. Corporate Governance is needed to create a corporate culture of consciences, transparency and operations.</w:t>
      </w:r>
    </w:p>
    <w:p w14:paraId="4D59841C" w14:textId="2BBA1FE6" w:rsidR="000C3E27" w:rsidRPr="00C0591E" w:rsidRDefault="00F33DEE" w:rsidP="00347D67">
      <w:r w:rsidRPr="00C0591E">
        <w:t>Fodio, Ibikunle and Oba (</w:t>
      </w:r>
      <w:r w:rsidR="00C940EA" w:rsidRPr="00C0591E">
        <w:t>2019</w:t>
      </w:r>
      <w:r w:rsidRPr="00C0591E">
        <w:t xml:space="preserve">), they investigate the effect of corporate governance mechanisms on reported earnings quality of listed Insurance companies in Nigeria. Using 25 listed insurance companies covering 4 years period and multiple regressions were adopted for the study. The finding shows that board size negatively and significantly associated with earnings management in listed insurance companies in Nigeria. Del Guercio, Dann and Partch (2003) examined the effect of board size and board structure on earnings quality of closed –end investment. The study used regression analysis on 506 closed-end investment for a period of ten years. The outcome shows that companies with small board size have significant effect on earnings quality of the companies. In another study in the financial </w:t>
      </w:r>
      <w:r w:rsidR="009B0C3D" w:rsidRPr="00C0591E">
        <w:t xml:space="preserve">sector. </w:t>
      </w:r>
      <w:r w:rsidRPr="00C0591E">
        <w:t>Onakoya, Fasanya, and Ofoegbu (2014) examined the effect of board size on earnings quality of banks in Nigeria. The study covers 5 years from 2006 to 2010. It used ordinary least square (OLS) regression analysis to test the data collected from a sample of 9 banks using random sampling. The finding shows that board size on has significant positive influence on earnings quality of banks in Nigeria.</w:t>
      </w:r>
    </w:p>
    <w:p w14:paraId="147CA793" w14:textId="1B5153C2" w:rsidR="000C3E27" w:rsidRPr="00C0591E" w:rsidRDefault="00F33DEE" w:rsidP="00347D67">
      <w:r w:rsidRPr="00C0591E">
        <w:t>Wang (</w:t>
      </w:r>
      <w:r w:rsidR="00C940EA" w:rsidRPr="00C0591E">
        <w:t>2019</w:t>
      </w:r>
      <w:r w:rsidRPr="00C0591E">
        <w:t>) studied 1618 companies for a period of twelve years, the study adopted unbalanced panel data to investigate the impact of board size on earnings quality and financial performance, the findings reveal that firms with smaller boards invest more heavily in risky assets which eventually led to loss of assets and reduction in profitability and poor earnings quality. While Huang and Wang (2015), a study on corporate governance in china, the findings show that board size has a positive impact on the earnings quality of the companies used in the study over a period of ten years. The convergence in this finding is intuitively attributable to the corporate governance systems in China.</w:t>
      </w:r>
    </w:p>
    <w:p w14:paraId="3FA534A1" w14:textId="6EC25A0C" w:rsidR="000C3E27" w:rsidRPr="00C0591E" w:rsidRDefault="009B0C3D" w:rsidP="00347D67">
      <w:r w:rsidRPr="00C0591E">
        <w:t>Isik</w:t>
      </w:r>
      <w:r w:rsidR="00F33DEE" w:rsidRPr="00C0591E">
        <w:t xml:space="preserve"> and Ince (2016) examined the impact of board size on earnings quality and firm profit margin (PM), using a sample of 30 Pakistani listed firms for two years. The findings show that large board size does not have any significant influence over earnings quality. Also, finding shows that large board size among listed companies in the United State of America only adds to the cost of overheads without corresponding benefit to earnings qual</w:t>
      </w:r>
      <w:r w:rsidRPr="00C0591E">
        <w:t>ity companies</w:t>
      </w:r>
      <w:r w:rsidR="00F33DEE" w:rsidRPr="00C0591E">
        <w:t>. In similar study, Aljifri and Moustafa (20</w:t>
      </w:r>
      <w:r w:rsidRPr="00C0591E">
        <w:t>1</w:t>
      </w:r>
      <w:r w:rsidR="00F33DEE" w:rsidRPr="00C0591E">
        <w:t>7) examined the effect of board size on earnings quality of companies in the United Arab Emirate. The study employs simple linear regression to test the variables, also the study use random sampling to select fifty-one companies. The research outcome revealed that the null hypothesis was not rejected implying that board size do not have significant effect on earnings quality.</w:t>
      </w:r>
    </w:p>
    <w:p w14:paraId="083530B0" w14:textId="154B363C" w:rsidR="00F33DEE" w:rsidRPr="00C0591E" w:rsidRDefault="009B0C3D" w:rsidP="00347D67">
      <w:r w:rsidRPr="00C0591E">
        <w:t>Chaghadari (2017</w:t>
      </w:r>
      <w:r w:rsidR="00F33DEE" w:rsidRPr="00C0591E">
        <w:t>) investigated the influence of board size on earnings quality of firms quoted on Malaysia Stock Exchange. The study employs multiple linear regressions. The findings show that there is no significant effect of board size on earnings quality of firms in Malaysia. This findings is collaborated by Kajola (20</w:t>
      </w:r>
      <w:r w:rsidRPr="00C0591E">
        <w:t>1</w:t>
      </w:r>
      <w:r w:rsidR="00F33DEE" w:rsidRPr="00C0591E">
        <w:t xml:space="preserve">8), the study examined the relationship between board size and earnings quality of twenty companies quoted on Nigeria Stock Exchange. The study employs random sampling and simple linear regression analysis to test the </w:t>
      </w:r>
      <w:r w:rsidRPr="00C0591E">
        <w:t>data</w:t>
      </w:r>
      <w:r w:rsidR="00F33DEE" w:rsidRPr="00C0591E">
        <w:t>. The result shows that board size do not have significant relationship with earnings quality.</w:t>
      </w:r>
    </w:p>
    <w:p w14:paraId="46862BFE" w14:textId="09F7A69B" w:rsidR="00F33DEE" w:rsidRPr="00C0591E" w:rsidRDefault="00F33DEE" w:rsidP="00347D67">
      <w:r w:rsidRPr="00C0591E">
        <w:t xml:space="preserve">Nam and An (2017) suggest that the existence of interlocking directors affects firm earnings quality. </w:t>
      </w:r>
      <w:r w:rsidR="008A1A2D" w:rsidRPr="00C0591E">
        <w:t>In addition</w:t>
      </w:r>
      <w:r w:rsidRPr="00C0591E">
        <w:t>, the interlocking director network has significant and negative effects on firm earnings quality and firm values. In a similar study, Rommens, Cuyers and Deloof (</w:t>
      </w:r>
      <w:r w:rsidR="00C940EA" w:rsidRPr="00C0591E">
        <w:t>2019</w:t>
      </w:r>
      <w:r w:rsidRPr="00C0591E">
        <w:t xml:space="preserve">) posit that companies belonging to a group have much more interlocking directorates than stand-alone companies. </w:t>
      </w:r>
      <w:r w:rsidR="008A1A2D" w:rsidRPr="00C0591E">
        <w:t>In addition</w:t>
      </w:r>
      <w:r w:rsidRPr="00C0591E">
        <w:t>, it was observed that interlocking directorates have negative effects on earnings quality of companies in Belgium. Furthermore, Drago, Millo, Ricciuti and Santella</w:t>
      </w:r>
      <w:r w:rsidR="009B0C3D" w:rsidRPr="00C0591E">
        <w:t xml:space="preserve"> </w:t>
      </w:r>
      <w:r w:rsidRPr="00C0591E">
        <w:t xml:space="preserve">(2015) argued that negative correlation exists between the interlocking directors and earnings quality of Italian companies. </w:t>
      </w:r>
      <w:r w:rsidR="009B0C3D" w:rsidRPr="00C0591E">
        <w:t>The study is</w:t>
      </w:r>
      <w:r w:rsidRPr="00C0591E">
        <w:t xml:space="preserve"> in agreement that New Zealand firms are highly interlocked and that interlocking negatively impacted firm earnings quality in New Zealand and firms were significantly interlocked under two-fold approaches of board and company level, which resulted in negative firm’s earnings quality.</w:t>
      </w:r>
    </w:p>
    <w:p w14:paraId="7148F28D" w14:textId="39C1A39C" w:rsidR="00F33DEE" w:rsidRPr="00C0591E" w:rsidRDefault="009B0C3D" w:rsidP="00347D67">
      <w:r w:rsidRPr="00C0591E">
        <w:t>De Toledo (201</w:t>
      </w:r>
      <w:r w:rsidR="00F33DEE" w:rsidRPr="00C0591E">
        <w:t xml:space="preserve">7) examined the effect of interlocking directorship as a component of corporate governance variable on earnings quality. The study employs random sampling method and multiple regressions, the study used a sample of 97 Spanish non-financial quoted firms. The results revealed that interlocking directorship has a significant positive effect on earnings quality of </w:t>
      </w:r>
      <w:r w:rsidRPr="00C0591E">
        <w:t>non-financial quoted Spanish firms.</w:t>
      </w:r>
      <w:r w:rsidR="00F33DEE" w:rsidRPr="00C0591E">
        <w:t xml:space="preserve"> Ur Rehman and Mangla (</w:t>
      </w:r>
      <w:r w:rsidR="00C940EA" w:rsidRPr="00C0591E">
        <w:t>2019</w:t>
      </w:r>
      <w:r w:rsidR="00F33DEE" w:rsidRPr="00C0591E">
        <w:t xml:space="preserve">) examined the relationship between interlocking directorship and earnings quality of banks in Pakistan. The study used multiple regression models to test the data of sampled banks. The study employs random sampling and a total sampled size of 30 banks. The study covers a period of nine years from 2001 to 2009. The finding of the study shows that interlocking directorship has significant positive relationship with earnings quality of banks in Pakistan. </w:t>
      </w:r>
      <w:r w:rsidR="008A1A2D" w:rsidRPr="00C0591E">
        <w:t>In addition</w:t>
      </w:r>
      <w:r w:rsidR="00F33DEE" w:rsidRPr="00C0591E">
        <w:t>, in a similar study, Ivashkovskaya and Stepanova (2011) investigated the effect of interlocking directorship and earnings quality in European, Russian and other emerging market's firms. The study employs multiple regression model and purposive sampling. The covers ten years period from 2001 to 2010, the findings revealed interlocking directorship has a significant positive effect on earnings quality of the various markets.</w:t>
      </w:r>
    </w:p>
    <w:p w14:paraId="58F20483" w14:textId="0E7C0E28" w:rsidR="00F33DEE" w:rsidRPr="00C0591E" w:rsidRDefault="003B2890" w:rsidP="00347D67">
      <w:r w:rsidRPr="00C0591E">
        <w:t>Moradi Aldin, Hevrani and Iranmahd (</w:t>
      </w:r>
      <w:r w:rsidR="00C940EA" w:rsidRPr="00C0591E">
        <w:t>2019</w:t>
      </w:r>
      <w:r w:rsidRPr="00C0591E">
        <w:t xml:space="preserve">) examined the relationship between interlocking directorship and earnings quality of eighty- four companies quoted on Tehran Stock Exchange. The study employs random sampling and simple linear regression analysis to test the data, the study covers a period of five years from 2007 to 2011. The result shows that interlocking directorship has significant relationship with earnings quality of companies quoted on Tehran Stock Exchange. Increased monitoring through the presence of interlocking director is expected to result in a reduction of information asymmetry and reduction in agency costs, thereby causing an increase in earnings quality, market share and profitability (Nelson, Gallery &amp; Percy, </w:t>
      </w:r>
      <w:r w:rsidR="00C940EA" w:rsidRPr="00C0591E">
        <w:t>2019</w:t>
      </w:r>
      <w:r w:rsidRPr="00C0591E">
        <w:t>).</w:t>
      </w:r>
    </w:p>
    <w:p w14:paraId="54E9C2DA" w14:textId="765DC9F7" w:rsidR="00F33DEE" w:rsidRPr="00C0591E" w:rsidRDefault="009B0C3D" w:rsidP="00347D67">
      <w:r w:rsidRPr="00C0591E">
        <w:t>Nuryanah and Islam (2017</w:t>
      </w:r>
      <w:r w:rsidR="00754D8B" w:rsidRPr="00C0591E">
        <w:t>) examined the effect of interlocking directorship on corporate earnings quality of emerging market and Indonesia. The study employs multiple regression model and random sampling, the study covers ten years. The findings revealed that interlocking directorship has a significant positive effect on earnings quality of both emerging market and Indonesia. Lama (</w:t>
      </w:r>
      <w:r w:rsidR="00C940EA" w:rsidRPr="00C0591E">
        <w:t>2019</w:t>
      </w:r>
      <w:r w:rsidR="00754D8B" w:rsidRPr="00C0591E">
        <w:t xml:space="preserve">) investigated the relationship between interlocking directorship and earnings quality of Mid-sized Australian companies. The study employs simple regressions and Pearson correlation to analyze the data. </w:t>
      </w:r>
      <w:r w:rsidR="008A1A2D" w:rsidRPr="00C0591E">
        <w:t>In addition,</w:t>
      </w:r>
      <w:r w:rsidR="00754D8B" w:rsidRPr="00C0591E">
        <w:t xml:space="preserve"> the study used purposive sampling of Mid-sized Australian companies, the study cover a period of 5 years. The result revealed that interlocking directorship has significant relationship with earnings quality of Mid-sized Australian companies.</w:t>
      </w:r>
    </w:p>
    <w:p w14:paraId="5136F276" w14:textId="7D3F9AD7" w:rsidR="00F33DEE" w:rsidRPr="00C0591E" w:rsidRDefault="00300929" w:rsidP="00347D67">
      <w:r w:rsidRPr="00C0591E">
        <w:t>Smith (</w:t>
      </w:r>
      <w:r w:rsidR="00C940EA" w:rsidRPr="00C0591E">
        <w:t>2019</w:t>
      </w:r>
      <w:r w:rsidRPr="00C0591E">
        <w:t>) research documents prove that certain ownership structure characteristics, such as the proportion of institutional holdings or the level of ownership concentration, were associated with the shareholders' willingness and ability to monitor the mana</w:t>
      </w:r>
      <w:r w:rsidR="009B0C3D" w:rsidRPr="00C0591E">
        <w:t>gement. Navissi and Naiker (2017</w:t>
      </w:r>
      <w:r w:rsidRPr="00C0591E">
        <w:t>) argued that the principal-agent relationship that exists between owners and managers of a firm gives rise to agency conflicts as the interests and incentives of the two parties become misaligned and eventually affect the company performance.</w:t>
      </w:r>
      <w:r w:rsidR="009B0C3D" w:rsidRPr="00C0591E">
        <w:t xml:space="preserve"> Freeman (2010) noted that some shareholders choose to actively monitor the affairs of a corporation themselves. He further stated that directors of listed stock companies, however, being the managers rather of other people's money than their own, could not well be expected, that they could watch over it with the same anxious vigilance as stockholders.</w:t>
      </w:r>
    </w:p>
    <w:p w14:paraId="39A890D0" w14:textId="7D346E6D" w:rsidR="000C3E27" w:rsidRPr="00C0591E" w:rsidRDefault="00321E81" w:rsidP="00321E81">
      <w:r w:rsidRPr="00C0591E">
        <w:t>Shleifer and Vishny (</w:t>
      </w:r>
      <w:r w:rsidR="00C940EA" w:rsidRPr="00C0591E">
        <w:t>2019</w:t>
      </w:r>
      <w:r w:rsidRPr="00C0591E">
        <w:t xml:space="preserve">) argue that the presence of large institutional investors will have a positive effect on the market value of the firm because of the more effective monitoring. </w:t>
      </w:r>
      <w:r w:rsidR="00704C4C" w:rsidRPr="00C0591E">
        <w:t>The study</w:t>
      </w:r>
      <w:r w:rsidRPr="00C0591E">
        <w:t xml:space="preserve"> provided evidence of positive excess returns around the announcement date when institutional investors acquire large equity positions. They predicted that large institutional investors have a positive influence on the value of the firm arises from the assumption that these investors have an incentive to and can efficiently monitor the company board of directors. They noted that this efficient monitoring reduces the likelihood that board of directors would make sub-optimal decisions or collude with the company managers. </w:t>
      </w:r>
      <w:r w:rsidR="008A1A2D" w:rsidRPr="00C0591E">
        <w:t>It is</w:t>
      </w:r>
      <w:r w:rsidRPr="00C0591E">
        <w:t xml:space="preserve"> evident that institutional ownership is an interest of the shareholders, the board of directors and the management directors as each team has a share on the company performance. </w:t>
      </w:r>
    </w:p>
    <w:p w14:paraId="3EAB3975" w14:textId="181CB16F" w:rsidR="00630056" w:rsidRPr="00C0591E" w:rsidRDefault="009272C7" w:rsidP="00347D67">
      <w:r w:rsidRPr="00C0591E">
        <w:t xml:space="preserve">According to Saidi and Shammari (2015), there are two types of ownership concentration, pyramidal and cross-ownership where pyramidal ownership is the process of controlling firms by the head of a group through a chain of ownership relations, whereas cross-shareholding is the process of controlling firms by having some shares in another firm in the same business. It is evidenced that ownership concentration is </w:t>
      </w:r>
      <w:r w:rsidR="00493B4C" w:rsidRPr="00C0591E">
        <w:t>characterized</w:t>
      </w:r>
      <w:r w:rsidRPr="00C0591E">
        <w:t xml:space="preserve"> by firm size, value and industry </w:t>
      </w:r>
      <w:r w:rsidR="008A1A2D" w:rsidRPr="00C0591E">
        <w:t>affiliation, which</w:t>
      </w:r>
      <w:r w:rsidRPr="00C0591E">
        <w:t xml:space="preserve"> contribute to company performance. </w:t>
      </w:r>
      <w:r w:rsidR="00493B4C" w:rsidRPr="00C0591E">
        <w:t>The study</w:t>
      </w:r>
      <w:r w:rsidRPr="00C0591E">
        <w:t xml:space="preserve"> reported that the ownership structure of Sri Lankan listed companies was characterised by extensive family ownership, pyramid structure and concentrated ownership and contributed to good company financial performance and shareholders returns.</w:t>
      </w:r>
    </w:p>
    <w:p w14:paraId="7247DA9E" w14:textId="4194DB41" w:rsidR="009272C7" w:rsidRPr="00C0591E" w:rsidRDefault="009272C7" w:rsidP="00347D67">
      <w:r w:rsidRPr="00C0591E">
        <w:t xml:space="preserve">Ashenafi </w:t>
      </w:r>
      <w:r w:rsidRPr="00C0591E">
        <w:rPr>
          <w:i/>
        </w:rPr>
        <w:t>et al</w:t>
      </w:r>
      <w:r w:rsidRPr="00C0591E">
        <w:t>. (</w:t>
      </w:r>
      <w:r w:rsidR="00C940EA" w:rsidRPr="00C0591E">
        <w:t>2019</w:t>
      </w:r>
      <w:r w:rsidRPr="00C0591E">
        <w:t>) examined corporate governance mechanisms and their impact on performance of commercial banks in absence of an organized stock exchange in Ethiopia. The study assessed the relationship between selected internal corporate governance mechanisms (board of directors structure, board size, audit existence, bank size, and ownership type) and external corporate governance mechanism (government regulation and supervision, capital adequacy ratio, loan loss provision allowance) that were adopted as independent variables. Data on commercial banks performance was collected from annual audited financial statements for the period 2005 to 2011 that were at the National Bank of Ethiopia whereas data on board characteristic was obtained from individual banks. The study was undertaken on nine commercial banks of which two were state owned and seven were privately owned. Data was analyzed using both qualitative and quantitative methods. The findings of the study indicated that: board size and existence of audit committee in the board had statistically significant posit</w:t>
      </w:r>
      <w:r w:rsidR="00493B4C" w:rsidRPr="00C0591E">
        <w:t xml:space="preserve">ive effect on bank performance. </w:t>
      </w:r>
      <w:r w:rsidRPr="00C0591E">
        <w:t>Similarly, capital adequacy ratio as a proxy of external corporate governance had statistically significant posit</w:t>
      </w:r>
      <w:r w:rsidR="00493B4C" w:rsidRPr="00C0591E">
        <w:t>ive effect on bank performance</w:t>
      </w:r>
      <w:r w:rsidRPr="00C0591E">
        <w:t xml:space="preserve"> and absence of organized stock exchange, high government intervention, lack of corporate governance awareness, absence of national standards of corporate governance, absence of accounting and auditing and weak legal framework to protect shareholder rights adversely impacted on corporate governance and bank performance in Ethiopia. </w:t>
      </w:r>
    </w:p>
    <w:p w14:paraId="5A5FC40C" w14:textId="6D12A554" w:rsidR="009272C7" w:rsidRPr="00C0591E" w:rsidRDefault="00493B4C" w:rsidP="00347D67">
      <w:r w:rsidRPr="00C0591E">
        <w:t>Kiruri</w:t>
      </w:r>
      <w:r w:rsidR="009272C7" w:rsidRPr="00C0591E">
        <w:t xml:space="preserve"> (</w:t>
      </w:r>
      <w:r w:rsidR="00C940EA" w:rsidRPr="00C0591E">
        <w:t>2019</w:t>
      </w:r>
      <w:r w:rsidR="009272C7" w:rsidRPr="00C0591E">
        <w:t>) sought to investigate the effects of ownership structure on bank profitability in Kenya. Primary data was obtained through questionnaire administration. The study used annual reports that were available from commercial banks websites and Central bank of Kenya website. Commercial banks profits were adopted as a dependent variable, whereas ownership concentration, state ownership, foreign ownership and domestic ownership were adopted as independent variables. The findings of the study indicated that ownership concentration and state ownership had negative and significant effects on bank profitability while foreign ownership and domestic ownership had positive and significant effects on bank profitability. The study concluded that higher ownership concentration and state ownership lead to lower profitability in commercial banks while higher foreign and domestic ownership lead to higher profitability in commercial banks.</w:t>
      </w:r>
    </w:p>
    <w:p w14:paraId="4EA2F544" w14:textId="7B3639DD" w:rsidR="009272C7" w:rsidRPr="00C0591E" w:rsidRDefault="00B65F34" w:rsidP="00B65F34">
      <w:r w:rsidRPr="00C0591E">
        <w:t>Nyarige</w:t>
      </w:r>
      <w:r w:rsidR="00493B4C" w:rsidRPr="00C0591E">
        <w:t xml:space="preserve"> (</w:t>
      </w:r>
      <w:r w:rsidR="00C940EA" w:rsidRPr="00C0591E">
        <w:t>2019</w:t>
      </w:r>
      <w:r w:rsidR="00493B4C" w:rsidRPr="00C0591E">
        <w:t>)</w:t>
      </w:r>
      <w:r w:rsidR="00170E5C" w:rsidRPr="00C0591E">
        <w:t xml:space="preserve"> </w:t>
      </w:r>
      <w:r w:rsidR="00493B4C" w:rsidRPr="00C0591E">
        <w:t>examined</w:t>
      </w:r>
      <w:r w:rsidR="00170E5C" w:rsidRPr="00C0591E">
        <w:t xml:space="preserve"> how corporate governance structures of commercial banks in Kenya affect their financial performance. The focus of the study was on the nine commercial banks listed on NSE between 2005 and 2010. Board size, board meetings, board independence and executive compensation were adopted as independent variables while Tobin q ratio was adopted as proxy for financial performance (dependent variable). The research was conducted using a Cross-sectional survey that sought to identify differences in corporate governance structures between listed banks facing a decline in values, those facing appreciating values and those with stable value on calendar years 2005 to 2010. The findings of the study indicated that board size negatively affects the banks market performance while board independence affects the banks‟ market performance positively.</w:t>
      </w:r>
    </w:p>
    <w:p w14:paraId="6D77D90A" w14:textId="024F7D21" w:rsidR="00B65F34" w:rsidRDefault="00493B4C" w:rsidP="00B65F34">
      <w:r w:rsidRPr="00C0591E">
        <w:t xml:space="preserve">Khatab </w:t>
      </w:r>
      <w:r w:rsidRPr="00C0591E">
        <w:rPr>
          <w:i/>
        </w:rPr>
        <w:t>et al</w:t>
      </w:r>
      <w:r w:rsidRPr="00C0591E">
        <w:t>. (2017</w:t>
      </w:r>
      <w:r w:rsidR="00B65F34" w:rsidRPr="00C0591E">
        <w:t xml:space="preserve">) investigated the relationship between corporate governance and firms‟ performance the case of twenty firms listed at Karachi Stock Exchange. The study used Pooled Ordinary Least Square estimation method with panel data set that covered the five years period; data from a sample of twenty firms was collected. Tobin‟s q, return on asset and return on equity were adopted as performance measures (dependent variables) whereas firm size, leverage and growth were adopted as independent variables. The findings of the study indicated that leverage positively and significantly impacts on Tobin‟s q and return on asset and leverage positively and significantly influenced return on equity. However, growth had a negative and significant impact on return on equity while the size of firms remained insignificant. </w:t>
      </w:r>
    </w:p>
    <w:p w14:paraId="00D7680D" w14:textId="77777777" w:rsidR="00F25502" w:rsidRPr="00C0591E" w:rsidRDefault="00F25502" w:rsidP="00F25502">
      <w:r w:rsidRPr="00C0591E">
        <w:t>Shleifer and Vishny (2017) argued that the concentration of ownership is high in emerging markets, where the rights of the shareholders is weak due to the lack, or inadequacy, of the regulations provided by the relevant laws. In countries where ownership is concentrated among just a handful of major shareholders, agency problems occur because of a misalignment of interests between managers and owners and, thus, agency problems are inherent with large or small shareholders. Agency problems can exist between one or more owners and managers and, furthermore, even if it is assumed that managers and large shareholders are the same person, as is common in family companies, conflict still exists because of the potential misalignment of interests between managers and owners. Therefore, if it is assumed that the ownership is concentrated then agency theory can explain the conflict between managers and owners. Shleifer and Vishny (2017) argued that when the ownership structure is concentrated, large and controlling shareholders contribute to the mitigation of the agency problems because they have the incentives, motivations and capacity to monitor the managers for the shared benefit of control (i.e. to the mutual benefit of all shareholders, whether large or small). On the other hand, large controlling shareholders might collude with managers to expropriate the firm resources and work for their own benefit, which will result in increasing the agency problems leading to lower firm performance.</w:t>
      </w:r>
    </w:p>
    <w:p w14:paraId="62BF5B04" w14:textId="77777777" w:rsidR="00F25502" w:rsidRPr="00C0591E" w:rsidRDefault="00F25502" w:rsidP="00F25502">
      <w:r w:rsidRPr="00C0591E">
        <w:t>Yermack (2016) found a negative relationship between the board size and firm performance, measured by Tobin‘s Q for 452 large US public firms during the period 2004 to 2010. He omitted the utility and financial companies from his sample because of the government regulations adopted by boards of directors in such companies. The study found that a small board has more favourable values for financial ratio. Also, Yermack (2016) stated that the incremental cost will increase as long the number of board members increases, and the company will have higher market value if the number of the board is smaller. He proved that corporations and companies are more valued in the capital markets by testing different independent variables, for instance board composition, the presence of growth opportunities, diversification and company age. All of those independent variables did not change the result that the small boards are better from the large ones in improving firm performance. Small boards have been found to be more productive than large ones, evidenced by decreased efficiency when board size increases, which is attributed to barriers in coordination and processes.</w:t>
      </w:r>
    </w:p>
    <w:p w14:paraId="62138D4E" w14:textId="77777777" w:rsidR="00F25502" w:rsidRPr="00C0591E" w:rsidRDefault="00F25502" w:rsidP="00F25502">
      <w:r w:rsidRPr="00C0591E">
        <w:t xml:space="preserve">Sheikh </w:t>
      </w:r>
      <w:r w:rsidRPr="00C0591E">
        <w:rPr>
          <w:i/>
        </w:rPr>
        <w:t>et al</w:t>
      </w:r>
      <w:r w:rsidRPr="00C0591E">
        <w:t xml:space="preserve">. (2019) found that when the board size increases the market responds favorably. In their study they report that large boards provide better monitoring for companies with poor operating performance due to their diversity of backgrounds and communications skills. The study established a positive correlation between the board size and the firm profitability as measured by return on equity (ROE). Their results support that large boards have better access than smaller ones to the external environment by offering better chances to have wide resource for finance and raw materials. This is in line with resource dependence theory that large boards offer greater access to their firm external environment, which facilitate and secure critical resources (e.g. raw materials and finance) and reduces uncertainties. </w:t>
      </w:r>
    </w:p>
    <w:p w14:paraId="2320E160" w14:textId="77777777" w:rsidR="00F25502" w:rsidRPr="00C0591E" w:rsidRDefault="00F25502" w:rsidP="00F25502">
      <w:r w:rsidRPr="00C0591E">
        <w:t>Haniffa and Hudaib (2016) found a positive relationship between the board size and the firm performance as measured by ROA, which is in contrast with their prior finding of a negative relationship between board size and the firm performance measured by Tobin‘s Q. This divergence takes place because of the perceptions of the investors and the management for the large boards which is based on large boards enhancing the knowledge of the business. The study found that the wider knowledge base inherent in larger boards facilitates better business decisions to reduce the agency problem. They demonstrated that their results stayed fixed and unchanged even if using inflation adjusted data. This indicates that large boards provide important role of effective monitoring in uncertain economic and political periods to reduce agency problems and improve firm performance.</w:t>
      </w:r>
    </w:p>
    <w:p w14:paraId="3E7FF9A2" w14:textId="3F0CDB87" w:rsidR="00F25502" w:rsidRPr="00C0591E" w:rsidRDefault="00F25502" w:rsidP="00B65F34">
      <w:r w:rsidRPr="00C0591E">
        <w:t>Rechner and Dalton (2017) in their study of 141 large companies (Fortune 500 firms) used accounting measurements such as ROE, Profit Margin PM and ROI from 1978 to 1983 and found that firms with separated boards perform better than firms that have CEO duality in their boards. They found the stock market is more favourable when the two roles are split from each other. Chahine and Tohme (2019) in their study of 127 initial price offerings (IPOs) firms used a sample from the Middle East and North Africa to investigate the relationship between initial underpricing and the CEO duality, finding that firms that combine the two roles in same person have more potential to face underpricing. These findings support the agency view that splitting the two roles will remove the constraints on the board members to perform their role effectively to monitor the management opportunistic behavior. In other words, splitting the two roles will reduce the CEO power to take advantage for his own interests rather than the interests of the shareholders  interests or the company.</w:t>
      </w:r>
    </w:p>
    <w:p w14:paraId="5A2FCB97" w14:textId="7FE5AA36" w:rsidR="009272C7" w:rsidRPr="00C0591E" w:rsidRDefault="00B65F34" w:rsidP="00B65F34">
      <w:r w:rsidRPr="00C0591E">
        <w:t>Oyoga</w:t>
      </w:r>
      <w:r w:rsidR="00493B4C" w:rsidRPr="00C0591E">
        <w:t xml:space="preserve"> (2016)</w:t>
      </w:r>
      <w:r w:rsidRPr="00C0591E">
        <w:t xml:space="preserve"> examined whether the performance of financial institutions listed on the NSE is affected by the corporate governance practices they have put in place. Board independence, shareholding compensation, board governance disclosure and shareholders rights were adopted as independent variables. Whereas the corporate governance index constructed as per Globe and Mail rankings using data from financial institutions and performance measures drawn from annual financial reports was adopted as a dependent variable. The findings of the study revealed that there is a positive relationship between boards composition with performance of financial institutions listed on NSE. On overall the study found that financial institutions listed on NSE should endeavor to attain the highest possible level of corporate governance.</w:t>
      </w:r>
    </w:p>
    <w:p w14:paraId="78A54871" w14:textId="597F9D8E" w:rsidR="00267BE6" w:rsidRPr="00C0591E" w:rsidRDefault="00267BE6" w:rsidP="00347D67">
      <w:pPr>
        <w:pStyle w:val="Heading3"/>
        <w:rPr>
          <w:lang w:val="en-GB"/>
        </w:rPr>
      </w:pPr>
      <w:r w:rsidRPr="00C0591E">
        <w:rPr>
          <w:lang w:val="en-GB"/>
        </w:rPr>
        <w:t xml:space="preserve">2.2.2 </w:t>
      </w:r>
      <w:bookmarkEnd w:id="58"/>
      <w:r w:rsidR="00AF069B">
        <w:rPr>
          <w:lang w:val="en-GB"/>
        </w:rPr>
        <w:t>P</w:t>
      </w:r>
      <w:r w:rsidR="00AF069B" w:rsidRPr="00AF069B">
        <w:rPr>
          <w:lang w:val="en-GB"/>
        </w:rPr>
        <w:t xml:space="preserve">illars of </w:t>
      </w:r>
      <w:r w:rsidR="00CE077A" w:rsidRPr="00C0591E">
        <w:t>Corporate Governance,</w:t>
      </w:r>
      <w:r w:rsidR="00CE077A">
        <w:t xml:space="preserve"> </w:t>
      </w:r>
      <w:r w:rsidR="00BC401B" w:rsidRPr="00C0591E">
        <w:t>Investment Policies</w:t>
      </w:r>
      <w:r w:rsidR="00231E11" w:rsidRPr="00C0591E">
        <w:t xml:space="preserve"> </w:t>
      </w:r>
      <w:r w:rsidR="00BC401B" w:rsidRPr="00C0591E">
        <w:t>and Performance</w:t>
      </w:r>
    </w:p>
    <w:p w14:paraId="77D8FE00" w14:textId="5EF02FCB" w:rsidR="00AA2EA6" w:rsidRPr="00C0591E" w:rsidRDefault="00AA2EA6" w:rsidP="00347D67">
      <w:r w:rsidRPr="00C0591E">
        <w:t>Mukarushema, Kule and Mbabazize (2016) examined the effect of financial statements analysis in investment decision making by commercial banks. They employed 18 detailed survey design and sampled 110 respondents using stratified random sampling. Data for the research was collected using a questionnaire. Through the regression model, findings of the research indicated that financial statement analysis is the single most important statement in investment decision making. The research concluded that, a combined 82% of the investment decision making by commercial banks are based on financial statements analysis. The study focused on impact of financial statement analysis on investment by banks.</w:t>
      </w:r>
    </w:p>
    <w:p w14:paraId="5A953604" w14:textId="5761EAB0" w:rsidR="00FC7F96" w:rsidRPr="00C0591E" w:rsidRDefault="00FC7F96" w:rsidP="00347D67">
      <w:bookmarkStart w:id="59" w:name="_Hlk2164503"/>
      <w:r w:rsidRPr="00C0591E">
        <w:t xml:space="preserve">Rop, Kibet and Bokongo (2016) </w:t>
      </w:r>
      <w:bookmarkEnd w:id="59"/>
      <w:r w:rsidRPr="00C0591E">
        <w:t>researched on the effect of portfolio diversification on the financial performance of Kenyan commercial banks. The study used an exploratory design and the population consisted of 40 commercial banks. Through descriptive statistical analysis, the study found that average capital structure for banks in the banking sector was 64.040 with a standard deviation of 3.87239. The study arrived to a conclusion that many banks over the years have in practice employed the use of insurance investment on the financial performance of commercial banks. The study was however based on portfolio diversification and not investments.</w:t>
      </w:r>
    </w:p>
    <w:p w14:paraId="6419BB54" w14:textId="6380DB19" w:rsidR="000C28D5" w:rsidRPr="00C0591E" w:rsidRDefault="00576A7E" w:rsidP="00347D67">
      <w:pPr>
        <w:rPr>
          <w:rFonts w:eastAsia="Calibri" w:cs="Times New Roman"/>
          <w:szCs w:val="24"/>
        </w:rPr>
      </w:pPr>
      <w:r w:rsidRPr="00C0591E">
        <w:t xml:space="preserve">Machuki (2014) studied the effect of investment decision on the performance of listed firms in the Securities Exchange Nairobi. The study employed a descriptive research design and obtained secondary data from the 61 companies at the Nairobi Securities Exchange, under the main segment. The study utilized panel data methodology, which consisted of cross-sections and time series. The findings of the study revealed a significant and positive correlation between ROA and investment decision, financial leverage and liquidity. The context of the study was all firm listed at NSE and not commercial banks. </w:t>
      </w:r>
      <w:r w:rsidR="000C28D5" w:rsidRPr="00C0591E">
        <w:rPr>
          <w:rFonts w:eastAsia="Calibri" w:cs="Times New Roman"/>
          <w:szCs w:val="24"/>
        </w:rPr>
        <w:t xml:space="preserve">The significance of the findings to the current study is that it highlights the interaction of various factors that influence the contribution of investment policies to performance. </w:t>
      </w:r>
      <w:r w:rsidR="000A30E7" w:rsidRPr="00C0591E">
        <w:rPr>
          <w:rFonts w:eastAsia="Calibri" w:cs="Times New Roman"/>
          <w:szCs w:val="24"/>
        </w:rPr>
        <w:t xml:space="preserve">However, the previous study failed to introduce the moderating and mediating </w:t>
      </w:r>
      <w:r w:rsidR="008A1A2D" w:rsidRPr="00C0591E">
        <w:rPr>
          <w:rFonts w:eastAsia="Calibri" w:cs="Times New Roman"/>
          <w:szCs w:val="24"/>
        </w:rPr>
        <w:t>variables, which</w:t>
      </w:r>
      <w:r w:rsidR="000A30E7" w:rsidRPr="00C0591E">
        <w:rPr>
          <w:rFonts w:eastAsia="Calibri" w:cs="Times New Roman"/>
          <w:szCs w:val="24"/>
        </w:rPr>
        <w:t xml:space="preserve"> the current study </w:t>
      </w:r>
      <w:r w:rsidR="00E47492" w:rsidRPr="00C0591E">
        <w:rPr>
          <w:rFonts w:eastAsia="Calibri" w:cs="Times New Roman"/>
          <w:szCs w:val="24"/>
        </w:rPr>
        <w:t>introduced</w:t>
      </w:r>
      <w:r w:rsidR="000A30E7" w:rsidRPr="00C0591E">
        <w:rPr>
          <w:rFonts w:eastAsia="Calibri" w:cs="Times New Roman"/>
          <w:szCs w:val="24"/>
        </w:rPr>
        <w:t xml:space="preserve"> to assess the relationship between corporate governance and performance.</w:t>
      </w:r>
    </w:p>
    <w:p w14:paraId="6B226544" w14:textId="3DEB4212" w:rsidR="00C61B92" w:rsidRPr="00C0591E" w:rsidRDefault="004610F8" w:rsidP="00580DA3">
      <w:pPr>
        <w:rPr>
          <w:rFonts w:eastAsia="Calibri"/>
        </w:rPr>
      </w:pPr>
      <w:r w:rsidRPr="00C0591E">
        <w:rPr>
          <w:rFonts w:eastAsia="Calibri"/>
        </w:rPr>
        <w:t>Omonyo</w:t>
      </w:r>
      <w:r w:rsidR="008C0B8E" w:rsidRPr="00C0591E">
        <w:rPr>
          <w:rFonts w:eastAsia="Calibri"/>
        </w:rPr>
        <w:t xml:space="preserve"> (2018</w:t>
      </w:r>
      <w:r w:rsidR="00C61B92" w:rsidRPr="00C0591E">
        <w:rPr>
          <w:rFonts w:eastAsia="Calibri"/>
        </w:rPr>
        <w:t>) observed that risk and return are the key considerations in investment practices of Pension Fund Managers in Kenya. Current income is not their fund objective; however, the most predominant objective will be capital preservation. Pension schemes also differ from collective investment schemes as they have a minimum funding requirement and they are established to invest funds to meet pension liabilities. That is they are invested with the expectation that they will be sufficient to pay pension entitlements when these are due.</w:t>
      </w:r>
    </w:p>
    <w:p w14:paraId="0D2439CA" w14:textId="61C2E7DE" w:rsidR="00C61B92" w:rsidRPr="00C0591E" w:rsidRDefault="00C61B92" w:rsidP="00C61B92">
      <w:pPr>
        <w:rPr>
          <w:rFonts w:eastAsia="Calibri" w:cs="Times New Roman"/>
          <w:szCs w:val="24"/>
        </w:rPr>
      </w:pPr>
      <w:r w:rsidRPr="00C0591E">
        <w:rPr>
          <w:rFonts w:eastAsia="Calibri" w:cs="Times New Roman"/>
          <w:szCs w:val="24"/>
        </w:rPr>
        <w:t>Mugo (</w:t>
      </w:r>
      <w:r w:rsidR="00042244" w:rsidRPr="00C0591E">
        <w:rPr>
          <w:rFonts w:eastAsia="Calibri" w:cs="Times New Roman"/>
          <w:szCs w:val="24"/>
        </w:rPr>
        <w:t>2017</w:t>
      </w:r>
      <w:r w:rsidRPr="00C0591E">
        <w:rPr>
          <w:rFonts w:eastAsia="Calibri" w:cs="Times New Roman"/>
          <w:szCs w:val="24"/>
        </w:rPr>
        <w:t xml:space="preserve">) observed that factors identified in finance literature are considered in investment decision by institutional investors at the NSE. However, the relevance of the factors is different as insurance companies and fund management companies consider company factors more important while Retirement Benefits Schemes consider industry factors more relevant. </w:t>
      </w:r>
      <w:r w:rsidR="008A1A2D" w:rsidRPr="00C0591E">
        <w:rPr>
          <w:rFonts w:eastAsia="Calibri" w:cs="Times New Roman"/>
          <w:szCs w:val="24"/>
        </w:rPr>
        <w:t>However,</w:t>
      </w:r>
      <w:r w:rsidRPr="00C0591E">
        <w:rPr>
          <w:rFonts w:eastAsia="Calibri" w:cs="Times New Roman"/>
          <w:szCs w:val="24"/>
        </w:rPr>
        <w:t xml:space="preserve"> institutional investors should not be looked at as homogeneous and therefore these findings cannot be generalized for Collective Investment Schemes.</w:t>
      </w:r>
    </w:p>
    <w:p w14:paraId="09EFB760" w14:textId="51337A0B" w:rsidR="00C61B92" w:rsidRPr="00C0591E" w:rsidRDefault="003A495B" w:rsidP="00C61B92">
      <w:pPr>
        <w:rPr>
          <w:rFonts w:eastAsia="Calibri"/>
        </w:rPr>
      </w:pPr>
      <w:r w:rsidRPr="00C0591E">
        <w:rPr>
          <w:rFonts w:eastAsia="Calibri"/>
        </w:rPr>
        <w:t>Nguthu (201</w:t>
      </w:r>
      <w:r w:rsidR="00C61B92" w:rsidRPr="00C0591E">
        <w:rPr>
          <w:rFonts w:eastAsia="Calibri"/>
        </w:rPr>
        <w:t xml:space="preserve">9) in his research to establish how much asset allocation policy contributed to the returns level retirement benefit fund in Kenya found that the variation in returns over time for pension schemes is explained up to 62.4% by investment policy adopted by the trustees of the scheme. Other factors such as securities selection, timing of investments and managers’ selection explained the remainder. The study was done on 40 segregated occupational schemes in Kenya and returns analyzed using regression analysis and descriptive statistics. </w:t>
      </w:r>
      <w:r w:rsidR="00042244" w:rsidRPr="00C0591E">
        <w:rPr>
          <w:rFonts w:eastAsia="Calibri"/>
        </w:rPr>
        <w:t>In a study carried out on t</w:t>
      </w:r>
      <w:r w:rsidR="00C61B92" w:rsidRPr="00C0591E">
        <w:rPr>
          <w:rFonts w:eastAsia="Calibri"/>
        </w:rPr>
        <w:t xml:space="preserve">he relationship between asset allocation and financial </w:t>
      </w:r>
      <w:r w:rsidR="00042244" w:rsidRPr="00C0591E">
        <w:rPr>
          <w:rFonts w:eastAsia="Calibri"/>
        </w:rPr>
        <w:t xml:space="preserve">performance of pension funds </w:t>
      </w:r>
      <w:r w:rsidR="00C61B92" w:rsidRPr="00C0591E">
        <w:rPr>
          <w:rFonts w:eastAsia="Calibri"/>
        </w:rPr>
        <w:t xml:space="preserve">(Omondi, </w:t>
      </w:r>
      <w:r w:rsidR="00C940EA" w:rsidRPr="00C0591E">
        <w:rPr>
          <w:rFonts w:eastAsia="Calibri"/>
        </w:rPr>
        <w:t>2019</w:t>
      </w:r>
      <w:r w:rsidR="00C61B92" w:rsidRPr="00C0591E">
        <w:rPr>
          <w:rFonts w:eastAsia="Calibri"/>
        </w:rPr>
        <w:t>), made the following conclusions: Asset allocation explains 28% of the variability of fund returns. The study also established that of all the asset classes permitted by the Retirement Benefits Authority (RBA), investments in equities was relatively more important than investments in fixed deposits in determining the overall performance of the pension funds.</w:t>
      </w:r>
    </w:p>
    <w:p w14:paraId="32F665B1" w14:textId="3D66352F" w:rsidR="00C61B92" w:rsidRPr="00C0591E" w:rsidRDefault="00C61B92" w:rsidP="00C61B92">
      <w:pPr>
        <w:rPr>
          <w:rFonts w:eastAsia="Calibri" w:cs="Times New Roman"/>
          <w:szCs w:val="24"/>
        </w:rPr>
      </w:pPr>
      <w:r w:rsidRPr="00C0591E">
        <w:rPr>
          <w:rFonts w:eastAsia="Calibri" w:cs="Times New Roman"/>
          <w:szCs w:val="24"/>
        </w:rPr>
        <w:t>Blake, Lehmann and Timmermann (</w:t>
      </w:r>
      <w:r w:rsidR="00042244" w:rsidRPr="00C0591E">
        <w:rPr>
          <w:rFonts w:eastAsia="Calibri" w:cs="Times New Roman"/>
          <w:szCs w:val="24"/>
        </w:rPr>
        <w:t>2019</w:t>
      </w:r>
      <w:r w:rsidRPr="00C0591E">
        <w:rPr>
          <w:rFonts w:eastAsia="Calibri" w:cs="Times New Roman"/>
          <w:szCs w:val="24"/>
        </w:rPr>
        <w:t xml:space="preserve">) examined the asset allocation decisions of 364 individual, UK company pension schemes using data that spanned the period from </w:t>
      </w:r>
      <w:r w:rsidR="00042244" w:rsidRPr="00C0591E">
        <w:rPr>
          <w:rFonts w:eastAsia="Calibri" w:cs="Times New Roman"/>
          <w:szCs w:val="24"/>
        </w:rPr>
        <w:t>2006</w:t>
      </w:r>
      <w:r w:rsidRPr="00C0591E">
        <w:rPr>
          <w:rFonts w:eastAsia="Calibri" w:cs="Times New Roman"/>
          <w:szCs w:val="24"/>
        </w:rPr>
        <w:t xml:space="preserve"> to </w:t>
      </w:r>
      <w:r w:rsidR="00042244" w:rsidRPr="00C0591E">
        <w:rPr>
          <w:rFonts w:eastAsia="Calibri" w:cs="Times New Roman"/>
          <w:szCs w:val="24"/>
        </w:rPr>
        <w:t>2017</w:t>
      </w:r>
      <w:r w:rsidRPr="00C0591E">
        <w:rPr>
          <w:rFonts w:eastAsia="Calibri" w:cs="Times New Roman"/>
          <w:szCs w:val="24"/>
        </w:rPr>
        <w:t xml:space="preserve">. The criterion they used in identifying the sample was that each fund should have been managed by the same manager over this period, and that this manager should also have been responsible for the asset allocation of the fund over this uninterrupted period, in other words these were balanced mandates. Using this sample Blake et al found little variation in the performance of these schemes, or in the strategic asset allocation decisions that they made over time. In </w:t>
      </w:r>
      <w:r w:rsidR="008A1A2D" w:rsidRPr="00C0591E">
        <w:rPr>
          <w:rFonts w:eastAsia="Calibri" w:cs="Times New Roman"/>
          <w:szCs w:val="24"/>
        </w:rPr>
        <w:t>addition,</w:t>
      </w:r>
      <w:r w:rsidRPr="00C0591E">
        <w:rPr>
          <w:rFonts w:eastAsia="Calibri" w:cs="Times New Roman"/>
          <w:szCs w:val="24"/>
        </w:rPr>
        <w:t xml:space="preserve"> they found that the vast majority of time variation in returns was due to the strategic asset allocation decisions, very little of the variation was due to stock selection. They concluded that the empirical regularities that they observed were most likely due to the legal and economic environments under which these managers operated.</w:t>
      </w:r>
    </w:p>
    <w:p w14:paraId="1D5C1EDF" w14:textId="1F706F61" w:rsidR="005B17BB" w:rsidRPr="00C0591E" w:rsidRDefault="005B17BB" w:rsidP="005B17BB">
      <w:pPr>
        <w:rPr>
          <w:rFonts w:eastAsia="Calibri" w:cs="Times New Roman"/>
          <w:szCs w:val="24"/>
        </w:rPr>
      </w:pPr>
      <w:r w:rsidRPr="00C0591E">
        <w:rPr>
          <w:rFonts w:eastAsia="Calibri" w:cs="Times New Roman"/>
          <w:szCs w:val="24"/>
        </w:rPr>
        <w:t xml:space="preserve">Kimeu (2015) determined the effect of portfolio composition on financial performance of investment companies listed in Nairobi Securities Exchange. The study found that investment in bonds positively influences the financial performance of investment companies listed in the Nairobi Securities Exchange. The study also found that investment in real estate and equity by investment companies positively impacted on their financial performance. Owino (2015) established the extent to which management competence impact on the overall performance of public service vehicle SACCOs in Nairobi County. The study findings revealed that there exist a positive relationship between management competence and SACCO performance. </w:t>
      </w:r>
    </w:p>
    <w:p w14:paraId="3C077FBC" w14:textId="24DA7357" w:rsidR="00C336BE" w:rsidRPr="00C0591E" w:rsidRDefault="00C336BE" w:rsidP="00C336BE">
      <w:pPr>
        <w:rPr>
          <w:rFonts w:eastAsia="Calibri"/>
        </w:rPr>
      </w:pPr>
      <w:r w:rsidRPr="00C0591E">
        <w:rPr>
          <w:rFonts w:eastAsia="Calibri"/>
        </w:rPr>
        <w:t>Njuguna (</w:t>
      </w:r>
      <w:r w:rsidR="00C940EA" w:rsidRPr="00C0591E">
        <w:rPr>
          <w:rFonts w:eastAsia="Calibri"/>
        </w:rPr>
        <w:t>2019</w:t>
      </w:r>
      <w:r w:rsidRPr="00C0591E">
        <w:rPr>
          <w:rFonts w:eastAsia="Calibri"/>
        </w:rPr>
        <w:t xml:space="preserve">) sees the influence of risk factor as of great concern especially in the bearish financial times. The study recognized three dimensions of Pension funds risks; namely default risks from the employers, market price volatility, Operational risks and liquidity risks. The Post-Modern portfolio theory indicates that the prices of financial asset move together either in a certain way or in the opposite way. These prices of assets were either positively or negatively correlated. For better financial Returns, the theory recommended investment in a number of financial categories that have negative relationship (co-variance) between the securities. Ideally, the choice of investments should be on the basis of how they interact with one another rather than how they perform in isolation. The Post-Modern Portfolio Theory asserts that Asset prices react differently in relation to the market performance. According to this theory, there is a linear relationship between returns and the risks associated with those returns. </w:t>
      </w:r>
      <w:r w:rsidR="005C145E" w:rsidRPr="00C0591E">
        <w:rPr>
          <w:rFonts w:eastAsia="Calibri"/>
        </w:rPr>
        <w:t>Thus,</w:t>
      </w:r>
      <w:r w:rsidRPr="00C0591E">
        <w:rPr>
          <w:rFonts w:eastAsia="Calibri"/>
        </w:rPr>
        <w:t xml:space="preserve"> a higher demand for returns requires taking higher risks. Occupational Pension scheme managers will react differently in such cases depending on their attitude towards risks, thus affecting the financial performances of those schemes.</w:t>
      </w:r>
    </w:p>
    <w:p w14:paraId="66771F77" w14:textId="4B14B395" w:rsidR="005B17BB" w:rsidRPr="00C0591E" w:rsidRDefault="005B17BB" w:rsidP="005B17BB">
      <w:pPr>
        <w:rPr>
          <w:rFonts w:eastAsia="Calibri" w:cs="Times New Roman"/>
          <w:szCs w:val="24"/>
        </w:rPr>
      </w:pPr>
      <w:r w:rsidRPr="00C0591E">
        <w:rPr>
          <w:rFonts w:eastAsia="Calibri" w:cs="Times New Roman"/>
          <w:szCs w:val="24"/>
        </w:rPr>
        <w:t>Osano (</w:t>
      </w:r>
      <w:r w:rsidR="00C940EA" w:rsidRPr="00C0591E">
        <w:rPr>
          <w:rFonts w:eastAsia="Calibri" w:cs="Times New Roman"/>
          <w:szCs w:val="24"/>
        </w:rPr>
        <w:t>2019</w:t>
      </w:r>
      <w:r w:rsidRPr="00C0591E">
        <w:rPr>
          <w:rFonts w:eastAsia="Calibri" w:cs="Times New Roman"/>
          <w:szCs w:val="24"/>
        </w:rPr>
        <w:t>) study sought to identify investment strategies adopted by investment funds in Kenya and their effect on financial performance of the funds. The study concluded that investment funds in Kenya take an active investment strategy. Ngetich (</w:t>
      </w:r>
      <w:r w:rsidR="00C940EA" w:rsidRPr="00C0591E">
        <w:rPr>
          <w:rFonts w:eastAsia="Calibri" w:cs="Times New Roman"/>
          <w:szCs w:val="24"/>
        </w:rPr>
        <w:t>2019</w:t>
      </w:r>
      <w:r w:rsidRPr="00C0591E">
        <w:rPr>
          <w:rFonts w:eastAsia="Calibri" w:cs="Times New Roman"/>
          <w:szCs w:val="24"/>
        </w:rPr>
        <w:t>) investigated the factors influencing the growth of individual pension schemes in Kenya. The study findings revealed that fund regulation exerts a significant relationship on the growth of individual pension schemes. Kamwaro (</w:t>
      </w:r>
      <w:r w:rsidR="00C940EA" w:rsidRPr="00C0591E">
        <w:rPr>
          <w:rFonts w:eastAsia="Calibri" w:cs="Times New Roman"/>
          <w:szCs w:val="24"/>
        </w:rPr>
        <w:t>2019</w:t>
      </w:r>
      <w:r w:rsidRPr="00C0591E">
        <w:rPr>
          <w:rFonts w:eastAsia="Calibri" w:cs="Times New Roman"/>
          <w:szCs w:val="24"/>
        </w:rPr>
        <w:t>), sought to determine the impact of investment portfolio choice on financial performance of investment companies. The study revealed that investment portfolio choice affects the financial performance of investment companies listed in the Nairobi Securities Exchange.</w:t>
      </w:r>
    </w:p>
    <w:p w14:paraId="07E82923" w14:textId="236A24FB" w:rsidR="00C61B92" w:rsidRPr="00C0591E" w:rsidRDefault="00C61B92" w:rsidP="00042244">
      <w:pPr>
        <w:rPr>
          <w:rFonts w:eastAsia="Calibri"/>
        </w:rPr>
      </w:pPr>
      <w:r w:rsidRPr="00C0591E">
        <w:rPr>
          <w:rFonts w:eastAsia="Calibri"/>
        </w:rPr>
        <w:t>Thomas and Tonks (</w:t>
      </w:r>
      <w:r w:rsidR="00C940EA" w:rsidRPr="00C0591E">
        <w:rPr>
          <w:rFonts w:eastAsia="Calibri"/>
        </w:rPr>
        <w:t>2019</w:t>
      </w:r>
      <w:r w:rsidRPr="00C0591E">
        <w:rPr>
          <w:rFonts w:eastAsia="Calibri"/>
        </w:rPr>
        <w:t>) investigate</w:t>
      </w:r>
      <w:r w:rsidR="00042244" w:rsidRPr="00C0591E">
        <w:rPr>
          <w:rFonts w:eastAsia="Calibri"/>
        </w:rPr>
        <w:t>d</w:t>
      </w:r>
      <w:r w:rsidRPr="00C0591E">
        <w:rPr>
          <w:rFonts w:eastAsia="Calibri"/>
        </w:rPr>
        <w:t xml:space="preserve"> the performance of equity portfolios managed by investment manager</w:t>
      </w:r>
      <w:r w:rsidR="00FA67B2" w:rsidRPr="00C0591E">
        <w:rPr>
          <w:rFonts w:eastAsia="Calibri"/>
        </w:rPr>
        <w:t>s</w:t>
      </w:r>
      <w:r w:rsidRPr="00C0591E">
        <w:rPr>
          <w:rFonts w:eastAsia="Calibri"/>
        </w:rPr>
        <w:t>. The variety of techniques used to assess the quality of fund performance all suggested a very narrow cross-sectional dispersion in returns, which suggested that the man</w:t>
      </w:r>
      <w:r w:rsidR="00042244" w:rsidRPr="00C0591E">
        <w:rPr>
          <w:rFonts w:eastAsia="Calibri"/>
        </w:rPr>
        <w:t>agers were all closet trackers</w:t>
      </w:r>
      <w:r w:rsidRPr="00C0591E">
        <w:rPr>
          <w:rFonts w:eastAsia="Calibri"/>
        </w:rPr>
        <w:t>. They also conclude</w:t>
      </w:r>
      <w:r w:rsidR="00042244" w:rsidRPr="00C0591E">
        <w:rPr>
          <w:rFonts w:eastAsia="Calibri"/>
        </w:rPr>
        <w:t>d</w:t>
      </w:r>
      <w:r w:rsidRPr="00C0591E">
        <w:rPr>
          <w:rFonts w:eastAsia="Calibri"/>
        </w:rPr>
        <w:t xml:space="preserve"> that on the whole there were negative returns to both selectivity and to market timing.</w:t>
      </w:r>
    </w:p>
    <w:p w14:paraId="68E04BBB" w14:textId="005664EF" w:rsidR="00C61B92" w:rsidRPr="00C0591E" w:rsidRDefault="00090524" w:rsidP="00347D67">
      <w:pPr>
        <w:rPr>
          <w:rFonts w:eastAsia="Calibri" w:cs="Times New Roman"/>
          <w:szCs w:val="24"/>
        </w:rPr>
      </w:pPr>
      <w:r w:rsidRPr="00C0591E">
        <w:rPr>
          <w:rFonts w:eastAsia="Calibri" w:cs="Times New Roman"/>
          <w:szCs w:val="24"/>
        </w:rPr>
        <w:t>Mirchell and Hsin (</w:t>
      </w:r>
      <w:r w:rsidR="00042244" w:rsidRPr="00C0591E">
        <w:rPr>
          <w:rFonts w:eastAsia="Calibri" w:cs="Times New Roman"/>
          <w:szCs w:val="24"/>
        </w:rPr>
        <w:t>2017</w:t>
      </w:r>
      <w:r w:rsidRPr="00C0591E">
        <w:rPr>
          <w:rFonts w:eastAsia="Calibri" w:cs="Times New Roman"/>
          <w:szCs w:val="24"/>
        </w:rPr>
        <w:t>) argue that a possible explanation as to why the investment portfolios of U.S. public pension plans yield consistently lower rates of return than portfolios of the private sector pension fund is that the two sets of funds operate under different rules. Private sector funds are managed by professional and qualified governors, with a clear economic mandate, while public pension funds are managed by staff responding to economic as well as political pressures. It is thus hypothesized that the better performance of private pension fund results from professional nature of their governing fiduciaries.</w:t>
      </w:r>
      <w:r w:rsidRPr="00C0591E">
        <w:t xml:space="preserve"> </w:t>
      </w:r>
      <w:r w:rsidRPr="00C0591E">
        <w:rPr>
          <w:rFonts w:eastAsia="Calibri" w:cs="Times New Roman"/>
          <w:szCs w:val="24"/>
        </w:rPr>
        <w:t>Mitchell and Hsin (</w:t>
      </w:r>
      <w:r w:rsidR="00042244" w:rsidRPr="00C0591E">
        <w:rPr>
          <w:rFonts w:eastAsia="Calibri" w:cs="Times New Roman"/>
          <w:szCs w:val="24"/>
        </w:rPr>
        <w:t>2017</w:t>
      </w:r>
      <w:r w:rsidRPr="00C0591E">
        <w:rPr>
          <w:rFonts w:eastAsia="Calibri" w:cs="Times New Roman"/>
          <w:szCs w:val="24"/>
        </w:rPr>
        <w:t>) then tested the hypothesis on relationship between presence of active employees and retired beneficiaries in Board and performance. They found that the presence of retired beneficiaries on the governing body is associated with lower returns and conclude that either the type or the inappropriate selection of governors negatively affects performance consequently.</w:t>
      </w:r>
    </w:p>
    <w:p w14:paraId="73D56B52" w14:textId="1ACBB537" w:rsidR="00090524" w:rsidRPr="00C0591E" w:rsidRDefault="00630D4E" w:rsidP="00347D67">
      <w:pPr>
        <w:rPr>
          <w:rFonts w:eastAsia="Calibri" w:cs="Times New Roman"/>
          <w:szCs w:val="24"/>
        </w:rPr>
      </w:pPr>
      <w:r w:rsidRPr="00C0591E">
        <w:rPr>
          <w:rFonts w:eastAsia="Calibri" w:cs="Times New Roman"/>
          <w:szCs w:val="24"/>
        </w:rPr>
        <w:t xml:space="preserve">Cyrus </w:t>
      </w:r>
      <w:r w:rsidRPr="00C0591E">
        <w:rPr>
          <w:rFonts w:eastAsia="Calibri" w:cs="Times New Roman"/>
          <w:i/>
          <w:szCs w:val="24"/>
        </w:rPr>
        <w:t>et al</w:t>
      </w:r>
      <w:r w:rsidR="00042244" w:rsidRPr="00C0591E">
        <w:rPr>
          <w:rFonts w:eastAsia="Calibri" w:cs="Times New Roman"/>
          <w:szCs w:val="24"/>
        </w:rPr>
        <w:t xml:space="preserve">. (2015) in their study on the effect of corporate governance practices on earnings management of companies </w:t>
      </w:r>
      <w:r w:rsidRPr="00C0591E">
        <w:rPr>
          <w:rFonts w:eastAsia="Calibri" w:cs="Times New Roman"/>
          <w:szCs w:val="24"/>
        </w:rPr>
        <w:t>stated that there was need for effective corporate governance practices at senior managerial level of companies in Kenya to contribute to improvement on actual firm liquidity and avert possible collapse of public organizations i</w:t>
      </w:r>
      <w:r w:rsidR="00042244" w:rsidRPr="00C0591E">
        <w:rPr>
          <w:rFonts w:eastAsia="Calibri" w:cs="Times New Roman"/>
          <w:szCs w:val="24"/>
        </w:rPr>
        <w:t>n Kenya. According to Ogoye (</w:t>
      </w:r>
      <w:r w:rsidR="00C940EA" w:rsidRPr="00C0591E">
        <w:rPr>
          <w:rFonts w:eastAsia="Calibri" w:cs="Times New Roman"/>
          <w:szCs w:val="24"/>
        </w:rPr>
        <w:t>2019</w:t>
      </w:r>
      <w:r w:rsidRPr="00C0591E">
        <w:rPr>
          <w:rFonts w:eastAsia="Calibri" w:cs="Times New Roman"/>
          <w:szCs w:val="24"/>
        </w:rPr>
        <w:t>), the increasing number of corporate failures and financial scandals had been caused by incompetence, fraud and abuse of office by the agents running the corporations in Kenya. The study conclude that that a unit increase in ownership concentration will cause a decrease in earnings management, a unit increase in board size will lead to a decrease in earnings management, a unit increase in board independence will lead to a decrease in earnings management, a unit increase in board activity will lead to an increase in earnings management and a unit increase in CEO duality will further lead to an increase in earnings management.</w:t>
      </w:r>
    </w:p>
    <w:p w14:paraId="16BBEED0" w14:textId="50596D98" w:rsidR="00090524" w:rsidRPr="00C0591E" w:rsidRDefault="00042244" w:rsidP="00347D67">
      <w:pPr>
        <w:rPr>
          <w:rFonts w:eastAsia="Calibri" w:cs="Times New Roman"/>
          <w:szCs w:val="24"/>
        </w:rPr>
      </w:pPr>
      <w:r w:rsidRPr="00C0591E">
        <w:rPr>
          <w:rFonts w:eastAsia="Calibri" w:cs="Times New Roman"/>
          <w:szCs w:val="24"/>
        </w:rPr>
        <w:t>Kaboyo (2014</w:t>
      </w:r>
      <w:r w:rsidR="00630D4E" w:rsidRPr="00C0591E">
        <w:rPr>
          <w:rFonts w:eastAsia="Calibri" w:cs="Times New Roman"/>
          <w:szCs w:val="24"/>
        </w:rPr>
        <w:t xml:space="preserve">) </w:t>
      </w:r>
      <w:r w:rsidRPr="00C0591E">
        <w:rPr>
          <w:rFonts w:eastAsia="Calibri" w:cs="Times New Roman"/>
          <w:szCs w:val="24"/>
        </w:rPr>
        <w:t xml:space="preserve">in their research on </w:t>
      </w:r>
      <w:r w:rsidR="00630D4E" w:rsidRPr="00C0591E">
        <w:rPr>
          <w:rFonts w:eastAsia="Calibri" w:cs="Times New Roman"/>
          <w:szCs w:val="24"/>
        </w:rPr>
        <w:t>the effect of corporate governance on earnings management of listed companies looked at the factors motivating earnings management and the relationship between macro-economic variables and earnings management for listed firms at the NSE. Unlike most corporate governance studies, this study focused on the control aspect of corporate governance rather than the performance enhancing aspect. The study focused on a period when managers in Kenya had an incentive to manage earnings due to the effect of macroe</w:t>
      </w:r>
      <w:r w:rsidRPr="00C0591E">
        <w:rPr>
          <w:rFonts w:eastAsia="Calibri" w:cs="Times New Roman"/>
          <w:szCs w:val="24"/>
        </w:rPr>
        <w:t>conomic factors in the country</w:t>
      </w:r>
      <w:r w:rsidR="00630D4E" w:rsidRPr="00C0591E">
        <w:rPr>
          <w:rFonts w:eastAsia="Calibri" w:cs="Times New Roman"/>
          <w:szCs w:val="24"/>
        </w:rPr>
        <w:t>. Sicily and Gladys (201</w:t>
      </w:r>
      <w:r w:rsidRPr="00C0591E">
        <w:rPr>
          <w:rFonts w:eastAsia="Calibri" w:cs="Times New Roman"/>
          <w:szCs w:val="24"/>
        </w:rPr>
        <w:t>7</w:t>
      </w:r>
      <w:r w:rsidR="00630D4E" w:rsidRPr="00C0591E">
        <w:rPr>
          <w:rFonts w:eastAsia="Calibri" w:cs="Times New Roman"/>
          <w:szCs w:val="24"/>
        </w:rPr>
        <w:t>) in their study on the Influence of Corporate Governance on the performance of public organization in Kenya posits that the relevance of corporate governance cannot be over-emphasized since it constitutes the organizational climate for the internal activities of a company.</w:t>
      </w:r>
    </w:p>
    <w:p w14:paraId="01856FBE" w14:textId="2E80F851" w:rsidR="00090524" w:rsidRPr="00C0591E" w:rsidRDefault="00630D4E" w:rsidP="00347D67">
      <w:pPr>
        <w:rPr>
          <w:rFonts w:eastAsia="Calibri" w:cs="Times New Roman"/>
          <w:szCs w:val="24"/>
        </w:rPr>
      </w:pPr>
      <w:r w:rsidRPr="00C0591E">
        <w:rPr>
          <w:rFonts w:eastAsia="Calibri" w:cs="Times New Roman"/>
          <w:szCs w:val="24"/>
        </w:rPr>
        <w:t>Patrick</w:t>
      </w:r>
      <w:r w:rsidR="003114DA" w:rsidRPr="00C0591E">
        <w:rPr>
          <w:rFonts w:eastAsia="Calibri" w:cs="Times New Roman"/>
          <w:szCs w:val="24"/>
        </w:rPr>
        <w:t xml:space="preserve"> (2015</w:t>
      </w:r>
      <w:r w:rsidR="00042244" w:rsidRPr="00C0591E">
        <w:rPr>
          <w:rFonts w:eastAsia="Calibri" w:cs="Times New Roman"/>
          <w:szCs w:val="24"/>
        </w:rPr>
        <w:t>) in his study on the relationship between corporate governance and financial performance of parastatals in Kenya found that</w:t>
      </w:r>
      <w:r w:rsidRPr="00C0591E">
        <w:rPr>
          <w:rFonts w:eastAsia="Calibri" w:cs="Times New Roman"/>
          <w:szCs w:val="24"/>
        </w:rPr>
        <w:t xml:space="preserve"> good corporate governance practices were positively correlated to the financial performance of parastatals in Kenya. The study also found that audit committee, a major component of the board in exercising control through monitoring of financial and operational activities through internal and external audit mechanisms as well as monitoring compliance to ensure efficiency and effectiveness of operations, showed that their exist a positive but weak relationship to financial performance.</w:t>
      </w:r>
    </w:p>
    <w:p w14:paraId="02701E28" w14:textId="07BCB77C" w:rsidR="00630D4E" w:rsidRPr="00C0591E" w:rsidRDefault="0018131B" w:rsidP="00347D67">
      <w:pPr>
        <w:rPr>
          <w:rFonts w:eastAsia="Calibri" w:cs="Times New Roman"/>
          <w:szCs w:val="24"/>
        </w:rPr>
      </w:pPr>
      <w:r w:rsidRPr="00C0591E">
        <w:rPr>
          <w:rFonts w:eastAsia="Calibri" w:cs="Times New Roman"/>
          <w:szCs w:val="24"/>
        </w:rPr>
        <w:t>Njuguna (</w:t>
      </w:r>
      <w:r w:rsidR="00C940EA" w:rsidRPr="00C0591E">
        <w:rPr>
          <w:rFonts w:eastAsia="Calibri" w:cs="Times New Roman"/>
          <w:szCs w:val="24"/>
        </w:rPr>
        <w:t>2019</w:t>
      </w:r>
      <w:r w:rsidRPr="00C0591E">
        <w:rPr>
          <w:rFonts w:eastAsia="Calibri" w:cs="Times New Roman"/>
          <w:szCs w:val="24"/>
        </w:rPr>
        <w:t xml:space="preserve">) examined the relationship between the financial returns of Pension Schemes and the agency costs. </w:t>
      </w:r>
      <w:r w:rsidR="003114DA" w:rsidRPr="00C0591E">
        <w:rPr>
          <w:rFonts w:eastAsia="Calibri" w:cs="Times New Roman"/>
          <w:szCs w:val="24"/>
        </w:rPr>
        <w:t>The study argued that</w:t>
      </w:r>
      <w:r w:rsidRPr="00C0591E">
        <w:rPr>
          <w:rFonts w:eastAsia="Calibri" w:cs="Times New Roman"/>
          <w:szCs w:val="24"/>
        </w:rPr>
        <w:t xml:space="preserve"> agency costs comprise the costs paid to service providers as well as the Trustees allowance. The paper sampled and analyzed, using Data Envelopment Analysis (DEA) approach, 749 pension schemes which were in operation between 2001 up to 2008. The study concluded that there is a significant influence of agency cost on Operational costs and thus on the financial returns of the Pension Schemes. In the absence of operational efficiency, money meant to benefit members goes to other unintended beneficiaries.</w:t>
      </w:r>
    </w:p>
    <w:p w14:paraId="6C691B7E" w14:textId="799386F8" w:rsidR="0018131B" w:rsidRPr="00C0591E" w:rsidRDefault="0018131B" w:rsidP="00347D67">
      <w:pPr>
        <w:rPr>
          <w:rFonts w:eastAsia="Calibri" w:cs="Times New Roman"/>
          <w:szCs w:val="24"/>
        </w:rPr>
      </w:pPr>
      <w:r w:rsidRPr="00C0591E">
        <w:rPr>
          <w:rFonts w:eastAsia="Calibri" w:cs="Times New Roman"/>
          <w:szCs w:val="24"/>
        </w:rPr>
        <w:t>Miriti (2014) studied the relationship between Retirement benefits Authority guidelines and financial returns of Pension Schemes in Kenya. The paper observed that fixing quantitative restriction is a global phenomenon. Countries, all over the world, have set up regulatory bodies to offer guidelines on the management of Pension Funds as well as controlling their financial activities. Some regulatory Authorities offer excessive cont</w:t>
      </w:r>
      <w:r w:rsidR="003114DA" w:rsidRPr="00C0591E">
        <w:rPr>
          <w:rFonts w:eastAsia="Calibri" w:cs="Times New Roman"/>
          <w:szCs w:val="24"/>
        </w:rPr>
        <w:t xml:space="preserve">rols while others such as USA, </w:t>
      </w:r>
      <w:r w:rsidRPr="00C0591E">
        <w:rPr>
          <w:rFonts w:eastAsia="Calibri" w:cs="Times New Roman"/>
          <w:szCs w:val="24"/>
        </w:rPr>
        <w:t xml:space="preserve">apply the prudent man rule where Pension Funds have no set </w:t>
      </w:r>
      <w:r w:rsidR="003114DA" w:rsidRPr="00C0591E">
        <w:rPr>
          <w:rFonts w:eastAsia="Calibri" w:cs="Times New Roman"/>
          <w:szCs w:val="24"/>
        </w:rPr>
        <w:t>regulations on the investments</w:t>
      </w:r>
      <w:r w:rsidRPr="00C0591E">
        <w:rPr>
          <w:rFonts w:eastAsia="Calibri" w:cs="Times New Roman"/>
          <w:szCs w:val="24"/>
        </w:rPr>
        <w:t xml:space="preserve">. The study found that there was a positive relationship between investment guidelines by RBA and the financial performance. </w:t>
      </w:r>
    </w:p>
    <w:p w14:paraId="5460A78A" w14:textId="2375F931" w:rsidR="0002590E" w:rsidRPr="00C0591E" w:rsidRDefault="0002590E" w:rsidP="0002590E">
      <w:pPr>
        <w:rPr>
          <w:rFonts w:eastAsia="Calibri" w:cs="Times New Roman"/>
          <w:szCs w:val="24"/>
        </w:rPr>
      </w:pPr>
      <w:r w:rsidRPr="00C0591E">
        <w:rPr>
          <w:rFonts w:eastAsia="Calibri" w:cs="Times New Roman"/>
          <w:szCs w:val="24"/>
        </w:rPr>
        <w:t>Mutula (2018) did a study on the determinants influencing pension fund investment performance in Kenya. The study concluded that diversification decisions, management competency, investment strategies, and regulation compliance have a positive and significant association with the investment performance of pension funds. Based on the findings, the study recommended that pension funds management should be composed of people with high managerial competence. Further, the study recommended that pension funds should incorporate investment literacy and capability programs in their organizations. Additionally, the study recommended that pension funds should continue adhering to the set regulations. The study had very strong and comprehensive</w:t>
      </w:r>
      <w:r w:rsidRPr="00C0591E">
        <w:t xml:space="preserve"> </w:t>
      </w:r>
      <w:r w:rsidRPr="00C0591E">
        <w:rPr>
          <w:rFonts w:eastAsia="Calibri" w:cs="Times New Roman"/>
          <w:szCs w:val="24"/>
        </w:rPr>
        <w:t>recommendations on investment management matters for pension funds but did not investigate the influence of other financial management practices on sustainability of pension funds administrators.</w:t>
      </w:r>
    </w:p>
    <w:p w14:paraId="5B0DEA8C" w14:textId="67E16263" w:rsidR="0018131B" w:rsidRPr="00C0591E" w:rsidRDefault="0002590E" w:rsidP="0002590E">
      <w:pPr>
        <w:rPr>
          <w:rFonts w:eastAsia="Calibri" w:cs="Times New Roman"/>
          <w:szCs w:val="24"/>
        </w:rPr>
      </w:pPr>
      <w:r w:rsidRPr="00C0591E">
        <w:rPr>
          <w:rFonts w:eastAsia="Calibri" w:cs="Times New Roman"/>
          <w:szCs w:val="24"/>
        </w:rPr>
        <w:t>Osano (</w:t>
      </w:r>
      <w:r w:rsidR="00C940EA" w:rsidRPr="00C0591E">
        <w:rPr>
          <w:rFonts w:eastAsia="Calibri" w:cs="Times New Roman"/>
          <w:szCs w:val="24"/>
        </w:rPr>
        <w:t>2019</w:t>
      </w:r>
      <w:r w:rsidRPr="00C0591E">
        <w:rPr>
          <w:rFonts w:eastAsia="Calibri" w:cs="Times New Roman"/>
          <w:szCs w:val="24"/>
        </w:rPr>
        <w:t xml:space="preserve">) did a study with an objective of seeking to identify investment strategies adopted by investment funds in Kenya and how they affect the financial performance of the funds. The population of study was all investment funds in Kenya and census was carried out on the nineteen investment funds since they are not many as given by Capital Market Authority Cap. 485A as of 2013. Primary data was collected through personal interview by use of interview guide to a total of ten investment managers. Secondary data was also collected from respective investment funds financial reports for the year 2012. Descriptive analysis was used and classified them either active investment strategy or passive investment strategy. The study concluded that investment funds in Kenya takes an active investment strategy and found out to be integrated into operation investment funds in Kenya; financial performance is of positive influence to investment funds performance and greatly so is liquidity which probably means the investment firms utilize liquid assets to make quick investment which translates to good returns. From inferential statistics, a positive relationship was established between ROA and investment strategy, Leverage, Liquidity, age and size. Chi square test results showed that companies with high liquidity </w:t>
      </w:r>
      <w:r w:rsidR="005C145E" w:rsidRPr="00C0591E">
        <w:rPr>
          <w:rFonts w:eastAsia="Calibri" w:cs="Times New Roman"/>
          <w:szCs w:val="24"/>
        </w:rPr>
        <w:t>could</w:t>
      </w:r>
      <w:r w:rsidRPr="00C0591E">
        <w:rPr>
          <w:rFonts w:eastAsia="Calibri" w:cs="Times New Roman"/>
          <w:szCs w:val="24"/>
        </w:rPr>
        <w:t xml:space="preserve"> be said to be better performing as compared to those without or with lower liquidity. However, the study did not concern itself with how investment activities affect sustainability of pension funds administrators in Kenya.</w:t>
      </w:r>
    </w:p>
    <w:p w14:paraId="60A5102D" w14:textId="0D7B6DF1" w:rsidR="0002590E" w:rsidRPr="00C0591E" w:rsidRDefault="0002590E" w:rsidP="0002590E">
      <w:pPr>
        <w:rPr>
          <w:rFonts w:eastAsia="Calibri" w:cs="Times New Roman"/>
          <w:szCs w:val="24"/>
        </w:rPr>
      </w:pPr>
      <w:r w:rsidRPr="00C0591E">
        <w:rPr>
          <w:rFonts w:eastAsia="Calibri" w:cs="Times New Roman"/>
          <w:szCs w:val="24"/>
        </w:rPr>
        <w:t>Kiplagat (2014) researched the impact of asset allocation on the financial performance of pension funds in Kenya. The study revealed that there is a linear correlation between fund performance and the weights of asset classes with the strongest correlation being between fund performance and asset weights of cash deposits, quoted shares, Government securities, and property. His study further established that 58% of the variability among fund performance is due to policy differences in the asset allocation of the various funds. The balance of about 42% is due to other factors such as the manager’s selection, the timing of investments and securities selection within an asset</w:t>
      </w:r>
      <w:r w:rsidRPr="00C0591E">
        <w:t xml:space="preserve"> </w:t>
      </w:r>
      <w:r w:rsidRPr="00C0591E">
        <w:rPr>
          <w:rFonts w:eastAsia="Calibri" w:cs="Times New Roman"/>
          <w:szCs w:val="24"/>
        </w:rPr>
        <w:t>class and whether the manager adopts an active style of management of the fund. However, this was a case study as opposed to the whole industry analysis which did not look at the factors contributing to profitability and therefore sustainability.</w:t>
      </w:r>
    </w:p>
    <w:p w14:paraId="6A7DD065" w14:textId="65FDE2B0" w:rsidR="00090524" w:rsidRPr="00C0591E" w:rsidRDefault="0002590E" w:rsidP="0002590E">
      <w:pPr>
        <w:rPr>
          <w:rFonts w:eastAsia="Calibri" w:cs="Times New Roman"/>
          <w:szCs w:val="24"/>
        </w:rPr>
      </w:pPr>
      <w:r w:rsidRPr="00C0591E">
        <w:rPr>
          <w:rFonts w:eastAsia="Calibri" w:cs="Times New Roman"/>
          <w:szCs w:val="24"/>
        </w:rPr>
        <w:t>Sau and Njeru (2018</w:t>
      </w:r>
      <w:r w:rsidR="005C145E" w:rsidRPr="00C0591E">
        <w:rPr>
          <w:rFonts w:eastAsia="Calibri" w:cs="Times New Roman"/>
          <w:szCs w:val="24"/>
        </w:rPr>
        <w:t>)</w:t>
      </w:r>
      <w:r w:rsidRPr="00C0591E">
        <w:rPr>
          <w:rFonts w:eastAsia="Calibri" w:cs="Times New Roman"/>
          <w:szCs w:val="24"/>
        </w:rPr>
        <w:t xml:space="preserve"> did a study on determinants of financial growth of occupational retirement benefits scheme in Kenya. The study found out that investment strategy, members’ contribution, and regulatory framework were key determinants of financial growth of occupational retirement schemes in Kenya. The three determinants were found to have a positive and significant relationship with the financial growth of occupational retirement schemes. The study concluded that investment strategies employed by the schemes have the potential to enhance financial efficiency and generate high returns in the pension fund. Members’ contributions were also a found to be a major determinant of financial growth of retirement benefits. The study recommended that assets and members’ contributions should be invested more productively to generate returns for the pensioners but failed to demonstrate how investment management practice influenced the sustainability of funds administrators.</w:t>
      </w:r>
    </w:p>
    <w:p w14:paraId="71383C8B" w14:textId="3087B359" w:rsidR="0002590E" w:rsidRPr="00C0591E" w:rsidRDefault="0002590E" w:rsidP="0002590E">
      <w:pPr>
        <w:rPr>
          <w:rFonts w:eastAsia="Calibri" w:cs="Times New Roman"/>
          <w:szCs w:val="24"/>
        </w:rPr>
      </w:pPr>
      <w:r w:rsidRPr="00C0591E">
        <w:rPr>
          <w:rFonts w:eastAsia="Calibri" w:cs="Times New Roman"/>
          <w:szCs w:val="24"/>
        </w:rPr>
        <w:t xml:space="preserve">Namusonge, Sakwa and Gathogo (2017) did a study on the impact of asset mix on the financial performance of occupational pension schemes in Kenya. The study found that the asset mix has an immensely positive influence on the financial performance of occupational pension schemes. From the study findings, the independent variable (Asset mix) revealed that 66.1% of the variation in the financial performance of pension schemes could be explained by the independent variable. </w:t>
      </w:r>
    </w:p>
    <w:p w14:paraId="5CB44B5C" w14:textId="71DD87C0" w:rsidR="0002590E" w:rsidRPr="00C0591E" w:rsidRDefault="0002590E" w:rsidP="0002590E">
      <w:pPr>
        <w:rPr>
          <w:rFonts w:eastAsia="Calibri" w:cs="Times New Roman"/>
          <w:szCs w:val="24"/>
        </w:rPr>
      </w:pPr>
      <w:r w:rsidRPr="00C0591E">
        <w:rPr>
          <w:rFonts w:eastAsia="Calibri" w:cs="Times New Roman"/>
          <w:szCs w:val="24"/>
        </w:rPr>
        <w:t>Kiprotich (</w:t>
      </w:r>
      <w:r w:rsidR="00C940EA" w:rsidRPr="00C0591E">
        <w:rPr>
          <w:rFonts w:eastAsia="Calibri" w:cs="Times New Roman"/>
          <w:szCs w:val="24"/>
        </w:rPr>
        <w:t>2019</w:t>
      </w:r>
      <w:r w:rsidRPr="00C0591E">
        <w:rPr>
          <w:rFonts w:eastAsia="Calibri" w:cs="Times New Roman"/>
          <w:szCs w:val="24"/>
        </w:rPr>
        <w:t>) did a study on the determinants of retirement benefits schemes financial performance in Kenya. The study used regression model that related the determinants and retirement benefits schemes to financial performance. The findings showed that portfolio management strategies, the risk of asset class, selectivity and timing had a positive relationship with the schemes financial performance. This implies</w:t>
      </w:r>
      <w:r w:rsidRPr="00C0591E">
        <w:t xml:space="preserve"> </w:t>
      </w:r>
      <w:r w:rsidRPr="00C0591E">
        <w:rPr>
          <w:rFonts w:eastAsia="Calibri" w:cs="Times New Roman"/>
          <w:szCs w:val="24"/>
        </w:rPr>
        <w:t>that good management of portfolios and risks, and choice of the investment and their timing determines the performance and growth of the schemes. However, the study did not investigate how performance evaluations of the pension funds and investment risk management strategies influence sustainability of PFAIs yet these institutions facilitate implementation of risk management processes for pension funds.</w:t>
      </w:r>
    </w:p>
    <w:p w14:paraId="036A0604" w14:textId="4F2DDE98" w:rsidR="00090524" w:rsidRPr="00C0591E" w:rsidRDefault="0002590E" w:rsidP="0002590E">
      <w:pPr>
        <w:rPr>
          <w:rFonts w:eastAsia="Calibri" w:cs="Times New Roman"/>
          <w:szCs w:val="24"/>
        </w:rPr>
      </w:pPr>
      <w:r w:rsidRPr="00C0591E">
        <w:rPr>
          <w:rFonts w:eastAsia="Calibri" w:cs="Times New Roman"/>
          <w:szCs w:val="24"/>
        </w:rPr>
        <w:t xml:space="preserve">Muia (2015) did a study on the effect of asset allocation on the financial performance of pension funds in Kenya which established that financial performance of the pension funds was explained by approximately 82.7% of the independent variables of the different asset classes. Muia (2015) study found out that there is a linear correlation between investment returns and the returns of the various asset classes with the strongest correlation being between fund performance and returns from offshore investments and government securities. The balance of about 17.3% was attributed to other factors such as the manager’s selection, the timing of investments and securities selection within an asset class and whether the manager adopts an active style of management of the fund. </w:t>
      </w:r>
    </w:p>
    <w:p w14:paraId="2FD08EF9" w14:textId="2D1155A6" w:rsidR="0002590E" w:rsidRPr="00C0591E" w:rsidRDefault="005D4827" w:rsidP="005D4827">
      <w:pPr>
        <w:rPr>
          <w:rFonts w:eastAsia="Calibri"/>
        </w:rPr>
      </w:pPr>
      <w:r w:rsidRPr="00C0591E">
        <w:rPr>
          <w:rFonts w:eastAsia="Calibri"/>
        </w:rPr>
        <w:t>Kyanda (2014) carried out a study on the effect of corporate governance practices on administrative efficiency of Kenya power pension fund which revealed that the internal control systems to monitor and mitigate risks had improved the mechanism for members to make complaints regarding service provision which had improved. The study also revealed that corporate financial management practices affect the administrative efficiency of Kenya power pension fund. The study further revealed that the fund conducted AGMs for its members annually, prepared audited financial statements and made them available to members’ which improved its administrative efficiency. The study determined that communication channels had improved interactions with members and regular updates on services offered by the fund had improved as evidenced improved reporting on the status of investments.</w:t>
      </w:r>
    </w:p>
    <w:p w14:paraId="630BC470" w14:textId="2766865B" w:rsidR="00E73D04" w:rsidRPr="00C0591E" w:rsidRDefault="00E73D04" w:rsidP="00E73D04">
      <w:pPr>
        <w:rPr>
          <w:rFonts w:eastAsia="Calibri" w:cs="Times New Roman"/>
          <w:szCs w:val="24"/>
        </w:rPr>
      </w:pPr>
      <w:r w:rsidRPr="00C0591E">
        <w:rPr>
          <w:rFonts w:eastAsia="Calibri" w:cs="Times New Roman"/>
          <w:szCs w:val="24"/>
        </w:rPr>
        <w:t>Okeyo (</w:t>
      </w:r>
      <w:r w:rsidR="00C940EA" w:rsidRPr="00C0591E">
        <w:rPr>
          <w:rFonts w:eastAsia="Calibri" w:cs="Times New Roman"/>
          <w:szCs w:val="24"/>
        </w:rPr>
        <w:t>2019</w:t>
      </w:r>
      <w:r w:rsidRPr="00C0591E">
        <w:rPr>
          <w:rFonts w:eastAsia="Calibri" w:cs="Times New Roman"/>
          <w:szCs w:val="24"/>
        </w:rPr>
        <w:t xml:space="preserve">) conducted a study on the effects of corporate governance practices on the growth of pension schemes in Kenya. The findings showed that the members of the pension schemes receive inaccurate information which led to inappropriate decisions. Late payment of contributions was also evidence which led to delay or inaccuracies in payment of benefits. </w:t>
      </w:r>
      <w:r w:rsidR="005C145E" w:rsidRPr="00C0591E">
        <w:rPr>
          <w:rFonts w:eastAsia="Calibri" w:cs="Times New Roman"/>
          <w:szCs w:val="24"/>
        </w:rPr>
        <w:t>In addition</w:t>
      </w:r>
      <w:r w:rsidRPr="00C0591E">
        <w:rPr>
          <w:rFonts w:eastAsia="Calibri" w:cs="Times New Roman"/>
          <w:szCs w:val="24"/>
        </w:rPr>
        <w:t xml:space="preserve">, the existing IT system was found to be insufficient to handle the financial transactions effectively. </w:t>
      </w:r>
    </w:p>
    <w:p w14:paraId="0CF7D977" w14:textId="557BF6E5" w:rsidR="0002590E" w:rsidRPr="00C0591E" w:rsidRDefault="00E73D04" w:rsidP="00E73D04">
      <w:pPr>
        <w:rPr>
          <w:rFonts w:eastAsia="Calibri" w:cs="Times New Roman"/>
          <w:szCs w:val="24"/>
        </w:rPr>
      </w:pPr>
      <w:r w:rsidRPr="00C0591E">
        <w:rPr>
          <w:rFonts w:eastAsia="Calibri" w:cs="Times New Roman"/>
          <w:szCs w:val="24"/>
        </w:rPr>
        <w:t>Nyongesa (2017) did a study on the effect of financial management practices on the financial performance of insurance companies in Kenya. The study sought to establish the effect of financial management practices on the financial performance of insurance companies in Kenya. The study found that working capital management, capital budgeting techniques, capital structure decisions, claims management policies and corporate governance had a positive and statistically significant effect on the financial performance of insurance companies in Kenya. It also established that firm characteristic had a moderating effect on the relationship between working capital management, capital budgeting techniques, capital structure decisions, claims management policies, corporate governance and financial performance of insurance companies in Kenya. The study recommended that the management of insurance companies should ensure that their financial management practices are improved for the financial performance of insurance companies in Kenya.</w:t>
      </w:r>
    </w:p>
    <w:p w14:paraId="1C60F4AF" w14:textId="76760736" w:rsidR="0002590E" w:rsidRPr="00C0591E" w:rsidRDefault="00E73D04" w:rsidP="00E73D04">
      <w:pPr>
        <w:rPr>
          <w:rFonts w:eastAsia="Calibri" w:cs="Times New Roman"/>
          <w:szCs w:val="24"/>
        </w:rPr>
      </w:pPr>
      <w:r w:rsidRPr="00C0591E">
        <w:rPr>
          <w:rFonts w:eastAsia="Calibri" w:cs="Times New Roman"/>
          <w:szCs w:val="24"/>
        </w:rPr>
        <w:t xml:space="preserve">Mohammad (2014) study on effect of American financial management practices on business enterprises in Mumbai city, India found that factors of financial management are good tools for improving enterprise’s profitability. The study concluded that the efficiency of financial management practices and characteristics </w:t>
      </w:r>
      <w:r w:rsidR="005C145E" w:rsidRPr="00C0591E">
        <w:rPr>
          <w:rFonts w:eastAsia="Calibri" w:cs="Times New Roman"/>
          <w:szCs w:val="24"/>
        </w:rPr>
        <w:t>could</w:t>
      </w:r>
      <w:r w:rsidRPr="00C0591E">
        <w:rPr>
          <w:rFonts w:eastAsia="Calibri" w:cs="Times New Roman"/>
          <w:szCs w:val="24"/>
        </w:rPr>
        <w:t xml:space="preserve"> bring about higher profitability. The study recommended that business organizations could improve profitability by raising the efficiency of financial management practices and characteristics. Sound financial management is essential to the success of businesses organizations. Successfully managing financial resources was important in both new and expanding business. </w:t>
      </w:r>
      <w:r w:rsidR="005C145E" w:rsidRPr="00C0591E">
        <w:rPr>
          <w:rFonts w:eastAsia="Calibri" w:cs="Times New Roman"/>
          <w:szCs w:val="24"/>
        </w:rPr>
        <w:t>Therefore,</w:t>
      </w:r>
      <w:r w:rsidRPr="00C0591E">
        <w:rPr>
          <w:rFonts w:eastAsia="Calibri" w:cs="Times New Roman"/>
          <w:szCs w:val="24"/>
        </w:rPr>
        <w:t xml:space="preserve"> time should be taken to develop and implement financial management practices that ensure success of business enterprises. Additionally, the study suggested that a more comprehensive survey throughout the country in future so as to come up with country level conclusion. </w:t>
      </w:r>
    </w:p>
    <w:p w14:paraId="521ADF8C" w14:textId="274051EB" w:rsidR="0002590E" w:rsidRPr="00C0591E" w:rsidRDefault="00E73D04" w:rsidP="00225E6E">
      <w:pPr>
        <w:rPr>
          <w:rFonts w:eastAsia="Calibri"/>
        </w:rPr>
      </w:pPr>
      <w:r w:rsidRPr="00C0591E">
        <w:rPr>
          <w:rFonts w:eastAsia="Calibri"/>
        </w:rPr>
        <w:t>Tijjani (2014) did a study on the determinants of financial sustainability of pension fund administrators in Nigeria. The study findings revealed that the age, size, net income, contribution, and board size are positive revealing a strongly significant positive relationship respectively. The study recommended that financial sustainability needed to be ensured and monitored throughout the lifetime of PFAs. Tijjan (2014) recommended that swift actions should be monitored to remedying possible weakness in the Pension Funds Administrators adding that more efforts to increase contributions should be made.</w:t>
      </w:r>
    </w:p>
    <w:p w14:paraId="6DD89FAA" w14:textId="54B5E8FD" w:rsidR="00E73D04" w:rsidRPr="00C0591E" w:rsidRDefault="004D4E7D" w:rsidP="004D4E7D">
      <w:pPr>
        <w:rPr>
          <w:rFonts w:eastAsia="Calibri"/>
        </w:rPr>
      </w:pPr>
      <w:r w:rsidRPr="00C0591E">
        <w:rPr>
          <w:rFonts w:eastAsia="Calibri"/>
        </w:rPr>
        <w:t>According to Kyereboah and Biekpe (20</w:t>
      </w:r>
      <w:r w:rsidR="00C336BE" w:rsidRPr="00C0591E">
        <w:rPr>
          <w:rFonts w:eastAsia="Calibri"/>
        </w:rPr>
        <w:t>1</w:t>
      </w:r>
      <w:r w:rsidRPr="00C0591E">
        <w:rPr>
          <w:rFonts w:eastAsia="Calibri"/>
        </w:rPr>
        <w:t>6) corporate governance may be about many things, but the essence of corporate governance is about how owners (principals) of firms can ensure that the firm's assets (and the returns generated by those assets) are used efficiently and in their best interests by managers (agents) delegated with powers to operate those assets. This problem is intrinsic to any arrangement where owners themselves do not undertake the management function directly.</w:t>
      </w:r>
    </w:p>
    <w:p w14:paraId="3C2ADF2C" w14:textId="3A936878" w:rsidR="007B4683" w:rsidRPr="00C0591E" w:rsidRDefault="007B4683" w:rsidP="007B4683">
      <w:pPr>
        <w:rPr>
          <w:rFonts w:eastAsia="Calibri"/>
        </w:rPr>
      </w:pPr>
      <w:r w:rsidRPr="00C0591E">
        <w:rPr>
          <w:rFonts w:eastAsia="Calibri"/>
        </w:rPr>
        <w:t>Accordin</w:t>
      </w:r>
      <w:r w:rsidR="00C336BE" w:rsidRPr="00C0591E">
        <w:rPr>
          <w:rFonts w:eastAsia="Calibri"/>
        </w:rPr>
        <w:t>g to Mcconnell and Servaes (2017</w:t>
      </w:r>
      <w:r w:rsidRPr="00C0591E">
        <w:rPr>
          <w:rFonts w:eastAsia="Calibri"/>
        </w:rPr>
        <w:t xml:space="preserve">), the corporate governance standards speak to a typical premise that nations consider discriminating for the improvement of good governance rehearses. This work, then again, gives a monetary reason to why corporate governance matters and investigates the relationship between corporate governance, corporate execution, financial development, and, where important, industry structure. The quest for good corporate governance hones in this connection, subsequently, is taking into account a recognizable proof of what works in diverse nations and circumstances, to perceive what lessons can be gotten from these encounters, and to inspect the conditions for transferability of these practices to different nations. Preceded with work around there, accordingly, will plan to discover the key elements that shape the adequacy of diverse corporate governance instruments and to focus the key approach alterations that are most required in individual frameworks of corporate governance. </w:t>
      </w:r>
    </w:p>
    <w:p w14:paraId="46EAB0D6" w14:textId="3F17C856" w:rsidR="00E73D04" w:rsidRPr="00C0591E" w:rsidRDefault="007B4683" w:rsidP="00CE2653">
      <w:pPr>
        <w:rPr>
          <w:rFonts w:eastAsia="Calibri"/>
        </w:rPr>
      </w:pPr>
      <w:r w:rsidRPr="00C0591E">
        <w:rPr>
          <w:rFonts w:eastAsia="Calibri"/>
        </w:rPr>
        <w:t>Mcconnell and Servaes (201</w:t>
      </w:r>
      <w:r w:rsidR="00C336BE" w:rsidRPr="00C0591E">
        <w:rPr>
          <w:rFonts w:eastAsia="Calibri"/>
        </w:rPr>
        <w:t>8</w:t>
      </w:r>
      <w:r w:rsidRPr="00C0591E">
        <w:rPr>
          <w:rFonts w:eastAsia="Calibri"/>
        </w:rPr>
        <w:t>) indicate the corporate governance principles address a regular introduce that countries consider separating for the change of good organization practices. This work, of course, gives a fiscal motivation to why corporate organization matters and explores the relationship between corporate organization, corporate execution, budgetary advancement, and, where imperative, industry structure. The journey for good corporate organization sharpens in this association, thusly, is considering a conspicuous evidence of what works in assorted countries and circumstances, to see what lessons can be gotten from these experiences, and to review the conditions for transferability of these</w:t>
      </w:r>
      <w:r w:rsidRPr="00C0591E">
        <w:t xml:space="preserve"> </w:t>
      </w:r>
      <w:r w:rsidRPr="00C0591E">
        <w:rPr>
          <w:rFonts w:eastAsia="Calibri"/>
        </w:rPr>
        <w:t>practices to diverse countries. Gone before with work around there, as needs be, will plan to find the key components that shape the ampleness of different corporate organization instruments and to center the key methodology adjustments that are most needed in individual structures of corporate organization.</w:t>
      </w:r>
    </w:p>
    <w:p w14:paraId="293C509E" w14:textId="73C4FF35" w:rsidR="00E73D04" w:rsidRPr="00C0591E" w:rsidRDefault="00C336BE" w:rsidP="0002590E">
      <w:pPr>
        <w:rPr>
          <w:rFonts w:eastAsia="Calibri" w:cs="Times New Roman"/>
          <w:szCs w:val="24"/>
        </w:rPr>
      </w:pPr>
      <w:r w:rsidRPr="00C0591E">
        <w:rPr>
          <w:rFonts w:eastAsia="Calibri" w:cs="Times New Roman"/>
          <w:szCs w:val="24"/>
        </w:rPr>
        <w:t>Feldstein (201</w:t>
      </w:r>
      <w:r w:rsidR="005B2D86" w:rsidRPr="00C0591E">
        <w:rPr>
          <w:rFonts w:eastAsia="Calibri" w:cs="Times New Roman"/>
          <w:szCs w:val="24"/>
        </w:rPr>
        <w:t xml:space="preserve">5) shows that investment risks can be reduced by the incorporation of Treasury Inflation Protected Securities (TIPS) into the asset allocation. The </w:t>
      </w:r>
      <w:r w:rsidRPr="00C0591E">
        <w:rPr>
          <w:rFonts w:eastAsia="Calibri" w:cs="Times New Roman"/>
          <w:szCs w:val="24"/>
        </w:rPr>
        <w:t xml:space="preserve">risk-return of this financial instrument can reduce the overall risk of the funds, although with a higher proportion invested in the equity market. Samwick (2019) recommends an alternative approach to reduce the investment risk of the defined contribution scheme, namely to increase the progressivity of basic social security provisions. The high progressivity of the </w:t>
      </w:r>
      <w:r w:rsidRPr="00C0591E">
        <w:rPr>
          <w:rStyle w:val="hgkelc"/>
        </w:rPr>
        <w:t>pay as you go</w:t>
      </w:r>
      <w:r w:rsidRPr="00C0591E">
        <w:rPr>
          <w:rFonts w:eastAsia="Calibri" w:cs="Times New Roman"/>
          <w:szCs w:val="24"/>
        </w:rPr>
        <w:t xml:space="preserve"> benefits implies that there will be higher wealth transfer from the wealthy to the poor. Part of the investment risk of low-income members of the society in the defined contribution account is absorbed by the government and wealthier members of the society.</w:t>
      </w:r>
      <w:r w:rsidRPr="00C0591E">
        <w:t xml:space="preserve"> </w:t>
      </w:r>
      <w:r w:rsidRPr="00C0591E">
        <w:rPr>
          <w:rFonts w:eastAsia="Calibri" w:cs="Times New Roman"/>
          <w:szCs w:val="24"/>
        </w:rPr>
        <w:t>Therefore, the optimal investment allocation of defined contribution accounts can consist of a higher allocation on the equity investment, and the expected average returns from the defined contribution account can be increased.</w:t>
      </w:r>
    </w:p>
    <w:p w14:paraId="6FE63924" w14:textId="25269875" w:rsidR="00E73D04" w:rsidRPr="00C0591E" w:rsidRDefault="00C336BE" w:rsidP="0002590E">
      <w:pPr>
        <w:rPr>
          <w:rFonts w:eastAsia="Calibri" w:cs="Times New Roman"/>
          <w:szCs w:val="24"/>
        </w:rPr>
      </w:pPr>
      <w:r w:rsidRPr="00C0591E">
        <w:rPr>
          <w:rFonts w:eastAsia="Calibri" w:cs="Times New Roman"/>
          <w:szCs w:val="24"/>
        </w:rPr>
        <w:t>Shiller (201</w:t>
      </w:r>
      <w:r w:rsidR="005B2D86" w:rsidRPr="00C0591E">
        <w:rPr>
          <w:rFonts w:eastAsia="Calibri" w:cs="Times New Roman"/>
          <w:szCs w:val="24"/>
        </w:rPr>
        <w:t xml:space="preserve">5) simulates portfolio wealth at the retirement date for different lifecycle portfolios, finding that the probability of negative terminal pension wealth is high at around 30 to 70 per cent, depending on the assumptions which inform future expected investment returns. </w:t>
      </w:r>
      <w:r w:rsidRPr="00C0591E">
        <w:rPr>
          <w:rFonts w:eastAsia="Calibri" w:cs="Times New Roman"/>
          <w:szCs w:val="24"/>
        </w:rPr>
        <w:t>The study</w:t>
      </w:r>
      <w:r w:rsidR="005B2D86" w:rsidRPr="00C0591E">
        <w:rPr>
          <w:rFonts w:eastAsia="Calibri" w:cs="Times New Roman"/>
          <w:szCs w:val="24"/>
        </w:rPr>
        <w:t xml:space="preserve"> incorporate</w:t>
      </w:r>
      <w:r w:rsidRPr="00C0591E">
        <w:rPr>
          <w:rFonts w:eastAsia="Calibri" w:cs="Times New Roman"/>
          <w:szCs w:val="24"/>
        </w:rPr>
        <w:t>d</w:t>
      </w:r>
      <w:r w:rsidR="005B2D86" w:rsidRPr="00C0591E">
        <w:rPr>
          <w:rFonts w:eastAsia="Calibri" w:cs="Times New Roman"/>
          <w:szCs w:val="24"/>
        </w:rPr>
        <w:t xml:space="preserve"> utility functions to estimate certainty equivalent wealth for different lifecycle portfolios. They find that the optimal strategy largely depends on the assumptions about expected returns, risk aversion coefficients, other wealth outside the </w:t>
      </w:r>
      <w:r w:rsidRPr="00C0591E">
        <w:rPr>
          <w:rFonts w:eastAsia="Calibri" w:cs="Times New Roman"/>
          <w:szCs w:val="24"/>
        </w:rPr>
        <w:t xml:space="preserve">defined contribution </w:t>
      </w:r>
      <w:r w:rsidR="005B2D86" w:rsidRPr="00C0591E">
        <w:rPr>
          <w:rFonts w:eastAsia="Calibri" w:cs="Times New Roman"/>
          <w:szCs w:val="24"/>
        </w:rPr>
        <w:t>accounts and the investment fees pertaining to different strategies.</w:t>
      </w:r>
    </w:p>
    <w:p w14:paraId="3DBBC70A" w14:textId="3D5C81F5" w:rsidR="00005BBF" w:rsidRPr="00C0591E" w:rsidRDefault="00A65B1F" w:rsidP="00005BBF">
      <w:pPr>
        <w:rPr>
          <w:rFonts w:eastAsia="Calibri" w:cs="Times New Roman"/>
          <w:szCs w:val="24"/>
        </w:rPr>
      </w:pPr>
      <w:r w:rsidRPr="00C0591E">
        <w:rPr>
          <w:rFonts w:eastAsia="Calibri" w:cs="Times New Roman"/>
          <w:szCs w:val="24"/>
        </w:rPr>
        <w:t>Goyal (</w:t>
      </w:r>
      <w:r w:rsidR="00C336BE" w:rsidRPr="00C0591E">
        <w:rPr>
          <w:rFonts w:eastAsia="Calibri" w:cs="Times New Roman"/>
          <w:szCs w:val="24"/>
        </w:rPr>
        <w:t>201</w:t>
      </w:r>
      <w:r w:rsidRPr="00C0591E">
        <w:rPr>
          <w:rFonts w:eastAsia="Calibri" w:cs="Times New Roman"/>
          <w:szCs w:val="24"/>
        </w:rPr>
        <w:t xml:space="preserve">4) </w:t>
      </w:r>
      <w:r w:rsidR="00C336BE" w:rsidRPr="00C0591E">
        <w:rPr>
          <w:rFonts w:eastAsia="Calibri" w:cs="Times New Roman"/>
          <w:szCs w:val="24"/>
        </w:rPr>
        <w:t>indicated</w:t>
      </w:r>
      <w:r w:rsidRPr="00C0591E">
        <w:rPr>
          <w:rFonts w:eastAsia="Calibri" w:cs="Times New Roman"/>
          <w:szCs w:val="24"/>
        </w:rPr>
        <w:t xml:space="preserve"> that cash payout policies are positively related to the proportion of retirees. Higher cash payouts from dividend and share repurchases will further reduce expected equity returns. Even though he finds a strong relationship between financial asset returns and demographic variables, the economic effects are not large enough to drastically influence asset prices.</w:t>
      </w:r>
      <w:r w:rsidR="00923860" w:rsidRPr="00C0591E">
        <w:rPr>
          <w:rFonts w:eastAsia="Calibri" w:cs="Times New Roman"/>
          <w:szCs w:val="24"/>
        </w:rPr>
        <w:t xml:space="preserve"> </w:t>
      </w:r>
      <w:r w:rsidR="00C336BE" w:rsidRPr="00C0591E">
        <w:t xml:space="preserve">Davis and Lastra (2018) </w:t>
      </w:r>
      <w:r w:rsidR="00005BBF" w:rsidRPr="00C0591E">
        <w:rPr>
          <w:rFonts w:eastAsia="Calibri" w:cs="Times New Roman"/>
          <w:szCs w:val="24"/>
        </w:rPr>
        <w:t xml:space="preserve">points out that the nature of the liabilities is the key to understanding how institutions differ in </w:t>
      </w:r>
      <w:r w:rsidR="00C336BE" w:rsidRPr="00C0591E">
        <w:rPr>
          <w:rFonts w:eastAsia="Calibri" w:cs="Times New Roman"/>
          <w:szCs w:val="24"/>
        </w:rPr>
        <w:t>their operations</w:t>
      </w:r>
      <w:r w:rsidR="00005BBF" w:rsidRPr="00C0591E">
        <w:rPr>
          <w:rFonts w:eastAsia="Calibri" w:cs="Times New Roman"/>
          <w:szCs w:val="24"/>
        </w:rPr>
        <w:t xml:space="preserve">. In the banking and securities industry on the one hand, risk is in general perceived to be mainly on the active side of the balance sheet, in form of credit or market risk. On the other hand, the basic risk at insurance companies and </w:t>
      </w:r>
      <w:r w:rsidR="00C336BE" w:rsidRPr="00C0591E">
        <w:rPr>
          <w:rFonts w:eastAsia="Calibri" w:cs="Times New Roman"/>
          <w:szCs w:val="24"/>
        </w:rPr>
        <w:t xml:space="preserve">defined benefit </w:t>
      </w:r>
      <w:r w:rsidR="00005BBF" w:rsidRPr="00C0591E">
        <w:rPr>
          <w:rFonts w:eastAsia="Calibri" w:cs="Times New Roman"/>
          <w:szCs w:val="24"/>
        </w:rPr>
        <w:t xml:space="preserve">pension funds is connected to the passive side. While in banking </w:t>
      </w:r>
      <w:r w:rsidR="003A2192" w:rsidRPr="00C0591E">
        <w:rPr>
          <w:rFonts w:eastAsia="Calibri" w:cs="Times New Roman"/>
          <w:szCs w:val="24"/>
        </w:rPr>
        <w:t xml:space="preserve">risk </w:t>
      </w:r>
      <w:r w:rsidR="00005BBF" w:rsidRPr="00C0591E">
        <w:rPr>
          <w:rFonts w:eastAsia="Calibri" w:cs="Times New Roman"/>
          <w:szCs w:val="24"/>
        </w:rPr>
        <w:t xml:space="preserve">usually denotes risky assets or off-balance-sheet derivatives, in the jargon of a life insurance industry, the term risk is used to refer to a single contract on the liability side meaning a client. Whereas a bank aims at securing sufficient funding for the assets, insurance companies accumulate contributions in form of assets on the active side to secure the fulfilment of the liabilities. Liabilities differ </w:t>
      </w:r>
      <w:r w:rsidR="00C336BE" w:rsidRPr="00C0591E">
        <w:rPr>
          <w:rFonts w:eastAsia="Calibri" w:cs="Times New Roman"/>
          <w:szCs w:val="24"/>
        </w:rPr>
        <w:t>in certainty and timing</w:t>
      </w:r>
      <w:r w:rsidR="00005BBF" w:rsidRPr="00C0591E">
        <w:rPr>
          <w:rFonts w:eastAsia="Calibri" w:cs="Times New Roman"/>
          <w:szCs w:val="24"/>
        </w:rPr>
        <w:t xml:space="preserve">, ranging from fixed amount and timing in the case of banks, to fixed amounts but unknown timing as for traditional life insurance contracts to unknown amounts and unknown timing in the case of </w:t>
      </w:r>
      <w:r w:rsidR="00C336BE" w:rsidRPr="00C0591E">
        <w:rPr>
          <w:rFonts w:eastAsia="Calibri" w:cs="Times New Roman"/>
          <w:szCs w:val="24"/>
        </w:rPr>
        <w:t>defined benefit</w:t>
      </w:r>
      <w:r w:rsidR="00005BBF" w:rsidRPr="00C0591E">
        <w:rPr>
          <w:rFonts w:eastAsia="Calibri" w:cs="Times New Roman"/>
          <w:szCs w:val="24"/>
        </w:rPr>
        <w:t xml:space="preserve"> pension funds and more complex life insurance products.</w:t>
      </w:r>
    </w:p>
    <w:p w14:paraId="7348F16E" w14:textId="08F81DDF" w:rsidR="003A2192" w:rsidRPr="00C0591E" w:rsidRDefault="00923860" w:rsidP="00923860">
      <w:pPr>
        <w:rPr>
          <w:rFonts w:eastAsia="Calibri" w:cs="Times New Roman"/>
          <w:szCs w:val="24"/>
        </w:rPr>
      </w:pPr>
      <w:r w:rsidRPr="00C0591E">
        <w:rPr>
          <w:rFonts w:eastAsia="Calibri" w:cs="Times New Roman"/>
          <w:szCs w:val="24"/>
        </w:rPr>
        <w:t xml:space="preserve">According to </w:t>
      </w:r>
      <w:r w:rsidRPr="00C0591E">
        <w:t>Campbell</w:t>
      </w:r>
      <w:r w:rsidRPr="00C0591E">
        <w:rPr>
          <w:rFonts w:eastAsia="Calibri" w:cs="Times New Roman"/>
          <w:szCs w:val="24"/>
        </w:rPr>
        <w:t xml:space="preserve"> (2016), p</w:t>
      </w:r>
      <w:r w:rsidR="003A2192" w:rsidRPr="00C0591E">
        <w:rPr>
          <w:rFonts w:eastAsia="Calibri" w:cs="Times New Roman"/>
          <w:szCs w:val="24"/>
        </w:rPr>
        <w:t>ension funds conduct efficient frontier analysis based on Markowitz’ mean-variance model focusing on improving the efficiency of their investments. The shortcomings of this analysis is the focus on assets only and the</w:t>
      </w:r>
      <w:r w:rsidRPr="00C0591E">
        <w:rPr>
          <w:rFonts w:eastAsia="Calibri" w:cs="Times New Roman"/>
          <w:szCs w:val="24"/>
        </w:rPr>
        <w:t xml:space="preserve"> short-term investment horizon</w:t>
      </w:r>
      <w:r w:rsidR="003A2192" w:rsidRPr="00C0591E">
        <w:rPr>
          <w:rFonts w:eastAsia="Calibri" w:cs="Times New Roman"/>
          <w:szCs w:val="24"/>
        </w:rPr>
        <w:t>. Tracking error which is the traditional risk measure at asset managers is also widely used by Dutch pension funds for monitoring their external investment managers. Tracking error gets also applied in a risk budgeting concept. The pension fund allocates a strategically defined risk budget in a first step among asset classes and subsequently among the single investment managers compared to the chosen benchmark. The pension fund monitors the investment manager in terms of both performance and risk taking.</w:t>
      </w:r>
      <w:r w:rsidRPr="00C0591E">
        <w:rPr>
          <w:rFonts w:eastAsia="Calibri" w:cs="Times New Roman"/>
          <w:szCs w:val="24"/>
        </w:rPr>
        <w:t xml:space="preserve"> The rigor with which risk management approaches are applied differs mainly with the size of the fund and the available resources. The large industry-wide Dutch pension funds were at the fore front of developing sophisticated ALM models. The Anglo-American countries traditionally took a more lenient view on risk-management at the level of the pension fund itself as it is more closely integrated into the risk management of the sponsoring company.</w:t>
      </w:r>
    </w:p>
    <w:p w14:paraId="2F7C18AF" w14:textId="194B4549" w:rsidR="003A2192" w:rsidRPr="00C0591E" w:rsidRDefault="001A052F" w:rsidP="003A2192">
      <w:pPr>
        <w:rPr>
          <w:rFonts w:eastAsia="Calibri"/>
        </w:rPr>
      </w:pPr>
      <w:r w:rsidRPr="00C0591E">
        <w:rPr>
          <w:rFonts w:eastAsia="Calibri"/>
        </w:rPr>
        <w:t>According to</w:t>
      </w:r>
      <w:r w:rsidRPr="00C0591E">
        <w:t xml:space="preserve"> Cowling and Wright (2019), since</w:t>
      </w:r>
      <w:r w:rsidR="003A2192" w:rsidRPr="00C0591E">
        <w:rPr>
          <w:rFonts w:eastAsia="Calibri"/>
        </w:rPr>
        <w:t xml:space="preserve"> the pension promise is not dependent on the investment returns the employer alone bears the investment risk. When the investment returns are worse than expected, the employer has to compensate the shortfall. When the investment returns are better than expected the employer is rewarded by contribution holidays. In this case, risk and reward is symmetrically distributed. The investment decisions are made by a board of trustees which is composed of representatives of the employer. The trustees are bound by fiduciary duty to act in the interest of the beneficiaries but can also consider the interest of the employer as long as it is not detrimental to the interests of the beneficiaries. They are also bound by the prudent expert rule to diversify the portfolio and to maximise risk-adjusted returns. The argument can be made that the trustees err on the higher spectrum of possible risk taking as lower funding cost enhance the economic well-being of the employer and this also serves best the interest of the beneficiaries. Trustees can be expected to follow an active risk-adjusted return optimization. </w:t>
      </w:r>
    </w:p>
    <w:p w14:paraId="44B4DFEB" w14:textId="6B2F8E3E" w:rsidR="003A2192" w:rsidRDefault="001A052F" w:rsidP="0025037A">
      <w:pPr>
        <w:rPr>
          <w:rFonts w:eastAsia="Calibri"/>
        </w:rPr>
      </w:pPr>
      <w:r w:rsidRPr="00C0591E">
        <w:rPr>
          <w:rFonts w:eastAsia="Calibri"/>
        </w:rPr>
        <w:t xml:space="preserve">Zhang (2020) </w:t>
      </w:r>
      <w:r w:rsidR="0025037A" w:rsidRPr="00C0591E">
        <w:rPr>
          <w:rFonts w:eastAsia="Calibri"/>
        </w:rPr>
        <w:t xml:space="preserve">study on the financial </w:t>
      </w:r>
      <w:r w:rsidR="005C0751" w:rsidRPr="00C0591E">
        <w:rPr>
          <w:rFonts w:eastAsia="Calibri"/>
        </w:rPr>
        <w:t>behavior</w:t>
      </w:r>
      <w:r w:rsidR="0025037A" w:rsidRPr="00C0591E">
        <w:rPr>
          <w:rFonts w:eastAsia="Calibri"/>
        </w:rPr>
        <w:t xml:space="preserve"> pension funds confirms that pension funds do not reduce the risk of their portfolio after a deteriorati</w:t>
      </w:r>
      <w:r w:rsidR="005C0751" w:rsidRPr="00C0591E">
        <w:rPr>
          <w:rFonts w:eastAsia="Calibri"/>
        </w:rPr>
        <w:t>on of their financial position</w:t>
      </w:r>
      <w:r w:rsidR="0025037A" w:rsidRPr="00C0591E">
        <w:rPr>
          <w:rFonts w:eastAsia="Calibri"/>
        </w:rPr>
        <w:t xml:space="preserve">. Rebalancing </w:t>
      </w:r>
      <w:r w:rsidR="005C0751" w:rsidRPr="00C0591E">
        <w:rPr>
          <w:rFonts w:eastAsia="Calibri"/>
        </w:rPr>
        <w:t>behavior</w:t>
      </w:r>
      <w:r w:rsidR="0025037A" w:rsidRPr="00C0591E">
        <w:rPr>
          <w:rFonts w:eastAsia="Calibri"/>
        </w:rPr>
        <w:t>, such as restoring a strategic asset allocation by net purchases or sales to balance price movements, was found especially for the large industry-wide pension funds, whereas company-pension funds, on the other hand, are fas</w:t>
      </w:r>
      <w:r w:rsidR="005C0751" w:rsidRPr="00C0591E">
        <w:rPr>
          <w:rFonts w:eastAsia="Calibri"/>
        </w:rPr>
        <w:t>ter at adjusting contributions</w:t>
      </w:r>
      <w:r w:rsidR="0025037A" w:rsidRPr="00C0591E">
        <w:rPr>
          <w:rFonts w:eastAsia="Calibri"/>
        </w:rPr>
        <w:t xml:space="preserve">. These finding are in line with what would be expected built on intuition, as companies are more committed to their own pension funds where they are the only sponsor than in case of an industry-wide pension fund, where they are just one under many, and are hardly able to influence the decision-making process. The difficulty to </w:t>
      </w:r>
      <w:r w:rsidRPr="00C0591E">
        <w:rPr>
          <w:rFonts w:eastAsia="Calibri"/>
        </w:rPr>
        <w:t>organize</w:t>
      </w:r>
      <w:r w:rsidR="0025037A" w:rsidRPr="00C0591E">
        <w:rPr>
          <w:rFonts w:eastAsia="Calibri"/>
        </w:rPr>
        <w:t xml:space="preserve"> the consent to increase contributions rises with the number of parties involved.</w:t>
      </w:r>
    </w:p>
    <w:p w14:paraId="2A4E573D" w14:textId="77777777" w:rsidR="00BC6CD6" w:rsidRPr="00C0591E" w:rsidRDefault="00BC6CD6" w:rsidP="00BC6CD6">
      <w:pPr>
        <w:rPr>
          <w:rFonts w:eastAsia="Calibri" w:cs="Times New Roman"/>
          <w:szCs w:val="24"/>
        </w:rPr>
      </w:pPr>
      <w:r w:rsidRPr="00C0591E">
        <w:rPr>
          <w:rFonts w:eastAsia="Calibri" w:cs="Times New Roman"/>
          <w:szCs w:val="24"/>
        </w:rPr>
        <w:t xml:space="preserve">Cyrus </w:t>
      </w:r>
      <w:r w:rsidRPr="00C0591E">
        <w:rPr>
          <w:rFonts w:eastAsia="Calibri" w:cs="Times New Roman"/>
          <w:i/>
          <w:szCs w:val="24"/>
        </w:rPr>
        <w:t>et al</w:t>
      </w:r>
      <w:r w:rsidRPr="00C0591E">
        <w:rPr>
          <w:rFonts w:eastAsia="Calibri" w:cs="Times New Roman"/>
          <w:szCs w:val="24"/>
        </w:rPr>
        <w:t>. (2015) in their study on the effect of corporate governance practices on earnings management of companies stated that there was need for effective corporate governance practices at senior managerial level of companies in Kenya to contribute to improvement on actual firm liquidity and avert possible collapse of public organizations in Kenya. According to Ogoye (2019), the increasing number of corporate failures and financial scandals had been caused by incompetence, fraud and abuse of office by the agents running the corporations in Kenya. The study conclude that that a unit increase in ownership concentration will cause a decrease in earnings management, a unit increase in board size will lead to a decrease in earnings management, a unit increase in board independence will lead to a decrease in earnings management, a unit increase in board activity will lead to an increase in earnings management and a unit increase in CEO duality will further lead to an increase in earnings management.</w:t>
      </w:r>
    </w:p>
    <w:p w14:paraId="1A75928F" w14:textId="77777777" w:rsidR="00BC6CD6" w:rsidRPr="00C0591E" w:rsidRDefault="00BC6CD6" w:rsidP="00BC6CD6">
      <w:pPr>
        <w:rPr>
          <w:rFonts w:eastAsia="Calibri" w:cs="Times New Roman"/>
          <w:szCs w:val="24"/>
        </w:rPr>
      </w:pPr>
      <w:r w:rsidRPr="00C0591E">
        <w:rPr>
          <w:rFonts w:eastAsia="Calibri" w:cs="Times New Roman"/>
          <w:szCs w:val="24"/>
        </w:rPr>
        <w:t>Kaboyo (2014) in their research on the effect of corporate governance on earnings management of listed companies looked at the factors motivating earnings management and the relationship between macro-economic variables and earnings management for listed firms at the NSE. Unlike most corporate governance studies, this study focused on the control aspect of corporate governance rather than the performance enhancing aspect. The study focused on a period when managers in Kenya had an incentive to manage earnings due to the effect of macroeconomic factors in the country. Sicily and Gladys (2017) in their study on the Influence of Corporate Governance on the performance of public organization in Kenya posits that the relevance of corporate governance cannot be over-emphasized since it constitutes the organizational climate for the internal activities of a company.</w:t>
      </w:r>
    </w:p>
    <w:p w14:paraId="2B8431CC" w14:textId="77777777" w:rsidR="00BC6CD6" w:rsidRPr="00C0591E" w:rsidRDefault="00BC6CD6" w:rsidP="00BC6CD6">
      <w:pPr>
        <w:rPr>
          <w:rFonts w:eastAsia="Calibri" w:cs="Times New Roman"/>
          <w:szCs w:val="24"/>
        </w:rPr>
      </w:pPr>
      <w:r w:rsidRPr="00C0591E">
        <w:rPr>
          <w:rFonts w:eastAsia="Calibri" w:cs="Times New Roman"/>
          <w:szCs w:val="24"/>
        </w:rPr>
        <w:t>Patrick (2015) in his study on the relationship between corporate governance and financial performance of parastatals in Kenya found that good corporate governance practices were positively correlated to the financial performance of parastatals in Kenya. The study also found that audit committee, a major component of the board in exercising control through monitoring of financial and operational activities through internal and external audit mechanisms as well as monitoring compliance to ensure efficiency and effectiveness of operations, showed that their exist a positive but weak relationship to financial performance.</w:t>
      </w:r>
    </w:p>
    <w:p w14:paraId="09771B48" w14:textId="77777777" w:rsidR="00BC6CD6" w:rsidRPr="00C0591E" w:rsidRDefault="00BC6CD6" w:rsidP="00BC6CD6">
      <w:pPr>
        <w:rPr>
          <w:rFonts w:eastAsia="Calibri" w:cs="Times New Roman"/>
          <w:szCs w:val="24"/>
        </w:rPr>
      </w:pPr>
      <w:r w:rsidRPr="00C0591E">
        <w:rPr>
          <w:rFonts w:eastAsia="Calibri" w:cs="Times New Roman"/>
          <w:szCs w:val="24"/>
        </w:rPr>
        <w:t>Njuguna (2019) examined the relationship between the financial returns of Pension Schemes and the agency costs. The study argued that agency costs comprise the costs paid to service providers as well as the Trustees allowance. The paper sampled and analyzed, using Data Envelopment Analysis (DEA) approach, 749 pension schemes which were in operation between 2001 up to 2008. The study concluded that there is a significant influence of agency cost on Operational costs and thus on the financial returns of the Pension Schemes. In the absence of operational efficiency, money meant to benefit members goes to other unintended beneficiaries.</w:t>
      </w:r>
    </w:p>
    <w:p w14:paraId="395E472A" w14:textId="77777777" w:rsidR="00BC6CD6" w:rsidRPr="00C0591E" w:rsidRDefault="00BC6CD6" w:rsidP="00BC6CD6">
      <w:pPr>
        <w:rPr>
          <w:rFonts w:eastAsia="Calibri" w:cs="Times New Roman"/>
          <w:szCs w:val="24"/>
        </w:rPr>
      </w:pPr>
      <w:r w:rsidRPr="00C0591E">
        <w:rPr>
          <w:rFonts w:eastAsia="Calibri" w:cs="Times New Roman"/>
          <w:szCs w:val="24"/>
        </w:rPr>
        <w:t>Osano (2019) did a study with an objective of seeking to identify investment strategies adopted by investment funds in Kenya and how they affect the financial performance of the funds. The population of study was all investment funds in Kenya and census was carried out on the nineteen investment funds since they are not many as given by Capital Market Authority Cap. 485A as of 2013. Primary data was collected through personal interview by use of interview guide to a total of ten investment managers. Secondary data was also collected from respective investment funds financial reports for the year 2012. Descriptive analysis was used and classified them either active investment strategy or passive investment strategy. The study concluded that investment funds in Kenya takes an active investment strategy and found out to be integrated into operation investment funds in Kenya; financial performance is of positive influence to investment funds performance and greatly so is liquidity which probably means the investment firms utilize liquid assets to make quick investment which translates to good returns. From inferential statistics, a positive relationship was established between ROA and investment strategy, Leverage, Liquidity, age and size. Chi square test results showed that companies with high liquidity could be said to be better performing as compared to those without or with lower liquidity. However, the study did not concern itself with how investment activities affect sustainability of pension funds administrators in Kenya.</w:t>
      </w:r>
    </w:p>
    <w:p w14:paraId="1A70CEBF" w14:textId="6504420E" w:rsidR="00BC6CD6" w:rsidRPr="00C0591E" w:rsidRDefault="00BC6CD6" w:rsidP="0025037A">
      <w:pPr>
        <w:rPr>
          <w:rFonts w:eastAsia="Calibri"/>
        </w:rPr>
      </w:pPr>
      <w:r w:rsidRPr="00C0591E">
        <w:rPr>
          <w:rFonts w:eastAsia="Calibri"/>
        </w:rPr>
        <w:t xml:space="preserve">Mcconnell and Servaes (2017), the corporate governance standards speak to a typical premise that nations consider discriminating for the improvement of good governance rehearses. This work, then again, gives a monetary reason to why corporate governance matters and investigates the relationship between corporate governance, corporate execution, financial development, and, where important, industry structure. The quest for good corporate governance hones in this connection, subsequently, is taking into account a recognizable proof of what works in diverse nations and circumstances, to perceive what lessons can be gotten from these encounters, and to inspect the conditions for transferability of these practices to different nations. Preceded with work around there, accordingly, will plan to discover the key elements that shape the adequacy of diverse corporate governance instruments and to focus the key approach alterations that are most required in individual frameworks of corporate governance. </w:t>
      </w:r>
    </w:p>
    <w:p w14:paraId="340DF3EC" w14:textId="42854A35" w:rsidR="00A65B1F" w:rsidRPr="00C0591E" w:rsidRDefault="001A052F" w:rsidP="00005BBF">
      <w:pPr>
        <w:rPr>
          <w:rFonts w:eastAsia="Calibri"/>
        </w:rPr>
      </w:pPr>
      <w:r w:rsidRPr="00C0591E">
        <w:rPr>
          <w:rFonts w:eastAsia="Calibri"/>
        </w:rPr>
        <w:t>According to D'Amico, Lika and Petroni (2019) i</w:t>
      </w:r>
      <w:r w:rsidR="00A65B1F" w:rsidRPr="00C0591E">
        <w:rPr>
          <w:rFonts w:eastAsia="Calibri"/>
        </w:rPr>
        <w:t>nvestment costs are an important determinant of pension fund performance. High costs and persistent inefficiencies can significantly impact operational efficiency and thereby beneficiaries’ wealth and consumption, as they reduce the net rate of return on investments and subsequently raise the costs of providing pensio</w:t>
      </w:r>
      <w:r w:rsidR="005C0751" w:rsidRPr="00C0591E">
        <w:rPr>
          <w:rFonts w:eastAsia="Calibri"/>
        </w:rPr>
        <w:t>ns</w:t>
      </w:r>
      <w:r w:rsidR="00A65B1F" w:rsidRPr="00C0591E">
        <w:rPr>
          <w:rFonts w:eastAsia="Calibri"/>
        </w:rPr>
        <w:t>. This is even more relevant in recent years, as many pension funds around the world face significant challenges following the financial crisis and the ageing of society. As a result, pension funds are confronted with public and political pressure to operate more e</w:t>
      </w:r>
      <w:r w:rsidR="00A65B1F" w:rsidRPr="00C0591E">
        <w:rPr>
          <w:rFonts w:eastAsia="Calibri"/>
        </w:rPr>
        <w:softHyphen/>
        <w:t xml:space="preserve">fficiently and show greater transparency to beneficiaries and the general public </w:t>
      </w:r>
      <w:r w:rsidR="005C0751" w:rsidRPr="00C0591E">
        <w:rPr>
          <w:rFonts w:eastAsia="Calibri"/>
        </w:rPr>
        <w:t>regarding their cost structure</w:t>
      </w:r>
      <w:r w:rsidR="00A65B1F" w:rsidRPr="00C0591E">
        <w:rPr>
          <w:rFonts w:eastAsia="Calibri"/>
        </w:rPr>
        <w:t xml:space="preserve">. Understanding investment costs is also interesting from a broader financial markets perspective. Investment costs form a key parameter for pension funds when they determine their optimal asset allocation. </w:t>
      </w:r>
      <w:r w:rsidR="001E64A2" w:rsidRPr="00C0591E">
        <w:rPr>
          <w:rFonts w:eastAsia="Calibri"/>
        </w:rPr>
        <w:t>Th</w:t>
      </w:r>
      <w:r w:rsidR="00A65B1F" w:rsidRPr="00C0591E">
        <w:rPr>
          <w:rFonts w:eastAsia="Calibri"/>
        </w:rPr>
        <w:t>ese decisions can significantly impact market liquidity and asset prices in general, as pension funds are among the largest instit</w:t>
      </w:r>
      <w:r w:rsidR="005C0751" w:rsidRPr="00C0591E">
        <w:rPr>
          <w:rFonts w:eastAsia="Calibri"/>
        </w:rPr>
        <w:t>utional investors in the world</w:t>
      </w:r>
      <w:r w:rsidR="00A65B1F" w:rsidRPr="00C0591E">
        <w:rPr>
          <w:rFonts w:eastAsia="Calibri"/>
        </w:rPr>
        <w:t>.</w:t>
      </w:r>
    </w:p>
    <w:p w14:paraId="4F8823A7" w14:textId="09CAF231" w:rsidR="00267BE6" w:rsidRPr="00C0591E" w:rsidRDefault="00267BE6" w:rsidP="00347D67">
      <w:pPr>
        <w:pStyle w:val="Heading3"/>
        <w:rPr>
          <w:lang w:val="en-GB"/>
        </w:rPr>
      </w:pPr>
      <w:r w:rsidRPr="00C0591E">
        <w:rPr>
          <w:lang w:val="en-GB"/>
        </w:rPr>
        <w:t xml:space="preserve">2.2.3 </w:t>
      </w:r>
      <w:r w:rsidR="00AF069B">
        <w:rPr>
          <w:lang w:val="en-GB"/>
        </w:rPr>
        <w:t>P</w:t>
      </w:r>
      <w:r w:rsidR="00AF069B" w:rsidRPr="00AF069B">
        <w:rPr>
          <w:lang w:val="en-GB"/>
        </w:rPr>
        <w:t xml:space="preserve">illars of </w:t>
      </w:r>
      <w:r w:rsidR="00CE077A" w:rsidRPr="00C0591E">
        <w:t>Corporate Governance,</w:t>
      </w:r>
      <w:r w:rsidR="00CE077A">
        <w:t xml:space="preserve"> </w:t>
      </w:r>
      <w:r w:rsidR="00BC401B" w:rsidRPr="00C0591E">
        <w:t>Government Regulations</w:t>
      </w:r>
      <w:r w:rsidR="00CE077A">
        <w:t xml:space="preserve"> </w:t>
      </w:r>
      <w:r w:rsidR="00BC401B" w:rsidRPr="00C0591E">
        <w:t>and Performance</w:t>
      </w:r>
    </w:p>
    <w:p w14:paraId="34CC9DBA" w14:textId="69E365EF" w:rsidR="00AB6109" w:rsidRPr="00C0591E" w:rsidRDefault="001A052F" w:rsidP="00347D67">
      <w:bookmarkStart w:id="60" w:name="_Toc495672620"/>
      <w:r w:rsidRPr="00C0591E">
        <w:t>Lydia (</w:t>
      </w:r>
      <w:r w:rsidR="00C940EA" w:rsidRPr="00C0591E">
        <w:t>2019</w:t>
      </w:r>
      <w:r w:rsidRPr="00C0591E">
        <w:t>)</w:t>
      </w:r>
      <w:r w:rsidR="00AB6109" w:rsidRPr="00C0591E">
        <w:t xml:space="preserve"> investigated the effect of interest rates on demand for credit by small medium enterprises in Nairobi County, in Kenya. The period of study was between 2008 to 2012.The study used descriptive statistics and SPSS in the analysis of interest rates demand and credit. The study found that at 95% confidence level, the variables produced statistically significant values and can be relied on to explain demand for loans by SMEs from lending institutions. The findings further revealed that effective interest rates, annual profits and owners</w:t>
      </w:r>
      <w:r w:rsidR="00844BD0" w:rsidRPr="00C0591E">
        <w:t>’</w:t>
      </w:r>
      <w:r w:rsidR="00AB6109" w:rsidRPr="00C0591E">
        <w:t xml:space="preserve"> equity explained demand for loans in that order. The research findings were presented in pie charts, bar graphs, and tables for clarity. The findings of th</w:t>
      </w:r>
      <w:r w:rsidR="00534C82" w:rsidRPr="00C0591E">
        <w:t>e current</w:t>
      </w:r>
      <w:r w:rsidR="00AB6109" w:rsidRPr="00C0591E">
        <w:t xml:space="preserve"> study </w:t>
      </w:r>
      <w:r w:rsidR="00E47492" w:rsidRPr="00C0591E">
        <w:t>was</w:t>
      </w:r>
      <w:r w:rsidR="00AB6109" w:rsidRPr="00C0591E">
        <w:t xml:space="preserve"> be of great use to the government, lending institutions in formulating credit policies so as to promote the uptake of credit facilities in Kenya.</w:t>
      </w:r>
    </w:p>
    <w:p w14:paraId="28CBBD2B" w14:textId="298703A2" w:rsidR="00AB6109" w:rsidRPr="00C0591E" w:rsidRDefault="00AB6109" w:rsidP="00347D67">
      <w:r w:rsidRPr="00C0591E">
        <w:t>Akowuah (</w:t>
      </w:r>
      <w:r w:rsidR="00C940EA" w:rsidRPr="00C0591E">
        <w:t>2019</w:t>
      </w:r>
      <w:r w:rsidRPr="00C0591E">
        <w:t>) studied interest rates and the demand for credit in Ghana. Qualitative data was analyzed using Statistical Packages for Social Science (SPSS) version 20, while qualitative data was analyzed using content analysis. The results indicates that interest rates have a positive impact on the domestic demand for credit in the short run and a negative relationship in the long run. While increases in the real lending rate may not immediately hamper the demand for credit, it may eventually lead to a fall in the demand for credit in the long run and vice versa. In that direction, if market forces tend to put an upward pressure on prices, authorities should take advantage of that and make more credit available. Alternatively, if authorities want to reverse the negative short run or positive long run link between the real lending rate and the demand for credit, emphasis should be placed on price stability.</w:t>
      </w:r>
    </w:p>
    <w:p w14:paraId="13B72176" w14:textId="3E6DA79A" w:rsidR="007113DC" w:rsidRPr="00C0591E" w:rsidRDefault="00BC165F" w:rsidP="00347D67">
      <w:r w:rsidRPr="00C0591E">
        <w:t>Njuguna (</w:t>
      </w:r>
      <w:r w:rsidR="00C940EA" w:rsidRPr="00C0591E">
        <w:t>2019</w:t>
      </w:r>
      <w:r w:rsidRPr="00C0591E">
        <w:t>)</w:t>
      </w:r>
      <w:r w:rsidR="00F324E7" w:rsidRPr="00C0591E">
        <w:t xml:space="preserve"> conducted a study</w:t>
      </w:r>
      <w:r w:rsidRPr="00C0591E">
        <w:t xml:space="preserve"> on strategies to improve pension fund efficiency in Kenya. The findings from the study indicate that fund size is as a significant determinant of the financial efficiency of pension funds. Empirical results also established that those smaller funds are perceived to be more financially efficient than bigger ones. It was however clear that the size of the pension fund did not have any significant influence on the operational efficiency of pension funds. It was also evident that that fund regulations influence how funds are governed and led. Adherence to the identified fund regulations were shown to improve fund governance and leadership.</w:t>
      </w:r>
      <w:r w:rsidR="004F4753" w:rsidRPr="00C0591E">
        <w:t xml:space="preserve"> </w:t>
      </w:r>
      <w:r w:rsidR="004F4753" w:rsidRPr="00C0591E">
        <w:rPr>
          <w:rFonts w:eastAsia="Times New Roman" w:cs="Times New Roman"/>
          <w:szCs w:val="24"/>
        </w:rPr>
        <w:t>The limitation of the study is the complexity of the methodology which is not easy to replicate in another study. The current study employ</w:t>
      </w:r>
      <w:r w:rsidR="00E47492" w:rsidRPr="00C0591E">
        <w:rPr>
          <w:rFonts w:eastAsia="Times New Roman" w:cs="Times New Roman"/>
          <w:szCs w:val="24"/>
        </w:rPr>
        <w:t>ed</w:t>
      </w:r>
      <w:r w:rsidR="004F4753" w:rsidRPr="00C0591E">
        <w:rPr>
          <w:rFonts w:eastAsia="Times New Roman" w:cs="Times New Roman"/>
          <w:szCs w:val="24"/>
        </w:rPr>
        <w:t xml:space="preserve"> </w:t>
      </w:r>
      <w:r w:rsidR="00D42EF4" w:rsidRPr="00C0591E">
        <w:t>a</w:t>
      </w:r>
      <w:r w:rsidR="004F4753" w:rsidRPr="00C0591E">
        <w:t xml:space="preserve"> cross-sectional survey which </w:t>
      </w:r>
      <w:r w:rsidR="00D42EF4" w:rsidRPr="00C0591E">
        <w:t xml:space="preserve">is less complex and </w:t>
      </w:r>
      <w:r w:rsidR="004F4753" w:rsidRPr="00C0591E">
        <w:t>allows data to be collected less expensively and within a short time.</w:t>
      </w:r>
    </w:p>
    <w:p w14:paraId="0512D8B9" w14:textId="2082BA77" w:rsidR="00090524" w:rsidRPr="00C0591E" w:rsidRDefault="00A21C84" w:rsidP="00A21C84">
      <w:r w:rsidRPr="00C0591E">
        <w:t>MacNaughton (2017</w:t>
      </w:r>
      <w:r w:rsidR="00090524" w:rsidRPr="00C0591E">
        <w:t xml:space="preserve">) </w:t>
      </w:r>
      <w:r w:rsidRPr="00C0591E">
        <w:t>examined</w:t>
      </w:r>
      <w:r w:rsidR="00090524" w:rsidRPr="00C0591E">
        <w:t xml:space="preserve"> the impact of governing structure and pension funds. The twelve members of the board of the Canada Pension Plan Investment are selected for their investment and business expertise in areas such as economics, accounting, actuarial science, finance, investing, banking, and business in general. The requirement, for relevant expertise and experience is set out in legislation. This is quite different from most of the public pension funds around the world, which typically are governed by nominees or representatives from government, unions, and employers. MacNaughton (20</w:t>
      </w:r>
      <w:r w:rsidRPr="00C0591E">
        <w:t>17) p</w:t>
      </w:r>
      <w:r w:rsidR="00090524" w:rsidRPr="00C0591E">
        <w:t>ropose</w:t>
      </w:r>
      <w:r w:rsidRPr="00C0591E">
        <w:t>d</w:t>
      </w:r>
      <w:r w:rsidR="00090524" w:rsidRPr="00C0591E">
        <w:t xml:space="preserve"> a governing body and structure consisting of qualified and independent governors, a transparent and credible mechanism for appointing governors and an open and transparent process in which the sponsor consults independent bodies, such as the parliament or other expert committees.</w:t>
      </w:r>
    </w:p>
    <w:p w14:paraId="700BAC10" w14:textId="69F9644B" w:rsidR="00090524" w:rsidRPr="00C0591E" w:rsidRDefault="00A21C84" w:rsidP="00347D67">
      <w:r w:rsidRPr="00C0591E">
        <w:t>Klapper (201</w:t>
      </w:r>
      <w:r w:rsidR="00630D4E" w:rsidRPr="00C0591E">
        <w:t>4) argues that better firm level governance mechanism can improve the investor’s protection to a certain degree but firms alone cannot fully compensate the absence of strong legal system. The legal and regulatory framework for Corporate Governance in Tanzania is generally regarded as weak because of the poor enfor</w:t>
      </w:r>
      <w:r w:rsidRPr="00C0591E">
        <w:t>cement of laws and regulations</w:t>
      </w:r>
      <w:r w:rsidR="00630D4E" w:rsidRPr="00C0591E">
        <w:t>. In addition, some laws are outdated. However, this is not a problem unique to Tanzania. Poor laws and regulations, and the poor enforcement of existing laws and regulations, are generic problems in developing countries</w:t>
      </w:r>
      <w:r w:rsidRPr="00C0591E">
        <w:t>.</w:t>
      </w:r>
    </w:p>
    <w:p w14:paraId="75F8377C" w14:textId="59A8C8F0" w:rsidR="00090524" w:rsidRPr="00C0591E" w:rsidRDefault="00A21C84" w:rsidP="00347D67">
      <w:r w:rsidRPr="00C0591E">
        <w:t xml:space="preserve">According to Fasterling (2015), </w:t>
      </w:r>
      <w:r w:rsidR="000F0FB7" w:rsidRPr="00C0591E">
        <w:t>performance is enhanced when regulations and guidelines have been adhered to. Investors, regulators and other stakeholders clearly consider comp</w:t>
      </w:r>
      <w:r w:rsidRPr="00C0591E">
        <w:t>liance to be important</w:t>
      </w:r>
      <w:r w:rsidR="000F0FB7" w:rsidRPr="00C0591E">
        <w:t>. In addition to regulation, corporate governance practices are also reflected in different factors such as culture, traditional financial options, corporate owners</w:t>
      </w:r>
      <w:r w:rsidRPr="00C0591E">
        <w:t>hip patterns and legal origins</w:t>
      </w:r>
      <w:r w:rsidR="000F0FB7" w:rsidRPr="00C0591E">
        <w:t xml:space="preserve">. It is generally accepted that the purpose of regulations concerning corporate governance is not to increase the value of a firm but to enhance investors’ confidence. </w:t>
      </w:r>
      <w:r w:rsidR="008A1A2D" w:rsidRPr="00C0591E">
        <w:t>Consequently,</w:t>
      </w:r>
      <w:r w:rsidR="000F0FB7" w:rsidRPr="00C0591E">
        <w:t xml:space="preserve"> pressure from the regulatory authorities will encourage firms to comply with voluntary codes of best practice.</w:t>
      </w:r>
    </w:p>
    <w:p w14:paraId="38F406D6" w14:textId="42820C75" w:rsidR="00090524" w:rsidRPr="00C0591E" w:rsidRDefault="00A21C84" w:rsidP="00347D67">
      <w:r w:rsidRPr="00C0591E">
        <w:t xml:space="preserve">Chohan (2017) </w:t>
      </w:r>
      <w:r w:rsidR="000F0FB7" w:rsidRPr="00C0591E">
        <w:t>suggest that regulatory compliance and corporate governance act in a complementary manner to resolve the agency problem. Regulations reduce management dominance in the firm by increasing the influence of external parties such as auditors and shareholders. Conversely, deregulation increas</w:t>
      </w:r>
      <w:r w:rsidRPr="00C0591E">
        <w:t>es the influence of management</w:t>
      </w:r>
      <w:r w:rsidR="000F0FB7" w:rsidRPr="00C0591E">
        <w:t xml:space="preserve">. </w:t>
      </w:r>
      <w:r w:rsidRPr="00C0591E">
        <w:t>The study</w:t>
      </w:r>
      <w:r w:rsidR="000F0FB7" w:rsidRPr="00C0591E">
        <w:t xml:space="preserve"> found evidence of higher valuation, measured by Tobin’s Q, of firms in 27 wealthy countries with better protection of minority shareholders. This evidence indirectly supports the negative effects of expropriation of minority shareholders by controlling shareholders in many countries, and for the role of the law in limiting such expropriation.</w:t>
      </w:r>
    </w:p>
    <w:p w14:paraId="725D4BDE" w14:textId="0BDD4C27" w:rsidR="00090524" w:rsidRPr="00C0591E" w:rsidRDefault="00A21C84" w:rsidP="00A21C84">
      <w:r w:rsidRPr="00C0591E">
        <w:t>According to Matsunaga and Wang (2019),</w:t>
      </w:r>
      <w:r w:rsidR="000F0FB7" w:rsidRPr="00C0591E">
        <w:t xml:space="preserve"> the internal control system of firms is expected to be secure, whereas monitoring costs are higher if the environment is deregulated because firms need to regularly monitor management activity for the sake of shareholders investment and return. Therefore, it can be argued that a regulated environment ensures better monitoring and lower agency costs. Moreover, regulations ensure a unique system or standard in the economy and enable the comparison of industry level practice, and the business environment will be unstable</w:t>
      </w:r>
      <w:r w:rsidRPr="00C0591E">
        <w:t xml:space="preserve"> in the absence of regulations</w:t>
      </w:r>
      <w:r w:rsidR="000F0FB7" w:rsidRPr="00C0591E">
        <w:t>. Corporate governance evolved due to the existence of the agency problem associated with the separation of owners and managers, and regulation can mitigate the co</w:t>
      </w:r>
      <w:r w:rsidRPr="00C0591E">
        <w:t>nflicts that arise as a result</w:t>
      </w:r>
      <w:r w:rsidR="000F0FB7" w:rsidRPr="00C0591E">
        <w:t xml:space="preserve">. </w:t>
      </w:r>
    </w:p>
    <w:p w14:paraId="5E736D1B" w14:textId="77777777" w:rsidR="00BC5261" w:rsidRPr="00C0591E" w:rsidRDefault="00BC5261" w:rsidP="00BC5261">
      <w:pPr>
        <w:rPr>
          <w:rFonts w:eastAsia="Calibri" w:cs="Times New Roman"/>
          <w:szCs w:val="24"/>
        </w:rPr>
      </w:pPr>
      <w:r w:rsidRPr="00C0591E">
        <w:t>Allen (2015) argue that corporate governance in emerging markets has lately attracted much attention due to the weaknesses of corporate governance in developing countries, which was an important reason for a series of economic crises that affected these countries. Emerging markets tend to have quite well-developed physical financial infrastructure including central banks, commercial banks and stock exchanges, but to have less well-developed processes and systems of accounting, governance, regulation and other financial infrastructure, and less efficient markets with less liquidity than the world's most advanced systems. These differences lead to greater uncertainty and risk, and they enhance the international diversification possibilities for investors from all countries in the world.</w:t>
      </w:r>
    </w:p>
    <w:p w14:paraId="0D2D91D5" w14:textId="77777777" w:rsidR="00BC5261" w:rsidRPr="00C0591E" w:rsidRDefault="00BC5261" w:rsidP="00BC5261">
      <w:r w:rsidRPr="00C0591E">
        <w:t>Shleifer and Vishny (2017) argued that the concentration of ownership is high in emerging markets, where the rights of the shareholders is weak due to the lack, or inadequacy, of the regulations provided by the relevant laws. In countries where ownership is concentrated among just a handful of major shareholders, agency problems occur because of a misalignment of interests between managers and owners and, thus, agency problems are inherent with large or small shareholders. Agency problems can exist between one or more owners and managers and, furthermore, even if it is assumed that managers and large shareholders are the same person, as is common in family companies, conflict still exists because of the potential misalignment of interests between managers and owners. Therefore, if it is assumed that the ownership is concentrated then agency theory can explain the conflict between managers and owners. Shleifer and Vishny (2017) argued that when the ownership structure is concentrated, large and controlling shareholders contribute to the mitigation of the agency problems because they have the incentives, motivations and capacity to monitor the managers for the shared benefit of control (i.e. to the mutual benefit of all shareholders, whether large or small). On the other hand, large controlling shareholders might collude with managers to expropriate the firm resources and work for their own benefit which will result in increasing the agency problems leading to lower firm performance.</w:t>
      </w:r>
    </w:p>
    <w:p w14:paraId="284056DF" w14:textId="5519A400" w:rsidR="00BC5261" w:rsidRPr="00C0591E" w:rsidRDefault="00BC5261" w:rsidP="00BC5261">
      <w:r w:rsidRPr="00C0591E">
        <w:t xml:space="preserve">Yermack (2016) found a negative relationship between the board size and firm performance, measured by Tobin‘s Q for 452 large US public firms during the period 2004 to 2010. He omitted the utility and financial companies from his sample because of the government regulations adopted by boards of directors in such companies. The study found that a small board has more favourable values for financial ratio. </w:t>
      </w:r>
      <w:r w:rsidR="008A1A2D" w:rsidRPr="00C0591E">
        <w:t>In addition</w:t>
      </w:r>
      <w:r w:rsidRPr="00C0591E">
        <w:t>, Yermack (2016) stated that the incremental cost will increase as long the number of board members increases, and the company will have higher market value if the number of the board is smaller. He proved that corporations and companies are more valued in the capital markets by testing different independent variables, for instance board composition, the presence of growth opportunities, diversification and company age. All of those independent variables did not change the result that the small boards are better from the large ones in improving firm performance. Small boards have been found to be more productive than large ones, evidenced by decreased efficiency when board size increases, which is attributed to barriers in coordination and processes.</w:t>
      </w:r>
    </w:p>
    <w:p w14:paraId="47516F38" w14:textId="5A5CEDD5" w:rsidR="00BC5261" w:rsidRPr="00C0591E" w:rsidRDefault="00BC5261" w:rsidP="00BC5261">
      <w:r w:rsidRPr="00C0591E">
        <w:t xml:space="preserve">Ashenafi </w:t>
      </w:r>
      <w:r w:rsidRPr="00C0591E">
        <w:rPr>
          <w:i/>
        </w:rPr>
        <w:t>et al</w:t>
      </w:r>
      <w:r w:rsidRPr="00C0591E">
        <w:t>. (</w:t>
      </w:r>
      <w:r w:rsidR="00C940EA" w:rsidRPr="00C0591E">
        <w:t>2019</w:t>
      </w:r>
      <w:r w:rsidRPr="00C0591E">
        <w:t xml:space="preserve">) examined corporate governance mechanisms and their impact on performance of commercial banks in absence of an organized stock exchange in Ethiopia. The study assessed the relationship between selected internal corporate governance mechanisms (board of directors structure, board size, audit existence, bank size, and ownership type) and external corporate governance mechanism (government regulation and supervision, capital adequacy ratio, loan loss provision allowance) that were adopted as independent variables. Data on commercial banks performance was collected from annual audited financial statements for the period 2005 to 2011 that were at the National Bank of Ethiopia whereas data on board characteristic was obtained from individual banks. The study was undertaken on nine commercial banks of which two were state owned and seven were privately owned. Data was analyzed using both qualitative and quantitative methods. The findings of the study indicated that: board size and existence of audit committee in the board had statistically significant positive effect on bank performance. Similarly, capital adequacy ratio as a proxy of external corporate governance had statistically significant positive effect on bank performance and absence of organized stock exchange, high government intervention, lack of corporate governance awareness, absence of national standards of corporate governance, absence of accounting and auditing and weak legal framework to protect shareholder rights adversely impacted on corporate governance and bank performance in Ethiopia. </w:t>
      </w:r>
    </w:p>
    <w:p w14:paraId="19937B1B" w14:textId="6375F2F5" w:rsidR="000F0FB7" w:rsidRPr="00C0591E" w:rsidRDefault="00A21C84" w:rsidP="00347D67">
      <w:r w:rsidRPr="00C0591E">
        <w:t>According to Conyon (</w:t>
      </w:r>
      <w:r w:rsidR="005C145E" w:rsidRPr="00C0591E">
        <w:t>2017),</w:t>
      </w:r>
      <w:r w:rsidR="000F0FB7" w:rsidRPr="00C0591E">
        <w:t xml:space="preserve"> regulatory compliance plays a significant role in determining the success of a corporate governance system and a good corporate governance is more likely to be associated with countries that have a strong legal system. Corporate governance encompasses rules and regulations as well as the framework of relationships and processes designed to ensure that the Board of Directors (BOD) acts in the interest of the company and shareholders. The regulatory and corporate governance framework influences the way boards function and how effective the board engage with the company shareholders. The regulatory framework for companies in EAC countries are centered on the Company’s Act, Capital Markets Authority Act and securities exchange regulations of the respective countries. </w:t>
      </w:r>
    </w:p>
    <w:p w14:paraId="1656C85E" w14:textId="7A35F576" w:rsidR="00090524" w:rsidRPr="00C0591E" w:rsidRDefault="00A21C84" w:rsidP="00347D67">
      <w:r w:rsidRPr="00C0591E">
        <w:t>According to Musaali (2019)</w:t>
      </w:r>
      <w:r w:rsidR="00BC5261" w:rsidRPr="00C0591E">
        <w:t>, the</w:t>
      </w:r>
      <w:r w:rsidR="000F0FB7" w:rsidRPr="00C0591E">
        <w:t xml:space="preserve"> Companies Act is the principle legislation regulating companies and it includes the framework surrounding the formation and duties of directors. The listing rules deal with the requirements for listing and quotation, market information, trading and supervisory matters. These rules apply to all companies listed at the securities exchanges. The Codes of Corporate governance (CCG) compliments the statutory law requirements and it gives guidelines on reporting and encourages, comply or explain type of reporting. EAC countries have adopted codes of corporate governance that have borrowed presumably from more developed countries. EAC countries have legislations that govern corporate governance, regulatory bodies overseeing the securities exchanges, and have developed codes of best practice.</w:t>
      </w:r>
    </w:p>
    <w:p w14:paraId="1F6A983F" w14:textId="235BF98C" w:rsidR="00090524" w:rsidRDefault="000F0FB7" w:rsidP="00347D67">
      <w:r w:rsidRPr="00C0591E">
        <w:t>According to Klapper and Love (20</w:t>
      </w:r>
      <w:r w:rsidR="00A21C84" w:rsidRPr="00C0591E">
        <w:t>1</w:t>
      </w:r>
      <w:r w:rsidRPr="00C0591E">
        <w:t>4) corporate governance takes various forms as a result of differences in the structure of corporate organizations in difference countries especially in the area of regulation by the state and various professional bodies, the ownership structure, control, board composition and structure tend to be different. The corporate governance structure relies on the legal, regulatory, and institutional environment. Moreover, factors like business ethics and corporate awareness of the environment and societal interest of the communities in which the company is operating can also affect its reputation and the long- term success. In addition, corporate governance is also affected by the relationships among those that are involved in the governance system, controlling shareholders, which can be individuals, family holding block alliance, cross shareholding, and other companies acting through a holding company. Creditors play the role of external monitors on corporate performance, while employee and other stakeholders contributing to the long-term success and performance of the company and the role of the government create the overall institutional and legal structure for corporate performance.</w:t>
      </w:r>
    </w:p>
    <w:p w14:paraId="64F56036" w14:textId="77777777" w:rsidR="00F25502" w:rsidRPr="00C0591E" w:rsidRDefault="00F25502" w:rsidP="00F25502">
      <w:r w:rsidRPr="00C0591E">
        <w:t>Shleifer and Vishny (2017) argued that the concentration of ownership is high in emerging markets, where the rights of the shareholders is weak due to the lack, or inadequacy, of the regulations provided by the relevant laws. In countries where ownership is concentrated among just a handful of major shareholders, agency problems occur because of a misalignment of interests between managers and owners and, thus, agency problems are inherent with large or small shareholders. Agency problems can exist between one or more owners and managers and, furthermore, even if it is assumed that managers and large shareholders are the same person, as is common in family companies, conflict still exists because of the potential misalignment of interests between managers and owners. Therefore, if it is assumed that the ownership is concentrated then agency theory can explain the conflict between managers and owners. Shleifer and Vishny (2017) argued that when the ownership structure is concentrated, large and controlling shareholders contribute to the mitigation of the agency problems because they have the incentives, motivations and capacity to monitor the managers for the shared benefit of control (i.e. to the mutual benefit of all shareholders, whether large or small). On the other hand, large controlling shareholders might collude with managers to expropriate the firm resources and work for their own benefit which will result in increasing the agency problems leading to lower firm performance.</w:t>
      </w:r>
    </w:p>
    <w:p w14:paraId="3478E610" w14:textId="77777777" w:rsidR="00F25502" w:rsidRPr="00C0591E" w:rsidRDefault="00F25502" w:rsidP="00F25502">
      <w:r w:rsidRPr="00C0591E">
        <w:t>Yermack (2016) found a negative relationship between the board size and firm performance, measured by Tobin‘s Q for 452 large US public firms during the period 2004 to 2010. He omitted the utility and financial companies from his sample because of the government regulations adopted by boards of directors in such companies. The study found that a small board has more favourable values for financial ratio. In addition, Yermack (2016) stated that the incremental cost will increase as long the number of board members increases, and the company will have higher market value if the number of the board is smaller. He proved that corporations and companies are more valued in the capital markets by testing different independent variables, for instance board composition, the presence of growth opportunities, diversification and company age. All of those independent variables did not change the result that the small boards are better from the large ones in improving firm performance. Small boards have been found to be more productive than large ones, evidenced by decreased efficiency when board size increases, which is attributed to barriers in coordination and processes.</w:t>
      </w:r>
    </w:p>
    <w:p w14:paraId="1A812822" w14:textId="57F58B53" w:rsidR="00F25502" w:rsidRPr="00C0591E" w:rsidRDefault="00F25502" w:rsidP="00347D67">
      <w:r w:rsidRPr="00C0591E">
        <w:t xml:space="preserve">Ashenafi </w:t>
      </w:r>
      <w:r w:rsidRPr="00C0591E">
        <w:rPr>
          <w:i/>
        </w:rPr>
        <w:t>et al</w:t>
      </w:r>
      <w:r w:rsidRPr="00C0591E">
        <w:t xml:space="preserve">. (2019) examined corporate governance mechanisms and their impact on performance of commercial banks in absence of an organized stock exchange in Ethiopia. The study assessed the relationship between selected internal corporate governance mechanisms (board of directors structure, board size, audit existence, bank size, and ownership type) and external corporate governance mechanism (government regulation and supervision, capital adequacy ratio, loan loss provision allowance) that were adopted as independent variables. Data on commercial banks performance was collected from annual audited financial statements for the period 2005 to 2011 that were at the National Bank of Ethiopia whereas data on board characteristic was obtained from individual banks. The study was undertaken on nine commercial banks of which two were state owned and seven were privately owned. Data was analyzed using both qualitative and quantitative methods. The findings of the study indicated that: board size and existence of audit committee in the board had statistically significant positive effect on bank performance. Similarly, capital adequacy ratio as a proxy of external corporate governance had statistically significant positive effect on bank performance and absence of organized stock exchange, high government intervention, lack of corporate governance awareness, absence of national standards of corporate governance, absence of accounting and auditing and weak legal framework to protect shareholder rights adversely impacted on corporate governance and bank performance in Ethiopia. </w:t>
      </w:r>
    </w:p>
    <w:p w14:paraId="73D413CD" w14:textId="77B4AA60" w:rsidR="00090524" w:rsidRDefault="000F0FB7" w:rsidP="00911183">
      <w:r w:rsidRPr="00C0591E">
        <w:t>Mall</w:t>
      </w:r>
      <w:r w:rsidR="00A21C84" w:rsidRPr="00C0591E">
        <w:t>in, Mullineux and Wihlborg (201</w:t>
      </w:r>
      <w:r w:rsidRPr="00C0591E">
        <w:t>5) explained that in US, the Enron failure brought a number of legislative initiatives. The main motivation was to coordinate and strengthen corporate governance through the improvement of shareholder protection and restoring confidence in the system. Comply or explain is a regulatory approach used in the field of corporate governance and financial supervision. Rather than setting out binding laws, regulators set out codes which listed companies may either comply with, or if they do not comply, explain publicly why they do not. The purpose of comply or explain is to let the market decide whether a set of standards is appropriate for individual companies. Since a company may deviate from the standard, this approach rejects the view that one size fits all, but because of the requirement of disclosure, market investors anticipates that if investors do not accept a company's explanations, then investors will sell their shares, hence creating a market san</w:t>
      </w:r>
      <w:r w:rsidR="00A21C84" w:rsidRPr="00C0591E">
        <w:t>ction, rather than a legal one</w:t>
      </w:r>
      <w:r w:rsidRPr="00C0591E">
        <w:t>.</w:t>
      </w:r>
    </w:p>
    <w:p w14:paraId="738B6197" w14:textId="0C68462B" w:rsidR="00267BE6" w:rsidRPr="00C0591E" w:rsidRDefault="00267BE6" w:rsidP="00347D67">
      <w:pPr>
        <w:pStyle w:val="Heading3"/>
        <w:rPr>
          <w:lang w:val="en-GB"/>
        </w:rPr>
      </w:pPr>
      <w:r w:rsidRPr="00C0591E">
        <w:rPr>
          <w:lang w:val="en-GB"/>
        </w:rPr>
        <w:t xml:space="preserve">2.2.4 </w:t>
      </w:r>
      <w:r w:rsidR="00AF069B">
        <w:rPr>
          <w:lang w:val="en-GB"/>
        </w:rPr>
        <w:t>P</w:t>
      </w:r>
      <w:r w:rsidR="00AF069B" w:rsidRPr="00AF069B">
        <w:rPr>
          <w:lang w:val="en-GB"/>
        </w:rPr>
        <w:t xml:space="preserve">illars of </w:t>
      </w:r>
      <w:r w:rsidRPr="00C0591E">
        <w:rPr>
          <w:lang w:val="en-GB"/>
        </w:rPr>
        <w:t xml:space="preserve">Corporate </w:t>
      </w:r>
      <w:r w:rsidR="00A12E8B" w:rsidRPr="00C0591E">
        <w:t>G</w:t>
      </w:r>
      <w:r w:rsidRPr="00C0591E">
        <w:t>overnance</w:t>
      </w:r>
      <w:r w:rsidRPr="00C0591E">
        <w:rPr>
          <w:rFonts w:eastAsia="Times New Roman"/>
        </w:rPr>
        <w:t xml:space="preserve">, </w:t>
      </w:r>
      <w:r w:rsidR="00A12E8B" w:rsidRPr="00C0591E">
        <w:t>G</w:t>
      </w:r>
      <w:r w:rsidRPr="00C0591E">
        <w:t xml:space="preserve">overnment </w:t>
      </w:r>
      <w:r w:rsidR="00A12E8B" w:rsidRPr="00C0591E">
        <w:t>R</w:t>
      </w:r>
      <w:r w:rsidRPr="00C0591E">
        <w:t xml:space="preserve">egulations, </w:t>
      </w:r>
      <w:r w:rsidRPr="00C0591E">
        <w:rPr>
          <w:rFonts w:cs="Times New Roman"/>
        </w:rPr>
        <w:t xml:space="preserve">Investment policies </w:t>
      </w:r>
      <w:r w:rsidRPr="00C0591E">
        <w:t xml:space="preserve">and </w:t>
      </w:r>
      <w:bookmarkEnd w:id="60"/>
      <w:r w:rsidRPr="00C0591E">
        <w:rPr>
          <w:lang w:val="en-GB"/>
        </w:rPr>
        <w:t xml:space="preserve">Performance </w:t>
      </w:r>
    </w:p>
    <w:p w14:paraId="452BC0C3" w14:textId="64B4782B" w:rsidR="004945FA" w:rsidRPr="00C0591E" w:rsidRDefault="004945FA" w:rsidP="00AB6109">
      <w:pPr>
        <w:pStyle w:val="BodyText2"/>
      </w:pPr>
      <w:r w:rsidRPr="00C0591E">
        <w:t xml:space="preserve">Maranga (2014) conducted a study on effects of </w:t>
      </w:r>
      <w:r w:rsidR="00347D67" w:rsidRPr="00C0591E">
        <w:t>corporate</w:t>
      </w:r>
      <w:r w:rsidRPr="00C0591E">
        <w:t xml:space="preserve"> governance on financial performance of SMEs in Nairobi County. The main objective of this study was to investigate the effect of corporate governance on financial performance of Small and Medium Enterprises in Nairobi County, Kenya. Specifically, the study examined existence of the various corporate governance practices in the sampled SMEs in Nairobi County such as CEO duality, size of the board, number of board sub-committees, number of</w:t>
      </w:r>
      <w:r w:rsidR="00366F53" w:rsidRPr="00C0591E">
        <w:t xml:space="preserve"> subcommittee meetings, size and</w:t>
      </w:r>
      <w:r w:rsidRPr="00C0591E">
        <w:t xml:space="preserve"> age of the SMEs and how they affect their financial performance. The performance of SMEs was measured using Return on Assets (ROA). The study adopted descriptive research design. The population included all the SMEs in Nairobi County operating as at December 2013 and a sample from each category of business was identified and used to collect information. The study made use of primary data collected using the questionnaires. Data was analyzed using a multiple linear regression model. The study found that there is a significant strong relationship between the SME</w:t>
      </w:r>
      <w:r w:rsidR="003F12A1" w:rsidRPr="00C0591E">
        <w:t>’</w:t>
      </w:r>
      <w:r w:rsidRPr="00C0591E">
        <w:t>s financial performance and corporate governance. The number of Board meetings, number of board sub-committees</w:t>
      </w:r>
      <w:r w:rsidR="003F12A1" w:rsidRPr="00C0591E">
        <w:t>’</w:t>
      </w:r>
      <w:r w:rsidRPr="00C0591E">
        <w:t xml:space="preserve"> meetings, and the size</w:t>
      </w:r>
      <w:r w:rsidR="0083551B" w:rsidRPr="00C0591E">
        <w:t xml:space="preserve">, </w:t>
      </w:r>
      <w:r w:rsidRPr="00C0591E">
        <w:t>age of the SMEs were found to significantly affect the financial performance of SMEs in a positive direction. The CEO duality was however noted to be common in most SMEs. The study recommends that the government of Kenya be supportive to the SMEs by providing incentives to help them in implementing the corporate governance practices. SMEs are also encouraged to embrace corporate governance to the fullest to achieve better financial performance. SMEs are also recommended to consider financial monitoring to be done by the board of managers and board sub-committees. The board and managers also need to be enlightened on the importance of corporate governance.</w:t>
      </w:r>
    </w:p>
    <w:p w14:paraId="713884D1" w14:textId="4E3533D9" w:rsidR="00225E6E" w:rsidRPr="00C0591E" w:rsidRDefault="005F3C0D" w:rsidP="00AB6109">
      <w:r w:rsidRPr="00C0591E">
        <w:rPr>
          <w:rFonts w:cs="Times New Roman"/>
          <w:color w:val="222222"/>
          <w:szCs w:val="20"/>
          <w:shd w:val="clear" w:color="auto" w:fill="FFFFFF"/>
        </w:rPr>
        <w:t>Dempsey</w:t>
      </w:r>
      <w:r w:rsidR="003E59AC" w:rsidRPr="00C0591E">
        <w:t xml:space="preserve"> (</w:t>
      </w:r>
      <w:r w:rsidR="00C940EA" w:rsidRPr="00C0591E">
        <w:t>2019</w:t>
      </w:r>
      <w:r w:rsidR="003E59AC" w:rsidRPr="00C0591E">
        <w:t xml:space="preserve">) </w:t>
      </w:r>
      <w:r w:rsidR="00AB6109" w:rsidRPr="00C0591E">
        <w:t xml:space="preserve">studied the impact of government policy on </w:t>
      </w:r>
      <w:r w:rsidR="00D5212B" w:rsidRPr="00C0591E">
        <w:t>pension</w:t>
      </w:r>
      <w:r w:rsidR="00AB6109" w:rsidRPr="00C0591E">
        <w:t xml:space="preserve"> profitability in Tennessee. The study found that </w:t>
      </w:r>
      <w:r w:rsidR="00BD5130" w:rsidRPr="00C0591E">
        <w:t>the pension funds</w:t>
      </w:r>
      <w:r w:rsidR="00AB6109" w:rsidRPr="00C0591E">
        <w:t xml:space="preserve"> are impacted by regulation in the United States, and that this impact has a negative correlation with the profitability of </w:t>
      </w:r>
      <w:r w:rsidR="00BD5130" w:rsidRPr="00C0591E">
        <w:t>fund managers</w:t>
      </w:r>
      <w:r w:rsidR="00AB6109" w:rsidRPr="00C0591E">
        <w:t xml:space="preserve">. Through this determination, it can be concluded that regulation has an inherent inefficiency, and this inefficiency has been a factor in the decreased stability of the </w:t>
      </w:r>
      <w:r w:rsidR="00BD5130" w:rsidRPr="00C0591E">
        <w:t>pension</w:t>
      </w:r>
      <w:r w:rsidR="00AB6109" w:rsidRPr="00C0591E">
        <w:t xml:space="preserve"> industry. Regulations’ negative impact on profitability suggests that the government is not accurate when conducting cost analyses prior to the implementation of new regulations. </w:t>
      </w:r>
      <w:r w:rsidR="00B54701" w:rsidRPr="00C0591E">
        <w:t>According to Bennett and Meerten (2018), various</w:t>
      </w:r>
      <w:r w:rsidR="00225E6E" w:rsidRPr="00C0591E">
        <w:t xml:space="preserve"> types of, and approaches to, regulatory and legal structures directly and indirectly affect the time horizons of organizations in different ways. Licensing procedures, patent lives, work place safety regulations, and environmental regulations can either extend or constrain the time horizons of organizations depending on the situation and the manner in which government laws and regulations are implemented.</w:t>
      </w:r>
    </w:p>
    <w:p w14:paraId="1E2997D7" w14:textId="34765E4A" w:rsidR="00225E6E" w:rsidRPr="00C0591E" w:rsidRDefault="00B54701" w:rsidP="00AB6109">
      <w:r w:rsidRPr="00C0591E">
        <w:t>Rudolph and Sabat 2016) find that p</w:t>
      </w:r>
      <w:r w:rsidR="005162DD" w:rsidRPr="00C0591E">
        <w:t xml:space="preserve">roduct liability concerns </w:t>
      </w:r>
      <w:r w:rsidR="00225E6E" w:rsidRPr="00C0591E">
        <w:t xml:space="preserve">are often cited as a legal constraint that can indefinitely lengthen the payback time for new product development projects by creating significant uncertainty about a company's ability to recover investments. When this happens the increased risk to an investment increases a company's cost of capital. A legal system that inhibits longer-term investments because of its unpredictability, delays, and punitive treatment of product liability issues will hamper economic growth. It is impossible to foresee all circumstances in which a new product will be used; technological and economic advances must depend to some degree on </w:t>
      </w:r>
      <w:r w:rsidR="005162DD" w:rsidRPr="00C0591E">
        <w:t>caveat emptor.</w:t>
      </w:r>
      <w:r w:rsidR="00225E6E" w:rsidRPr="00C0591E">
        <w:t xml:space="preserve"> On the other hand, an effective product-liability system can offer customers redress against genuinely fraudulent or unsafe products that make it to the marketplace a safety net that will make customers more likely to trust producers' explicit or implicit claims and therefore more quickly create a predictable market for a product. In short, effective tort law is a balancing act, which, depending on its implementation, can lengthen or shorten corporate time horizons.</w:t>
      </w:r>
    </w:p>
    <w:p w14:paraId="7DCBFBF7" w14:textId="49EC8BBE" w:rsidR="00225E6E" w:rsidRPr="00C0591E" w:rsidRDefault="00883C43" w:rsidP="00AB6109">
      <w:r w:rsidRPr="00C0591E">
        <w:t xml:space="preserve">According to Musaali (2019), </w:t>
      </w:r>
      <w:r w:rsidR="00225E6E" w:rsidRPr="00C0591E">
        <w:t xml:space="preserve">the government policies and actions are the most consistently damaging to long time horizons are </w:t>
      </w:r>
      <w:r w:rsidR="008A1A2D" w:rsidRPr="00C0591E">
        <w:t>those, which</w:t>
      </w:r>
      <w:r w:rsidR="00225E6E" w:rsidRPr="00C0591E">
        <w:t xml:space="preserve"> create disincentives for long-term planning and investment. Late or uncertain promulgation of environmental and workplace standards often unnecessarily diverts company investment capital from longer-term technology development. Similarly, the inability of companies to plan on predictable and rapid resolution of licensing, plant </w:t>
      </w:r>
      <w:r w:rsidR="008A1A2D" w:rsidRPr="00C0591E">
        <w:t>siting</w:t>
      </w:r>
      <w:r w:rsidR="00225E6E" w:rsidRPr="00C0591E">
        <w:t xml:space="preserve"> or environmental or health and safety clearances creates greater uncertainty for companies, delays returns on investments, and decreases company's willingness to take longer-term investment risks. Slow or inefficient government regulatory processes discourage otherwise productive investments by the private sector.</w:t>
      </w:r>
    </w:p>
    <w:p w14:paraId="434C6BED" w14:textId="34760D93" w:rsidR="00225E6E" w:rsidRPr="00C0591E" w:rsidRDefault="005A1185" w:rsidP="00AB6109">
      <w:r w:rsidRPr="00C0591E">
        <w:t>D'Amico and Petroni (2019) finds that a</w:t>
      </w:r>
      <w:r w:rsidR="0051341B" w:rsidRPr="00C0591E">
        <w:t xml:space="preserve">mong the ways in which governments promote long-term investment is the role they play in the creation of markets or marketplaces. </w:t>
      </w:r>
      <w:r w:rsidRPr="00C0591E">
        <w:t>The</w:t>
      </w:r>
      <w:r w:rsidR="0051341B" w:rsidRPr="00C0591E">
        <w:t xml:space="preserve"> government's considerable buying power has c</w:t>
      </w:r>
      <w:r w:rsidRPr="00C0591E">
        <w:t xml:space="preserve">reated predictable markets for </w:t>
      </w:r>
      <w:r w:rsidR="0051341B" w:rsidRPr="00C0591E">
        <w:t xml:space="preserve">public goods, some of which have become private goods. Additionally, markets for private-sector weather prediction and monitoring, environmental monitoring and waste disposal, public health systems, or large-scale satellite, computer, or networking systems are based on, or were supported by, markets created by government purchases, often in combination with government </w:t>
      </w:r>
      <w:r w:rsidRPr="00C0591E">
        <w:t>research and development</w:t>
      </w:r>
      <w:r w:rsidR="0051341B" w:rsidRPr="00C0591E">
        <w:t>.</w:t>
      </w:r>
    </w:p>
    <w:p w14:paraId="69B9A894" w14:textId="11B88D4C" w:rsidR="0051341B" w:rsidRPr="00C0591E" w:rsidRDefault="005162DD" w:rsidP="0051341B">
      <w:r w:rsidRPr="00C0591E">
        <w:t>According to Biondi and Boisseau-Sierra (2017), t</w:t>
      </w:r>
      <w:r w:rsidR="0051341B" w:rsidRPr="00C0591E">
        <w:t>he use of regulation to create or stabilize markets is an important public role in encouraging long-term investment. Government regulation plays an important role in creating safe and reliable financial and air transport markets, albeit the definition of safety in the two markets is quite different. Government's ability to create a monopoly during certain stages of an industry's development is another tool to promote long-term investment</w:t>
      </w:r>
      <w:r w:rsidRPr="00C0591E">
        <w:t>.</w:t>
      </w:r>
    </w:p>
    <w:p w14:paraId="541F4718" w14:textId="07AFB74B" w:rsidR="0051341B" w:rsidRPr="00C0591E" w:rsidRDefault="0051341B" w:rsidP="0051341B">
      <w:r w:rsidRPr="00C0591E">
        <w:t>The government plays a crucial role in the creation of stable markets through its role in setting formal or de facto standards</w:t>
      </w:r>
      <w:r w:rsidR="005A1185" w:rsidRPr="00C0591E">
        <w:t xml:space="preserve"> Fasterling (2015). </w:t>
      </w:r>
      <w:r w:rsidRPr="00C0591E">
        <w:t>As new markets and technologies emerge and develop, standards are often unclear or in constant flux. At some point when necessary standards and potential technologies become clear government helps establish formal standards, or participates in setting de facto standards, by becoming a buyer and thereby promoting long-term investments in the developing industry. Such interventions must be carefully timed to avoid freezing the system too soon or too late, but they can be enormous successes.</w:t>
      </w:r>
      <w:r w:rsidR="004D4E7D" w:rsidRPr="00C0591E">
        <w:t xml:space="preserve"> </w:t>
      </w:r>
      <w:r w:rsidRPr="00C0591E">
        <w:t>The government-created regulatory and legal environment has a substantial impact on time horizons of companies, but the impact is complex and multidimensional; some regulations and legal procedures can lengthen corporate time horizons, while other regulations, or legal constraints that introduce substantial unpredictability, can shorten time horizons</w:t>
      </w:r>
      <w:r w:rsidR="005A1185" w:rsidRPr="00C0591E">
        <w:t xml:space="preserve"> </w:t>
      </w:r>
      <w:r w:rsidR="00580DA3" w:rsidRPr="00C0591E">
        <w:t>(</w:t>
      </w:r>
      <w:r w:rsidR="005A1185" w:rsidRPr="00C0591E">
        <w:t xml:space="preserve">Conyon, 2017) </w:t>
      </w:r>
    </w:p>
    <w:p w14:paraId="6EB4F7E7" w14:textId="388C2DDA" w:rsidR="00580DA3" w:rsidRPr="00C0591E" w:rsidRDefault="00580DA3" w:rsidP="00580DA3">
      <w:pPr>
        <w:rPr>
          <w:rFonts w:eastAsia="Calibri" w:cs="Times New Roman"/>
          <w:szCs w:val="24"/>
        </w:rPr>
      </w:pPr>
      <w:r w:rsidRPr="00C0591E">
        <w:rPr>
          <w:rFonts w:eastAsia="Calibri" w:cs="Times New Roman"/>
          <w:szCs w:val="24"/>
        </w:rPr>
        <w:t xml:space="preserve">According to </w:t>
      </w:r>
      <w:r w:rsidRPr="00C0591E">
        <w:t>Campbell</w:t>
      </w:r>
      <w:r w:rsidRPr="00C0591E">
        <w:rPr>
          <w:rFonts w:eastAsia="Calibri" w:cs="Times New Roman"/>
          <w:szCs w:val="24"/>
        </w:rPr>
        <w:t xml:space="preserve"> (2016), pension funds conduct efficient frontier analysis based on Markowitz’ mean-variance model focusing on improving the efficiency of their investments. The shortcomings of this analysis is the focus on assets only and the short-term investment horizon. Tracking error which is the traditional risk measure at asset managers is also widely used by Dutch pension funds for monitoring their external investment managers. Tracking error </w:t>
      </w:r>
      <w:r w:rsidR="008A1A2D" w:rsidRPr="00C0591E">
        <w:rPr>
          <w:rFonts w:eastAsia="Calibri" w:cs="Times New Roman"/>
          <w:szCs w:val="24"/>
        </w:rPr>
        <w:t>is</w:t>
      </w:r>
      <w:r w:rsidRPr="00C0591E">
        <w:rPr>
          <w:rFonts w:eastAsia="Calibri" w:cs="Times New Roman"/>
          <w:szCs w:val="24"/>
        </w:rPr>
        <w:t xml:space="preserve"> also applied in a risk budgeting concept. The pension fund allocates a strategically defined risk budget in a first step among asset classes and subsequently among the single investment managers compared to the chosen benchmark. The pension fund monitors the investment manager in terms of both performance and risk taking. The rigor with which risk management approaches are applied differs mainly with the size of the fund and the available resources. The large industry-wide Dutch pension funds were at the </w:t>
      </w:r>
      <w:r w:rsidR="008A1A2D" w:rsidRPr="00C0591E">
        <w:rPr>
          <w:rFonts w:eastAsia="Calibri" w:cs="Times New Roman"/>
          <w:szCs w:val="24"/>
        </w:rPr>
        <w:t>forefront</w:t>
      </w:r>
      <w:r w:rsidRPr="00C0591E">
        <w:rPr>
          <w:rFonts w:eastAsia="Calibri" w:cs="Times New Roman"/>
          <w:szCs w:val="24"/>
        </w:rPr>
        <w:t xml:space="preserve"> of developing sophisticated ALM models. The Anglo-American countries traditionally took a more lenient view on risk-management at the level of the pension fund itself as it is more closely integrated into the risk management of the sponsoring company.</w:t>
      </w:r>
    </w:p>
    <w:p w14:paraId="49DFFCDB" w14:textId="443ABA62" w:rsidR="003A2192" w:rsidRPr="00C0591E" w:rsidRDefault="00F25502" w:rsidP="003A2192">
      <w:r w:rsidRPr="00C0591E">
        <w:t>According</w:t>
      </w:r>
      <w:r w:rsidR="005A1185" w:rsidRPr="00C0591E">
        <w:t xml:space="preserve"> to Mallin, Mullineux and Wihlborg (2015), a</w:t>
      </w:r>
      <w:r w:rsidR="003A2192" w:rsidRPr="00C0591E">
        <w:t xml:space="preserve">lthough pension funds are heavily regulated the rational for pension fund regulation is usually not very clear. In most countries, pension fund regulation actually started as a side activity in the respective Treasury Departments. As the provision of occupational pension is </w:t>
      </w:r>
      <w:r w:rsidR="007C04F6" w:rsidRPr="00C0591E">
        <w:t>subsidized</w:t>
      </w:r>
      <w:r w:rsidR="003A2192" w:rsidRPr="00C0591E">
        <w:t xml:space="preserve">, the state is seen to have a legitimate interest in overseeing the process of pension provision to make sure that public money is employed in an efficient way. Comprehensive pension regulation was in most countries introduced in the early 1970s mostly driven by a major crisis, the most famous are Studebaker in the United States and Maxwell in the United Kingdom. Today‘s mantra of pension fund regulators is usually the protection of member‘s benefits. In economic terms, the rational for regulating pension funds is consumer protection based on asymmetric information and the principal –agent problems, which is basically the same as for regulating insurance companies. Unlike insurance companies, pension funds are usually not in the </w:t>
      </w:r>
      <w:r w:rsidR="007C04F6" w:rsidRPr="00C0591E">
        <w:t>propriety</w:t>
      </w:r>
      <w:r w:rsidR="003A2192" w:rsidRPr="00C0591E">
        <w:t xml:space="preserve"> business. </w:t>
      </w:r>
      <w:r w:rsidR="007C04F6" w:rsidRPr="00C0591E">
        <w:t>Maximizing</w:t>
      </w:r>
      <w:r w:rsidR="003A2192" w:rsidRPr="00C0591E">
        <w:t xml:space="preserve"> shareholder value is not a valid business proposition for pension funds. Unlike insurance</w:t>
      </w:r>
      <w:r w:rsidR="005A1185" w:rsidRPr="00C0591E">
        <w:t xml:space="preserve"> companies, pension funds have </w:t>
      </w:r>
      <w:r w:rsidR="003A2192" w:rsidRPr="00C0591E">
        <w:t xml:space="preserve">a sponsor as guarantor and protector. There is consensus that opposite banks, pension funds do not pose a systemic risk. Nor is there the need to protect against monopolies. Regulation of pension funds is still conducted mainly on a national scale. </w:t>
      </w:r>
    </w:p>
    <w:p w14:paraId="76397AA5" w14:textId="2C81E1A5" w:rsidR="003A2192" w:rsidRPr="00C0591E" w:rsidRDefault="003A2192" w:rsidP="003A2192">
      <w:r w:rsidRPr="00C0591E">
        <w:t xml:space="preserve">The European Union (EU) introduced the first supranational regulation of pension funds in June 2003 with the directive on the activities and supervision of institutions for occupational retirement provision‘. This directive allowed cross-border provision of occupational pensions but apart from formulating some rather broad regulatory principles, regulation remained mainly with the national regulatory agencies. As the ultimate goal of pension regulation is formulated as the protection of </w:t>
      </w:r>
      <w:r w:rsidR="007C04F6" w:rsidRPr="00C0591E">
        <w:t>member’s</w:t>
      </w:r>
      <w:r w:rsidRPr="00C0591E">
        <w:t xml:space="preserve"> benefits, safety aspects rank high in all jurisdictions. But there remains the efficiency argument: Employing pension contributions in an efficient way is not only in the interest of Governments aiming at minimizing tax subsidies but even more so in the interest of employers and employees aiming at minimizing the cost for providing a defined benefit or maximizing the benefits from a given contribution. Investment is a core function of pension funds (Davis 2001). </w:t>
      </w:r>
    </w:p>
    <w:p w14:paraId="3F5E8009" w14:textId="7A20BBA6" w:rsidR="003A2192" w:rsidRPr="00C0591E" w:rsidRDefault="00CB7BE1" w:rsidP="003A2192">
      <w:r w:rsidRPr="00C0591E">
        <w:t>Bonizzi and Churchill (2017) find that a</w:t>
      </w:r>
      <w:r w:rsidR="003A2192" w:rsidRPr="00C0591E">
        <w:t xml:space="preserve">s the investment return on pension </w:t>
      </w:r>
      <w:r w:rsidR="007C04F6" w:rsidRPr="00C0591E">
        <w:t>funds’</w:t>
      </w:r>
      <w:r w:rsidR="003A2192" w:rsidRPr="00C0591E">
        <w:t xml:space="preserve"> assets determines the costs of providing a defined-benefit pension plan, the efficiency argument requires efficiency of the investment process. The European Union states in the preamble to the pension fund directive that the investment policy of an institution is a decisive factor for both security and afforda</w:t>
      </w:r>
      <w:r w:rsidR="007C04F6" w:rsidRPr="00C0591E">
        <w:t>bility of occupational pensions</w:t>
      </w:r>
      <w:r w:rsidR="003A2192" w:rsidRPr="00C0591E">
        <w:t xml:space="preserve">. </w:t>
      </w:r>
      <w:r w:rsidR="007C04F6" w:rsidRPr="00C0591E">
        <w:t xml:space="preserve"> </w:t>
      </w:r>
      <w:r w:rsidR="003A2192" w:rsidRPr="00C0591E">
        <w:t xml:space="preserve">Security and affordability can be seen as constituting the two main goals in pension regulation. Pension fund regulators </w:t>
      </w:r>
      <w:r w:rsidR="007C04F6" w:rsidRPr="00C0591E">
        <w:t>recognize</w:t>
      </w:r>
      <w:r w:rsidR="003A2192" w:rsidRPr="00C0591E">
        <w:t xml:space="preserve"> the risk-return trade off which is inherent in the pension fund system, but regulators attitude towards risk differs. Anglo-American regulators were traditionally more lenient on pension funds risk-taking than their continental European counterparts. It was argued that these differences in the approach to pension fund regulation mirror the differences in the conceptuali</w:t>
      </w:r>
      <w:r w:rsidRPr="00C0591E">
        <w:t>zation of pension fund systems</w:t>
      </w:r>
      <w:r w:rsidR="003A2192" w:rsidRPr="00C0591E">
        <w:t>.</w:t>
      </w:r>
    </w:p>
    <w:p w14:paraId="6C52CA19" w14:textId="1EA1B030" w:rsidR="003A2192" w:rsidRDefault="00CB7BE1" w:rsidP="003A2192">
      <w:r w:rsidRPr="00C0591E">
        <w:t>Woods (2017) asserts that r</w:t>
      </w:r>
      <w:r w:rsidR="003A2192" w:rsidRPr="00C0591E">
        <w:t>egulation of the asset investment of pension funds is generally clas</w:t>
      </w:r>
      <w:r w:rsidRPr="00C0591E">
        <w:t>sified along two broad concepts.</w:t>
      </w:r>
      <w:r w:rsidR="003A2192" w:rsidRPr="00C0591E">
        <w:t xml:space="preserve"> The prudent person principle as the qualitative regulatory principle requiring diversification of assets and the limit setting of the quantitative regulatory approach. The prudent person principle is deeply embedded in the principle of fiduciary </w:t>
      </w:r>
      <w:r w:rsidR="008A1A2D" w:rsidRPr="00C0591E">
        <w:t>duty, which</w:t>
      </w:r>
      <w:r w:rsidR="003A2192" w:rsidRPr="00C0591E">
        <w:t xml:space="preserve"> forms a fundamental aspect of the Anglo-American regulatory approach. Fiduciaries are required to act with prudence. Although the United Kingdom and the United States share these basic principles, the understanding of what constitutes prudent investment differs. Under UK law trustees are not requested to have professional investment knowledge but only to obtain proper advice about it‘. This rule paved the way for the huge influence of investment consultants in the United</w:t>
      </w:r>
      <w:r w:rsidR="003B6FE6" w:rsidRPr="00C0591E">
        <w:t xml:space="preserve"> </w:t>
      </w:r>
      <w:r w:rsidR="003A2192" w:rsidRPr="00C0591E">
        <w:t xml:space="preserve">Kingdom. In the United </w:t>
      </w:r>
      <w:r w:rsidR="008A1A2D" w:rsidRPr="00C0591E">
        <w:t>States,</w:t>
      </w:r>
      <w:r w:rsidR="003A2192" w:rsidRPr="00C0591E">
        <w:t xml:space="preserve"> the prudent person rule was over time further developed into the prudent expert rule. A pension fund manager‘s decisions are compared to those of investment professionals. In the United States, prudence is interpreted along the lines of financial-economics, such as </w:t>
      </w:r>
      <w:r w:rsidRPr="00C0591E">
        <w:t>maximizing</w:t>
      </w:r>
      <w:r w:rsidR="003A2192" w:rsidRPr="00C0591E">
        <w:t xml:space="preserve"> risk-adjusted returns. This is consistent with the traditional focus on affordability in US pension regulation. Prudent investment requires a well diversified portfolio. It seems doubtful if the heavily bond-geared portfolios of some continental European pension funds would pass the prudence test in the United States.</w:t>
      </w:r>
    </w:p>
    <w:p w14:paraId="3BF0DFDA" w14:textId="77DF24E4" w:rsidR="00F25502" w:rsidRPr="00C0591E" w:rsidRDefault="00F25502" w:rsidP="003A2192">
      <w:r w:rsidRPr="00C0591E">
        <w:t xml:space="preserve">Mallin, Mullineux and Wihlborg (2015), although pension funds are heavily regulated the rational for pension fund regulation is usually not very clear. In most countries, pension fund regulation actually started as a side activity in the respective Treasury Departments. As the provision of occupational pension is subsidized, the state is seen to have a legitimate interest in overseeing the process of pension provision to make sure that public money is employed in an efficient way. Comprehensive pension regulation was in most countries introduced in the early 1970s mostly driven by a major crisis, the most famous are Studebaker in the United States and Maxwell in the United Kingdom. Today‘s mantra of pension fund regulators is usually the protection of member‘s benefits. In economic terms, the rational for regulating pension funds is consumer protection based on asymmetric information and the principal –agent problems, which is basically the same as for regulating insurance companies. Unlike insurance companies, pension funds are usually not in the propriety business. Maximizing shareholder value is not a valid business proposition for pension funds. Unlike insurance companies, pension funds have a sponsor as guarantor and protector. There is consensus that opposite banks, pension funds do not pose a systemic risk. Nor is there the need to protect against monopolies. Regulation of pension funds is still conducted mainly on a national scale. </w:t>
      </w:r>
    </w:p>
    <w:p w14:paraId="48697D21" w14:textId="6CB542C3" w:rsidR="003B6FE6" w:rsidRPr="00C0591E" w:rsidRDefault="003B6FE6" w:rsidP="003B6FE6">
      <w:r w:rsidRPr="00C0591E">
        <w:t>Regulation became more risk aware and safety-focused demanding higher funding levels and often encouraging pension funds to lower the risk profile of their portfolios</w:t>
      </w:r>
      <w:r w:rsidR="00CB7BE1" w:rsidRPr="00C0591E">
        <w:t xml:space="preserve"> (Biondi &amp; Boisseau-Sierra, 2017).</w:t>
      </w:r>
      <w:r w:rsidRPr="00C0591E">
        <w:t xml:space="preserve"> As a general trend, policy makers focus much closer on the funding of pension funds. Shortfall risk is perceived as central risk factor threatening benefit security. Many countries have introduced pension reforms in recent years encouraging higher funding ratios, so that in a balance sheet perspective assets are sufficient to cover liabilities. Solvency became the core regulatory instrument. Whereas this approach is consistent with the general concept of pension funds as stand-alone companies in continental Europe it is questionable in the Anglo- American world where the safety of the pension promise is mostly based on the sponsor‘s covenant. Regulation in the United Kingdom has started to take the sponsor‘s covenant into consideration; the United States strengthened the funding rules instead</w:t>
      </w:r>
      <w:r w:rsidR="00CB7BE1" w:rsidRPr="00C0591E">
        <w:t xml:space="preserve"> (Autenne, 2017).</w:t>
      </w:r>
    </w:p>
    <w:p w14:paraId="2C6AFBC0" w14:textId="08AAEC70" w:rsidR="0051341B" w:rsidRPr="00C0591E" w:rsidRDefault="004D4E7D" w:rsidP="00AB6109">
      <w:r w:rsidRPr="00C0591E">
        <w:t>Clarke and Branson (201</w:t>
      </w:r>
      <w:r w:rsidR="00CB7BE1" w:rsidRPr="00C0591E">
        <w:t>8</w:t>
      </w:r>
      <w:r w:rsidRPr="00C0591E">
        <w:t xml:space="preserve">) study show that prevention of corporate failure was not the only reason that led to the adoption of corporate governance </w:t>
      </w:r>
      <w:r w:rsidR="00C7541F" w:rsidRPr="00C0591E">
        <w:t>ideals,</w:t>
      </w:r>
      <w:r w:rsidRPr="00C0591E">
        <w:t xml:space="preserve"> as there was a growing acknowledgement of the role played by improved corporate governance practices on the growth and development of the whole economy of a country. Gompers, et al. (</w:t>
      </w:r>
      <w:r w:rsidR="00C940EA" w:rsidRPr="00C0591E">
        <w:t>2019</w:t>
      </w:r>
      <w:r w:rsidRPr="00C0591E">
        <w:t>) study found the contribution of institutional ownership and ownership concentration as a strong correlation between good corporate governance practices and company performance. However, Wanyama and Olweny (</w:t>
      </w:r>
      <w:r w:rsidR="00C940EA" w:rsidRPr="00C0591E">
        <w:t>2019</w:t>
      </w:r>
      <w:r w:rsidRPr="00C0591E">
        <w:t>) did not find any significant relationship between the performance of firms and the governance practices of their boards. Solomon (</w:t>
      </w:r>
      <w:r w:rsidR="00C940EA" w:rsidRPr="00C0591E">
        <w:t>2019</w:t>
      </w:r>
      <w:r w:rsidRPr="00C0591E">
        <w:t xml:space="preserve">) study has indicated that countries adopt corporate governance practices and </w:t>
      </w:r>
      <w:r w:rsidR="008A1A2D" w:rsidRPr="00C0591E">
        <w:t>policies, which</w:t>
      </w:r>
      <w:r w:rsidRPr="00C0591E">
        <w:t xml:space="preserve"> are favourable to their environment for their companies’ performance. In his case, corporate governance is supposed to ensure that corporations achieved the objectives set by their owners and shareholders should hold a firm’s management responsible for attaining the firm’s goals. From the studies then it can be deduced that corporate governance structures for another country cannot be necessary applicable to another country and therefore every country is required to establish suitable corporate governance structures for their company performance.</w:t>
      </w:r>
    </w:p>
    <w:p w14:paraId="12DC3E68" w14:textId="1C31D33A" w:rsidR="00267BE6" w:rsidRPr="00C0591E" w:rsidRDefault="00267BE6" w:rsidP="00347D67">
      <w:pPr>
        <w:pStyle w:val="Heading2"/>
        <w:rPr>
          <w:lang w:val="en-GB"/>
        </w:rPr>
      </w:pPr>
      <w:bookmarkStart w:id="61" w:name="_Toc113125085"/>
      <w:r w:rsidRPr="00C0591E">
        <w:rPr>
          <w:lang w:val="en-GB"/>
        </w:rPr>
        <w:t xml:space="preserve">2.3 </w:t>
      </w:r>
      <w:r w:rsidR="00321668" w:rsidRPr="00C0591E">
        <w:t>Literature</w:t>
      </w:r>
      <w:r w:rsidR="00321668" w:rsidRPr="00C0591E">
        <w:rPr>
          <w:rFonts w:cs="Times New Roman"/>
          <w:b w:val="0"/>
          <w:i/>
          <w:szCs w:val="24"/>
          <w:lang w:val="en-GB"/>
        </w:rPr>
        <w:t xml:space="preserve"> </w:t>
      </w:r>
      <w:r w:rsidRPr="00C0591E">
        <w:rPr>
          <w:lang w:val="en-GB"/>
        </w:rPr>
        <w:t xml:space="preserve">and </w:t>
      </w:r>
      <w:r w:rsidR="00321668" w:rsidRPr="00C0591E">
        <w:rPr>
          <w:lang w:val="en-GB"/>
        </w:rPr>
        <w:t>Knowledge G</w:t>
      </w:r>
      <w:r w:rsidRPr="00C0591E">
        <w:rPr>
          <w:lang w:val="en-GB"/>
        </w:rPr>
        <w:t>aps</w:t>
      </w:r>
      <w:bookmarkEnd w:id="61"/>
    </w:p>
    <w:p w14:paraId="2652CA9D" w14:textId="50369296" w:rsidR="00471052" w:rsidRPr="00C0591E" w:rsidRDefault="00267BE6" w:rsidP="00347D67">
      <w:pPr>
        <w:rPr>
          <w:b/>
          <w:i/>
        </w:rPr>
        <w:sectPr w:rsidR="00471052" w:rsidRPr="00C0591E" w:rsidSect="00794FD6">
          <w:pgSz w:w="12240" w:h="16834" w:code="9"/>
          <w:pgMar w:top="1440" w:right="1440" w:bottom="1440" w:left="1440" w:header="706" w:footer="706" w:gutter="0"/>
          <w:pgNumType w:start="1"/>
          <w:cols w:space="708"/>
          <w:docGrid w:linePitch="360"/>
        </w:sectPr>
      </w:pPr>
      <w:r w:rsidRPr="00C0591E">
        <w:t xml:space="preserve">The study reviewed expansive literature on pension funds managers. Not so much focus </w:t>
      </w:r>
      <w:r w:rsidR="0015128E" w:rsidRPr="00C0591E">
        <w:t>was</w:t>
      </w:r>
      <w:r w:rsidRPr="00C0591E">
        <w:t xml:space="preserve"> made on the investment policies</w:t>
      </w:r>
      <w:r w:rsidRPr="00C0591E">
        <w:rPr>
          <w:rFonts w:eastAsia="Times New Roman"/>
        </w:rPr>
        <w:t xml:space="preserve">, </w:t>
      </w:r>
      <w:r w:rsidRPr="00C0591E">
        <w:rPr>
          <w:lang w:val="en-GB"/>
        </w:rPr>
        <w:t>government</w:t>
      </w:r>
      <w:r w:rsidRPr="00C0591E">
        <w:rPr>
          <w:rFonts w:eastAsia="Times New Roman"/>
        </w:rPr>
        <w:t xml:space="preserve"> regulation</w:t>
      </w:r>
      <w:r w:rsidR="00831282" w:rsidRPr="00C0591E">
        <w:rPr>
          <w:rFonts w:eastAsia="Times New Roman"/>
        </w:rPr>
        <w:t>s</w:t>
      </w:r>
      <w:r w:rsidRPr="00C0591E">
        <w:rPr>
          <w:rFonts w:eastAsia="Times New Roman"/>
        </w:rPr>
        <w:t xml:space="preserve">, </w:t>
      </w:r>
      <w:r w:rsidR="00AF069B">
        <w:rPr>
          <w:lang w:val="en-GB"/>
        </w:rPr>
        <w:t>P</w:t>
      </w:r>
      <w:r w:rsidR="00AF069B" w:rsidRPr="00AF069B">
        <w:rPr>
          <w:lang w:val="en-GB"/>
        </w:rPr>
        <w:t xml:space="preserve">illars of </w:t>
      </w:r>
      <w:r w:rsidRPr="00C0591E">
        <w:rPr>
          <w:rFonts w:eastAsia="Times New Roman"/>
        </w:rPr>
        <w:t xml:space="preserve">corporate </w:t>
      </w:r>
      <w:r w:rsidRPr="00C0591E">
        <w:rPr>
          <w:rFonts w:eastAsia="Times New Roman"/>
          <w:color w:val="222222"/>
        </w:rPr>
        <w:t>g</w:t>
      </w:r>
      <w:r w:rsidRPr="00C0591E">
        <w:rPr>
          <w:rFonts w:eastAsia="Times New Roman"/>
        </w:rPr>
        <w:t>overnance and performance of pension fund managers in Kenya hence the study</w:t>
      </w:r>
      <w:r w:rsidRPr="00C0591E">
        <w:t>. The contextual gaps relate to the pension fund managers in Kenya. The gaps identified during literature review are as summarized in Table 1 below.</w:t>
      </w:r>
      <w:bookmarkStart w:id="62" w:name="_Toc461182239"/>
      <w:bookmarkStart w:id="63" w:name="_Toc463573827"/>
      <w:bookmarkStart w:id="64" w:name="_Toc463574093"/>
      <w:bookmarkStart w:id="65" w:name="_Toc460845680"/>
    </w:p>
    <w:p w14:paraId="5133B0AA" w14:textId="66F4AEF2" w:rsidR="00267BE6" w:rsidRPr="00C0591E" w:rsidRDefault="00E55126" w:rsidP="001633DA">
      <w:pPr>
        <w:pStyle w:val="Heading4"/>
        <w:rPr>
          <w:i/>
          <w:lang w:val="en-GB"/>
        </w:rPr>
      </w:pPr>
      <w:bookmarkStart w:id="66" w:name="_Toc113125136"/>
      <w:r w:rsidRPr="00C0591E">
        <w:t xml:space="preserve">Table </w:t>
      </w:r>
      <w:r w:rsidR="00267BE6" w:rsidRPr="00C0591E">
        <w:rPr>
          <w:i/>
        </w:rPr>
        <w:fldChar w:fldCharType="begin"/>
      </w:r>
      <w:r w:rsidR="00267BE6" w:rsidRPr="00C0591E">
        <w:instrText xml:space="preserve"> SEQ Table \* ARABIC </w:instrText>
      </w:r>
      <w:r w:rsidR="00267BE6" w:rsidRPr="00C0591E">
        <w:rPr>
          <w:i/>
        </w:rPr>
        <w:fldChar w:fldCharType="separate"/>
      </w:r>
      <w:r w:rsidR="003A104A">
        <w:rPr>
          <w:noProof/>
        </w:rPr>
        <w:t>1</w:t>
      </w:r>
      <w:r w:rsidR="00267BE6" w:rsidRPr="00C0591E">
        <w:rPr>
          <w:i/>
        </w:rPr>
        <w:fldChar w:fldCharType="end"/>
      </w:r>
      <w:r w:rsidR="00267BE6" w:rsidRPr="00C0591E">
        <w:rPr>
          <w:lang w:val="en-GB"/>
        </w:rPr>
        <w:t>: Summary of Knowledge Gaps</w:t>
      </w:r>
      <w:bookmarkEnd w:id="62"/>
      <w:bookmarkEnd w:id="63"/>
      <w:bookmarkEnd w:id="64"/>
      <w:bookmarkEnd w:id="66"/>
      <w:r w:rsidR="00267BE6" w:rsidRPr="00C0591E">
        <w:rPr>
          <w:lang w:val="en-GB"/>
        </w:rPr>
        <w:t xml:space="preserve"> </w:t>
      </w:r>
      <w:bookmarkEnd w:id="65"/>
    </w:p>
    <w:tbl>
      <w:tblPr>
        <w:tblStyle w:val="ListTable6Colorful"/>
        <w:tblpPr w:leftFromText="180" w:rightFromText="180" w:vertAnchor="text" w:horzAnchor="page" w:tblpX="779" w:tblpY="122"/>
        <w:tblW w:w="5000" w:type="pct"/>
        <w:shd w:val="clear" w:color="auto" w:fill="FFFFFF" w:themeFill="background1"/>
        <w:tblLook w:val="04A0" w:firstRow="1" w:lastRow="0" w:firstColumn="1" w:lastColumn="0" w:noHBand="0" w:noVBand="1"/>
      </w:tblPr>
      <w:tblGrid>
        <w:gridCol w:w="1411"/>
        <w:gridCol w:w="2372"/>
        <w:gridCol w:w="1709"/>
        <w:gridCol w:w="3216"/>
        <w:gridCol w:w="2357"/>
        <w:gridCol w:w="2893"/>
      </w:tblGrid>
      <w:tr w:rsidR="00BE76C9" w:rsidRPr="00C0591E" w14:paraId="0C712578" w14:textId="77777777" w:rsidTr="000D121C">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396" w:type="pct"/>
            <w:shd w:val="clear" w:color="auto" w:fill="FFFFFF" w:themeFill="background1"/>
          </w:tcPr>
          <w:p w14:paraId="470D5C79" w14:textId="77777777" w:rsidR="00267BE6" w:rsidRPr="00C0591E" w:rsidRDefault="00267BE6" w:rsidP="00471052">
            <w:pPr>
              <w:autoSpaceDE w:val="0"/>
              <w:autoSpaceDN w:val="0"/>
              <w:adjustRightInd w:val="0"/>
              <w:spacing w:after="0" w:line="216" w:lineRule="auto"/>
              <w:rPr>
                <w:rFonts w:cs="Times New Roman"/>
                <w:sz w:val="22"/>
                <w:szCs w:val="20"/>
                <w:lang w:val="en-GB"/>
              </w:rPr>
            </w:pPr>
            <w:r w:rsidRPr="00C0591E">
              <w:rPr>
                <w:rFonts w:cs="Times New Roman"/>
                <w:sz w:val="22"/>
                <w:szCs w:val="20"/>
                <w:lang w:val="en-GB"/>
              </w:rPr>
              <w:t>Authors</w:t>
            </w:r>
          </w:p>
        </w:tc>
        <w:tc>
          <w:tcPr>
            <w:tcW w:w="872" w:type="pct"/>
            <w:shd w:val="clear" w:color="auto" w:fill="FFFFFF" w:themeFill="background1"/>
          </w:tcPr>
          <w:p w14:paraId="66A16B51" w14:textId="77777777" w:rsidR="00267BE6" w:rsidRPr="00C0591E" w:rsidRDefault="00267BE6" w:rsidP="00471052">
            <w:pPr>
              <w:autoSpaceDE w:val="0"/>
              <w:autoSpaceDN w:val="0"/>
              <w:adjustRightInd w:val="0"/>
              <w:spacing w:after="0" w:line="216" w:lineRule="auto"/>
              <w:cnfStyle w:val="100000000000" w:firstRow="1" w:lastRow="0" w:firstColumn="0" w:lastColumn="0" w:oddVBand="0" w:evenVBand="0" w:oddHBand="0" w:evenHBand="0" w:firstRowFirstColumn="0" w:firstRowLastColumn="0" w:lastRowFirstColumn="0" w:lastRowLastColumn="0"/>
              <w:rPr>
                <w:rFonts w:cs="Times New Roman"/>
                <w:sz w:val="22"/>
                <w:szCs w:val="20"/>
                <w:lang w:val="en-GB"/>
              </w:rPr>
            </w:pPr>
            <w:r w:rsidRPr="00C0591E">
              <w:rPr>
                <w:rFonts w:cs="Times New Roman"/>
                <w:sz w:val="22"/>
                <w:szCs w:val="20"/>
                <w:lang w:val="en-GB"/>
              </w:rPr>
              <w:t>Study</w:t>
            </w:r>
          </w:p>
        </w:tc>
        <w:tc>
          <w:tcPr>
            <w:tcW w:w="634" w:type="pct"/>
            <w:shd w:val="clear" w:color="auto" w:fill="FFFFFF" w:themeFill="background1"/>
          </w:tcPr>
          <w:p w14:paraId="599EE8B4" w14:textId="77777777" w:rsidR="00267BE6" w:rsidRPr="00C0591E" w:rsidRDefault="00267BE6" w:rsidP="00471052">
            <w:pPr>
              <w:autoSpaceDE w:val="0"/>
              <w:autoSpaceDN w:val="0"/>
              <w:adjustRightInd w:val="0"/>
              <w:spacing w:after="0" w:line="216" w:lineRule="auto"/>
              <w:cnfStyle w:val="100000000000" w:firstRow="1" w:lastRow="0" w:firstColumn="0" w:lastColumn="0" w:oddVBand="0" w:evenVBand="0" w:oddHBand="0" w:evenHBand="0" w:firstRowFirstColumn="0" w:firstRowLastColumn="0" w:lastRowFirstColumn="0" w:lastRowLastColumn="0"/>
              <w:rPr>
                <w:rFonts w:cs="Times New Roman"/>
                <w:sz w:val="22"/>
                <w:szCs w:val="20"/>
                <w:lang w:val="en-GB"/>
              </w:rPr>
            </w:pPr>
            <w:r w:rsidRPr="00C0591E">
              <w:rPr>
                <w:rFonts w:cs="Times New Roman"/>
                <w:sz w:val="22"/>
                <w:szCs w:val="20"/>
                <w:lang w:val="en-GB"/>
              </w:rPr>
              <w:t>Methodology</w:t>
            </w:r>
          </w:p>
        </w:tc>
        <w:tc>
          <w:tcPr>
            <w:tcW w:w="1174" w:type="pct"/>
            <w:shd w:val="clear" w:color="auto" w:fill="FFFFFF" w:themeFill="background1"/>
          </w:tcPr>
          <w:p w14:paraId="405218E8" w14:textId="77777777" w:rsidR="00267BE6" w:rsidRPr="00C0591E" w:rsidRDefault="00267BE6" w:rsidP="001633DA">
            <w:pPr>
              <w:jc w:val="center"/>
              <w:cnfStyle w:val="100000000000" w:firstRow="1" w:lastRow="0" w:firstColumn="0" w:lastColumn="0" w:oddVBand="0" w:evenVBand="0" w:oddHBand="0" w:evenHBand="0" w:firstRowFirstColumn="0" w:firstRowLastColumn="0" w:lastRowFirstColumn="0" w:lastRowLastColumn="0"/>
            </w:pPr>
            <w:bookmarkStart w:id="67" w:name="_Toc47448407"/>
            <w:bookmarkStart w:id="68" w:name="_Toc47448569"/>
            <w:r w:rsidRPr="00C0591E">
              <w:rPr>
                <w:sz w:val="22"/>
              </w:rPr>
              <w:t>Findings</w:t>
            </w:r>
            <w:bookmarkEnd w:id="67"/>
            <w:bookmarkEnd w:id="68"/>
          </w:p>
        </w:tc>
        <w:tc>
          <w:tcPr>
            <w:tcW w:w="866" w:type="pct"/>
            <w:shd w:val="clear" w:color="auto" w:fill="FFFFFF" w:themeFill="background1"/>
          </w:tcPr>
          <w:p w14:paraId="28925C1E" w14:textId="77777777" w:rsidR="00267BE6" w:rsidRPr="00C0591E" w:rsidRDefault="00267BE6" w:rsidP="00471052">
            <w:pPr>
              <w:autoSpaceDE w:val="0"/>
              <w:autoSpaceDN w:val="0"/>
              <w:adjustRightInd w:val="0"/>
              <w:spacing w:after="0" w:line="216" w:lineRule="auto"/>
              <w:cnfStyle w:val="100000000000" w:firstRow="1" w:lastRow="0" w:firstColumn="0" w:lastColumn="0" w:oddVBand="0" w:evenVBand="0" w:oddHBand="0" w:evenHBand="0" w:firstRowFirstColumn="0" w:firstRowLastColumn="0" w:lastRowFirstColumn="0" w:lastRowLastColumn="0"/>
              <w:rPr>
                <w:rFonts w:cs="Times New Roman"/>
                <w:sz w:val="22"/>
                <w:szCs w:val="20"/>
                <w:lang w:val="en-GB"/>
              </w:rPr>
            </w:pPr>
            <w:r w:rsidRPr="00C0591E">
              <w:rPr>
                <w:rFonts w:cs="Times New Roman"/>
                <w:sz w:val="22"/>
                <w:szCs w:val="20"/>
                <w:lang w:val="en-GB"/>
              </w:rPr>
              <w:t>Knowledge gaps</w:t>
            </w:r>
          </w:p>
        </w:tc>
        <w:tc>
          <w:tcPr>
            <w:tcW w:w="1058" w:type="pct"/>
            <w:shd w:val="clear" w:color="auto" w:fill="FFFFFF" w:themeFill="background1"/>
          </w:tcPr>
          <w:p w14:paraId="11E4AA97" w14:textId="77777777" w:rsidR="00267BE6" w:rsidRPr="00C0591E" w:rsidRDefault="00267BE6" w:rsidP="00471052">
            <w:pPr>
              <w:autoSpaceDE w:val="0"/>
              <w:autoSpaceDN w:val="0"/>
              <w:adjustRightInd w:val="0"/>
              <w:spacing w:after="0" w:line="216" w:lineRule="auto"/>
              <w:cnfStyle w:val="100000000000" w:firstRow="1" w:lastRow="0" w:firstColumn="0" w:lastColumn="0" w:oddVBand="0" w:evenVBand="0" w:oddHBand="0" w:evenHBand="0" w:firstRowFirstColumn="0" w:firstRowLastColumn="0" w:lastRowFirstColumn="0" w:lastRowLastColumn="0"/>
              <w:rPr>
                <w:rFonts w:cs="Times New Roman"/>
                <w:sz w:val="22"/>
                <w:szCs w:val="20"/>
                <w:lang w:val="en-GB"/>
              </w:rPr>
            </w:pPr>
            <w:r w:rsidRPr="00C0591E">
              <w:rPr>
                <w:rFonts w:cs="Times New Roman"/>
                <w:sz w:val="22"/>
                <w:szCs w:val="20"/>
                <w:lang w:val="en-GB"/>
              </w:rPr>
              <w:t>How to address the gaps</w:t>
            </w:r>
          </w:p>
        </w:tc>
      </w:tr>
      <w:tr w:rsidR="00263980" w:rsidRPr="00C0591E" w14:paraId="3A354315" w14:textId="77777777" w:rsidTr="000D121C">
        <w:trPr>
          <w:cnfStyle w:val="000000100000" w:firstRow="0" w:lastRow="0" w:firstColumn="0" w:lastColumn="0" w:oddVBand="0" w:evenVBand="0" w:oddHBand="1" w:evenHBand="0" w:firstRowFirstColumn="0" w:firstRowLastColumn="0" w:lastRowFirstColumn="0" w:lastRowLastColumn="0"/>
          <w:trHeight w:val="983"/>
        </w:trPr>
        <w:tc>
          <w:tcPr>
            <w:cnfStyle w:val="001000000000" w:firstRow="0" w:lastRow="0" w:firstColumn="1" w:lastColumn="0" w:oddVBand="0" w:evenVBand="0" w:oddHBand="0" w:evenHBand="0" w:firstRowFirstColumn="0" w:firstRowLastColumn="0" w:lastRowFirstColumn="0" w:lastRowLastColumn="0"/>
            <w:tcW w:w="396" w:type="pct"/>
            <w:shd w:val="clear" w:color="auto" w:fill="FFFFFF" w:themeFill="background1"/>
          </w:tcPr>
          <w:p w14:paraId="7F556C8E" w14:textId="3332D119" w:rsidR="00263980" w:rsidRPr="00C0591E" w:rsidRDefault="005666A0" w:rsidP="001633DA">
            <w:pPr>
              <w:autoSpaceDE w:val="0"/>
              <w:autoSpaceDN w:val="0"/>
              <w:adjustRightInd w:val="0"/>
              <w:spacing w:after="0"/>
              <w:jc w:val="left"/>
              <w:rPr>
                <w:rFonts w:cs="Times New Roman"/>
                <w:b w:val="0"/>
                <w:bCs w:val="0"/>
                <w:sz w:val="20"/>
                <w:szCs w:val="20"/>
              </w:rPr>
            </w:pPr>
            <w:r w:rsidRPr="00C0591E">
              <w:rPr>
                <w:b w:val="0"/>
                <w:sz w:val="20"/>
              </w:rPr>
              <w:t xml:space="preserve">Mukarushema, Kule </w:t>
            </w:r>
            <w:r w:rsidR="009853C6" w:rsidRPr="00C0591E">
              <w:rPr>
                <w:b w:val="0"/>
                <w:sz w:val="20"/>
              </w:rPr>
              <w:t xml:space="preserve">&amp; </w:t>
            </w:r>
            <w:r w:rsidRPr="00C0591E">
              <w:rPr>
                <w:b w:val="0"/>
                <w:sz w:val="20"/>
              </w:rPr>
              <w:t>Mbabazize (2016)</w:t>
            </w:r>
          </w:p>
        </w:tc>
        <w:tc>
          <w:tcPr>
            <w:tcW w:w="872" w:type="pct"/>
            <w:shd w:val="clear" w:color="auto" w:fill="FFFFFF" w:themeFill="background1"/>
          </w:tcPr>
          <w:p w14:paraId="0B32873D" w14:textId="5CFFBDCD" w:rsidR="00263980" w:rsidRPr="00C0591E" w:rsidRDefault="005666A0" w:rsidP="001633DA">
            <w:pPr>
              <w:spacing w:after="0"/>
              <w:jc w:val="left"/>
              <w:cnfStyle w:val="000000100000" w:firstRow="0" w:lastRow="0" w:firstColumn="0" w:lastColumn="0" w:oddVBand="0" w:evenVBand="0" w:oddHBand="1" w:evenHBand="0" w:firstRowFirstColumn="0" w:firstRowLastColumn="0" w:lastRowFirstColumn="0" w:lastRowLastColumn="0"/>
              <w:rPr>
                <w:rFonts w:cs="Times New Roman"/>
                <w:iCs/>
                <w:sz w:val="20"/>
                <w:szCs w:val="20"/>
              </w:rPr>
            </w:pPr>
            <w:r w:rsidRPr="00C0591E">
              <w:rPr>
                <w:rFonts w:cs="Times New Roman"/>
                <w:iCs/>
                <w:sz w:val="20"/>
                <w:szCs w:val="20"/>
              </w:rPr>
              <w:t>Examined the effect of financial statements analysis in investment decision making by commercial banks</w:t>
            </w:r>
          </w:p>
        </w:tc>
        <w:tc>
          <w:tcPr>
            <w:tcW w:w="634" w:type="pct"/>
            <w:shd w:val="clear" w:color="auto" w:fill="FFFFFF" w:themeFill="background1"/>
          </w:tcPr>
          <w:p w14:paraId="2C7AE82F" w14:textId="393D566D" w:rsidR="00263980" w:rsidRPr="00C0591E" w:rsidRDefault="005666A0" w:rsidP="001633DA">
            <w:pPr>
              <w:pStyle w:val="Default"/>
              <w:cnfStyle w:val="000000100000" w:firstRow="0" w:lastRow="0" w:firstColumn="0" w:lastColumn="0" w:oddVBand="0" w:evenVBand="0" w:oddHBand="1" w:evenHBand="0" w:firstRowFirstColumn="0" w:firstRowLastColumn="0" w:lastRowFirstColumn="0" w:lastRowLastColumn="0"/>
              <w:rPr>
                <w:iCs/>
                <w:color w:val="auto"/>
                <w:sz w:val="20"/>
                <w:szCs w:val="20"/>
              </w:rPr>
            </w:pPr>
            <w:r w:rsidRPr="00C0591E">
              <w:rPr>
                <w:iCs/>
                <w:color w:val="auto"/>
                <w:sz w:val="20"/>
                <w:szCs w:val="20"/>
              </w:rPr>
              <w:t>Survey design</w:t>
            </w:r>
          </w:p>
        </w:tc>
        <w:tc>
          <w:tcPr>
            <w:tcW w:w="1174" w:type="pct"/>
            <w:shd w:val="clear" w:color="auto" w:fill="FFFFFF" w:themeFill="background1"/>
          </w:tcPr>
          <w:p w14:paraId="022A0F52" w14:textId="53AF5303" w:rsidR="00263980" w:rsidRPr="00C0591E" w:rsidRDefault="00D56445" w:rsidP="001633DA">
            <w:pPr>
              <w:autoSpaceDE w:val="0"/>
              <w:autoSpaceDN w:val="0"/>
              <w:adjustRightInd w:val="0"/>
              <w:spacing w:after="0"/>
              <w:jc w:val="left"/>
              <w:cnfStyle w:val="000000100000" w:firstRow="0" w:lastRow="0" w:firstColumn="0" w:lastColumn="0" w:oddVBand="0" w:evenVBand="0" w:oddHBand="1" w:evenHBand="0" w:firstRowFirstColumn="0" w:firstRowLastColumn="0" w:lastRowFirstColumn="0" w:lastRowLastColumn="0"/>
              <w:rPr>
                <w:rFonts w:cs="Times New Roman"/>
                <w:iCs/>
                <w:sz w:val="20"/>
                <w:szCs w:val="20"/>
              </w:rPr>
            </w:pPr>
            <w:r w:rsidRPr="00C0591E">
              <w:rPr>
                <w:rFonts w:cs="Times New Roman"/>
                <w:iCs/>
                <w:sz w:val="20"/>
                <w:szCs w:val="20"/>
              </w:rPr>
              <w:t>Through the regression model, findings of the research indicated that financial statement analysis is the single most important statement in investment decision making</w:t>
            </w:r>
          </w:p>
        </w:tc>
        <w:tc>
          <w:tcPr>
            <w:tcW w:w="866" w:type="pct"/>
            <w:shd w:val="clear" w:color="auto" w:fill="FFFFFF" w:themeFill="background1"/>
          </w:tcPr>
          <w:p w14:paraId="229A71C4" w14:textId="123A526F" w:rsidR="00263980" w:rsidRPr="00C0591E" w:rsidRDefault="00D11FCE" w:rsidP="001633DA">
            <w:pPr>
              <w:pStyle w:val="BodyText2"/>
              <w:spacing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lang w:val="en-GB"/>
              </w:rPr>
            </w:pPr>
            <w:r w:rsidRPr="00C0591E">
              <w:rPr>
                <w:rFonts w:cs="Times New Roman"/>
                <w:bCs/>
                <w:sz w:val="20"/>
                <w:szCs w:val="20"/>
              </w:rPr>
              <w:t xml:space="preserve">The study </w:t>
            </w:r>
            <w:r w:rsidR="00B2027B" w:rsidRPr="00C0591E">
              <w:rPr>
                <w:rFonts w:cs="Times New Roman"/>
                <w:bCs/>
                <w:sz w:val="20"/>
                <w:szCs w:val="20"/>
              </w:rPr>
              <w:t xml:space="preserve">did not look at the various attributes of </w:t>
            </w:r>
            <w:r w:rsidR="008651B6" w:rsidRPr="00C0591E">
              <w:rPr>
                <w:rFonts w:cs="Times New Roman"/>
                <w:bCs/>
                <w:sz w:val="20"/>
                <w:szCs w:val="20"/>
              </w:rPr>
              <w:t xml:space="preserve">investment </w:t>
            </w:r>
            <w:r w:rsidR="007D5D96" w:rsidRPr="00C0591E">
              <w:rPr>
                <w:rFonts w:cs="Times New Roman"/>
                <w:bCs/>
                <w:sz w:val="20"/>
                <w:szCs w:val="20"/>
              </w:rPr>
              <w:t xml:space="preserve">policies </w:t>
            </w:r>
            <w:r w:rsidR="00632CE2" w:rsidRPr="00C0591E">
              <w:rPr>
                <w:rFonts w:cs="Times New Roman"/>
                <w:bCs/>
                <w:sz w:val="20"/>
                <w:szCs w:val="20"/>
              </w:rPr>
              <w:t xml:space="preserve">but </w:t>
            </w:r>
            <w:r w:rsidR="008651B6" w:rsidRPr="00C0591E">
              <w:rPr>
                <w:rFonts w:cs="Times New Roman"/>
                <w:bCs/>
                <w:sz w:val="20"/>
                <w:szCs w:val="20"/>
              </w:rPr>
              <w:t>r</w:t>
            </w:r>
            <w:r w:rsidR="00632CE2" w:rsidRPr="00C0591E">
              <w:rPr>
                <w:rFonts w:cs="Times New Roman"/>
                <w:bCs/>
                <w:sz w:val="20"/>
                <w:szCs w:val="20"/>
              </w:rPr>
              <w:t xml:space="preserve">ather </w:t>
            </w:r>
            <w:r w:rsidR="008651B6" w:rsidRPr="00C0591E">
              <w:rPr>
                <w:rFonts w:cs="Times New Roman"/>
                <w:bCs/>
                <w:sz w:val="20"/>
                <w:szCs w:val="20"/>
              </w:rPr>
              <w:t xml:space="preserve">focused </w:t>
            </w:r>
            <w:r w:rsidR="00632CE2" w:rsidRPr="00C0591E">
              <w:rPr>
                <w:rFonts w:cs="Times New Roman"/>
                <w:bCs/>
                <w:sz w:val="20"/>
                <w:szCs w:val="20"/>
              </w:rPr>
              <w:t xml:space="preserve"> only </w:t>
            </w:r>
            <w:r w:rsidR="008651B6" w:rsidRPr="00C0591E">
              <w:rPr>
                <w:rFonts w:cs="Times New Roman"/>
                <w:bCs/>
                <w:sz w:val="20"/>
                <w:szCs w:val="20"/>
              </w:rPr>
              <w:t xml:space="preserve">on </w:t>
            </w:r>
            <w:r w:rsidR="008651B6" w:rsidRPr="00C0591E">
              <w:rPr>
                <w:rFonts w:cs="Times New Roman"/>
                <w:iCs/>
                <w:sz w:val="20"/>
                <w:szCs w:val="20"/>
              </w:rPr>
              <w:t xml:space="preserve"> investment decision making</w:t>
            </w:r>
          </w:p>
        </w:tc>
        <w:tc>
          <w:tcPr>
            <w:tcW w:w="1058" w:type="pct"/>
            <w:shd w:val="clear" w:color="auto" w:fill="FFFFFF" w:themeFill="background1"/>
          </w:tcPr>
          <w:p w14:paraId="1A0B2FCB" w14:textId="03717622" w:rsidR="00263980" w:rsidRPr="00C0591E" w:rsidRDefault="007D5D96" w:rsidP="0015128E">
            <w:pPr>
              <w:autoSpaceDE w:val="0"/>
              <w:autoSpaceDN w:val="0"/>
              <w:adjustRightInd w:val="0"/>
              <w:spacing w:after="0"/>
              <w:jc w:val="left"/>
              <w:cnfStyle w:val="000000100000" w:firstRow="0" w:lastRow="0" w:firstColumn="0" w:lastColumn="0" w:oddVBand="0" w:evenVBand="0" w:oddHBand="1" w:evenHBand="0" w:firstRowFirstColumn="0" w:firstRowLastColumn="0" w:lastRowFirstColumn="0" w:lastRowLastColumn="0"/>
              <w:rPr>
                <w:rFonts w:cs="Times New Roman"/>
                <w:iCs/>
                <w:sz w:val="20"/>
                <w:szCs w:val="20"/>
              </w:rPr>
            </w:pPr>
            <w:r w:rsidRPr="00C0591E">
              <w:rPr>
                <w:rFonts w:cs="Times New Roman"/>
                <w:bCs/>
                <w:sz w:val="20"/>
                <w:szCs w:val="20"/>
                <w:lang w:val="en-GB"/>
              </w:rPr>
              <w:t>This study evaluate</w:t>
            </w:r>
            <w:r w:rsidR="0015128E" w:rsidRPr="00C0591E">
              <w:rPr>
                <w:rFonts w:cs="Times New Roman"/>
                <w:bCs/>
                <w:sz w:val="20"/>
                <w:szCs w:val="20"/>
                <w:lang w:val="en-GB"/>
              </w:rPr>
              <w:t>d</w:t>
            </w:r>
            <w:r w:rsidRPr="00C0591E">
              <w:rPr>
                <w:rFonts w:cs="Times New Roman"/>
                <w:bCs/>
                <w:sz w:val="20"/>
                <w:szCs w:val="20"/>
                <w:lang w:val="en-GB"/>
              </w:rPr>
              <w:t xml:space="preserve"> major attributes </w:t>
            </w:r>
            <w:r w:rsidR="001633DA" w:rsidRPr="00C0591E">
              <w:rPr>
                <w:rFonts w:cs="Times New Roman"/>
                <w:bCs/>
                <w:sz w:val="20"/>
                <w:szCs w:val="20"/>
                <w:lang w:val="en-GB"/>
              </w:rPr>
              <w:t xml:space="preserve">of </w:t>
            </w:r>
            <w:r w:rsidR="001633DA" w:rsidRPr="00C0591E">
              <w:rPr>
                <w:rFonts w:cs="Times New Roman"/>
                <w:bCs/>
                <w:sz w:val="20"/>
                <w:szCs w:val="20"/>
              </w:rPr>
              <w:t>investment</w:t>
            </w:r>
            <w:r w:rsidRPr="00C0591E">
              <w:rPr>
                <w:rFonts w:cs="Times New Roman"/>
                <w:bCs/>
                <w:sz w:val="20"/>
                <w:szCs w:val="20"/>
              </w:rPr>
              <w:t xml:space="preserve"> policies</w:t>
            </w:r>
            <w:r w:rsidR="008276FB" w:rsidRPr="00C0591E">
              <w:rPr>
                <w:rFonts w:cs="Times New Roman"/>
                <w:bCs/>
                <w:sz w:val="20"/>
                <w:szCs w:val="20"/>
              </w:rPr>
              <w:t xml:space="preserve"> and assess the relationship with </w:t>
            </w:r>
            <w:r w:rsidR="00667D4D" w:rsidRPr="00C0591E">
              <w:rPr>
                <w:rFonts w:cs="Times New Roman"/>
                <w:bCs/>
                <w:sz w:val="20"/>
                <w:szCs w:val="20"/>
              </w:rPr>
              <w:t>the financial performance.</w:t>
            </w:r>
          </w:p>
        </w:tc>
      </w:tr>
      <w:tr w:rsidR="00BE76C9" w:rsidRPr="00C0591E" w14:paraId="3F30212E" w14:textId="77777777" w:rsidTr="000D121C">
        <w:trPr>
          <w:trHeight w:val="983"/>
        </w:trPr>
        <w:tc>
          <w:tcPr>
            <w:cnfStyle w:val="001000000000" w:firstRow="0" w:lastRow="0" w:firstColumn="1" w:lastColumn="0" w:oddVBand="0" w:evenVBand="0" w:oddHBand="0" w:evenHBand="0" w:firstRowFirstColumn="0" w:firstRowLastColumn="0" w:lastRowFirstColumn="0" w:lastRowLastColumn="0"/>
            <w:tcW w:w="396" w:type="pct"/>
            <w:shd w:val="clear" w:color="auto" w:fill="FFFFFF" w:themeFill="background1"/>
          </w:tcPr>
          <w:p w14:paraId="6BB7326D" w14:textId="714392D8" w:rsidR="00267BE6" w:rsidRPr="00C0591E" w:rsidRDefault="00C25BBD" w:rsidP="001633DA">
            <w:pPr>
              <w:autoSpaceDE w:val="0"/>
              <w:autoSpaceDN w:val="0"/>
              <w:adjustRightInd w:val="0"/>
              <w:spacing w:after="0"/>
              <w:jc w:val="left"/>
              <w:rPr>
                <w:rFonts w:cs="Times New Roman"/>
                <w:b w:val="0"/>
                <w:sz w:val="20"/>
                <w:szCs w:val="20"/>
                <w:shd w:val="clear" w:color="auto" w:fill="FFFFFF"/>
              </w:rPr>
            </w:pPr>
            <w:r w:rsidRPr="00C0591E">
              <w:rPr>
                <w:rFonts w:cs="Times New Roman"/>
                <w:b w:val="0"/>
                <w:bCs w:val="0"/>
                <w:sz w:val="20"/>
                <w:szCs w:val="20"/>
              </w:rPr>
              <w:t>Ujunwa (</w:t>
            </w:r>
            <w:r w:rsidR="00C940EA" w:rsidRPr="00C0591E">
              <w:rPr>
                <w:rFonts w:cs="Times New Roman"/>
                <w:b w:val="0"/>
                <w:bCs w:val="0"/>
                <w:sz w:val="20"/>
                <w:szCs w:val="20"/>
              </w:rPr>
              <w:t>2019</w:t>
            </w:r>
            <w:r w:rsidRPr="00C0591E">
              <w:rPr>
                <w:rFonts w:cs="Times New Roman"/>
                <w:b w:val="0"/>
                <w:bCs w:val="0"/>
                <w:sz w:val="20"/>
                <w:szCs w:val="20"/>
              </w:rPr>
              <w:t>)</w:t>
            </w:r>
            <w:r w:rsidRPr="00C0591E">
              <w:rPr>
                <w:b w:val="0"/>
              </w:rPr>
              <w:t xml:space="preserve"> </w:t>
            </w:r>
          </w:p>
        </w:tc>
        <w:tc>
          <w:tcPr>
            <w:tcW w:w="872" w:type="pct"/>
            <w:shd w:val="clear" w:color="auto" w:fill="FFFFFF" w:themeFill="background1"/>
          </w:tcPr>
          <w:p w14:paraId="6E166486" w14:textId="77777777" w:rsidR="00267BE6" w:rsidRPr="00C0591E" w:rsidRDefault="00C25BBD" w:rsidP="001633DA">
            <w:pPr>
              <w:spacing w:after="0"/>
              <w:jc w:val="left"/>
              <w:cnfStyle w:val="000000000000" w:firstRow="0" w:lastRow="0" w:firstColumn="0" w:lastColumn="0" w:oddVBand="0" w:evenVBand="0" w:oddHBand="0" w:evenHBand="0" w:firstRowFirstColumn="0" w:firstRowLastColumn="0" w:lastRowFirstColumn="0" w:lastRowLastColumn="0"/>
              <w:rPr>
                <w:rFonts w:cs="Times New Roman"/>
                <w:iCs/>
                <w:sz w:val="20"/>
                <w:szCs w:val="20"/>
              </w:rPr>
            </w:pPr>
            <w:r w:rsidRPr="00C0591E">
              <w:rPr>
                <w:rFonts w:cs="Times New Roman"/>
                <w:iCs/>
                <w:sz w:val="20"/>
                <w:szCs w:val="20"/>
              </w:rPr>
              <w:t>Board characteristics and the financial performance of Nigerian quoted firms</w:t>
            </w:r>
          </w:p>
        </w:tc>
        <w:tc>
          <w:tcPr>
            <w:tcW w:w="634" w:type="pct"/>
            <w:shd w:val="clear" w:color="auto" w:fill="FFFFFF" w:themeFill="background1"/>
          </w:tcPr>
          <w:p w14:paraId="6C1B5C4B" w14:textId="77777777" w:rsidR="00267BE6" w:rsidRPr="00C0591E" w:rsidRDefault="007C5483" w:rsidP="001633DA">
            <w:pPr>
              <w:pStyle w:val="Default"/>
              <w:cnfStyle w:val="000000000000" w:firstRow="0" w:lastRow="0" w:firstColumn="0" w:lastColumn="0" w:oddVBand="0" w:evenVBand="0" w:oddHBand="0" w:evenHBand="0" w:firstRowFirstColumn="0" w:firstRowLastColumn="0" w:lastRowFirstColumn="0" w:lastRowLastColumn="0"/>
              <w:rPr>
                <w:iCs/>
                <w:color w:val="auto"/>
                <w:sz w:val="20"/>
                <w:szCs w:val="20"/>
              </w:rPr>
            </w:pPr>
            <w:r w:rsidRPr="00C0591E">
              <w:rPr>
                <w:iCs/>
                <w:color w:val="auto"/>
                <w:sz w:val="20"/>
                <w:szCs w:val="20"/>
              </w:rPr>
              <w:t xml:space="preserve">The study </w:t>
            </w:r>
            <w:r w:rsidR="0040412B" w:rsidRPr="00C0591E">
              <w:rPr>
                <w:iCs/>
                <w:color w:val="auto"/>
                <w:sz w:val="20"/>
                <w:szCs w:val="20"/>
              </w:rPr>
              <w:t>employed generalised least squares (GLS) regression to test the six hypotheses</w:t>
            </w:r>
          </w:p>
        </w:tc>
        <w:tc>
          <w:tcPr>
            <w:tcW w:w="1174" w:type="pct"/>
            <w:shd w:val="clear" w:color="auto" w:fill="FFFFFF" w:themeFill="background1"/>
          </w:tcPr>
          <w:p w14:paraId="70B08D93" w14:textId="77777777" w:rsidR="00267BE6" w:rsidRPr="00C0591E" w:rsidRDefault="00300D46" w:rsidP="001633DA">
            <w:pPr>
              <w:autoSpaceDE w:val="0"/>
              <w:autoSpaceDN w:val="0"/>
              <w:adjustRightInd w:val="0"/>
              <w:spacing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r w:rsidRPr="00C0591E">
              <w:rPr>
                <w:rFonts w:cs="Times New Roman"/>
                <w:iCs/>
                <w:sz w:val="20"/>
                <w:szCs w:val="20"/>
              </w:rPr>
              <w:t xml:space="preserve">The research findings showed that the board size, duality of the CEO and the diversity of was negatively correlated to the firm performance </w:t>
            </w:r>
          </w:p>
        </w:tc>
        <w:tc>
          <w:tcPr>
            <w:tcW w:w="866" w:type="pct"/>
            <w:shd w:val="clear" w:color="auto" w:fill="FFFFFF" w:themeFill="background1"/>
          </w:tcPr>
          <w:p w14:paraId="403422A2" w14:textId="77777777" w:rsidR="00267BE6" w:rsidRPr="00C0591E" w:rsidRDefault="00267BE6" w:rsidP="001633DA">
            <w:pPr>
              <w:pStyle w:val="BodyText2"/>
              <w:spacing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r w:rsidRPr="00C0591E">
              <w:rPr>
                <w:rFonts w:cs="Times New Roman"/>
                <w:sz w:val="20"/>
                <w:szCs w:val="20"/>
                <w:lang w:val="en-GB"/>
              </w:rPr>
              <w:t xml:space="preserve">The </w:t>
            </w:r>
            <w:r w:rsidR="00300D46" w:rsidRPr="00C0591E">
              <w:rPr>
                <w:rFonts w:cs="Times New Roman"/>
                <w:sz w:val="20"/>
                <w:szCs w:val="20"/>
                <w:lang w:val="en-GB"/>
              </w:rPr>
              <w:t>study did not take into account firms that are not listed and the different observations across industries.</w:t>
            </w:r>
          </w:p>
        </w:tc>
        <w:tc>
          <w:tcPr>
            <w:tcW w:w="1058" w:type="pct"/>
            <w:shd w:val="clear" w:color="auto" w:fill="FFFFFF" w:themeFill="background1"/>
          </w:tcPr>
          <w:p w14:paraId="2B217FCA" w14:textId="5F268301" w:rsidR="00267BE6" w:rsidRPr="00C0591E" w:rsidRDefault="00267BE6" w:rsidP="001633DA">
            <w:pPr>
              <w:autoSpaceDE w:val="0"/>
              <w:autoSpaceDN w:val="0"/>
              <w:adjustRightInd w:val="0"/>
              <w:spacing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r w:rsidRPr="00C0591E">
              <w:rPr>
                <w:rFonts w:cs="Times New Roman"/>
                <w:iCs/>
                <w:sz w:val="20"/>
                <w:szCs w:val="20"/>
              </w:rPr>
              <w:t xml:space="preserve">This </w:t>
            </w:r>
            <w:r w:rsidR="004605AB" w:rsidRPr="00C0591E">
              <w:rPr>
                <w:rFonts w:cs="Times New Roman"/>
                <w:iCs/>
                <w:sz w:val="20"/>
                <w:szCs w:val="20"/>
              </w:rPr>
              <w:t>was</w:t>
            </w:r>
            <w:r w:rsidRPr="00C0591E">
              <w:rPr>
                <w:rFonts w:cs="Times New Roman"/>
                <w:iCs/>
                <w:sz w:val="20"/>
                <w:szCs w:val="20"/>
              </w:rPr>
              <w:t xml:space="preserve"> addressed by incorporating corporate </w:t>
            </w:r>
            <w:r w:rsidR="001171BA" w:rsidRPr="00C0591E">
              <w:rPr>
                <w:rFonts w:cs="Times New Roman"/>
                <w:iCs/>
                <w:sz w:val="20"/>
                <w:szCs w:val="20"/>
              </w:rPr>
              <w:t>governance, control variables</w:t>
            </w:r>
            <w:r w:rsidRPr="00C0591E">
              <w:rPr>
                <w:rFonts w:cs="Times New Roman"/>
                <w:iCs/>
                <w:sz w:val="20"/>
                <w:szCs w:val="20"/>
              </w:rPr>
              <w:t xml:space="preserve"> and organizational performance.</w:t>
            </w:r>
          </w:p>
        </w:tc>
      </w:tr>
      <w:tr w:rsidR="00BE76C9" w:rsidRPr="00C0591E" w14:paraId="21DC950F" w14:textId="77777777" w:rsidTr="000D121C">
        <w:trPr>
          <w:cnfStyle w:val="000000100000" w:firstRow="0" w:lastRow="0" w:firstColumn="0" w:lastColumn="0" w:oddVBand="0" w:evenVBand="0" w:oddHBand="1" w:evenHBand="0" w:firstRowFirstColumn="0" w:firstRowLastColumn="0" w:lastRowFirstColumn="0" w:lastRowLastColumn="0"/>
          <w:trHeight w:val="1172"/>
        </w:trPr>
        <w:tc>
          <w:tcPr>
            <w:cnfStyle w:val="001000000000" w:firstRow="0" w:lastRow="0" w:firstColumn="1" w:lastColumn="0" w:oddVBand="0" w:evenVBand="0" w:oddHBand="0" w:evenHBand="0" w:firstRowFirstColumn="0" w:firstRowLastColumn="0" w:lastRowFirstColumn="0" w:lastRowLastColumn="0"/>
            <w:tcW w:w="396" w:type="pct"/>
            <w:shd w:val="clear" w:color="auto" w:fill="FFFFFF" w:themeFill="background1"/>
          </w:tcPr>
          <w:p w14:paraId="585FE54B" w14:textId="10727A5E" w:rsidR="00EA44DB" w:rsidRPr="00C0591E" w:rsidRDefault="00EA44DB" w:rsidP="00373680">
            <w:pPr>
              <w:autoSpaceDE w:val="0"/>
              <w:autoSpaceDN w:val="0"/>
              <w:adjustRightInd w:val="0"/>
              <w:spacing w:after="0"/>
              <w:jc w:val="left"/>
              <w:rPr>
                <w:rFonts w:cs="Times New Roman"/>
                <w:b w:val="0"/>
                <w:sz w:val="20"/>
                <w:szCs w:val="20"/>
                <w:lang w:val="en-GB"/>
              </w:rPr>
            </w:pPr>
            <w:r w:rsidRPr="00C0591E">
              <w:rPr>
                <w:rFonts w:cs="Times New Roman"/>
                <w:b w:val="0"/>
                <w:sz w:val="20"/>
                <w:szCs w:val="20"/>
                <w:lang w:val="en-GB"/>
              </w:rPr>
              <w:t>Maranga</w:t>
            </w:r>
            <w:r w:rsidR="00373680" w:rsidRPr="00C0591E">
              <w:rPr>
                <w:rFonts w:cs="Times New Roman"/>
                <w:b w:val="0"/>
                <w:sz w:val="20"/>
                <w:szCs w:val="20"/>
                <w:lang w:val="en-GB"/>
              </w:rPr>
              <w:t xml:space="preserve"> </w:t>
            </w:r>
            <w:r w:rsidRPr="00C0591E">
              <w:rPr>
                <w:rFonts w:cs="Times New Roman"/>
                <w:b w:val="0"/>
                <w:sz w:val="20"/>
                <w:szCs w:val="20"/>
                <w:lang w:val="en-GB"/>
              </w:rPr>
              <w:t>(2014)</w:t>
            </w:r>
          </w:p>
        </w:tc>
        <w:tc>
          <w:tcPr>
            <w:tcW w:w="872" w:type="pct"/>
            <w:shd w:val="clear" w:color="auto" w:fill="FFFFFF" w:themeFill="background1"/>
          </w:tcPr>
          <w:p w14:paraId="71EC4C81" w14:textId="325FE9A2" w:rsidR="00EA44DB" w:rsidRPr="00C0591E" w:rsidRDefault="00EA44DB" w:rsidP="001633DA">
            <w:pPr>
              <w:autoSpaceDE w:val="0"/>
              <w:autoSpaceDN w:val="0"/>
              <w:adjustRightInd w:val="0"/>
              <w:spacing w:after="0"/>
              <w:jc w:val="left"/>
              <w:cnfStyle w:val="000000100000" w:firstRow="0" w:lastRow="0" w:firstColumn="0" w:lastColumn="0" w:oddVBand="0" w:evenVBand="0" w:oddHBand="1" w:evenHBand="0" w:firstRowFirstColumn="0" w:firstRowLastColumn="0" w:lastRowFirstColumn="0" w:lastRowLastColumn="0"/>
              <w:rPr>
                <w:rFonts w:cs="Times New Roman"/>
                <w:bCs/>
                <w:iCs/>
                <w:sz w:val="20"/>
                <w:szCs w:val="20"/>
              </w:rPr>
            </w:pPr>
            <w:bookmarkStart w:id="69" w:name="_Hlk2164241"/>
            <w:r w:rsidRPr="00C0591E">
              <w:rPr>
                <w:rFonts w:cs="Times New Roman"/>
                <w:bCs/>
                <w:iCs/>
                <w:sz w:val="20"/>
                <w:szCs w:val="20"/>
              </w:rPr>
              <w:t>Effects of Corporate governance on financial performance of SMEs in Nairobi County</w:t>
            </w:r>
            <w:bookmarkEnd w:id="69"/>
          </w:p>
        </w:tc>
        <w:tc>
          <w:tcPr>
            <w:tcW w:w="634" w:type="pct"/>
            <w:shd w:val="clear" w:color="auto" w:fill="FFFFFF" w:themeFill="background1"/>
          </w:tcPr>
          <w:p w14:paraId="113FDE09" w14:textId="77777777" w:rsidR="00EA44DB" w:rsidRPr="00C0591E" w:rsidRDefault="00744D2B" w:rsidP="001633DA">
            <w:pPr>
              <w:autoSpaceDE w:val="0"/>
              <w:autoSpaceDN w:val="0"/>
              <w:adjustRightInd w:val="0"/>
              <w:spacing w:after="0"/>
              <w:jc w:val="lef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0591E">
              <w:rPr>
                <w:rFonts w:cs="Times New Roman"/>
                <w:bCs/>
                <w:iCs/>
                <w:sz w:val="20"/>
                <w:szCs w:val="20"/>
              </w:rPr>
              <w:t>Descriptive research design</w:t>
            </w:r>
          </w:p>
        </w:tc>
        <w:tc>
          <w:tcPr>
            <w:tcW w:w="1174" w:type="pct"/>
            <w:shd w:val="clear" w:color="auto" w:fill="FFFFFF" w:themeFill="background1"/>
          </w:tcPr>
          <w:p w14:paraId="5A35CBC5" w14:textId="77777777" w:rsidR="00EA44DB" w:rsidRPr="00C0591E" w:rsidRDefault="00EA44DB" w:rsidP="001633DA">
            <w:pPr>
              <w:autoSpaceDE w:val="0"/>
              <w:autoSpaceDN w:val="0"/>
              <w:adjustRightInd w:val="0"/>
              <w:spacing w:after="0"/>
              <w:jc w:val="left"/>
              <w:cnfStyle w:val="000000100000" w:firstRow="0" w:lastRow="0" w:firstColumn="0" w:lastColumn="0" w:oddVBand="0" w:evenVBand="0" w:oddHBand="1" w:evenHBand="0" w:firstRowFirstColumn="0" w:firstRowLastColumn="0" w:lastRowFirstColumn="0" w:lastRowLastColumn="0"/>
              <w:rPr>
                <w:rFonts w:cs="Times New Roman"/>
                <w:bCs/>
                <w:sz w:val="20"/>
                <w:szCs w:val="20"/>
                <w:lang w:val="en-GB"/>
              </w:rPr>
            </w:pPr>
            <w:r w:rsidRPr="00C0591E">
              <w:rPr>
                <w:rFonts w:cs="Times New Roman"/>
                <w:bCs/>
                <w:iCs/>
                <w:sz w:val="20"/>
                <w:szCs w:val="20"/>
              </w:rPr>
              <w:t xml:space="preserve">The study found that most SMEs, CEO duality prevailed predominantly though separation would result in better financial performance. </w:t>
            </w:r>
          </w:p>
        </w:tc>
        <w:tc>
          <w:tcPr>
            <w:tcW w:w="866" w:type="pct"/>
            <w:shd w:val="clear" w:color="auto" w:fill="FFFFFF" w:themeFill="background1"/>
          </w:tcPr>
          <w:p w14:paraId="5CD72FDD" w14:textId="77777777" w:rsidR="00EA44DB" w:rsidRPr="00C0591E" w:rsidRDefault="00EA44DB" w:rsidP="001633DA">
            <w:pPr>
              <w:autoSpaceDE w:val="0"/>
              <w:autoSpaceDN w:val="0"/>
              <w:adjustRightInd w:val="0"/>
              <w:spacing w:after="0"/>
              <w:jc w:val="lef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0591E">
              <w:rPr>
                <w:rFonts w:cs="Times New Roman"/>
                <w:bCs/>
                <w:sz w:val="20"/>
                <w:szCs w:val="20"/>
              </w:rPr>
              <w:t xml:space="preserve">This study narrowly focused </w:t>
            </w:r>
            <w:r w:rsidR="00471052" w:rsidRPr="00C0591E">
              <w:rPr>
                <w:rFonts w:cs="Times New Roman"/>
                <w:bCs/>
                <w:sz w:val="20"/>
                <w:szCs w:val="20"/>
              </w:rPr>
              <w:t xml:space="preserve">on </w:t>
            </w:r>
            <w:r w:rsidR="00471052" w:rsidRPr="00C0591E">
              <w:rPr>
                <w:rFonts w:cs="Times New Roman"/>
                <w:bCs/>
                <w:iCs/>
                <w:sz w:val="20"/>
                <w:szCs w:val="20"/>
              </w:rPr>
              <w:t>CEO</w:t>
            </w:r>
            <w:r w:rsidRPr="00C0591E">
              <w:rPr>
                <w:rFonts w:cs="Times New Roman"/>
                <w:bCs/>
                <w:iCs/>
                <w:sz w:val="20"/>
                <w:szCs w:val="20"/>
              </w:rPr>
              <w:t xml:space="preserve"> duality </w:t>
            </w:r>
            <w:r w:rsidRPr="00C0591E">
              <w:rPr>
                <w:rFonts w:cs="Times New Roman"/>
                <w:bCs/>
                <w:sz w:val="20"/>
                <w:szCs w:val="20"/>
              </w:rPr>
              <w:t>only- one component of corporate governance</w:t>
            </w:r>
          </w:p>
        </w:tc>
        <w:tc>
          <w:tcPr>
            <w:tcW w:w="1058" w:type="pct"/>
            <w:shd w:val="clear" w:color="auto" w:fill="FFFFFF" w:themeFill="background1"/>
          </w:tcPr>
          <w:p w14:paraId="46540F52" w14:textId="1B4B7D7A" w:rsidR="00EA44DB" w:rsidRPr="00C0591E" w:rsidRDefault="00EA44DB" w:rsidP="0015128E">
            <w:pPr>
              <w:autoSpaceDE w:val="0"/>
              <w:autoSpaceDN w:val="0"/>
              <w:adjustRightInd w:val="0"/>
              <w:spacing w:after="0"/>
              <w:jc w:val="left"/>
              <w:cnfStyle w:val="000000100000" w:firstRow="0" w:lastRow="0" w:firstColumn="0" w:lastColumn="0" w:oddVBand="0" w:evenVBand="0" w:oddHBand="1" w:evenHBand="0" w:firstRowFirstColumn="0" w:firstRowLastColumn="0" w:lastRowFirstColumn="0" w:lastRowLastColumn="0"/>
              <w:rPr>
                <w:rFonts w:cs="Times New Roman"/>
                <w:bCs/>
                <w:sz w:val="20"/>
                <w:szCs w:val="20"/>
                <w:lang w:val="en-GB"/>
              </w:rPr>
            </w:pPr>
            <w:r w:rsidRPr="00C0591E">
              <w:rPr>
                <w:rFonts w:cs="Times New Roman"/>
                <w:bCs/>
                <w:sz w:val="20"/>
                <w:szCs w:val="20"/>
                <w:lang w:val="en-GB"/>
              </w:rPr>
              <w:t>This study evaluate</w:t>
            </w:r>
            <w:r w:rsidR="0015128E" w:rsidRPr="00C0591E">
              <w:rPr>
                <w:rFonts w:cs="Times New Roman"/>
                <w:bCs/>
                <w:sz w:val="20"/>
                <w:szCs w:val="20"/>
                <w:lang w:val="en-GB"/>
              </w:rPr>
              <w:t>d</w:t>
            </w:r>
            <w:r w:rsidRPr="00C0591E">
              <w:rPr>
                <w:rFonts w:cs="Times New Roman"/>
                <w:bCs/>
                <w:sz w:val="20"/>
                <w:szCs w:val="20"/>
                <w:lang w:val="en-GB"/>
              </w:rPr>
              <w:t xml:space="preserve"> major components of corporate governance structures and practices </w:t>
            </w:r>
          </w:p>
        </w:tc>
      </w:tr>
      <w:tr w:rsidR="00BE76C9" w:rsidRPr="00C0591E" w14:paraId="24BB083B" w14:textId="77777777" w:rsidTr="00373680">
        <w:trPr>
          <w:trHeight w:val="803"/>
        </w:trPr>
        <w:tc>
          <w:tcPr>
            <w:cnfStyle w:val="001000000000" w:firstRow="0" w:lastRow="0" w:firstColumn="1" w:lastColumn="0" w:oddVBand="0" w:evenVBand="0" w:oddHBand="0" w:evenHBand="0" w:firstRowFirstColumn="0" w:firstRowLastColumn="0" w:lastRowFirstColumn="0" w:lastRowLastColumn="0"/>
            <w:tcW w:w="396" w:type="pct"/>
            <w:tcBorders>
              <w:bottom w:val="nil"/>
            </w:tcBorders>
            <w:shd w:val="clear" w:color="auto" w:fill="FFFFFF" w:themeFill="background1"/>
          </w:tcPr>
          <w:p w14:paraId="264F12E1" w14:textId="3DA579F0" w:rsidR="00267BE6" w:rsidRPr="00C0591E" w:rsidRDefault="00393EC4" w:rsidP="001633DA">
            <w:pPr>
              <w:autoSpaceDE w:val="0"/>
              <w:autoSpaceDN w:val="0"/>
              <w:adjustRightInd w:val="0"/>
              <w:spacing w:after="0"/>
              <w:jc w:val="left"/>
              <w:rPr>
                <w:rFonts w:cs="Times New Roman"/>
                <w:b w:val="0"/>
                <w:sz w:val="20"/>
                <w:szCs w:val="20"/>
                <w:lang w:val="en-GB"/>
              </w:rPr>
            </w:pPr>
            <w:r w:rsidRPr="00C0591E">
              <w:rPr>
                <w:rFonts w:cs="Times New Roman"/>
                <w:b w:val="0"/>
                <w:sz w:val="20"/>
                <w:szCs w:val="20"/>
                <w:lang w:val="en-GB"/>
              </w:rPr>
              <w:t>Kiruri, (</w:t>
            </w:r>
            <w:r w:rsidR="00C940EA" w:rsidRPr="00C0591E">
              <w:rPr>
                <w:rFonts w:cs="Times New Roman"/>
                <w:b w:val="0"/>
                <w:sz w:val="20"/>
                <w:szCs w:val="20"/>
                <w:lang w:val="en-GB"/>
              </w:rPr>
              <w:t>2019</w:t>
            </w:r>
            <w:r w:rsidRPr="00C0591E">
              <w:rPr>
                <w:rFonts w:cs="Times New Roman"/>
                <w:b w:val="0"/>
                <w:sz w:val="20"/>
                <w:szCs w:val="20"/>
                <w:lang w:val="en-GB"/>
              </w:rPr>
              <w:t>)</w:t>
            </w:r>
          </w:p>
        </w:tc>
        <w:tc>
          <w:tcPr>
            <w:tcW w:w="872" w:type="pct"/>
            <w:tcBorders>
              <w:bottom w:val="nil"/>
            </w:tcBorders>
            <w:shd w:val="clear" w:color="auto" w:fill="FFFFFF" w:themeFill="background1"/>
          </w:tcPr>
          <w:p w14:paraId="4293FE95" w14:textId="77777777" w:rsidR="00267BE6" w:rsidRPr="00C0591E" w:rsidRDefault="00393EC4" w:rsidP="001633DA">
            <w:pPr>
              <w:autoSpaceDE w:val="0"/>
              <w:autoSpaceDN w:val="0"/>
              <w:adjustRightInd w:val="0"/>
              <w:spacing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r w:rsidRPr="00C0591E">
              <w:rPr>
                <w:rFonts w:cs="Times New Roman"/>
                <w:iCs/>
                <w:sz w:val="20"/>
                <w:szCs w:val="20"/>
              </w:rPr>
              <w:t>Effects of ownership structure on bank profitability in Kenya.</w:t>
            </w:r>
          </w:p>
        </w:tc>
        <w:tc>
          <w:tcPr>
            <w:tcW w:w="634" w:type="pct"/>
            <w:tcBorders>
              <w:bottom w:val="nil"/>
            </w:tcBorders>
            <w:shd w:val="clear" w:color="auto" w:fill="FFFFFF" w:themeFill="background1"/>
          </w:tcPr>
          <w:p w14:paraId="429A607D" w14:textId="77777777" w:rsidR="00267BE6" w:rsidRPr="00C0591E" w:rsidRDefault="00393EC4" w:rsidP="001633DA">
            <w:pPr>
              <w:pStyle w:val="Default"/>
              <w:cnfStyle w:val="000000000000" w:firstRow="0" w:lastRow="0" w:firstColumn="0" w:lastColumn="0" w:oddVBand="0" w:evenVBand="0" w:oddHBand="0" w:evenHBand="0" w:firstRowFirstColumn="0" w:firstRowLastColumn="0" w:lastRowFirstColumn="0" w:lastRowLastColumn="0"/>
              <w:rPr>
                <w:color w:val="auto"/>
                <w:sz w:val="20"/>
                <w:szCs w:val="20"/>
              </w:rPr>
            </w:pPr>
            <w:r w:rsidRPr="00C0591E">
              <w:rPr>
                <w:iCs/>
                <w:color w:val="auto"/>
                <w:sz w:val="20"/>
                <w:szCs w:val="20"/>
              </w:rPr>
              <w:t>Descriptive design</w:t>
            </w:r>
          </w:p>
        </w:tc>
        <w:tc>
          <w:tcPr>
            <w:tcW w:w="1174" w:type="pct"/>
            <w:tcBorders>
              <w:bottom w:val="nil"/>
            </w:tcBorders>
            <w:shd w:val="clear" w:color="auto" w:fill="FFFFFF" w:themeFill="background1"/>
          </w:tcPr>
          <w:p w14:paraId="37746464" w14:textId="77777777" w:rsidR="00267BE6" w:rsidRPr="00C0591E" w:rsidRDefault="00EA44DB" w:rsidP="001633DA">
            <w:pPr>
              <w:autoSpaceDE w:val="0"/>
              <w:autoSpaceDN w:val="0"/>
              <w:adjustRightInd w:val="0"/>
              <w:spacing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r w:rsidRPr="00C0591E">
              <w:rPr>
                <w:rFonts w:cs="Times New Roman"/>
                <w:iCs/>
                <w:sz w:val="20"/>
                <w:szCs w:val="20"/>
              </w:rPr>
              <w:t>The study found that ownership concentration and state ownership had negative and significant effects on bank profitability while foreign ownership and domestic ownership had positive and significant effects on bank profitability.</w:t>
            </w:r>
          </w:p>
        </w:tc>
        <w:tc>
          <w:tcPr>
            <w:tcW w:w="866" w:type="pct"/>
            <w:tcBorders>
              <w:bottom w:val="nil"/>
            </w:tcBorders>
            <w:shd w:val="clear" w:color="auto" w:fill="FFFFFF" w:themeFill="background1"/>
          </w:tcPr>
          <w:p w14:paraId="073C2706" w14:textId="77777777" w:rsidR="00267BE6" w:rsidRPr="00C0591E" w:rsidRDefault="00267BE6" w:rsidP="001633DA">
            <w:pPr>
              <w:autoSpaceDE w:val="0"/>
              <w:autoSpaceDN w:val="0"/>
              <w:adjustRightInd w:val="0"/>
              <w:spacing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r w:rsidRPr="00C0591E">
              <w:rPr>
                <w:rFonts w:cs="Times New Roman"/>
                <w:iCs/>
                <w:sz w:val="20"/>
                <w:szCs w:val="20"/>
              </w:rPr>
              <w:t>The study narrowly focused on financial performance only</w:t>
            </w:r>
            <w:r w:rsidR="00393EC4" w:rsidRPr="00C0591E">
              <w:rPr>
                <w:rFonts w:cs="Times New Roman"/>
                <w:iCs/>
                <w:sz w:val="20"/>
                <w:szCs w:val="20"/>
              </w:rPr>
              <w:t xml:space="preserve"> by limiting itself to profit as a measure of performance</w:t>
            </w:r>
            <w:r w:rsidRPr="00C0591E">
              <w:rPr>
                <w:rFonts w:cs="Times New Roman"/>
                <w:iCs/>
                <w:sz w:val="20"/>
                <w:szCs w:val="20"/>
              </w:rPr>
              <w:t>.</w:t>
            </w:r>
            <w:r w:rsidRPr="00C0591E">
              <w:rPr>
                <w:rFonts w:cs="Times New Roman"/>
                <w:sz w:val="20"/>
                <w:szCs w:val="20"/>
                <w:lang w:val="en-GB"/>
              </w:rPr>
              <w:t xml:space="preserve"> </w:t>
            </w:r>
          </w:p>
        </w:tc>
        <w:tc>
          <w:tcPr>
            <w:tcW w:w="1058" w:type="pct"/>
            <w:tcBorders>
              <w:bottom w:val="nil"/>
            </w:tcBorders>
            <w:shd w:val="clear" w:color="auto" w:fill="FFFFFF" w:themeFill="background1"/>
          </w:tcPr>
          <w:p w14:paraId="29B1CABA" w14:textId="75160524" w:rsidR="00267BE6" w:rsidRPr="00C0591E" w:rsidRDefault="00267BE6" w:rsidP="0015128E">
            <w:pPr>
              <w:autoSpaceDE w:val="0"/>
              <w:autoSpaceDN w:val="0"/>
              <w:adjustRightInd w:val="0"/>
              <w:spacing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r w:rsidRPr="00C0591E">
              <w:rPr>
                <w:rFonts w:cs="Times New Roman"/>
                <w:sz w:val="20"/>
                <w:szCs w:val="20"/>
                <w:lang w:val="en-GB"/>
              </w:rPr>
              <w:t xml:space="preserve">This study non-financial measures of organization performance. </w:t>
            </w:r>
          </w:p>
        </w:tc>
      </w:tr>
      <w:tr w:rsidR="00BE76C9" w:rsidRPr="00C0591E" w14:paraId="7ED85198" w14:textId="77777777" w:rsidTr="00373680">
        <w:trPr>
          <w:cnfStyle w:val="000000100000" w:firstRow="0" w:lastRow="0" w:firstColumn="0" w:lastColumn="0" w:oddVBand="0" w:evenVBand="0" w:oddHBand="1" w:evenHBand="0" w:firstRowFirstColumn="0" w:firstRowLastColumn="0" w:lastRowFirstColumn="0" w:lastRowLastColumn="0"/>
          <w:trHeight w:val="758"/>
        </w:trPr>
        <w:tc>
          <w:tcPr>
            <w:cnfStyle w:val="001000000000" w:firstRow="0" w:lastRow="0" w:firstColumn="1" w:lastColumn="0" w:oddVBand="0" w:evenVBand="0" w:oddHBand="0" w:evenHBand="0" w:firstRowFirstColumn="0" w:firstRowLastColumn="0" w:lastRowFirstColumn="0" w:lastRowLastColumn="0"/>
            <w:tcW w:w="396" w:type="pct"/>
            <w:tcBorders>
              <w:top w:val="nil"/>
              <w:bottom w:val="nil"/>
            </w:tcBorders>
            <w:shd w:val="clear" w:color="auto" w:fill="FFFFFF" w:themeFill="background1"/>
          </w:tcPr>
          <w:p w14:paraId="36377DED" w14:textId="65E24B2E" w:rsidR="00267BE6" w:rsidRPr="00C0591E" w:rsidRDefault="00744D2B" w:rsidP="001633DA">
            <w:pPr>
              <w:autoSpaceDE w:val="0"/>
              <w:autoSpaceDN w:val="0"/>
              <w:adjustRightInd w:val="0"/>
              <w:spacing w:after="0"/>
              <w:jc w:val="left"/>
              <w:rPr>
                <w:rFonts w:cs="Times New Roman"/>
                <w:b w:val="0"/>
                <w:sz w:val="20"/>
                <w:szCs w:val="20"/>
                <w:lang w:val="en-GB"/>
              </w:rPr>
            </w:pPr>
            <w:r w:rsidRPr="00C0591E">
              <w:rPr>
                <w:rFonts w:cs="Times New Roman"/>
                <w:b w:val="0"/>
                <w:sz w:val="20"/>
                <w:szCs w:val="20"/>
                <w:lang w:val="en-GB"/>
              </w:rPr>
              <w:t xml:space="preserve">Rop, Kibet </w:t>
            </w:r>
            <w:r w:rsidR="00BE76C9" w:rsidRPr="00C0591E">
              <w:rPr>
                <w:rFonts w:cs="Times New Roman"/>
                <w:b w:val="0"/>
                <w:sz w:val="20"/>
                <w:szCs w:val="20"/>
                <w:lang w:val="en-GB"/>
              </w:rPr>
              <w:t>&amp;</w:t>
            </w:r>
            <w:r w:rsidR="00373680" w:rsidRPr="00C0591E">
              <w:rPr>
                <w:rFonts w:cs="Times New Roman"/>
                <w:b w:val="0"/>
                <w:sz w:val="20"/>
                <w:szCs w:val="20"/>
                <w:lang w:val="en-GB"/>
              </w:rPr>
              <w:t xml:space="preserve"> </w:t>
            </w:r>
            <w:r w:rsidRPr="00C0591E">
              <w:rPr>
                <w:rFonts w:cs="Times New Roman"/>
                <w:b w:val="0"/>
                <w:sz w:val="20"/>
                <w:szCs w:val="20"/>
                <w:lang w:val="en-GB"/>
              </w:rPr>
              <w:t>Bokongo (2016)</w:t>
            </w:r>
          </w:p>
        </w:tc>
        <w:tc>
          <w:tcPr>
            <w:tcW w:w="872" w:type="pct"/>
            <w:tcBorders>
              <w:top w:val="nil"/>
              <w:bottom w:val="nil"/>
            </w:tcBorders>
            <w:shd w:val="clear" w:color="auto" w:fill="FFFFFF" w:themeFill="background1"/>
          </w:tcPr>
          <w:p w14:paraId="09E6B34F" w14:textId="77777777" w:rsidR="00267BE6" w:rsidRPr="00C0591E" w:rsidRDefault="00744D2B" w:rsidP="001633DA">
            <w:pPr>
              <w:pStyle w:val="Default"/>
              <w:cnfStyle w:val="000000100000" w:firstRow="0" w:lastRow="0" w:firstColumn="0" w:lastColumn="0" w:oddVBand="0" w:evenVBand="0" w:oddHBand="1" w:evenHBand="0" w:firstRowFirstColumn="0" w:firstRowLastColumn="0" w:lastRowFirstColumn="0" w:lastRowLastColumn="0"/>
              <w:rPr>
                <w:color w:val="auto"/>
                <w:sz w:val="20"/>
                <w:szCs w:val="20"/>
              </w:rPr>
            </w:pPr>
            <w:r w:rsidRPr="00C0591E">
              <w:rPr>
                <w:color w:val="auto"/>
                <w:sz w:val="20"/>
                <w:szCs w:val="20"/>
                <w:lang w:val="en-GB"/>
              </w:rPr>
              <w:t>Effect of portfolio diversification on the financial performance of Kenyan commercial banks</w:t>
            </w:r>
          </w:p>
        </w:tc>
        <w:tc>
          <w:tcPr>
            <w:tcW w:w="634" w:type="pct"/>
            <w:tcBorders>
              <w:top w:val="nil"/>
              <w:bottom w:val="nil"/>
            </w:tcBorders>
            <w:shd w:val="clear" w:color="auto" w:fill="FFFFFF" w:themeFill="background1"/>
          </w:tcPr>
          <w:p w14:paraId="727998BD" w14:textId="77777777" w:rsidR="00267BE6" w:rsidRPr="00C0591E" w:rsidRDefault="00744D2B" w:rsidP="001633DA">
            <w:pPr>
              <w:pStyle w:val="Default"/>
              <w:cnfStyle w:val="000000100000" w:firstRow="0" w:lastRow="0" w:firstColumn="0" w:lastColumn="0" w:oddVBand="0" w:evenVBand="0" w:oddHBand="1" w:evenHBand="0" w:firstRowFirstColumn="0" w:firstRowLastColumn="0" w:lastRowFirstColumn="0" w:lastRowLastColumn="0"/>
              <w:rPr>
                <w:color w:val="auto"/>
                <w:sz w:val="20"/>
                <w:szCs w:val="20"/>
                <w:lang w:val="en-GB"/>
              </w:rPr>
            </w:pPr>
            <w:r w:rsidRPr="00C0591E">
              <w:rPr>
                <w:color w:val="auto"/>
                <w:sz w:val="20"/>
                <w:szCs w:val="20"/>
                <w:lang w:val="en-GB"/>
              </w:rPr>
              <w:t>Exploratory design</w:t>
            </w:r>
          </w:p>
        </w:tc>
        <w:tc>
          <w:tcPr>
            <w:tcW w:w="1174" w:type="pct"/>
            <w:tcBorders>
              <w:top w:val="nil"/>
              <w:bottom w:val="nil"/>
            </w:tcBorders>
            <w:shd w:val="clear" w:color="auto" w:fill="FFFFFF" w:themeFill="background1"/>
          </w:tcPr>
          <w:p w14:paraId="3DE58FF5" w14:textId="77777777" w:rsidR="00267BE6" w:rsidRPr="00C0591E" w:rsidRDefault="00011443" w:rsidP="001633DA">
            <w:pPr>
              <w:autoSpaceDE w:val="0"/>
              <w:autoSpaceDN w:val="0"/>
              <w:adjustRightInd w:val="0"/>
              <w:spacing w:after="0"/>
              <w:jc w:val="left"/>
              <w:cnfStyle w:val="000000100000" w:firstRow="0" w:lastRow="0" w:firstColumn="0" w:lastColumn="0" w:oddVBand="0" w:evenVBand="0" w:oddHBand="1" w:evenHBand="0" w:firstRowFirstColumn="0" w:firstRowLastColumn="0" w:lastRowFirstColumn="0" w:lastRowLastColumn="0"/>
              <w:rPr>
                <w:rFonts w:cs="Times New Roman"/>
                <w:bCs/>
                <w:sz w:val="20"/>
                <w:szCs w:val="20"/>
                <w:lang w:val="en-GB"/>
              </w:rPr>
            </w:pPr>
            <w:r w:rsidRPr="00C0591E">
              <w:rPr>
                <w:rFonts w:cs="Times New Roman"/>
                <w:sz w:val="20"/>
                <w:szCs w:val="20"/>
                <w:lang w:val="en-GB"/>
              </w:rPr>
              <w:t>The study found out that many banks employed the use of insurance investment on the financial performance of commercial banks.</w:t>
            </w:r>
          </w:p>
        </w:tc>
        <w:tc>
          <w:tcPr>
            <w:tcW w:w="866" w:type="pct"/>
            <w:tcBorders>
              <w:top w:val="nil"/>
              <w:bottom w:val="nil"/>
            </w:tcBorders>
            <w:shd w:val="clear" w:color="auto" w:fill="FFFFFF" w:themeFill="background1"/>
          </w:tcPr>
          <w:p w14:paraId="2AD0893D" w14:textId="77777777" w:rsidR="00267BE6" w:rsidRPr="00C0591E" w:rsidRDefault="00744D2B" w:rsidP="001633DA">
            <w:pPr>
              <w:spacing w:after="0"/>
              <w:jc w:val="lef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0591E">
              <w:rPr>
                <w:rFonts w:cs="Times New Roman"/>
                <w:bCs/>
                <w:sz w:val="20"/>
                <w:szCs w:val="20"/>
              </w:rPr>
              <w:t>The study was based on portfolio diversification and not investments.</w:t>
            </w:r>
          </w:p>
        </w:tc>
        <w:tc>
          <w:tcPr>
            <w:tcW w:w="1058" w:type="pct"/>
            <w:tcBorders>
              <w:top w:val="nil"/>
              <w:bottom w:val="nil"/>
            </w:tcBorders>
            <w:shd w:val="clear" w:color="auto" w:fill="FFFFFF" w:themeFill="background1"/>
          </w:tcPr>
          <w:p w14:paraId="1D2DBDD5" w14:textId="3BAB87D2" w:rsidR="00267BE6" w:rsidRPr="00C0591E" w:rsidRDefault="00D16084" w:rsidP="0015128E">
            <w:pPr>
              <w:autoSpaceDE w:val="0"/>
              <w:autoSpaceDN w:val="0"/>
              <w:adjustRightInd w:val="0"/>
              <w:spacing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lang w:val="en-GB"/>
              </w:rPr>
            </w:pPr>
            <w:r w:rsidRPr="00C0591E">
              <w:rPr>
                <w:rFonts w:cs="Times New Roman"/>
                <w:sz w:val="20"/>
                <w:szCs w:val="20"/>
                <w:lang w:val="en-GB"/>
              </w:rPr>
              <w:t>This study look</w:t>
            </w:r>
            <w:r w:rsidR="0015128E" w:rsidRPr="00C0591E">
              <w:rPr>
                <w:rFonts w:cs="Times New Roman"/>
                <w:sz w:val="20"/>
                <w:szCs w:val="20"/>
                <w:lang w:val="en-GB"/>
              </w:rPr>
              <w:t>ed</w:t>
            </w:r>
            <w:r w:rsidRPr="00C0591E">
              <w:rPr>
                <w:rFonts w:cs="Times New Roman"/>
                <w:sz w:val="20"/>
                <w:szCs w:val="20"/>
                <w:lang w:val="en-GB"/>
              </w:rPr>
              <w:t xml:space="preserve"> at the investment policies in relation to performance. </w:t>
            </w:r>
          </w:p>
        </w:tc>
      </w:tr>
    </w:tbl>
    <w:p w14:paraId="4BBF1D6B" w14:textId="38F84C69" w:rsidR="00373680" w:rsidRPr="00C0591E" w:rsidRDefault="00373680" w:rsidP="004D6E43">
      <w:bookmarkStart w:id="70" w:name="_Toc494643001"/>
      <w:bookmarkStart w:id="71" w:name="_Toc495672600"/>
      <w:bookmarkStart w:id="72" w:name="_Toc509254259"/>
    </w:p>
    <w:p w14:paraId="55A118F8" w14:textId="77777777" w:rsidR="00373680" w:rsidRPr="00C0591E" w:rsidRDefault="00373680" w:rsidP="00373680"/>
    <w:p w14:paraId="7F34A120" w14:textId="77777777" w:rsidR="00373680" w:rsidRPr="00C0591E" w:rsidRDefault="00373680" w:rsidP="00373680"/>
    <w:p w14:paraId="6DE0CB2D" w14:textId="77777777" w:rsidR="00373680" w:rsidRPr="00C0591E" w:rsidRDefault="00373680" w:rsidP="00373680"/>
    <w:tbl>
      <w:tblPr>
        <w:tblW w:w="5001" w:type="pct"/>
        <w:tblInd w:w="-635" w:type="dxa"/>
        <w:tblLook w:val="0000" w:firstRow="0" w:lastRow="0" w:firstColumn="0" w:lastColumn="0" w:noHBand="0" w:noVBand="0"/>
      </w:tblPr>
      <w:tblGrid>
        <w:gridCol w:w="1350"/>
        <w:gridCol w:w="2432"/>
        <w:gridCol w:w="1712"/>
        <w:gridCol w:w="3245"/>
        <w:gridCol w:w="2340"/>
        <w:gridCol w:w="2882"/>
      </w:tblGrid>
      <w:tr w:rsidR="00373680" w:rsidRPr="00C0591E" w14:paraId="4755ED03" w14:textId="77777777" w:rsidTr="00373680">
        <w:trPr>
          <w:trHeight w:val="276"/>
        </w:trPr>
        <w:tc>
          <w:tcPr>
            <w:tcW w:w="484" w:type="pct"/>
          </w:tcPr>
          <w:p w14:paraId="00049D6B" w14:textId="77777777" w:rsidR="00373680" w:rsidRPr="00C0591E" w:rsidRDefault="00373680" w:rsidP="00373680">
            <w:pPr>
              <w:snapToGrid w:val="0"/>
              <w:spacing w:after="0" w:line="240" w:lineRule="auto"/>
              <w:jc w:val="left"/>
              <w:rPr>
                <w:noProof/>
                <w:sz w:val="20"/>
                <w:szCs w:val="24"/>
              </w:rPr>
            </w:pPr>
            <w:r w:rsidRPr="00C0591E">
              <w:rPr>
                <w:noProof/>
                <w:sz w:val="20"/>
                <w:szCs w:val="24"/>
              </w:rPr>
              <w:t>Delima (2017)</w:t>
            </w:r>
          </w:p>
        </w:tc>
        <w:tc>
          <w:tcPr>
            <w:tcW w:w="871" w:type="pct"/>
          </w:tcPr>
          <w:p w14:paraId="4C17B5B0" w14:textId="77777777" w:rsidR="00373680" w:rsidRPr="00C0591E" w:rsidRDefault="00373680" w:rsidP="00373680">
            <w:pPr>
              <w:snapToGrid w:val="0"/>
              <w:spacing w:after="0" w:line="240" w:lineRule="auto"/>
              <w:jc w:val="left"/>
              <w:rPr>
                <w:noProof/>
                <w:sz w:val="20"/>
                <w:szCs w:val="24"/>
              </w:rPr>
            </w:pPr>
            <w:r w:rsidRPr="00C0591E">
              <w:rPr>
                <w:noProof/>
                <w:sz w:val="20"/>
                <w:szCs w:val="24"/>
              </w:rPr>
              <w:t>Corporate governance impact on performance in financial institutions in Sri Lanka</w:t>
            </w:r>
          </w:p>
        </w:tc>
        <w:tc>
          <w:tcPr>
            <w:tcW w:w="613" w:type="pct"/>
          </w:tcPr>
          <w:p w14:paraId="56187960" w14:textId="5F8D34E7" w:rsidR="00373680" w:rsidRPr="00C0591E" w:rsidRDefault="00373680" w:rsidP="00373680">
            <w:pPr>
              <w:snapToGrid w:val="0"/>
              <w:spacing w:after="0" w:line="240" w:lineRule="auto"/>
              <w:jc w:val="left"/>
              <w:rPr>
                <w:sz w:val="20"/>
                <w:szCs w:val="24"/>
              </w:rPr>
            </w:pPr>
            <w:r w:rsidRPr="00C0591E">
              <w:rPr>
                <w:iCs/>
                <w:sz w:val="20"/>
              </w:rPr>
              <w:t>Univariate analysis</w:t>
            </w:r>
          </w:p>
        </w:tc>
        <w:tc>
          <w:tcPr>
            <w:tcW w:w="1162" w:type="pct"/>
          </w:tcPr>
          <w:p w14:paraId="44A1F409" w14:textId="0E290103" w:rsidR="00373680" w:rsidRPr="00C0591E" w:rsidRDefault="00373680" w:rsidP="00373680">
            <w:pPr>
              <w:snapToGrid w:val="0"/>
              <w:spacing w:after="0" w:line="240" w:lineRule="auto"/>
              <w:jc w:val="left"/>
              <w:rPr>
                <w:sz w:val="20"/>
                <w:szCs w:val="24"/>
              </w:rPr>
            </w:pPr>
            <w:r w:rsidRPr="00C0591E">
              <w:rPr>
                <w:sz w:val="20"/>
                <w:szCs w:val="24"/>
              </w:rPr>
              <w:t>The study found that there was a strong positive relationship between corporate governance and performance of financial institutions. 72.7% of variation in Performance was explained by the dimension, Corporate Governance</w:t>
            </w:r>
          </w:p>
        </w:tc>
        <w:tc>
          <w:tcPr>
            <w:tcW w:w="838" w:type="pct"/>
          </w:tcPr>
          <w:p w14:paraId="141BCF78" w14:textId="77777777" w:rsidR="00373680" w:rsidRPr="00C0591E" w:rsidRDefault="00373680" w:rsidP="00373680">
            <w:pPr>
              <w:pStyle w:val="Default"/>
              <w:rPr>
                <w:iCs/>
                <w:color w:val="auto"/>
                <w:sz w:val="20"/>
              </w:rPr>
            </w:pPr>
            <w:r w:rsidRPr="00C0591E">
              <w:rPr>
                <w:iCs/>
                <w:color w:val="auto"/>
                <w:sz w:val="20"/>
              </w:rPr>
              <w:t>Univariate analysis was used while the current study used multivariate analysis thus presented a methodological gap.</w:t>
            </w:r>
          </w:p>
        </w:tc>
        <w:tc>
          <w:tcPr>
            <w:tcW w:w="1033" w:type="pct"/>
          </w:tcPr>
          <w:p w14:paraId="09F2EC0A" w14:textId="77777777" w:rsidR="00373680" w:rsidRPr="00C0591E" w:rsidRDefault="00373680" w:rsidP="00373680">
            <w:pPr>
              <w:snapToGrid w:val="0"/>
              <w:spacing w:after="0" w:line="240" w:lineRule="auto"/>
              <w:jc w:val="left"/>
              <w:rPr>
                <w:sz w:val="20"/>
                <w:szCs w:val="24"/>
              </w:rPr>
            </w:pPr>
            <w:r w:rsidRPr="00C0591E">
              <w:rPr>
                <w:sz w:val="20"/>
                <w:szCs w:val="24"/>
              </w:rPr>
              <w:t>The current study adopted a</w:t>
            </w:r>
            <w:r w:rsidRPr="00C0591E">
              <w:rPr>
                <w:sz w:val="20"/>
              </w:rPr>
              <w:t xml:space="preserve"> </w:t>
            </w:r>
            <w:r w:rsidRPr="00C0591E">
              <w:rPr>
                <w:sz w:val="20"/>
                <w:szCs w:val="24"/>
              </w:rPr>
              <w:t>cross sectional research design</w:t>
            </w:r>
          </w:p>
        </w:tc>
      </w:tr>
      <w:tr w:rsidR="00373680" w:rsidRPr="00C0591E" w14:paraId="216246EF" w14:textId="77777777" w:rsidTr="00373680">
        <w:trPr>
          <w:trHeight w:val="276"/>
        </w:trPr>
        <w:tc>
          <w:tcPr>
            <w:tcW w:w="484" w:type="pct"/>
          </w:tcPr>
          <w:p w14:paraId="3530DC06" w14:textId="77777777" w:rsidR="00373680" w:rsidRPr="00C0591E" w:rsidRDefault="00373680" w:rsidP="00373680">
            <w:pPr>
              <w:snapToGrid w:val="0"/>
              <w:spacing w:after="0" w:line="240" w:lineRule="auto"/>
              <w:jc w:val="left"/>
              <w:rPr>
                <w:noProof/>
                <w:sz w:val="20"/>
                <w:szCs w:val="24"/>
              </w:rPr>
            </w:pPr>
            <w:r w:rsidRPr="00C0591E">
              <w:rPr>
                <w:noProof/>
                <w:sz w:val="20"/>
                <w:szCs w:val="24"/>
              </w:rPr>
              <w:t>Kiratu (2016)</w:t>
            </w:r>
          </w:p>
        </w:tc>
        <w:tc>
          <w:tcPr>
            <w:tcW w:w="871" w:type="pct"/>
          </w:tcPr>
          <w:p w14:paraId="2E7592B2" w14:textId="77777777" w:rsidR="00373680" w:rsidRPr="00C0591E" w:rsidRDefault="00373680" w:rsidP="00373680">
            <w:pPr>
              <w:snapToGrid w:val="0"/>
              <w:spacing w:after="0" w:line="240" w:lineRule="auto"/>
              <w:jc w:val="left"/>
              <w:rPr>
                <w:noProof/>
                <w:sz w:val="20"/>
                <w:szCs w:val="24"/>
              </w:rPr>
            </w:pPr>
            <w:r w:rsidRPr="00C0591E">
              <w:rPr>
                <w:noProof/>
                <w:sz w:val="20"/>
                <w:szCs w:val="24"/>
              </w:rPr>
              <w:t xml:space="preserve">The influence of corporate governance on performance in Kenya with a case of Agricultural State Corporations.  </w:t>
            </w:r>
          </w:p>
        </w:tc>
        <w:tc>
          <w:tcPr>
            <w:tcW w:w="613" w:type="pct"/>
          </w:tcPr>
          <w:p w14:paraId="619574D7" w14:textId="70E4D7D9" w:rsidR="00373680" w:rsidRPr="00C0591E" w:rsidRDefault="00373680" w:rsidP="00373680">
            <w:pPr>
              <w:snapToGrid w:val="0"/>
              <w:spacing w:after="0" w:line="240" w:lineRule="auto"/>
              <w:jc w:val="left"/>
              <w:rPr>
                <w:sz w:val="20"/>
                <w:szCs w:val="24"/>
              </w:rPr>
            </w:pPr>
            <w:r w:rsidRPr="00C0591E">
              <w:rPr>
                <w:iCs/>
                <w:sz w:val="20"/>
              </w:rPr>
              <w:t>Correlational design</w:t>
            </w:r>
          </w:p>
        </w:tc>
        <w:tc>
          <w:tcPr>
            <w:tcW w:w="1162" w:type="pct"/>
          </w:tcPr>
          <w:p w14:paraId="6F897933" w14:textId="3CCB62AE" w:rsidR="00373680" w:rsidRPr="00C0591E" w:rsidRDefault="00373680" w:rsidP="00373680">
            <w:pPr>
              <w:snapToGrid w:val="0"/>
              <w:spacing w:after="0" w:line="240" w:lineRule="auto"/>
              <w:jc w:val="left"/>
              <w:rPr>
                <w:sz w:val="20"/>
                <w:szCs w:val="24"/>
              </w:rPr>
            </w:pPr>
            <w:r w:rsidRPr="00C0591E">
              <w:rPr>
                <w:sz w:val="20"/>
                <w:szCs w:val="24"/>
              </w:rPr>
              <w:t>Board structure, organizational culture and customer relation management were positively correlated to performance.</w:t>
            </w:r>
          </w:p>
        </w:tc>
        <w:tc>
          <w:tcPr>
            <w:tcW w:w="838" w:type="pct"/>
          </w:tcPr>
          <w:p w14:paraId="07FB7EC2" w14:textId="77777777" w:rsidR="00373680" w:rsidRPr="00C0591E" w:rsidRDefault="00373680" w:rsidP="00373680">
            <w:pPr>
              <w:pStyle w:val="Default"/>
              <w:rPr>
                <w:iCs/>
                <w:color w:val="auto"/>
                <w:sz w:val="20"/>
              </w:rPr>
            </w:pPr>
            <w:r w:rsidRPr="00C0591E">
              <w:rPr>
                <w:iCs/>
                <w:color w:val="auto"/>
                <w:sz w:val="20"/>
              </w:rPr>
              <w:t>The study adopted a correlational design.</w:t>
            </w:r>
            <w:r w:rsidRPr="00C0591E">
              <w:rPr>
                <w:iCs/>
                <w:sz w:val="20"/>
              </w:rPr>
              <w:t xml:space="preserve"> The study creates a methodological gap by use of a </w:t>
            </w:r>
            <w:r w:rsidRPr="00C0591E">
              <w:rPr>
                <w:iCs/>
                <w:color w:val="auto"/>
                <w:sz w:val="20"/>
              </w:rPr>
              <w:t>correlational design</w:t>
            </w:r>
            <w:r w:rsidRPr="00C0591E">
              <w:rPr>
                <w:iCs/>
                <w:sz w:val="20"/>
              </w:rPr>
              <w:t xml:space="preserve"> while the current study adopted a cross sectional survey design</w:t>
            </w:r>
          </w:p>
        </w:tc>
        <w:tc>
          <w:tcPr>
            <w:tcW w:w="1033" w:type="pct"/>
          </w:tcPr>
          <w:p w14:paraId="563A9B3D" w14:textId="77777777" w:rsidR="00373680" w:rsidRPr="00C0591E" w:rsidRDefault="00373680" w:rsidP="00373680">
            <w:pPr>
              <w:snapToGrid w:val="0"/>
              <w:spacing w:after="0" w:line="240" w:lineRule="auto"/>
              <w:jc w:val="left"/>
              <w:rPr>
                <w:iCs/>
                <w:sz w:val="20"/>
              </w:rPr>
            </w:pPr>
            <w:r w:rsidRPr="00C0591E">
              <w:rPr>
                <w:sz w:val="20"/>
                <w:szCs w:val="24"/>
              </w:rPr>
              <w:t>The current study adopted a</w:t>
            </w:r>
            <w:r w:rsidRPr="00C0591E">
              <w:rPr>
                <w:sz w:val="20"/>
              </w:rPr>
              <w:t xml:space="preserve"> </w:t>
            </w:r>
            <w:r w:rsidRPr="00C0591E">
              <w:rPr>
                <w:sz w:val="20"/>
                <w:szCs w:val="24"/>
              </w:rPr>
              <w:t>cross sectional research design</w:t>
            </w:r>
          </w:p>
        </w:tc>
      </w:tr>
      <w:tr w:rsidR="00373680" w:rsidRPr="00C0591E" w14:paraId="2AD4924A" w14:textId="77777777" w:rsidTr="00373680">
        <w:trPr>
          <w:trHeight w:val="276"/>
        </w:trPr>
        <w:tc>
          <w:tcPr>
            <w:tcW w:w="484" w:type="pct"/>
            <w:tcBorders>
              <w:bottom w:val="single" w:sz="4" w:space="0" w:color="auto"/>
            </w:tcBorders>
          </w:tcPr>
          <w:p w14:paraId="2CA3FCD3" w14:textId="1B04A249" w:rsidR="00373680" w:rsidRPr="00C0591E" w:rsidRDefault="00373680" w:rsidP="00373680">
            <w:pPr>
              <w:snapToGrid w:val="0"/>
              <w:spacing w:after="0" w:line="240" w:lineRule="auto"/>
              <w:jc w:val="left"/>
              <w:rPr>
                <w:noProof/>
                <w:sz w:val="20"/>
                <w:szCs w:val="24"/>
              </w:rPr>
            </w:pPr>
            <w:r w:rsidRPr="00C0591E">
              <w:rPr>
                <w:noProof/>
                <w:sz w:val="20"/>
                <w:szCs w:val="24"/>
              </w:rPr>
              <w:t xml:space="preserve">Akshita and Chandan (2016) </w:t>
            </w:r>
          </w:p>
          <w:p w14:paraId="2A26EBB1" w14:textId="77777777" w:rsidR="00373680" w:rsidRPr="00C0591E" w:rsidRDefault="00373680" w:rsidP="00373680">
            <w:pPr>
              <w:snapToGrid w:val="0"/>
              <w:spacing w:after="0" w:line="240" w:lineRule="auto"/>
              <w:jc w:val="left"/>
              <w:rPr>
                <w:noProof/>
                <w:sz w:val="20"/>
                <w:szCs w:val="24"/>
              </w:rPr>
            </w:pPr>
          </w:p>
        </w:tc>
        <w:tc>
          <w:tcPr>
            <w:tcW w:w="871" w:type="pct"/>
            <w:tcBorders>
              <w:bottom w:val="single" w:sz="4" w:space="0" w:color="auto"/>
            </w:tcBorders>
          </w:tcPr>
          <w:p w14:paraId="322CB241" w14:textId="77777777" w:rsidR="00373680" w:rsidRPr="00C0591E" w:rsidRDefault="00373680" w:rsidP="00373680">
            <w:pPr>
              <w:snapToGrid w:val="0"/>
              <w:spacing w:after="0" w:line="240" w:lineRule="auto"/>
              <w:jc w:val="left"/>
              <w:rPr>
                <w:noProof/>
                <w:sz w:val="20"/>
                <w:szCs w:val="24"/>
              </w:rPr>
            </w:pPr>
            <w:r w:rsidRPr="00C0591E">
              <w:rPr>
                <w:noProof/>
                <w:sz w:val="20"/>
                <w:szCs w:val="24"/>
              </w:rPr>
              <w:t>Corporate governance and performance of Indian manufacturing companies</w:t>
            </w:r>
          </w:p>
          <w:p w14:paraId="77BF2FFE" w14:textId="77777777" w:rsidR="00373680" w:rsidRPr="00C0591E" w:rsidRDefault="00373680" w:rsidP="00373680">
            <w:pPr>
              <w:snapToGrid w:val="0"/>
              <w:spacing w:after="0" w:line="240" w:lineRule="auto"/>
              <w:jc w:val="left"/>
              <w:rPr>
                <w:sz w:val="20"/>
                <w:szCs w:val="24"/>
              </w:rPr>
            </w:pPr>
          </w:p>
        </w:tc>
        <w:tc>
          <w:tcPr>
            <w:tcW w:w="613" w:type="pct"/>
            <w:tcBorders>
              <w:bottom w:val="single" w:sz="4" w:space="0" w:color="auto"/>
            </w:tcBorders>
          </w:tcPr>
          <w:p w14:paraId="778B9460" w14:textId="2E17E7AE" w:rsidR="00373680" w:rsidRPr="00C0591E" w:rsidRDefault="00373680" w:rsidP="00373680">
            <w:pPr>
              <w:snapToGrid w:val="0"/>
              <w:spacing w:after="0" w:line="240" w:lineRule="auto"/>
              <w:jc w:val="left"/>
              <w:rPr>
                <w:sz w:val="20"/>
                <w:szCs w:val="24"/>
              </w:rPr>
            </w:pPr>
            <w:r w:rsidRPr="00C0591E">
              <w:rPr>
                <w:sz w:val="20"/>
                <w:szCs w:val="24"/>
              </w:rPr>
              <w:t xml:space="preserve">Desktop review </w:t>
            </w:r>
          </w:p>
        </w:tc>
        <w:tc>
          <w:tcPr>
            <w:tcW w:w="1162" w:type="pct"/>
            <w:tcBorders>
              <w:bottom w:val="single" w:sz="4" w:space="0" w:color="auto"/>
            </w:tcBorders>
          </w:tcPr>
          <w:p w14:paraId="49C73481" w14:textId="7C92000B" w:rsidR="00373680" w:rsidRPr="00C0591E" w:rsidRDefault="00373680" w:rsidP="00373680">
            <w:pPr>
              <w:snapToGrid w:val="0"/>
              <w:spacing w:after="0" w:line="240" w:lineRule="auto"/>
              <w:jc w:val="left"/>
              <w:rPr>
                <w:sz w:val="20"/>
                <w:szCs w:val="24"/>
              </w:rPr>
            </w:pPr>
            <w:r w:rsidRPr="00C0591E">
              <w:rPr>
                <w:sz w:val="20"/>
                <w:szCs w:val="24"/>
              </w:rPr>
              <w:t>Larger boards have greater access to information which enhances making of informed decisions and performance. The results indicated that return on equity</w:t>
            </w:r>
            <w:r w:rsidRPr="00C0591E">
              <w:rPr>
                <w:sz w:val="20"/>
              </w:rPr>
              <w:t xml:space="preserve"> </w:t>
            </w:r>
            <w:r w:rsidRPr="00C0591E">
              <w:rPr>
                <w:sz w:val="20"/>
                <w:szCs w:val="24"/>
              </w:rPr>
              <w:t>and profitability was not related to corporate governance indicators</w:t>
            </w:r>
          </w:p>
        </w:tc>
        <w:tc>
          <w:tcPr>
            <w:tcW w:w="838" w:type="pct"/>
            <w:tcBorders>
              <w:bottom w:val="single" w:sz="4" w:space="0" w:color="auto"/>
            </w:tcBorders>
          </w:tcPr>
          <w:p w14:paraId="7A360390" w14:textId="77777777" w:rsidR="00373680" w:rsidRPr="00C0591E" w:rsidRDefault="00373680" w:rsidP="00373680">
            <w:pPr>
              <w:pStyle w:val="Default"/>
              <w:rPr>
                <w:iCs/>
                <w:color w:val="auto"/>
                <w:sz w:val="20"/>
              </w:rPr>
            </w:pPr>
            <w:r w:rsidRPr="00C0591E">
              <w:rPr>
                <w:iCs/>
                <w:color w:val="auto"/>
                <w:sz w:val="20"/>
              </w:rPr>
              <w:t>The study was based on empirical literature review and thus presented a methodological gap since statistical analysis was not conducted</w:t>
            </w:r>
          </w:p>
        </w:tc>
        <w:tc>
          <w:tcPr>
            <w:tcW w:w="1033" w:type="pct"/>
            <w:tcBorders>
              <w:bottom w:val="single" w:sz="4" w:space="0" w:color="auto"/>
            </w:tcBorders>
          </w:tcPr>
          <w:p w14:paraId="0533AF31" w14:textId="77777777" w:rsidR="00373680" w:rsidRPr="00C0591E" w:rsidRDefault="00373680" w:rsidP="00373680">
            <w:pPr>
              <w:snapToGrid w:val="0"/>
              <w:spacing w:after="0" w:line="240" w:lineRule="auto"/>
              <w:jc w:val="left"/>
              <w:rPr>
                <w:sz w:val="20"/>
                <w:szCs w:val="24"/>
              </w:rPr>
            </w:pPr>
            <w:r w:rsidRPr="00C0591E">
              <w:rPr>
                <w:sz w:val="20"/>
                <w:szCs w:val="24"/>
              </w:rPr>
              <w:t>The current study used primary data for statistical analysis.</w:t>
            </w:r>
          </w:p>
        </w:tc>
      </w:tr>
    </w:tbl>
    <w:p w14:paraId="475D8877" w14:textId="031A07C8" w:rsidR="00471052" w:rsidRPr="00C0591E" w:rsidRDefault="00471052" w:rsidP="00373680">
      <w:pPr>
        <w:tabs>
          <w:tab w:val="left" w:pos="1044"/>
        </w:tabs>
        <w:sectPr w:rsidR="00471052" w:rsidRPr="00C0591E" w:rsidSect="00471052">
          <w:pgSz w:w="16838" w:h="11906" w:orient="landscape"/>
          <w:pgMar w:top="1440" w:right="1440" w:bottom="1440" w:left="1440" w:header="708" w:footer="708" w:gutter="0"/>
          <w:cols w:space="708"/>
          <w:docGrid w:linePitch="360"/>
        </w:sectPr>
      </w:pPr>
    </w:p>
    <w:p w14:paraId="2400E61D" w14:textId="364DE858" w:rsidR="00267BE6" w:rsidRPr="00C0591E" w:rsidRDefault="00267BE6" w:rsidP="00347D67">
      <w:pPr>
        <w:pStyle w:val="Heading2"/>
        <w:rPr>
          <w:lang w:val="en-GB"/>
        </w:rPr>
      </w:pPr>
      <w:bookmarkStart w:id="73" w:name="_Toc113125086"/>
      <w:r w:rsidRPr="00C0591E">
        <w:rPr>
          <w:lang w:val="en-GB"/>
        </w:rPr>
        <w:t>2.</w:t>
      </w:r>
      <w:r w:rsidR="000E054B" w:rsidRPr="00C0591E">
        <w:rPr>
          <w:lang w:val="en-GB"/>
        </w:rPr>
        <w:t>4</w:t>
      </w:r>
      <w:r w:rsidRPr="00C0591E">
        <w:rPr>
          <w:lang w:val="en-GB"/>
        </w:rPr>
        <w:t xml:space="preserve"> Conceptual </w:t>
      </w:r>
      <w:r w:rsidR="00321668" w:rsidRPr="00C0591E">
        <w:rPr>
          <w:lang w:val="en-GB"/>
        </w:rPr>
        <w:t>F</w:t>
      </w:r>
      <w:r w:rsidRPr="00C0591E">
        <w:rPr>
          <w:lang w:val="en-GB"/>
        </w:rPr>
        <w:t>ramework</w:t>
      </w:r>
      <w:bookmarkEnd w:id="73"/>
    </w:p>
    <w:p w14:paraId="4274F288" w14:textId="09BED4EB" w:rsidR="00267BE6" w:rsidRPr="00C0591E" w:rsidRDefault="004D6E43" w:rsidP="00267BE6">
      <w:r w:rsidRPr="00C0591E">
        <w:t xml:space="preserve">Figure 1 depicts the interactions of the independent variable, intervening variable, moderating variable, and dependent variable in a conceptual framework. It is conceptualized that </w:t>
      </w:r>
      <w:r w:rsidR="00C32BAC">
        <w:t xml:space="preserve">pillars of </w:t>
      </w:r>
      <w:r w:rsidRPr="00C0591E">
        <w:t xml:space="preserve">corporate governance is the independent variable and performance is the dependent variable. </w:t>
      </w:r>
      <w:r w:rsidR="000C75F7" w:rsidRPr="00C0591E">
        <w:t xml:space="preserve">Investment policies </w:t>
      </w:r>
      <w:r w:rsidRPr="00C0591E">
        <w:t xml:space="preserve">is considered as an intervening variable in relationship between </w:t>
      </w:r>
      <w:r w:rsidR="00C32BAC">
        <w:t>pillars of</w:t>
      </w:r>
      <w:r w:rsidR="00C32BAC" w:rsidRPr="00C0591E">
        <w:t xml:space="preserve"> </w:t>
      </w:r>
      <w:r w:rsidR="000C75F7" w:rsidRPr="00C0591E">
        <w:t xml:space="preserve">corporate governance </w:t>
      </w:r>
      <w:r w:rsidRPr="00C0591E">
        <w:t xml:space="preserve">and </w:t>
      </w:r>
      <w:r w:rsidR="000C75F7" w:rsidRPr="00C0591E">
        <w:t>performance</w:t>
      </w:r>
      <w:r w:rsidRPr="00C0591E">
        <w:t xml:space="preserve">. </w:t>
      </w:r>
      <w:r w:rsidR="000C75F7" w:rsidRPr="00C0591E">
        <w:t xml:space="preserve">Government regulations </w:t>
      </w:r>
      <w:r w:rsidRPr="00C0591E">
        <w:t xml:space="preserve">is a moderating variable in the relationship between the </w:t>
      </w:r>
      <w:r w:rsidR="00C32BAC">
        <w:t>pillars of</w:t>
      </w:r>
      <w:r w:rsidR="00C32BAC" w:rsidRPr="00C0591E">
        <w:t xml:space="preserve"> </w:t>
      </w:r>
      <w:r w:rsidR="000C75F7" w:rsidRPr="00C0591E">
        <w:t xml:space="preserve">corporate governance and performance. </w:t>
      </w:r>
      <w:r w:rsidRPr="00C0591E">
        <w:t>The framework also depicts the</w:t>
      </w:r>
      <w:r w:rsidRPr="00C0591E">
        <w:rPr>
          <w:color w:val="000000"/>
        </w:rPr>
        <w:t xml:space="preserve"> moderation– mediator interactions on the relationship between </w:t>
      </w:r>
      <w:r w:rsidR="00C32BAC">
        <w:t>pillars of</w:t>
      </w:r>
      <w:r w:rsidR="00C32BAC" w:rsidRPr="00C0591E">
        <w:rPr>
          <w:rFonts w:eastAsia="Calibri"/>
        </w:rPr>
        <w:t xml:space="preserve"> </w:t>
      </w:r>
      <w:r w:rsidR="000C75F7" w:rsidRPr="00C0591E">
        <w:rPr>
          <w:rFonts w:eastAsia="Calibri"/>
        </w:rPr>
        <w:t>corporate governance and performance</w:t>
      </w:r>
      <w:r w:rsidRPr="00C0591E">
        <w:t>.</w:t>
      </w:r>
    </w:p>
    <w:p w14:paraId="1C32331C" w14:textId="77777777" w:rsidR="00ED2D35" w:rsidRPr="00C0591E" w:rsidRDefault="00ED2D35" w:rsidP="00744608"/>
    <w:p w14:paraId="26F9B14C" w14:textId="261F5CA7" w:rsidR="000C75F7" w:rsidRPr="00C0591E" w:rsidRDefault="00ED2D35" w:rsidP="00744608">
      <w:r w:rsidRPr="00C0591E">
        <w:rPr>
          <w:rFonts w:eastAsia="Times New Roman" w:cs="Times New Roman"/>
          <w:noProof/>
          <w:szCs w:val="24"/>
        </w:rPr>
        <mc:AlternateContent>
          <mc:Choice Requires="wpg">
            <w:drawing>
              <wp:anchor distT="0" distB="0" distL="114300" distR="114300" simplePos="0" relativeHeight="251756544" behindDoc="0" locked="0" layoutInCell="1" allowOverlap="1" wp14:anchorId="79E09895" wp14:editId="384A8537">
                <wp:simplePos x="0" y="0"/>
                <wp:positionH relativeFrom="column">
                  <wp:posOffset>0</wp:posOffset>
                </wp:positionH>
                <wp:positionV relativeFrom="paragraph">
                  <wp:posOffset>0</wp:posOffset>
                </wp:positionV>
                <wp:extent cx="5798863" cy="3942715"/>
                <wp:effectExtent l="0" t="0" r="11430" b="635"/>
                <wp:wrapNone/>
                <wp:docPr id="274" name="Group 274"/>
                <wp:cNvGraphicFramePr/>
                <a:graphic xmlns:a="http://schemas.openxmlformats.org/drawingml/2006/main">
                  <a:graphicData uri="http://schemas.microsoft.com/office/word/2010/wordprocessingGroup">
                    <wpg:wgp>
                      <wpg:cNvGrpSpPr/>
                      <wpg:grpSpPr>
                        <a:xfrm>
                          <a:off x="0" y="0"/>
                          <a:ext cx="5798863" cy="3942715"/>
                          <a:chOff x="0" y="0"/>
                          <a:chExt cx="5798863" cy="3942715"/>
                        </a:xfrm>
                      </wpg:grpSpPr>
                      <wps:wsp>
                        <wps:cNvPr id="275" name="Straight Arrow Connector 275"/>
                        <wps:cNvCnPr>
                          <a:cxnSpLocks noChangeShapeType="1"/>
                        </wps:cNvCnPr>
                        <wps:spPr bwMode="auto">
                          <a:xfrm flipV="1">
                            <a:off x="441960" y="0"/>
                            <a:ext cx="0" cy="603250"/>
                          </a:xfrm>
                          <a:prstGeom prst="straightConnector1">
                            <a:avLst/>
                          </a:prstGeom>
                          <a:noFill/>
                          <a:ln w="9525">
                            <a:solidFill>
                              <a:srgbClr val="000000"/>
                            </a:solidFill>
                            <a:round/>
                            <a:headEnd/>
                            <a:tailEnd/>
                          </a:ln>
                        </wps:spPr>
                        <wps:bodyPr/>
                      </wps:wsp>
                      <wps:wsp>
                        <wps:cNvPr id="276" name="Straight Arrow Connector 276"/>
                        <wps:cNvCnPr>
                          <a:cxnSpLocks noChangeShapeType="1"/>
                        </wps:cNvCnPr>
                        <wps:spPr bwMode="auto">
                          <a:xfrm>
                            <a:off x="441960" y="0"/>
                            <a:ext cx="4781692" cy="0"/>
                          </a:xfrm>
                          <a:prstGeom prst="straightConnector1">
                            <a:avLst/>
                          </a:prstGeom>
                          <a:noFill/>
                          <a:ln w="9525">
                            <a:solidFill>
                              <a:srgbClr val="000000"/>
                            </a:solidFill>
                            <a:round/>
                            <a:headEnd/>
                            <a:tailEnd/>
                          </a:ln>
                        </wps:spPr>
                        <wps:bodyPr/>
                      </wps:wsp>
                      <wps:wsp>
                        <wps:cNvPr id="277" name="Text Box 277"/>
                        <wps:cNvSpPr txBox="1">
                          <a:spLocks noChangeArrowheads="1"/>
                        </wps:cNvSpPr>
                        <wps:spPr bwMode="auto">
                          <a:xfrm>
                            <a:off x="0" y="601980"/>
                            <a:ext cx="1430922" cy="1945005"/>
                          </a:xfrm>
                          <a:prstGeom prst="rect">
                            <a:avLst/>
                          </a:prstGeom>
                          <a:solidFill>
                            <a:srgbClr val="FFFFFF"/>
                          </a:solidFill>
                          <a:ln w="19050">
                            <a:solidFill>
                              <a:srgbClr val="000000"/>
                            </a:solidFill>
                            <a:miter lim="800000"/>
                            <a:headEnd/>
                            <a:tailEnd/>
                          </a:ln>
                          <a:effectLst/>
                        </wps:spPr>
                        <wps:txbx>
                          <w:txbxContent>
                            <w:p w14:paraId="04717E97" w14:textId="77777777" w:rsidR="003A104A" w:rsidRDefault="003A104A" w:rsidP="00ED2D35">
                              <w:pPr>
                                <w:pStyle w:val="Heading7"/>
                                <w:ind w:left="0" w:firstLine="0"/>
                                <w:jc w:val="center"/>
                                <w:rPr>
                                  <w:b w:val="0"/>
                                  <w:bCs/>
                                  <w:sz w:val="22"/>
                                  <w:szCs w:val="22"/>
                                </w:rPr>
                              </w:pPr>
                            </w:p>
                            <w:p w14:paraId="7EED9C05" w14:textId="4234D893" w:rsidR="003A104A" w:rsidRPr="00BC34E3" w:rsidRDefault="003A104A" w:rsidP="00ED2D35">
                              <w:pPr>
                                <w:jc w:val="center"/>
                                <w:rPr>
                                  <w:b/>
                                  <w:bCs/>
                                </w:rPr>
                              </w:pPr>
                              <w:r w:rsidRPr="00AF069B">
                                <w:rPr>
                                  <w:rFonts w:cs="Times New Roman"/>
                                  <w:b/>
                                  <w:bCs/>
                                  <w:sz w:val="22"/>
                                </w:rPr>
                                <w:t xml:space="preserve">Pillars of </w:t>
                              </w:r>
                              <w:r w:rsidRPr="00ED2D35">
                                <w:rPr>
                                  <w:rFonts w:cs="Times New Roman"/>
                                  <w:b/>
                                  <w:bCs/>
                                  <w:sz w:val="22"/>
                                </w:rPr>
                                <w:t>Corporate Governance</w:t>
                              </w:r>
                            </w:p>
                            <w:p w14:paraId="7C8774C8" w14:textId="77777777" w:rsidR="003A104A" w:rsidRPr="009D00B8" w:rsidRDefault="003A104A" w:rsidP="00ED2D35">
                              <w:pPr>
                                <w:pStyle w:val="ListParagraph"/>
                                <w:spacing w:line="240" w:lineRule="auto"/>
                              </w:pPr>
                            </w:p>
                            <w:p w14:paraId="73981E5B" w14:textId="77777777" w:rsidR="003A104A" w:rsidRPr="009D00B8" w:rsidRDefault="003A104A" w:rsidP="00ED2D35">
                              <w:pPr>
                                <w:pStyle w:val="ListParagraph"/>
                                <w:spacing w:line="240" w:lineRule="auto"/>
                              </w:pPr>
                            </w:p>
                            <w:p w14:paraId="2DD17315" w14:textId="77777777" w:rsidR="003A104A" w:rsidRPr="009D00B8" w:rsidRDefault="003A104A" w:rsidP="00ED2D35">
                              <w:pPr>
                                <w:ind w:left="360"/>
                                <w:rPr>
                                  <w:sz w:val="22"/>
                                </w:rPr>
                              </w:pPr>
                            </w:p>
                            <w:p w14:paraId="5738C75E" w14:textId="77777777" w:rsidR="003A104A" w:rsidRPr="009D00B8" w:rsidRDefault="003A104A" w:rsidP="00ED2D35">
                              <w:pPr>
                                <w:ind w:left="360"/>
                                <w:rPr>
                                  <w:sz w:val="22"/>
                                </w:rPr>
                              </w:pPr>
                            </w:p>
                            <w:p w14:paraId="384539B7" w14:textId="77777777" w:rsidR="003A104A" w:rsidRPr="009D00B8" w:rsidRDefault="003A104A" w:rsidP="00ED2D35">
                              <w:pPr>
                                <w:rPr>
                                  <w:b/>
                                  <w:sz w:val="22"/>
                                </w:rPr>
                              </w:pPr>
                            </w:p>
                          </w:txbxContent>
                        </wps:txbx>
                        <wps:bodyPr rot="0" vert="horz" wrap="square" lIns="91440" tIns="45720" rIns="91440" bIns="45720" anchor="t" anchorCtr="0" upright="1">
                          <a:noAutofit/>
                        </wps:bodyPr>
                      </wps:wsp>
                      <wps:wsp>
                        <wps:cNvPr id="278" name="Text Box 278"/>
                        <wps:cNvSpPr txBox="1">
                          <a:spLocks noChangeArrowheads="1"/>
                        </wps:cNvSpPr>
                        <wps:spPr bwMode="auto">
                          <a:xfrm>
                            <a:off x="4450080" y="716280"/>
                            <a:ext cx="1348783" cy="1701165"/>
                          </a:xfrm>
                          <a:prstGeom prst="rect">
                            <a:avLst/>
                          </a:prstGeom>
                          <a:solidFill>
                            <a:srgbClr val="FFFFFF"/>
                          </a:solidFill>
                          <a:ln w="19050">
                            <a:solidFill>
                              <a:srgbClr val="000000"/>
                            </a:solidFill>
                            <a:miter lim="800000"/>
                            <a:headEnd/>
                            <a:tailEnd/>
                          </a:ln>
                          <a:effectLst/>
                        </wps:spPr>
                        <wps:txbx>
                          <w:txbxContent>
                            <w:p w14:paraId="52C3EFC8" w14:textId="77777777" w:rsidR="003A104A" w:rsidRDefault="003A104A" w:rsidP="00ED2D35">
                              <w:pPr>
                                <w:rPr>
                                  <w:sz w:val="22"/>
                                </w:rPr>
                              </w:pPr>
                            </w:p>
                            <w:p w14:paraId="1106F4FB" w14:textId="2D571012" w:rsidR="003A104A" w:rsidRDefault="003A104A" w:rsidP="00ED2D35">
                              <w:pPr>
                                <w:spacing w:after="0" w:line="240" w:lineRule="auto"/>
                              </w:pPr>
                              <w:r w:rsidRPr="00ED2D35">
                                <w:rPr>
                                  <w:rFonts w:eastAsia="Times New Roman"/>
                                  <w:b/>
                                  <w:bCs/>
                                </w:rPr>
                                <w:t>Performance</w:t>
                              </w:r>
                            </w:p>
                          </w:txbxContent>
                        </wps:txbx>
                        <wps:bodyPr rot="0" vert="horz" wrap="square" lIns="91440" tIns="45720" rIns="91440" bIns="45720" anchor="t" anchorCtr="0" upright="1">
                          <a:noAutofit/>
                        </wps:bodyPr>
                      </wps:wsp>
                      <wps:wsp>
                        <wps:cNvPr id="279" name="Text Box 279"/>
                        <wps:cNvSpPr txBox="1">
                          <a:spLocks noChangeArrowheads="1"/>
                        </wps:cNvSpPr>
                        <wps:spPr bwMode="auto">
                          <a:xfrm>
                            <a:off x="2034540" y="586740"/>
                            <a:ext cx="1515669" cy="314325"/>
                          </a:xfrm>
                          <a:prstGeom prst="rect">
                            <a:avLst/>
                          </a:prstGeom>
                          <a:solidFill>
                            <a:srgbClr val="FFFFFF"/>
                          </a:solidFill>
                          <a:ln w="9525">
                            <a:noFill/>
                            <a:miter lim="800000"/>
                            <a:headEnd/>
                            <a:tailEnd/>
                          </a:ln>
                        </wps:spPr>
                        <wps:txbx>
                          <w:txbxContent>
                            <w:p w14:paraId="52F0EBD1" w14:textId="77777777" w:rsidR="003A104A" w:rsidRPr="00AB058A" w:rsidRDefault="003A104A" w:rsidP="00ED2D35">
                              <w:pPr>
                                <w:spacing w:before="0" w:after="0" w:line="240" w:lineRule="auto"/>
                                <w:rPr>
                                  <w:b/>
                                  <w:sz w:val="22"/>
                                </w:rPr>
                              </w:pPr>
                              <w:r w:rsidRPr="00AB058A">
                                <w:rPr>
                                  <w:b/>
                                  <w:sz w:val="22"/>
                                </w:rPr>
                                <w:t>Intervening Variable</w:t>
                              </w:r>
                            </w:p>
                          </w:txbxContent>
                        </wps:txbx>
                        <wps:bodyPr rot="0" vert="horz" wrap="square" lIns="91440" tIns="45720" rIns="91440" bIns="45720" anchor="t" anchorCtr="0">
                          <a:noAutofit/>
                        </wps:bodyPr>
                      </wps:wsp>
                      <wps:wsp>
                        <wps:cNvPr id="280" name="Text Box 280"/>
                        <wps:cNvSpPr txBox="1">
                          <a:spLocks noChangeArrowheads="1"/>
                        </wps:cNvSpPr>
                        <wps:spPr bwMode="auto">
                          <a:xfrm>
                            <a:off x="1905000" y="1051560"/>
                            <a:ext cx="1522188" cy="628650"/>
                          </a:xfrm>
                          <a:prstGeom prst="rect">
                            <a:avLst/>
                          </a:prstGeom>
                          <a:solidFill>
                            <a:srgbClr val="FFFFFF"/>
                          </a:solidFill>
                          <a:ln w="19050">
                            <a:solidFill>
                              <a:srgbClr val="000000"/>
                            </a:solidFill>
                            <a:miter lim="800000"/>
                            <a:headEnd/>
                            <a:tailEnd/>
                          </a:ln>
                        </wps:spPr>
                        <wps:txbx>
                          <w:txbxContent>
                            <w:p w14:paraId="5C479B77" w14:textId="3FB580F2" w:rsidR="003A104A" w:rsidRPr="00ED2D35" w:rsidRDefault="003A104A" w:rsidP="00ED2D35">
                              <w:pPr>
                                <w:jc w:val="center"/>
                                <w:rPr>
                                  <w:b/>
                                  <w:sz w:val="22"/>
                                  <w:lang w:val="en-GB"/>
                                </w:rPr>
                              </w:pPr>
                              <w:r w:rsidRPr="00ED2D35">
                                <w:rPr>
                                  <w:b/>
                                  <w:sz w:val="22"/>
                                  <w:lang w:val="en-GB"/>
                                </w:rPr>
                                <w:t>Investment Policies</w:t>
                              </w:r>
                            </w:p>
                          </w:txbxContent>
                        </wps:txbx>
                        <wps:bodyPr rot="0" vert="horz" wrap="square" lIns="91440" tIns="45720" rIns="91440" bIns="45720" anchor="t" anchorCtr="0" upright="1">
                          <a:noAutofit/>
                        </wps:bodyPr>
                      </wps:wsp>
                      <wps:wsp>
                        <wps:cNvPr id="281" name="Text Box 281"/>
                        <wps:cNvSpPr txBox="1">
                          <a:spLocks noChangeArrowheads="1"/>
                        </wps:cNvSpPr>
                        <wps:spPr bwMode="auto">
                          <a:xfrm>
                            <a:off x="3726180" y="1127760"/>
                            <a:ext cx="469369" cy="275590"/>
                          </a:xfrm>
                          <a:prstGeom prst="rect">
                            <a:avLst/>
                          </a:prstGeom>
                          <a:solidFill>
                            <a:srgbClr val="FFFFFF"/>
                          </a:solidFill>
                          <a:ln w="9525">
                            <a:solidFill>
                              <a:sysClr val="window" lastClr="FFFFFF"/>
                            </a:solidFill>
                            <a:miter lim="800000"/>
                            <a:headEnd/>
                            <a:tailEnd/>
                          </a:ln>
                        </wps:spPr>
                        <wps:txbx>
                          <w:txbxContent>
                            <w:p w14:paraId="4224130D" w14:textId="77777777" w:rsidR="003A104A" w:rsidRPr="00D06714" w:rsidRDefault="003A104A" w:rsidP="00ED2D35">
                              <w:pPr>
                                <w:spacing w:before="0" w:line="240" w:lineRule="auto"/>
                                <w:rPr>
                                  <w:b/>
                                </w:rPr>
                              </w:pPr>
                              <w:r w:rsidRPr="00D06714">
                                <w:rPr>
                                  <w:b/>
                                </w:rPr>
                                <w:t>H</w:t>
                              </w:r>
                              <w:r>
                                <w:rPr>
                                  <w:b/>
                                </w:rPr>
                                <w:t>0</w:t>
                              </w:r>
                              <w:r w:rsidRPr="00D06714">
                                <w:rPr>
                                  <w:b/>
                                  <w:vertAlign w:val="subscript"/>
                                </w:rPr>
                                <w:t>2</w:t>
                              </w:r>
                            </w:p>
                          </w:txbxContent>
                        </wps:txbx>
                        <wps:bodyPr rot="0" vert="horz" wrap="square" lIns="91440" tIns="45720" rIns="91440" bIns="45720" anchor="t" anchorCtr="0" upright="1">
                          <a:noAutofit/>
                        </wps:bodyPr>
                      </wps:wsp>
                      <wps:wsp>
                        <wps:cNvPr id="282" name="Text Box 282"/>
                        <wps:cNvSpPr txBox="1">
                          <a:spLocks noChangeArrowheads="1"/>
                        </wps:cNvSpPr>
                        <wps:spPr bwMode="auto">
                          <a:xfrm flipH="1">
                            <a:off x="3771900" y="1859280"/>
                            <a:ext cx="488886" cy="264795"/>
                          </a:xfrm>
                          <a:prstGeom prst="rect">
                            <a:avLst/>
                          </a:prstGeom>
                          <a:solidFill>
                            <a:srgbClr val="FFFFFF"/>
                          </a:solidFill>
                          <a:ln w="9525">
                            <a:solidFill>
                              <a:sysClr val="window" lastClr="FFFFFF"/>
                            </a:solidFill>
                            <a:miter lim="800000"/>
                            <a:headEnd/>
                            <a:tailEnd/>
                          </a:ln>
                        </wps:spPr>
                        <wps:txbx>
                          <w:txbxContent>
                            <w:p w14:paraId="7CFBA5FF" w14:textId="77777777" w:rsidR="003A104A" w:rsidRPr="00D06714" w:rsidRDefault="003A104A" w:rsidP="00ED2D35">
                              <w:pPr>
                                <w:spacing w:before="0" w:after="0" w:line="240" w:lineRule="auto"/>
                                <w:rPr>
                                  <w:b/>
                                </w:rPr>
                              </w:pPr>
                              <w:r w:rsidRPr="00D06714">
                                <w:rPr>
                                  <w:b/>
                                </w:rPr>
                                <w:t>H</w:t>
                              </w:r>
                              <w:r>
                                <w:rPr>
                                  <w:b/>
                                </w:rPr>
                                <w:t>0</w:t>
                              </w:r>
                              <w:r w:rsidRPr="00D06714">
                                <w:rPr>
                                  <w:b/>
                                  <w:vertAlign w:val="subscript"/>
                                </w:rPr>
                                <w:t>4</w:t>
                              </w:r>
                            </w:p>
                          </w:txbxContent>
                        </wps:txbx>
                        <wps:bodyPr rot="0" vert="horz" wrap="square" lIns="91440" tIns="45720" rIns="91440" bIns="45720" anchor="t" anchorCtr="0" upright="1">
                          <a:noAutofit/>
                        </wps:bodyPr>
                      </wps:wsp>
                      <wps:wsp>
                        <wps:cNvPr id="283" name="Text Box 283"/>
                        <wps:cNvSpPr txBox="1">
                          <a:spLocks noChangeArrowheads="1"/>
                        </wps:cNvSpPr>
                        <wps:spPr bwMode="auto">
                          <a:xfrm>
                            <a:off x="2190749" y="2442210"/>
                            <a:ext cx="1676371" cy="678180"/>
                          </a:xfrm>
                          <a:prstGeom prst="rect">
                            <a:avLst/>
                          </a:prstGeom>
                          <a:solidFill>
                            <a:srgbClr val="FFFFFF"/>
                          </a:solidFill>
                          <a:ln w="19050">
                            <a:solidFill>
                              <a:srgbClr val="000000"/>
                            </a:solidFill>
                            <a:miter lim="800000"/>
                            <a:headEnd/>
                            <a:tailEnd/>
                          </a:ln>
                        </wps:spPr>
                        <wps:txbx>
                          <w:txbxContent>
                            <w:p w14:paraId="1BACFACE" w14:textId="2A8E316A" w:rsidR="003A104A" w:rsidRPr="002F5E12" w:rsidRDefault="003A104A" w:rsidP="00ED2D35">
                              <w:pPr>
                                <w:jc w:val="center"/>
                                <w:rPr>
                                  <w:b/>
                                  <w:sz w:val="22"/>
                                </w:rPr>
                              </w:pPr>
                              <w:r w:rsidRPr="00ED2D35">
                                <w:rPr>
                                  <w:rFonts w:eastAsiaTheme="majorEastAsia" w:cstheme="majorBidi"/>
                                  <w:b/>
                                  <w:bCs/>
                                  <w:color w:val="272727" w:themeColor="text1" w:themeTint="D8"/>
                                  <w:sz w:val="22"/>
                                </w:rPr>
                                <w:t>Government Regulations</w:t>
                              </w:r>
                            </w:p>
                          </w:txbxContent>
                        </wps:txbx>
                        <wps:bodyPr rot="0" vert="horz" wrap="square" lIns="91440" tIns="45720" rIns="91440" bIns="45720" anchor="t" anchorCtr="0" upright="1">
                          <a:noAutofit/>
                        </wps:bodyPr>
                      </wps:wsp>
                      <wps:wsp>
                        <wps:cNvPr id="284" name="Text Box 284"/>
                        <wps:cNvSpPr txBox="1">
                          <a:spLocks noChangeArrowheads="1"/>
                        </wps:cNvSpPr>
                        <wps:spPr bwMode="auto">
                          <a:xfrm>
                            <a:off x="4861560" y="2941320"/>
                            <a:ext cx="469369" cy="278296"/>
                          </a:xfrm>
                          <a:prstGeom prst="rect">
                            <a:avLst/>
                          </a:prstGeom>
                          <a:solidFill>
                            <a:srgbClr val="FFFFFF"/>
                          </a:solidFill>
                          <a:ln w="9525">
                            <a:solidFill>
                              <a:sysClr val="window" lastClr="FFFFFF"/>
                            </a:solidFill>
                            <a:miter lim="800000"/>
                            <a:headEnd/>
                            <a:tailEnd/>
                          </a:ln>
                        </wps:spPr>
                        <wps:txbx>
                          <w:txbxContent>
                            <w:p w14:paraId="561E6895" w14:textId="77777777" w:rsidR="003A104A" w:rsidRPr="00D06714" w:rsidRDefault="003A104A" w:rsidP="00ED2D35">
                              <w:pPr>
                                <w:spacing w:before="0" w:after="0" w:line="240" w:lineRule="auto"/>
                                <w:rPr>
                                  <w:b/>
                                </w:rPr>
                              </w:pPr>
                              <w:r w:rsidRPr="00D06714">
                                <w:rPr>
                                  <w:b/>
                                </w:rPr>
                                <w:t>H</w:t>
                              </w:r>
                              <w:r>
                                <w:rPr>
                                  <w:b/>
                                </w:rPr>
                                <w:t>0</w:t>
                              </w:r>
                              <w:r w:rsidRPr="00D06714">
                                <w:rPr>
                                  <w:b/>
                                  <w:vertAlign w:val="subscript"/>
                                </w:rPr>
                                <w:t>3</w:t>
                              </w:r>
                            </w:p>
                          </w:txbxContent>
                        </wps:txbx>
                        <wps:bodyPr rot="0" vert="horz" wrap="square" lIns="91440" tIns="45720" rIns="91440" bIns="45720" anchor="t" anchorCtr="0" upright="1">
                          <a:noAutofit/>
                        </wps:bodyPr>
                      </wps:wsp>
                      <wps:wsp>
                        <wps:cNvPr id="285" name="Text Box 285"/>
                        <wps:cNvSpPr txBox="1">
                          <a:spLocks noChangeArrowheads="1"/>
                        </wps:cNvSpPr>
                        <wps:spPr bwMode="auto">
                          <a:xfrm>
                            <a:off x="38100" y="3596640"/>
                            <a:ext cx="1613454" cy="346075"/>
                          </a:xfrm>
                          <a:prstGeom prst="rect">
                            <a:avLst/>
                          </a:prstGeom>
                          <a:solidFill>
                            <a:srgbClr val="FFFFFF"/>
                          </a:solidFill>
                          <a:ln w="9525">
                            <a:noFill/>
                            <a:miter lim="800000"/>
                            <a:headEnd/>
                            <a:tailEnd/>
                          </a:ln>
                        </wps:spPr>
                        <wps:txbx>
                          <w:txbxContent>
                            <w:p w14:paraId="679EFB5C" w14:textId="77777777" w:rsidR="003A104A" w:rsidRPr="00AB058A" w:rsidRDefault="003A104A" w:rsidP="00ED2D35">
                              <w:pPr>
                                <w:spacing w:before="0" w:after="0" w:line="240" w:lineRule="auto"/>
                                <w:rPr>
                                  <w:b/>
                                  <w:sz w:val="22"/>
                                </w:rPr>
                              </w:pPr>
                              <w:r w:rsidRPr="00AB058A">
                                <w:rPr>
                                  <w:b/>
                                  <w:sz w:val="22"/>
                                </w:rPr>
                                <w:t>Independent Variable</w:t>
                              </w:r>
                            </w:p>
                          </w:txbxContent>
                        </wps:txbx>
                        <wps:bodyPr rot="0" vert="horz" wrap="square" lIns="91440" tIns="45720" rIns="91440" bIns="45720" anchor="t" anchorCtr="0">
                          <a:noAutofit/>
                        </wps:bodyPr>
                      </wps:wsp>
                      <wps:wsp>
                        <wps:cNvPr id="286" name="Text Box 286"/>
                        <wps:cNvSpPr txBox="1">
                          <a:spLocks noChangeArrowheads="1"/>
                        </wps:cNvSpPr>
                        <wps:spPr bwMode="auto">
                          <a:xfrm>
                            <a:off x="4198620" y="3596640"/>
                            <a:ext cx="1495460" cy="279400"/>
                          </a:xfrm>
                          <a:prstGeom prst="rect">
                            <a:avLst/>
                          </a:prstGeom>
                          <a:solidFill>
                            <a:srgbClr val="FFFFFF"/>
                          </a:solidFill>
                          <a:ln w="9525">
                            <a:noFill/>
                            <a:miter lim="800000"/>
                            <a:headEnd/>
                            <a:tailEnd/>
                          </a:ln>
                        </wps:spPr>
                        <wps:txbx>
                          <w:txbxContent>
                            <w:p w14:paraId="591DF374" w14:textId="77777777" w:rsidR="003A104A" w:rsidRPr="009D00B8" w:rsidRDefault="003A104A" w:rsidP="00ED2D35">
                              <w:pPr>
                                <w:spacing w:before="0" w:after="0" w:line="240" w:lineRule="auto"/>
                                <w:rPr>
                                  <w:b/>
                                  <w:sz w:val="22"/>
                                </w:rPr>
                              </w:pPr>
                              <w:r w:rsidRPr="00AB058A">
                                <w:rPr>
                                  <w:b/>
                                  <w:sz w:val="22"/>
                                </w:rPr>
                                <w:t xml:space="preserve">Dependent </w:t>
                              </w:r>
                              <w:r>
                                <w:rPr>
                                  <w:b/>
                                  <w:sz w:val="22"/>
                                </w:rPr>
                                <w:t>Variable va</w:t>
                              </w:r>
                              <w:r w:rsidRPr="009D00B8">
                                <w:rPr>
                                  <w:b/>
                                  <w:sz w:val="22"/>
                                </w:rPr>
                                <w:t>Moderating Variable</w:t>
                              </w:r>
                            </w:p>
                            <w:p w14:paraId="6D118CB8" w14:textId="77777777" w:rsidR="003A104A" w:rsidRPr="00AB058A" w:rsidRDefault="003A104A" w:rsidP="00ED2D35">
                              <w:pPr>
                                <w:rPr>
                                  <w:b/>
                                  <w:sz w:val="22"/>
                                </w:rPr>
                              </w:pPr>
                              <w:r w:rsidRPr="00AB058A">
                                <w:rPr>
                                  <w:b/>
                                  <w:sz w:val="22"/>
                                </w:rPr>
                                <w:t>Variable</w:t>
                              </w:r>
                            </w:p>
                          </w:txbxContent>
                        </wps:txbx>
                        <wps:bodyPr rot="0" vert="horz" wrap="square" lIns="91440" tIns="45720" rIns="91440" bIns="45720" anchor="t" anchorCtr="0">
                          <a:noAutofit/>
                        </wps:bodyPr>
                      </wps:wsp>
                      <wps:wsp>
                        <wps:cNvPr id="287" name="Straight Arrow Connector 287"/>
                        <wps:cNvCnPr>
                          <a:cxnSpLocks/>
                        </wps:cNvCnPr>
                        <wps:spPr>
                          <a:xfrm>
                            <a:off x="5234940" y="0"/>
                            <a:ext cx="0" cy="676275"/>
                          </a:xfrm>
                          <a:prstGeom prst="straightConnector1">
                            <a:avLst/>
                          </a:prstGeom>
                          <a:noFill/>
                          <a:ln w="6350" cap="flat" cmpd="sng" algn="ctr">
                            <a:solidFill>
                              <a:sysClr val="windowText" lastClr="000000"/>
                            </a:solidFill>
                            <a:prstDash val="solid"/>
                            <a:miter lim="800000"/>
                            <a:tailEnd type="triangle"/>
                          </a:ln>
                          <a:effectLst/>
                        </wps:spPr>
                        <wps:bodyPr/>
                      </wps:wsp>
                      <wps:wsp>
                        <wps:cNvPr id="288" name="Straight Connector 288"/>
                        <wps:cNvCnPr>
                          <a:cxnSpLocks/>
                        </wps:cNvCnPr>
                        <wps:spPr>
                          <a:xfrm>
                            <a:off x="708660" y="2552700"/>
                            <a:ext cx="0" cy="923925"/>
                          </a:xfrm>
                          <a:prstGeom prst="line">
                            <a:avLst/>
                          </a:prstGeom>
                          <a:noFill/>
                          <a:ln w="6350" cap="flat" cmpd="sng" algn="ctr">
                            <a:solidFill>
                              <a:sysClr val="windowText" lastClr="000000"/>
                            </a:solidFill>
                            <a:prstDash val="solid"/>
                            <a:miter lim="800000"/>
                          </a:ln>
                          <a:effectLst/>
                        </wps:spPr>
                        <wps:bodyPr/>
                      </wps:wsp>
                      <wps:wsp>
                        <wps:cNvPr id="289" name="Straight Arrow Connector 289"/>
                        <wps:cNvCnPr>
                          <a:cxnSpLocks/>
                        </wps:cNvCnPr>
                        <wps:spPr>
                          <a:xfrm>
                            <a:off x="3421380" y="1325880"/>
                            <a:ext cx="1030655" cy="0"/>
                          </a:xfrm>
                          <a:prstGeom prst="straightConnector1">
                            <a:avLst/>
                          </a:prstGeom>
                          <a:noFill/>
                          <a:ln w="6350" cap="flat" cmpd="sng" algn="ctr">
                            <a:solidFill>
                              <a:sysClr val="windowText" lastClr="000000"/>
                            </a:solidFill>
                            <a:prstDash val="solid"/>
                            <a:miter lim="800000"/>
                            <a:tailEnd type="triangle"/>
                          </a:ln>
                          <a:effectLst/>
                        </wps:spPr>
                        <wps:bodyPr/>
                      </wps:wsp>
                      <wps:wsp>
                        <wps:cNvPr id="290" name="Text Box 290"/>
                        <wps:cNvSpPr txBox="1">
                          <a:spLocks noChangeArrowheads="1"/>
                        </wps:cNvSpPr>
                        <wps:spPr bwMode="auto">
                          <a:xfrm>
                            <a:off x="5166360" y="388620"/>
                            <a:ext cx="483512" cy="275590"/>
                          </a:xfrm>
                          <a:prstGeom prst="rect">
                            <a:avLst/>
                          </a:prstGeom>
                          <a:noFill/>
                          <a:ln w="9525">
                            <a:solidFill>
                              <a:sysClr val="window" lastClr="FFFFFF"/>
                            </a:solidFill>
                            <a:miter lim="800000"/>
                            <a:headEnd/>
                            <a:tailEnd/>
                          </a:ln>
                        </wps:spPr>
                        <wps:txbx>
                          <w:txbxContent>
                            <w:p w14:paraId="5550580B" w14:textId="77777777" w:rsidR="003A104A" w:rsidRPr="00D06714" w:rsidRDefault="003A104A" w:rsidP="00ED2D35">
                              <w:pPr>
                                <w:spacing w:before="0" w:line="240" w:lineRule="auto"/>
                                <w:rPr>
                                  <w:b/>
                                </w:rPr>
                              </w:pPr>
                              <w:r w:rsidRPr="00D06714">
                                <w:rPr>
                                  <w:b/>
                                </w:rPr>
                                <w:t>H</w:t>
                              </w:r>
                              <w:r>
                                <w:rPr>
                                  <w:b/>
                                </w:rPr>
                                <w:t>0</w:t>
                              </w:r>
                              <w:r w:rsidRPr="002E61AA">
                                <w:rPr>
                                  <w:b/>
                                  <w:vertAlign w:val="subscript"/>
                                </w:rPr>
                                <w:t>1</w:t>
                              </w:r>
                            </w:p>
                          </w:txbxContent>
                        </wps:txbx>
                        <wps:bodyPr rot="0" vert="horz" wrap="square" lIns="91440" tIns="45720" rIns="91440" bIns="45720" anchor="t" anchorCtr="0" upright="1">
                          <a:noAutofit/>
                        </wps:bodyPr>
                      </wps:wsp>
                      <wps:wsp>
                        <wps:cNvPr id="291" name="Straight Connector 291"/>
                        <wps:cNvCnPr/>
                        <wps:spPr>
                          <a:xfrm>
                            <a:off x="2720340" y="1684020"/>
                            <a:ext cx="0" cy="381000"/>
                          </a:xfrm>
                          <a:prstGeom prst="line">
                            <a:avLst/>
                          </a:prstGeom>
                          <a:noFill/>
                          <a:ln w="6350" cap="flat" cmpd="sng" algn="ctr">
                            <a:solidFill>
                              <a:sysClr val="windowText" lastClr="000000"/>
                            </a:solidFill>
                            <a:prstDash val="solid"/>
                            <a:miter lim="800000"/>
                          </a:ln>
                          <a:effectLst/>
                        </wps:spPr>
                        <wps:bodyPr/>
                      </wps:wsp>
                      <wps:wsp>
                        <wps:cNvPr id="292" name="Straight Arrow Connector 292"/>
                        <wps:cNvCnPr/>
                        <wps:spPr>
                          <a:xfrm>
                            <a:off x="2720340" y="2065020"/>
                            <a:ext cx="1725082" cy="0"/>
                          </a:xfrm>
                          <a:prstGeom prst="straightConnector1">
                            <a:avLst/>
                          </a:prstGeom>
                          <a:noFill/>
                          <a:ln w="6350" cap="flat" cmpd="sng" algn="ctr">
                            <a:solidFill>
                              <a:sysClr val="windowText" lastClr="000000"/>
                            </a:solidFill>
                            <a:prstDash val="solid"/>
                            <a:miter lim="800000"/>
                            <a:tailEnd type="triangle"/>
                          </a:ln>
                          <a:effectLst/>
                        </wps:spPr>
                        <wps:bodyPr/>
                      </wps:wsp>
                      <wps:wsp>
                        <wps:cNvPr id="293" name="Text Box 293"/>
                        <wps:cNvSpPr txBox="1">
                          <a:spLocks noChangeArrowheads="1"/>
                        </wps:cNvSpPr>
                        <wps:spPr bwMode="auto">
                          <a:xfrm>
                            <a:off x="2240280" y="3589020"/>
                            <a:ext cx="1545005" cy="346075"/>
                          </a:xfrm>
                          <a:prstGeom prst="rect">
                            <a:avLst/>
                          </a:prstGeom>
                          <a:solidFill>
                            <a:srgbClr val="FFFFFF"/>
                          </a:solidFill>
                          <a:ln w="9525">
                            <a:noFill/>
                            <a:miter lim="800000"/>
                            <a:headEnd/>
                            <a:tailEnd/>
                          </a:ln>
                        </wps:spPr>
                        <wps:txbx>
                          <w:txbxContent>
                            <w:p w14:paraId="064E78BD" w14:textId="77777777" w:rsidR="003A104A" w:rsidRPr="009D00B8" w:rsidRDefault="003A104A" w:rsidP="00ED2D35">
                              <w:pPr>
                                <w:spacing w:before="0" w:after="0" w:line="240" w:lineRule="auto"/>
                                <w:rPr>
                                  <w:b/>
                                  <w:sz w:val="22"/>
                                </w:rPr>
                              </w:pPr>
                              <w:r w:rsidRPr="009D00B8">
                                <w:rPr>
                                  <w:b/>
                                  <w:sz w:val="22"/>
                                </w:rPr>
                                <w:t>Moderating Variable</w:t>
                              </w:r>
                            </w:p>
                          </w:txbxContent>
                        </wps:txbx>
                        <wps:bodyPr rot="0" vert="horz" wrap="square" lIns="91440" tIns="45720" rIns="91440" bIns="45720" anchor="t" anchorCtr="0">
                          <a:noAutofit/>
                        </wps:bodyPr>
                      </wps:wsp>
                      <wps:wsp>
                        <wps:cNvPr id="294" name="Straight Arrow Connector 294"/>
                        <wps:cNvCnPr>
                          <a:cxnSpLocks/>
                        </wps:cNvCnPr>
                        <wps:spPr>
                          <a:xfrm flipV="1">
                            <a:off x="5227320" y="2407920"/>
                            <a:ext cx="0" cy="1069340"/>
                          </a:xfrm>
                          <a:prstGeom prst="straightConnector1">
                            <a:avLst/>
                          </a:prstGeom>
                          <a:noFill/>
                          <a:ln w="6350" cap="flat" cmpd="sng" algn="ctr">
                            <a:solidFill>
                              <a:sysClr val="windowText" lastClr="000000"/>
                            </a:solidFill>
                            <a:prstDash val="solid"/>
                            <a:miter lim="800000"/>
                            <a:tailEnd type="triangle"/>
                          </a:ln>
                          <a:effectLst/>
                        </wps:spPr>
                        <wps:bodyPr/>
                      </wps:wsp>
                      <wps:wsp>
                        <wps:cNvPr id="295" name="Straight Arrow Connector 295"/>
                        <wps:cNvCnPr>
                          <a:cxnSpLocks noChangeShapeType="1"/>
                        </wps:cNvCnPr>
                        <wps:spPr bwMode="auto">
                          <a:xfrm>
                            <a:off x="708660" y="3474720"/>
                            <a:ext cx="4519628" cy="0"/>
                          </a:xfrm>
                          <a:prstGeom prst="straightConnector1">
                            <a:avLst/>
                          </a:prstGeom>
                          <a:noFill/>
                          <a:ln w="9525">
                            <a:solidFill>
                              <a:srgbClr val="000000"/>
                            </a:solidFill>
                            <a:round/>
                            <a:headEnd type="none" w="med" len="med"/>
                            <a:tailEnd type="none" w="med" len="med"/>
                          </a:ln>
                        </wps:spPr>
                        <wps:bodyPr/>
                      </wps:wsp>
                      <wps:wsp>
                        <wps:cNvPr id="296" name="Straight Connector 296"/>
                        <wps:cNvCnPr/>
                        <wps:spPr>
                          <a:xfrm>
                            <a:off x="2926080" y="2065020"/>
                            <a:ext cx="0" cy="358472"/>
                          </a:xfrm>
                          <a:prstGeom prst="line">
                            <a:avLst/>
                          </a:prstGeom>
                          <a:noFill/>
                          <a:ln w="6350" cap="flat" cmpd="sng" algn="ctr">
                            <a:solidFill>
                              <a:sysClr val="windowText" lastClr="000000"/>
                            </a:solidFill>
                            <a:prstDash val="solid"/>
                            <a:miter lim="800000"/>
                          </a:ln>
                          <a:effectLst/>
                        </wps:spPr>
                        <wps:bodyPr/>
                      </wps:wsp>
                      <wps:wsp>
                        <wps:cNvPr id="297" name="Straight Connector 297"/>
                        <wps:cNvCnPr/>
                        <wps:spPr>
                          <a:xfrm>
                            <a:off x="1432560" y="1402080"/>
                            <a:ext cx="477801" cy="0"/>
                          </a:xfrm>
                          <a:prstGeom prst="line">
                            <a:avLst/>
                          </a:prstGeom>
                          <a:noFill/>
                          <a:ln w="6350" cap="flat" cmpd="sng" algn="ctr">
                            <a:solidFill>
                              <a:sysClr val="windowText" lastClr="000000"/>
                            </a:solidFill>
                            <a:prstDash val="solid"/>
                            <a:miter lim="800000"/>
                          </a:ln>
                          <a:effectLst/>
                        </wps:spPr>
                        <wps:bodyPr/>
                      </wps:wsp>
                      <wps:wsp>
                        <wps:cNvPr id="298" name="Straight Connector 298"/>
                        <wps:cNvCnPr/>
                        <wps:spPr>
                          <a:xfrm>
                            <a:off x="2956538" y="3101340"/>
                            <a:ext cx="0" cy="375920"/>
                          </a:xfrm>
                          <a:prstGeom prst="line">
                            <a:avLst/>
                          </a:prstGeom>
                          <a:noFill/>
                          <a:ln w="6350" cap="flat" cmpd="sng" algn="ctr">
                            <a:solidFill>
                              <a:sysClr val="windowText" lastClr="000000"/>
                            </a:solidFill>
                            <a:prstDash val="solid"/>
                            <a:miter lim="800000"/>
                          </a:ln>
                          <a:effectLst/>
                        </wps:spPr>
                        <wps:bodyPr/>
                      </wps:wsp>
                    </wpg:wgp>
                  </a:graphicData>
                </a:graphic>
              </wp:anchor>
            </w:drawing>
          </mc:Choice>
          <mc:Fallback>
            <w:pict>
              <v:group w14:anchorId="79E09895" id="Group 274" o:spid="_x0000_s1026" style="position:absolute;left:0;text-align:left;margin-left:0;margin-top:0;width:456.6pt;height:310.45pt;z-index:251756544" coordsize="57988,394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">
                <v:shapetype id="_x0000_t32" coordsize="21600,21600" o:spt="32" o:oned="t" path="m,l21600,21600e" filled="f">
                  <v:path arrowok="t" fillok="f" o:connecttype="none"/>
                  <o:lock v:ext="edit" shapetype="t"/>
                </v:shapetype>
                <v:shape id="Straight Arrow Connector 275" o:spid="_x0000_s1027" type="#_x0000_t32" style="position:absolute;left:4419;width:0;height:603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"/>
                <v:shape id="Straight Arrow Connector 276" o:spid="_x0000_s1028" type="#_x0000_t32" style="position:absolute;left:4419;width:478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"/>
                <v:shapetype id="_x0000_t202" coordsize="21600,21600" o:spt="202" path="m,l,21600r21600,l21600,xe">
                  <v:stroke joinstyle="miter"/>
                  <v:path gradientshapeok="t" o:connecttype="rect"/>
                </v:shapetype>
                <v:shape id="Text Box 277" o:spid="_x0000_s1029" type="#_x0000_t202" style="position:absolute;top:6019;width:14309;height:19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" strokeweight="1.5pt">
                  <v:textbox>
                    <w:txbxContent>
                      <w:p w14:paraId="04717E97" w14:textId="77777777" w:rsidR="003A104A" w:rsidRDefault="003A104A" w:rsidP="00ED2D35">
                        <w:pPr>
                          <w:pStyle w:val="Heading7"/>
                          <w:ind w:left="0" w:firstLine="0"/>
                          <w:jc w:val="center"/>
                          <w:rPr>
                            <w:b w:val="0"/>
                            <w:bCs/>
                            <w:sz w:val="22"/>
                            <w:szCs w:val="22"/>
                          </w:rPr>
                        </w:pPr>
                      </w:p>
                      <w:p w14:paraId="7EED9C05" w14:textId="4234D893" w:rsidR="003A104A" w:rsidRPr="00BC34E3" w:rsidRDefault="003A104A" w:rsidP="00ED2D35">
                        <w:pPr>
                          <w:jc w:val="center"/>
                          <w:rPr>
                            <w:b/>
                            <w:bCs/>
                          </w:rPr>
                        </w:pPr>
                        <w:r w:rsidRPr="00AF069B">
                          <w:rPr>
                            <w:rFonts w:cs="Times New Roman"/>
                            <w:b/>
                            <w:bCs/>
                            <w:sz w:val="22"/>
                          </w:rPr>
                          <w:t xml:space="preserve">Pillars of </w:t>
                        </w:r>
                        <w:r w:rsidRPr="00ED2D35">
                          <w:rPr>
                            <w:rFonts w:cs="Times New Roman"/>
                            <w:b/>
                            <w:bCs/>
                            <w:sz w:val="22"/>
                          </w:rPr>
                          <w:t>Corporate Governance</w:t>
                        </w:r>
                      </w:p>
                      <w:p w14:paraId="7C8774C8" w14:textId="77777777" w:rsidR="003A104A" w:rsidRPr="009D00B8" w:rsidRDefault="003A104A" w:rsidP="00ED2D35">
                        <w:pPr>
                          <w:pStyle w:val="ListParagraph"/>
                          <w:spacing w:line="240" w:lineRule="auto"/>
                        </w:pPr>
                      </w:p>
                      <w:p w14:paraId="73981E5B" w14:textId="77777777" w:rsidR="003A104A" w:rsidRPr="009D00B8" w:rsidRDefault="003A104A" w:rsidP="00ED2D35">
                        <w:pPr>
                          <w:pStyle w:val="ListParagraph"/>
                          <w:spacing w:line="240" w:lineRule="auto"/>
                        </w:pPr>
                      </w:p>
                      <w:p w14:paraId="2DD17315" w14:textId="77777777" w:rsidR="003A104A" w:rsidRPr="009D00B8" w:rsidRDefault="003A104A" w:rsidP="00ED2D35">
                        <w:pPr>
                          <w:ind w:left="360"/>
                          <w:rPr>
                            <w:sz w:val="22"/>
                          </w:rPr>
                        </w:pPr>
                      </w:p>
                      <w:p w14:paraId="5738C75E" w14:textId="77777777" w:rsidR="003A104A" w:rsidRPr="009D00B8" w:rsidRDefault="003A104A" w:rsidP="00ED2D35">
                        <w:pPr>
                          <w:ind w:left="360"/>
                          <w:rPr>
                            <w:sz w:val="22"/>
                          </w:rPr>
                        </w:pPr>
                      </w:p>
                      <w:p w14:paraId="384539B7" w14:textId="77777777" w:rsidR="003A104A" w:rsidRPr="009D00B8" w:rsidRDefault="003A104A" w:rsidP="00ED2D35">
                        <w:pPr>
                          <w:rPr>
                            <w:b/>
                            <w:sz w:val="22"/>
                          </w:rPr>
                        </w:pPr>
                      </w:p>
                    </w:txbxContent>
                  </v:textbox>
                </v:shape>
                <v:shape id="Text Box 278" o:spid="_x0000_s1030" type="#_x0000_t202" style="position:absolute;left:44500;top:7162;width:13488;height:170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" strokeweight="1.5pt">
                  <v:textbox>
                    <w:txbxContent>
                      <w:p w14:paraId="52C3EFC8" w14:textId="77777777" w:rsidR="003A104A" w:rsidRDefault="003A104A" w:rsidP="00ED2D35">
                        <w:pPr>
                          <w:rPr>
                            <w:sz w:val="22"/>
                          </w:rPr>
                        </w:pPr>
                      </w:p>
                      <w:p w14:paraId="1106F4FB" w14:textId="2D571012" w:rsidR="003A104A" w:rsidRDefault="003A104A" w:rsidP="00ED2D35">
                        <w:pPr>
                          <w:spacing w:after="0" w:line="240" w:lineRule="auto"/>
                        </w:pPr>
                        <w:r w:rsidRPr="00ED2D35">
                          <w:rPr>
                            <w:rFonts w:eastAsia="Times New Roman"/>
                            <w:b/>
                            <w:bCs/>
                          </w:rPr>
                          <w:t>Performance</w:t>
                        </w:r>
                      </w:p>
                    </w:txbxContent>
                  </v:textbox>
                </v:shape>
                <v:shape id="Text Box 279" o:spid="_x0000_s1031" type="#_x0000_t202" style="position:absolute;left:20345;top:5867;width:15157;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" stroked="f">
                  <v:textbox>
                    <w:txbxContent>
                      <w:p w14:paraId="52F0EBD1" w14:textId="77777777" w:rsidR="003A104A" w:rsidRPr="00AB058A" w:rsidRDefault="003A104A" w:rsidP="00ED2D35">
                        <w:pPr>
                          <w:spacing w:before="0" w:after="0" w:line="240" w:lineRule="auto"/>
                          <w:rPr>
                            <w:b/>
                            <w:sz w:val="22"/>
                          </w:rPr>
                        </w:pPr>
                        <w:r w:rsidRPr="00AB058A">
                          <w:rPr>
                            <w:b/>
                            <w:sz w:val="22"/>
                          </w:rPr>
                          <w:t>Intervening Variable</w:t>
                        </w:r>
                      </w:p>
                    </w:txbxContent>
                  </v:textbox>
                </v:shape>
                <v:shape id="Text Box 280" o:spid="_x0000_s1032" type="#_x0000_t202" style="position:absolute;left:19050;top:10515;width:15221;height:6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" strokeweight="1.5pt">
                  <v:textbox>
                    <w:txbxContent>
                      <w:p w14:paraId="5C479B77" w14:textId="3FB580F2" w:rsidR="003A104A" w:rsidRPr="00ED2D35" w:rsidRDefault="003A104A" w:rsidP="00ED2D35">
                        <w:pPr>
                          <w:jc w:val="center"/>
                          <w:rPr>
                            <w:b/>
                            <w:sz w:val="22"/>
                            <w:lang w:val="en-GB"/>
                          </w:rPr>
                        </w:pPr>
                        <w:r w:rsidRPr="00ED2D35">
                          <w:rPr>
                            <w:b/>
                            <w:sz w:val="22"/>
                            <w:lang w:val="en-GB"/>
                          </w:rPr>
                          <w:t>Investment Policies</w:t>
                        </w:r>
                      </w:p>
                    </w:txbxContent>
                  </v:textbox>
                </v:shape>
                <v:shape id="Text Box 281" o:spid="_x0000_s1033" type="#_x0000_t202" style="position:absolute;left:37261;top:11277;width:4694;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" strokecolor="window">
                  <v:textbox>
                    <w:txbxContent>
                      <w:p w14:paraId="4224130D" w14:textId="77777777" w:rsidR="003A104A" w:rsidRPr="00D06714" w:rsidRDefault="003A104A" w:rsidP="00ED2D35">
                        <w:pPr>
                          <w:spacing w:before="0" w:line="240" w:lineRule="auto"/>
                          <w:rPr>
                            <w:b/>
                          </w:rPr>
                        </w:pPr>
                        <w:r w:rsidRPr="00D06714">
                          <w:rPr>
                            <w:b/>
                          </w:rPr>
                          <w:t>H</w:t>
                        </w:r>
                        <w:r>
                          <w:rPr>
                            <w:b/>
                          </w:rPr>
                          <w:t>0</w:t>
                        </w:r>
                        <w:r w:rsidRPr="00D06714">
                          <w:rPr>
                            <w:b/>
                            <w:vertAlign w:val="subscript"/>
                          </w:rPr>
                          <w:t>2</w:t>
                        </w:r>
                      </w:p>
                    </w:txbxContent>
                  </v:textbox>
                </v:shape>
                <v:shape id="Text Box 282" o:spid="_x0000_s1034" type="#_x0000_t202" style="position:absolute;left:37719;top:18592;width:4888;height:264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" strokecolor="window">
                  <v:textbox>
                    <w:txbxContent>
                      <w:p w14:paraId="7CFBA5FF" w14:textId="77777777" w:rsidR="003A104A" w:rsidRPr="00D06714" w:rsidRDefault="003A104A" w:rsidP="00ED2D35">
                        <w:pPr>
                          <w:spacing w:before="0" w:after="0" w:line="240" w:lineRule="auto"/>
                          <w:rPr>
                            <w:b/>
                          </w:rPr>
                        </w:pPr>
                        <w:r w:rsidRPr="00D06714">
                          <w:rPr>
                            <w:b/>
                          </w:rPr>
                          <w:t>H</w:t>
                        </w:r>
                        <w:r>
                          <w:rPr>
                            <w:b/>
                          </w:rPr>
                          <w:t>0</w:t>
                        </w:r>
                        <w:r w:rsidRPr="00D06714">
                          <w:rPr>
                            <w:b/>
                            <w:vertAlign w:val="subscript"/>
                          </w:rPr>
                          <w:t>4</w:t>
                        </w:r>
                      </w:p>
                    </w:txbxContent>
                  </v:textbox>
                </v:shape>
                <v:shape id="Text Box 283" o:spid="_x0000_s1035" type="#_x0000_t202" style="position:absolute;left:21907;top:24422;width:16764;height:6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" strokeweight="1.5pt">
                  <v:textbox>
                    <w:txbxContent>
                      <w:p w14:paraId="1BACFACE" w14:textId="2A8E316A" w:rsidR="003A104A" w:rsidRPr="002F5E12" w:rsidRDefault="003A104A" w:rsidP="00ED2D35">
                        <w:pPr>
                          <w:jc w:val="center"/>
                          <w:rPr>
                            <w:b/>
                            <w:sz w:val="22"/>
                          </w:rPr>
                        </w:pPr>
                        <w:r w:rsidRPr="00ED2D35">
                          <w:rPr>
                            <w:rFonts w:eastAsiaTheme="majorEastAsia" w:cstheme="majorBidi"/>
                            <w:b/>
                            <w:bCs/>
                            <w:color w:val="272727" w:themeColor="text1" w:themeTint="D8"/>
                            <w:sz w:val="22"/>
                          </w:rPr>
                          <w:t>Government Regulations</w:t>
                        </w:r>
                      </w:p>
                    </w:txbxContent>
                  </v:textbox>
                </v:shape>
                <v:shape id="Text Box 284" o:spid="_x0000_s1036" type="#_x0000_t202" style="position:absolute;left:48615;top:29413;width:4694;height:2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" strokecolor="window">
                  <v:textbox>
                    <w:txbxContent>
                      <w:p w14:paraId="561E6895" w14:textId="77777777" w:rsidR="003A104A" w:rsidRPr="00D06714" w:rsidRDefault="003A104A" w:rsidP="00ED2D35">
                        <w:pPr>
                          <w:spacing w:before="0" w:after="0" w:line="240" w:lineRule="auto"/>
                          <w:rPr>
                            <w:b/>
                          </w:rPr>
                        </w:pPr>
                        <w:r w:rsidRPr="00D06714">
                          <w:rPr>
                            <w:b/>
                          </w:rPr>
                          <w:t>H</w:t>
                        </w:r>
                        <w:r>
                          <w:rPr>
                            <w:b/>
                          </w:rPr>
                          <w:t>0</w:t>
                        </w:r>
                        <w:r w:rsidRPr="00D06714">
                          <w:rPr>
                            <w:b/>
                            <w:vertAlign w:val="subscript"/>
                          </w:rPr>
                          <w:t>3</w:t>
                        </w:r>
                      </w:p>
                    </w:txbxContent>
                  </v:textbox>
                </v:shape>
                <v:shape id="Text Box 285" o:spid="_x0000_s1037" type="#_x0000_t202" style="position:absolute;left:381;top:35966;width:16134;height:3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" stroked="f">
                  <v:textbox>
                    <w:txbxContent>
                      <w:p w14:paraId="679EFB5C" w14:textId="77777777" w:rsidR="003A104A" w:rsidRPr="00AB058A" w:rsidRDefault="003A104A" w:rsidP="00ED2D35">
                        <w:pPr>
                          <w:spacing w:before="0" w:after="0" w:line="240" w:lineRule="auto"/>
                          <w:rPr>
                            <w:b/>
                            <w:sz w:val="22"/>
                          </w:rPr>
                        </w:pPr>
                        <w:r w:rsidRPr="00AB058A">
                          <w:rPr>
                            <w:b/>
                            <w:sz w:val="22"/>
                          </w:rPr>
                          <w:t>Independent Variable</w:t>
                        </w:r>
                      </w:p>
                    </w:txbxContent>
                  </v:textbox>
                </v:shape>
                <v:shape id="Text Box 286" o:spid="_x0000_s1038" type="#_x0000_t202" style="position:absolute;left:41986;top:35966;width:14954;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" stroked="f">
                  <v:textbox>
                    <w:txbxContent>
                      <w:p w14:paraId="591DF374" w14:textId="77777777" w:rsidR="003A104A" w:rsidRPr="009D00B8" w:rsidRDefault="003A104A" w:rsidP="00ED2D35">
                        <w:pPr>
                          <w:spacing w:before="0" w:after="0" w:line="240" w:lineRule="auto"/>
                          <w:rPr>
                            <w:b/>
                            <w:sz w:val="22"/>
                          </w:rPr>
                        </w:pPr>
                        <w:r w:rsidRPr="00AB058A">
                          <w:rPr>
                            <w:b/>
                            <w:sz w:val="22"/>
                          </w:rPr>
                          <w:t xml:space="preserve">Dependent </w:t>
                        </w:r>
                        <w:r>
                          <w:rPr>
                            <w:b/>
                            <w:sz w:val="22"/>
                          </w:rPr>
                          <w:t>Variable va</w:t>
                        </w:r>
                        <w:r w:rsidRPr="009D00B8">
                          <w:rPr>
                            <w:b/>
                            <w:sz w:val="22"/>
                          </w:rPr>
                          <w:t>Moderating Variable</w:t>
                        </w:r>
                      </w:p>
                      <w:p w14:paraId="6D118CB8" w14:textId="77777777" w:rsidR="003A104A" w:rsidRPr="00AB058A" w:rsidRDefault="003A104A" w:rsidP="00ED2D35">
                        <w:pPr>
                          <w:rPr>
                            <w:b/>
                            <w:sz w:val="22"/>
                          </w:rPr>
                        </w:pPr>
                        <w:r w:rsidRPr="00AB058A">
                          <w:rPr>
                            <w:b/>
                            <w:sz w:val="22"/>
                          </w:rPr>
                          <w:t>Variable</w:t>
                        </w:r>
                      </w:p>
                    </w:txbxContent>
                  </v:textbox>
                </v:shape>
                <v:shape id="Straight Arrow Connector 287" o:spid="_x0000_s1039" type="#_x0000_t32" style="position:absolute;left:52349;width:0;height:67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" strokecolor="windowText" strokeweight=".5pt">
                  <v:stroke endarrow="block" joinstyle="miter"/>
                  <o:lock v:ext="edit" shapetype="f"/>
                </v:shape>
                <v:line id="Straight Connector 288" o:spid="_x0000_s1040" style="position:absolute;visibility:visible;mso-wrap-style:square" from="7086,25527" to="7086,34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" strokecolor="windowText" strokeweight=".5pt">
                  <v:stroke joinstyle="miter"/>
                  <o:lock v:ext="edit" shapetype="f"/>
                </v:line>
                <v:shape id="Straight Arrow Connector 289" o:spid="_x0000_s1041" type="#_x0000_t32" style="position:absolute;left:34213;top:13258;width:103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" strokecolor="windowText" strokeweight=".5pt">
                  <v:stroke endarrow="block" joinstyle="miter"/>
                  <o:lock v:ext="edit" shapetype="f"/>
                </v:shape>
                <v:shape id="Text Box 290" o:spid="_x0000_s1042" type="#_x0000_t202" style="position:absolute;left:51663;top:3886;width:4835;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" filled="f" strokecolor="window">
                  <v:textbox>
                    <w:txbxContent>
                      <w:p w14:paraId="5550580B" w14:textId="77777777" w:rsidR="003A104A" w:rsidRPr="00D06714" w:rsidRDefault="003A104A" w:rsidP="00ED2D35">
                        <w:pPr>
                          <w:spacing w:before="0" w:line="240" w:lineRule="auto"/>
                          <w:rPr>
                            <w:b/>
                          </w:rPr>
                        </w:pPr>
                        <w:r w:rsidRPr="00D06714">
                          <w:rPr>
                            <w:b/>
                          </w:rPr>
                          <w:t>H</w:t>
                        </w:r>
                        <w:r>
                          <w:rPr>
                            <w:b/>
                          </w:rPr>
                          <w:t>0</w:t>
                        </w:r>
                        <w:r w:rsidRPr="002E61AA">
                          <w:rPr>
                            <w:b/>
                            <w:vertAlign w:val="subscript"/>
                          </w:rPr>
                          <w:t>1</w:t>
                        </w:r>
                      </w:p>
                    </w:txbxContent>
                  </v:textbox>
                </v:shape>
                <v:line id="Straight Connector 291" o:spid="_x0000_s1043" style="position:absolute;visibility:visible;mso-wrap-style:square" from="27203,16840" to="27203,20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" strokecolor="windowText" strokeweight=".5pt">
                  <v:stroke joinstyle="miter"/>
                </v:line>
                <v:shape id="Straight Arrow Connector 292" o:spid="_x0000_s1044" type="#_x0000_t32" style="position:absolute;left:27203;top:20650;width:1725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" strokecolor="windowText" strokeweight=".5pt">
                  <v:stroke endarrow="block" joinstyle="miter"/>
                </v:shape>
                <v:shape id="Text Box 293" o:spid="_x0000_s1045" type="#_x0000_t202" style="position:absolute;left:22402;top:35890;width:15450;height:3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" stroked="f">
                  <v:textbox>
                    <w:txbxContent>
                      <w:p w14:paraId="064E78BD" w14:textId="77777777" w:rsidR="003A104A" w:rsidRPr="009D00B8" w:rsidRDefault="003A104A" w:rsidP="00ED2D35">
                        <w:pPr>
                          <w:spacing w:before="0" w:after="0" w:line="240" w:lineRule="auto"/>
                          <w:rPr>
                            <w:b/>
                            <w:sz w:val="22"/>
                          </w:rPr>
                        </w:pPr>
                        <w:r w:rsidRPr="009D00B8">
                          <w:rPr>
                            <w:b/>
                            <w:sz w:val="22"/>
                          </w:rPr>
                          <w:t>Moderating Variable</w:t>
                        </w:r>
                      </w:p>
                    </w:txbxContent>
                  </v:textbox>
                </v:shape>
                <v:shape id="Straight Arrow Connector 294" o:spid="_x0000_s1046" type="#_x0000_t32" style="position:absolute;left:52273;top:24079;width:0;height:1069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" strokecolor="windowText" strokeweight=".5pt">
                  <v:stroke endarrow="block" joinstyle="miter"/>
                  <o:lock v:ext="edit" shapetype="f"/>
                </v:shape>
                <v:shape id="Straight Arrow Connector 295" o:spid="_x0000_s1047" type="#_x0000_t32" style="position:absolute;left:7086;top:34747;width:4519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"/>
                <v:line id="Straight Connector 296" o:spid="_x0000_s1048" style="position:absolute;visibility:visible;mso-wrap-style:square" from="29260,20650" to="29260,24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" strokecolor="windowText" strokeweight=".5pt">
                  <v:stroke joinstyle="miter"/>
                </v:line>
                <v:line id="Straight Connector 297" o:spid="_x0000_s1049" style="position:absolute;visibility:visible;mso-wrap-style:square" from="14325,14020" to="19103,14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" strokecolor="windowText" strokeweight=".5pt">
                  <v:stroke joinstyle="miter"/>
                </v:line>
                <v:line id="Straight Connector 298" o:spid="_x0000_s1050" style="position:absolute;visibility:visible;mso-wrap-style:square" from="29565,31013" to="29565,347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" strokecolor="windowText" strokeweight=".5pt">
                  <v:stroke joinstyle="miter"/>
                </v:line>
              </v:group>
            </w:pict>
          </mc:Fallback>
        </mc:AlternateContent>
      </w:r>
    </w:p>
    <w:p w14:paraId="63F4E1C0" w14:textId="08137394" w:rsidR="00ED2D35" w:rsidRPr="00C0591E" w:rsidRDefault="00ED2D35" w:rsidP="00744608"/>
    <w:p w14:paraId="6D459D60" w14:textId="1A2AA5A2" w:rsidR="00ED2D35" w:rsidRPr="00C0591E" w:rsidRDefault="00ED2D35" w:rsidP="00744608"/>
    <w:p w14:paraId="7120FAD6" w14:textId="65831D2F" w:rsidR="00ED2D35" w:rsidRPr="00C0591E" w:rsidRDefault="00ED2D35" w:rsidP="00744608"/>
    <w:p w14:paraId="72037507" w14:textId="5D347721" w:rsidR="00ED2D35" w:rsidRPr="00C0591E" w:rsidRDefault="00ED2D35" w:rsidP="00744608"/>
    <w:p w14:paraId="40CB04A8" w14:textId="5B3E8D08" w:rsidR="00ED2D35" w:rsidRPr="00C0591E" w:rsidRDefault="00ED2D35" w:rsidP="00744608"/>
    <w:p w14:paraId="09B54899" w14:textId="15B53714" w:rsidR="00ED2D35" w:rsidRPr="00C0591E" w:rsidRDefault="00ED2D35" w:rsidP="00744608"/>
    <w:p w14:paraId="640EC8B7" w14:textId="60201E8E" w:rsidR="00ED2D35" w:rsidRPr="00C0591E" w:rsidRDefault="00ED2D35" w:rsidP="00744608"/>
    <w:p w14:paraId="4B412625" w14:textId="69640C35" w:rsidR="00ED2D35" w:rsidRPr="00C0591E" w:rsidRDefault="00ED2D35" w:rsidP="00744608"/>
    <w:p w14:paraId="3E352E96" w14:textId="558DA630" w:rsidR="00ED2D35" w:rsidRPr="00C0591E" w:rsidRDefault="00ED2D35" w:rsidP="00744608"/>
    <w:p w14:paraId="362D5DEC" w14:textId="77777777" w:rsidR="00ED2D35" w:rsidRPr="00C0591E" w:rsidRDefault="00ED2D35" w:rsidP="00744608"/>
    <w:p w14:paraId="3692E128" w14:textId="5FDDDB48" w:rsidR="00ED2D35" w:rsidRPr="00C0591E" w:rsidRDefault="00ED2D35" w:rsidP="00744608"/>
    <w:p w14:paraId="45EB410D" w14:textId="77777777" w:rsidR="00ED2D35" w:rsidRPr="00C0591E" w:rsidRDefault="00ED2D35" w:rsidP="00ED2D35">
      <w:pPr>
        <w:pStyle w:val="Heading5"/>
        <w:framePr w:hSpace="0" w:wrap="auto" w:vAnchor="margin" w:hAnchor="text" w:xAlign="left" w:yAlign="inline"/>
      </w:pPr>
      <w:bookmarkStart w:id="74" w:name="_Toc113125170"/>
      <w:r w:rsidRPr="00C0591E">
        <w:t>Figure 1: Conceptual Model</w:t>
      </w:r>
      <w:bookmarkEnd w:id="74"/>
    </w:p>
    <w:p w14:paraId="4208144B" w14:textId="00F37BCB" w:rsidR="000E054B" w:rsidRPr="00C0591E" w:rsidRDefault="000E054B" w:rsidP="001633DA">
      <w:pPr>
        <w:pStyle w:val="Heading2"/>
      </w:pPr>
      <w:bookmarkStart w:id="75" w:name="_Toc113125087"/>
      <w:r w:rsidRPr="00C0591E">
        <w:t>2.5 Hypotheses of the Study</w:t>
      </w:r>
      <w:bookmarkEnd w:id="75"/>
    </w:p>
    <w:p w14:paraId="4AFF49ED" w14:textId="77CCA20D" w:rsidR="000E054B" w:rsidRPr="00C0591E" w:rsidRDefault="000E054B" w:rsidP="00347D67">
      <w:r w:rsidRPr="00C0591E">
        <w:t>The study test</w:t>
      </w:r>
      <w:r w:rsidR="0015128E" w:rsidRPr="00C0591E">
        <w:t>ed</w:t>
      </w:r>
      <w:r w:rsidRPr="00C0591E">
        <w:t xml:space="preserve"> the following hypotheses to achieve the objectives:</w:t>
      </w:r>
    </w:p>
    <w:p w14:paraId="3EC3EA48" w14:textId="3FC06737" w:rsidR="000E054B" w:rsidRPr="00C0591E" w:rsidRDefault="000E054B" w:rsidP="000E054B">
      <w:pPr>
        <w:rPr>
          <w:rFonts w:cs="Times New Roman"/>
          <w:szCs w:val="24"/>
        </w:rPr>
      </w:pPr>
      <w:r w:rsidRPr="00C0591E">
        <w:rPr>
          <w:rFonts w:eastAsia="Times New Roman"/>
          <w:b/>
          <w:szCs w:val="24"/>
        </w:rPr>
        <w:t>H0</w:t>
      </w:r>
      <w:r w:rsidRPr="00C0591E">
        <w:rPr>
          <w:rFonts w:eastAsia="Times New Roman"/>
          <w:b/>
          <w:szCs w:val="24"/>
          <w:vertAlign w:val="subscript"/>
        </w:rPr>
        <w:t>1</w:t>
      </w:r>
      <w:r w:rsidRPr="00C0591E">
        <w:rPr>
          <w:rFonts w:eastAsia="Times New Roman"/>
          <w:b/>
          <w:szCs w:val="24"/>
        </w:rPr>
        <w:t>:</w:t>
      </w:r>
      <w:r w:rsidRPr="00C0591E">
        <w:rPr>
          <w:rFonts w:eastAsia="Times New Roman"/>
          <w:szCs w:val="24"/>
        </w:rPr>
        <w:t xml:space="preserve"> There is no significant relationship between </w:t>
      </w:r>
      <w:r w:rsidR="00AF069B">
        <w:rPr>
          <w:rFonts w:eastAsia="Times New Roman"/>
          <w:szCs w:val="24"/>
        </w:rPr>
        <w:t>p</w:t>
      </w:r>
      <w:r w:rsidR="00AF069B" w:rsidRPr="00AF069B">
        <w:rPr>
          <w:lang w:val="en-GB"/>
        </w:rPr>
        <w:t xml:space="preserve">illars of </w:t>
      </w:r>
      <w:r w:rsidRPr="00C0591E">
        <w:rPr>
          <w:rFonts w:eastAsia="Times New Roman"/>
          <w:szCs w:val="24"/>
        </w:rPr>
        <w:t xml:space="preserve">corporate governance and </w:t>
      </w:r>
      <w:r w:rsidRPr="00C0591E">
        <w:rPr>
          <w:rFonts w:cs="Times New Roman"/>
          <w:szCs w:val="24"/>
        </w:rPr>
        <w:t>performance of pension fund managers in Kenya.</w:t>
      </w:r>
    </w:p>
    <w:p w14:paraId="7CFF962F" w14:textId="3CCF36A1" w:rsidR="000E054B" w:rsidRPr="00C0591E" w:rsidRDefault="000E054B" w:rsidP="000E054B">
      <w:pPr>
        <w:rPr>
          <w:rFonts w:cs="Times New Roman"/>
          <w:szCs w:val="24"/>
        </w:rPr>
      </w:pPr>
      <w:r w:rsidRPr="00C0591E">
        <w:rPr>
          <w:rFonts w:eastAsia="Times New Roman"/>
          <w:b/>
          <w:szCs w:val="24"/>
        </w:rPr>
        <w:t>H0</w:t>
      </w:r>
      <w:r w:rsidRPr="00C0591E">
        <w:rPr>
          <w:rFonts w:eastAsia="Times New Roman"/>
          <w:b/>
          <w:szCs w:val="24"/>
          <w:vertAlign w:val="subscript"/>
        </w:rPr>
        <w:t>2</w:t>
      </w:r>
      <w:r w:rsidRPr="00C0591E">
        <w:rPr>
          <w:rFonts w:eastAsia="Times New Roman"/>
          <w:b/>
          <w:szCs w:val="24"/>
        </w:rPr>
        <w:t>:</w:t>
      </w:r>
      <w:r w:rsidRPr="00C0591E">
        <w:rPr>
          <w:rFonts w:eastAsia="Times New Roman"/>
          <w:szCs w:val="24"/>
        </w:rPr>
        <w:t xml:space="preserve"> There is no significant </w:t>
      </w:r>
      <w:r w:rsidRPr="00C0591E">
        <w:rPr>
          <w:rFonts w:cs="Times New Roman"/>
          <w:szCs w:val="24"/>
        </w:rPr>
        <w:t>intervening effect of investment policies on the relationship between</w:t>
      </w:r>
      <w:r w:rsidR="00AF069B" w:rsidRPr="00AF069B">
        <w:rPr>
          <w:rFonts w:eastAsia="Times New Roman"/>
          <w:szCs w:val="24"/>
        </w:rPr>
        <w:t xml:space="preserve"> </w:t>
      </w:r>
      <w:r w:rsidR="00AF069B" w:rsidRPr="00AF069B">
        <w:rPr>
          <w:lang w:val="en-GB"/>
        </w:rPr>
        <w:t>pillars of</w:t>
      </w:r>
      <w:r w:rsidRPr="00C0591E">
        <w:rPr>
          <w:rFonts w:cs="Times New Roman"/>
          <w:szCs w:val="24"/>
        </w:rPr>
        <w:t xml:space="preserve"> corporate governance and performance of pension fund managers in Kenya.</w:t>
      </w:r>
    </w:p>
    <w:p w14:paraId="74317498" w14:textId="692EBB96" w:rsidR="000E054B" w:rsidRPr="00C0591E" w:rsidRDefault="000E054B" w:rsidP="000E054B">
      <w:pPr>
        <w:autoSpaceDE w:val="0"/>
        <w:autoSpaceDN w:val="0"/>
        <w:adjustRightInd w:val="0"/>
        <w:spacing w:after="0"/>
        <w:rPr>
          <w:rFonts w:cs="Times New Roman"/>
          <w:szCs w:val="24"/>
        </w:rPr>
      </w:pPr>
      <w:r w:rsidRPr="00C0591E">
        <w:rPr>
          <w:rFonts w:eastAsia="Times New Roman"/>
          <w:b/>
          <w:szCs w:val="24"/>
        </w:rPr>
        <w:t>H0</w:t>
      </w:r>
      <w:r w:rsidRPr="00C0591E">
        <w:rPr>
          <w:rFonts w:eastAsia="Times New Roman"/>
          <w:b/>
          <w:szCs w:val="24"/>
          <w:vertAlign w:val="subscript"/>
        </w:rPr>
        <w:t>3</w:t>
      </w:r>
      <w:r w:rsidRPr="00C0591E">
        <w:rPr>
          <w:rFonts w:eastAsia="Times New Roman"/>
          <w:b/>
          <w:szCs w:val="24"/>
        </w:rPr>
        <w:t>:</w:t>
      </w:r>
      <w:r w:rsidRPr="00C0591E">
        <w:rPr>
          <w:rFonts w:eastAsia="Times New Roman"/>
          <w:szCs w:val="24"/>
        </w:rPr>
        <w:t xml:space="preserve"> There is no significant </w:t>
      </w:r>
      <w:r w:rsidRPr="00C0591E">
        <w:rPr>
          <w:rFonts w:cs="Times New Roman"/>
          <w:szCs w:val="24"/>
        </w:rPr>
        <w:t xml:space="preserve">moderating effect of government regulations on the relationship between </w:t>
      </w:r>
      <w:r w:rsidR="0053714D">
        <w:rPr>
          <w:rFonts w:eastAsia="Times New Roman"/>
          <w:szCs w:val="24"/>
        </w:rPr>
        <w:t>p</w:t>
      </w:r>
      <w:r w:rsidR="0053714D" w:rsidRPr="00AF069B">
        <w:rPr>
          <w:lang w:val="en-GB"/>
        </w:rPr>
        <w:t xml:space="preserve">illars of </w:t>
      </w:r>
      <w:r w:rsidRPr="00C0591E">
        <w:rPr>
          <w:rFonts w:cs="Times New Roman"/>
          <w:szCs w:val="24"/>
        </w:rPr>
        <w:t>corporate governance and performance of pension fund managers in Kenya.</w:t>
      </w:r>
    </w:p>
    <w:p w14:paraId="63A9436C" w14:textId="04CF65EA" w:rsidR="004D45B1" w:rsidRPr="00C0591E" w:rsidRDefault="000E054B" w:rsidP="004D45B1">
      <w:pPr>
        <w:pStyle w:val="ListParagraph"/>
        <w:spacing w:after="160"/>
        <w:ind w:left="0"/>
      </w:pPr>
      <w:r w:rsidRPr="00C0591E">
        <w:rPr>
          <w:rFonts w:eastAsia="Times New Roman"/>
          <w:b/>
          <w:szCs w:val="24"/>
        </w:rPr>
        <w:t>H0</w:t>
      </w:r>
      <w:r w:rsidRPr="00C0591E">
        <w:rPr>
          <w:rFonts w:eastAsia="Times New Roman"/>
          <w:b/>
          <w:szCs w:val="24"/>
          <w:vertAlign w:val="subscript"/>
        </w:rPr>
        <w:t>4</w:t>
      </w:r>
      <w:r w:rsidRPr="00C0591E">
        <w:rPr>
          <w:rFonts w:eastAsia="Times New Roman"/>
          <w:b/>
          <w:szCs w:val="24"/>
        </w:rPr>
        <w:t>:</w:t>
      </w:r>
      <w:r w:rsidRPr="00C0591E">
        <w:rPr>
          <w:rFonts w:eastAsia="Times New Roman"/>
          <w:szCs w:val="24"/>
        </w:rPr>
        <w:t xml:space="preserve"> </w:t>
      </w:r>
      <w:r w:rsidR="004D45B1" w:rsidRPr="00C0591E">
        <w:rPr>
          <w:color w:val="000000"/>
        </w:rPr>
        <w:t>There is no significant moderation – mediator effect on the relationship between</w:t>
      </w:r>
      <w:r w:rsidR="0053714D" w:rsidRPr="0053714D">
        <w:rPr>
          <w:rFonts w:eastAsia="Times New Roman"/>
          <w:szCs w:val="24"/>
        </w:rPr>
        <w:t xml:space="preserve"> </w:t>
      </w:r>
      <w:r w:rsidR="0053714D">
        <w:rPr>
          <w:rFonts w:eastAsia="Times New Roman"/>
          <w:szCs w:val="24"/>
        </w:rPr>
        <w:t>p</w:t>
      </w:r>
      <w:r w:rsidR="0053714D" w:rsidRPr="00AF069B">
        <w:rPr>
          <w:lang w:val="en-GB"/>
        </w:rPr>
        <w:t>illars of</w:t>
      </w:r>
      <w:r w:rsidR="004D45B1" w:rsidRPr="00C0591E">
        <w:rPr>
          <w:color w:val="000000"/>
        </w:rPr>
        <w:t xml:space="preserve"> </w:t>
      </w:r>
      <w:r w:rsidR="004D45B1" w:rsidRPr="00C0591E">
        <w:t>corporate governance and performance of pension fund managers in Kenya.</w:t>
      </w:r>
    </w:p>
    <w:p w14:paraId="6DC36C45" w14:textId="30C28948" w:rsidR="00267BE6" w:rsidRPr="00C0591E" w:rsidRDefault="00267BE6" w:rsidP="00E8593E">
      <w:pPr>
        <w:pStyle w:val="Heading2"/>
        <w:rPr>
          <w:lang w:val="en-GB"/>
        </w:rPr>
      </w:pPr>
      <w:bookmarkStart w:id="76" w:name="_Toc113125088"/>
      <w:r w:rsidRPr="00C0591E">
        <w:rPr>
          <w:lang w:val="en-GB"/>
        </w:rPr>
        <w:t>2.6 Operationalization of Variables</w:t>
      </w:r>
      <w:bookmarkEnd w:id="76"/>
    </w:p>
    <w:p w14:paraId="7D1D809C" w14:textId="2340210E" w:rsidR="00267BE6" w:rsidRPr="00C0591E" w:rsidRDefault="007175B3" w:rsidP="00347D67">
      <w:pPr>
        <w:pStyle w:val="Heading4"/>
        <w:rPr>
          <w:i/>
        </w:rPr>
      </w:pPr>
      <w:bookmarkStart w:id="77" w:name="_Toc113125137"/>
      <w:r w:rsidRPr="00C0591E">
        <w:t xml:space="preserve">Table </w:t>
      </w:r>
      <w:r w:rsidR="00EC58B6" w:rsidRPr="00C0591E">
        <w:t>2</w:t>
      </w:r>
      <w:r w:rsidRPr="00C0591E">
        <w:t xml:space="preserve">: </w:t>
      </w:r>
      <w:r w:rsidR="00267BE6" w:rsidRPr="00C0591E">
        <w:t xml:space="preserve">Operationalization of </w:t>
      </w:r>
      <w:r w:rsidR="00D34C3D" w:rsidRPr="00C0591E">
        <w:t>S</w:t>
      </w:r>
      <w:r w:rsidR="00267BE6" w:rsidRPr="00C0591E">
        <w:t xml:space="preserve">tudy </w:t>
      </w:r>
      <w:r w:rsidR="00D34C3D" w:rsidRPr="00C0591E">
        <w:t>V</w:t>
      </w:r>
      <w:r w:rsidR="00267BE6" w:rsidRPr="00C0591E">
        <w:t>ariables</w:t>
      </w:r>
      <w:bookmarkEnd w:id="77"/>
    </w:p>
    <w:p w14:paraId="6FDBD016" w14:textId="77777777" w:rsidR="00267BE6" w:rsidRPr="00C0591E" w:rsidRDefault="00267BE6" w:rsidP="00267BE6">
      <w:pPr>
        <w:widowControl w:val="0"/>
        <w:autoSpaceDE w:val="0"/>
        <w:autoSpaceDN w:val="0"/>
        <w:adjustRightInd w:val="0"/>
        <w:spacing w:before="2" w:after="0" w:line="190" w:lineRule="exact"/>
        <w:rPr>
          <w:sz w:val="19"/>
          <w:szCs w:val="19"/>
        </w:rPr>
      </w:pPr>
    </w:p>
    <w:tbl>
      <w:tblPr>
        <w:tblStyle w:val="PlainTable4"/>
        <w:tblW w:w="5035" w:type="pct"/>
        <w:shd w:val="clear" w:color="auto" w:fill="FFFFFF" w:themeFill="background1"/>
        <w:tblLayout w:type="fixed"/>
        <w:tblLook w:val="01E0" w:firstRow="1" w:lastRow="1" w:firstColumn="1" w:lastColumn="1" w:noHBand="0" w:noVBand="0"/>
      </w:tblPr>
      <w:tblGrid>
        <w:gridCol w:w="1531"/>
        <w:gridCol w:w="1529"/>
        <w:gridCol w:w="2970"/>
        <w:gridCol w:w="1327"/>
        <w:gridCol w:w="1732"/>
      </w:tblGrid>
      <w:tr w:rsidR="005C4DBF" w:rsidRPr="00C0591E" w14:paraId="4DC240E8" w14:textId="77777777" w:rsidTr="005C4DBF">
        <w:trPr>
          <w:cnfStyle w:val="100000000000" w:firstRow="1" w:lastRow="0" w:firstColumn="0" w:lastColumn="0" w:oddVBand="0" w:evenVBand="0" w:oddHBand="0" w:evenHBand="0" w:firstRowFirstColumn="0" w:firstRowLastColumn="0" w:lastRowFirstColumn="0" w:lastRowLastColumn="0"/>
          <w:trHeight w:val="666"/>
        </w:trPr>
        <w:tc>
          <w:tcPr>
            <w:cnfStyle w:val="001000000000" w:firstRow="0" w:lastRow="0" w:firstColumn="1" w:lastColumn="0" w:oddVBand="0" w:evenVBand="0" w:oddHBand="0" w:evenHBand="0" w:firstRowFirstColumn="0" w:firstRowLastColumn="0" w:lastRowFirstColumn="0" w:lastRowLastColumn="0"/>
            <w:tcW w:w="842" w:type="pct"/>
            <w:tcBorders>
              <w:top w:val="single" w:sz="4" w:space="0" w:color="000000"/>
              <w:bottom w:val="single" w:sz="4" w:space="0" w:color="000000"/>
            </w:tcBorders>
            <w:shd w:val="clear" w:color="auto" w:fill="FFFFFF" w:themeFill="background1"/>
          </w:tcPr>
          <w:p w14:paraId="5ECAE017" w14:textId="2C68B35F" w:rsidR="005C4DBF" w:rsidRPr="00C0591E" w:rsidRDefault="005C4DBF" w:rsidP="00F14D26">
            <w:pPr>
              <w:spacing w:before="0" w:after="0" w:line="276" w:lineRule="auto"/>
              <w:rPr>
                <w:rFonts w:cs="Times New Roman"/>
                <w:bCs w:val="0"/>
                <w:szCs w:val="24"/>
              </w:rPr>
            </w:pPr>
            <w:r w:rsidRPr="00C0591E">
              <w:rPr>
                <w:rFonts w:cs="Times New Roman"/>
                <w:bCs w:val="0"/>
                <w:szCs w:val="24"/>
              </w:rPr>
              <w:t>Variable Category</w:t>
            </w:r>
          </w:p>
        </w:tc>
        <w:tc>
          <w:tcPr>
            <w:cnfStyle w:val="000010000000" w:firstRow="0" w:lastRow="0" w:firstColumn="0" w:lastColumn="0" w:oddVBand="1" w:evenVBand="0" w:oddHBand="0" w:evenHBand="0" w:firstRowFirstColumn="0" w:firstRowLastColumn="0" w:lastRowFirstColumn="0" w:lastRowLastColumn="0"/>
            <w:tcW w:w="841" w:type="pct"/>
            <w:tcBorders>
              <w:top w:val="single" w:sz="4" w:space="0" w:color="000000"/>
              <w:bottom w:val="single" w:sz="4" w:space="0" w:color="000000"/>
            </w:tcBorders>
            <w:shd w:val="clear" w:color="auto" w:fill="FFFFFF" w:themeFill="background1"/>
          </w:tcPr>
          <w:p w14:paraId="6EA9EFB5" w14:textId="51F38F6D" w:rsidR="005C4DBF" w:rsidRPr="00C0591E" w:rsidRDefault="005C4DBF" w:rsidP="00F14D26">
            <w:pPr>
              <w:spacing w:before="0" w:after="0" w:line="276" w:lineRule="auto"/>
              <w:rPr>
                <w:rFonts w:cs="Times New Roman"/>
                <w:bCs w:val="0"/>
                <w:szCs w:val="24"/>
              </w:rPr>
            </w:pPr>
            <w:r w:rsidRPr="00C0591E">
              <w:rPr>
                <w:rFonts w:cs="Times New Roman"/>
                <w:bCs w:val="0"/>
                <w:szCs w:val="24"/>
              </w:rPr>
              <w:t>Study Variables</w:t>
            </w:r>
          </w:p>
        </w:tc>
        <w:tc>
          <w:tcPr>
            <w:tcW w:w="1634" w:type="pct"/>
            <w:tcBorders>
              <w:top w:val="single" w:sz="4" w:space="0" w:color="000000"/>
              <w:bottom w:val="single" w:sz="4" w:space="0" w:color="000000"/>
            </w:tcBorders>
            <w:shd w:val="clear" w:color="auto" w:fill="FFFFFF" w:themeFill="background1"/>
          </w:tcPr>
          <w:p w14:paraId="2803B530" w14:textId="30F97FD6" w:rsidR="005C4DBF" w:rsidRPr="00C0591E" w:rsidRDefault="005C4DBF" w:rsidP="00F14D26">
            <w:pPr>
              <w:spacing w:before="0" w:after="0" w:line="276" w:lineRule="auto"/>
              <w:cnfStyle w:val="100000000000" w:firstRow="1" w:lastRow="0" w:firstColumn="0" w:lastColumn="0" w:oddVBand="0" w:evenVBand="0" w:oddHBand="0" w:evenHBand="0" w:firstRowFirstColumn="0" w:firstRowLastColumn="0" w:lastRowFirstColumn="0" w:lastRowLastColumn="0"/>
              <w:rPr>
                <w:rFonts w:cs="Times New Roman"/>
                <w:bCs w:val="0"/>
                <w:szCs w:val="24"/>
              </w:rPr>
            </w:pPr>
            <w:r w:rsidRPr="00C0591E">
              <w:rPr>
                <w:rFonts w:cs="Times New Roman"/>
                <w:bCs w:val="0"/>
                <w:szCs w:val="24"/>
              </w:rPr>
              <w:t>Indicators</w:t>
            </w:r>
          </w:p>
        </w:tc>
        <w:tc>
          <w:tcPr>
            <w:cnfStyle w:val="000010000000" w:firstRow="0" w:lastRow="0" w:firstColumn="0" w:lastColumn="0" w:oddVBand="1" w:evenVBand="0" w:oddHBand="0" w:evenHBand="0" w:firstRowFirstColumn="0" w:firstRowLastColumn="0" w:lastRowFirstColumn="0" w:lastRowLastColumn="0"/>
            <w:tcW w:w="730" w:type="pct"/>
            <w:tcBorders>
              <w:top w:val="single" w:sz="4" w:space="0" w:color="000000"/>
              <w:bottom w:val="single" w:sz="4" w:space="0" w:color="000000"/>
            </w:tcBorders>
            <w:shd w:val="clear" w:color="auto" w:fill="FFFFFF" w:themeFill="background1"/>
          </w:tcPr>
          <w:p w14:paraId="314ABC51" w14:textId="77777777" w:rsidR="005C4DBF" w:rsidRPr="00C0591E" w:rsidRDefault="005C4DBF" w:rsidP="00F14D26">
            <w:pPr>
              <w:spacing w:before="0" w:after="0" w:line="276" w:lineRule="auto"/>
              <w:rPr>
                <w:rFonts w:cs="Times New Roman"/>
                <w:bCs w:val="0"/>
                <w:szCs w:val="24"/>
              </w:rPr>
            </w:pPr>
            <w:r w:rsidRPr="00C0591E">
              <w:rPr>
                <w:rFonts w:cs="Times New Roman"/>
                <w:bCs w:val="0"/>
                <w:szCs w:val="24"/>
              </w:rPr>
              <w:t>Measurement scale</w:t>
            </w:r>
          </w:p>
        </w:tc>
        <w:tc>
          <w:tcPr>
            <w:cnfStyle w:val="000100000000" w:firstRow="0" w:lastRow="0" w:firstColumn="0" w:lastColumn="1" w:oddVBand="0" w:evenVBand="0" w:oddHBand="0" w:evenHBand="0" w:firstRowFirstColumn="0" w:firstRowLastColumn="0" w:lastRowFirstColumn="0" w:lastRowLastColumn="0"/>
            <w:tcW w:w="953" w:type="pct"/>
            <w:tcBorders>
              <w:top w:val="single" w:sz="4" w:space="0" w:color="000000"/>
              <w:bottom w:val="single" w:sz="4" w:space="0" w:color="000000"/>
            </w:tcBorders>
            <w:shd w:val="clear" w:color="auto" w:fill="FFFFFF" w:themeFill="background1"/>
          </w:tcPr>
          <w:p w14:paraId="1B274D04" w14:textId="77777777" w:rsidR="005C4DBF" w:rsidRPr="00C0591E" w:rsidRDefault="005C4DBF" w:rsidP="00F14D26">
            <w:pPr>
              <w:spacing w:before="0" w:after="0" w:line="276" w:lineRule="auto"/>
              <w:rPr>
                <w:rFonts w:cs="Times New Roman"/>
                <w:bCs w:val="0"/>
                <w:szCs w:val="24"/>
              </w:rPr>
            </w:pPr>
            <w:r w:rsidRPr="00C0591E">
              <w:rPr>
                <w:rFonts w:cs="Times New Roman"/>
                <w:bCs w:val="0"/>
                <w:szCs w:val="24"/>
              </w:rPr>
              <w:t>Questionnaire Section</w:t>
            </w:r>
          </w:p>
        </w:tc>
      </w:tr>
      <w:tr w:rsidR="005C4DBF" w:rsidRPr="00C0591E" w14:paraId="30F93D7E" w14:textId="77777777" w:rsidTr="005C4DBF">
        <w:trPr>
          <w:cnfStyle w:val="000000100000" w:firstRow="0" w:lastRow="0" w:firstColumn="0" w:lastColumn="0" w:oddVBand="0" w:evenVBand="0" w:oddHBand="1" w:evenHBand="0" w:firstRowFirstColumn="0" w:firstRowLastColumn="0" w:lastRowFirstColumn="0" w:lastRowLastColumn="0"/>
          <w:trHeight w:val="1475"/>
        </w:trPr>
        <w:tc>
          <w:tcPr>
            <w:cnfStyle w:val="001000000000" w:firstRow="0" w:lastRow="0" w:firstColumn="1" w:lastColumn="0" w:oddVBand="0" w:evenVBand="0" w:oddHBand="0" w:evenHBand="0" w:firstRowFirstColumn="0" w:firstRowLastColumn="0" w:lastRowFirstColumn="0" w:lastRowLastColumn="0"/>
            <w:tcW w:w="842" w:type="pct"/>
            <w:tcBorders>
              <w:top w:val="single" w:sz="4" w:space="0" w:color="000000"/>
            </w:tcBorders>
            <w:shd w:val="clear" w:color="auto" w:fill="FFFFFF" w:themeFill="background1"/>
          </w:tcPr>
          <w:p w14:paraId="3040F5CD" w14:textId="208177D9" w:rsidR="005C4DBF" w:rsidRPr="00C0591E" w:rsidRDefault="005C4DBF" w:rsidP="00F14D26">
            <w:pPr>
              <w:spacing w:before="0" w:after="0" w:line="276" w:lineRule="auto"/>
              <w:rPr>
                <w:rFonts w:cs="Times New Roman"/>
                <w:b w:val="0"/>
                <w:bCs w:val="0"/>
                <w:szCs w:val="24"/>
              </w:rPr>
            </w:pPr>
            <w:r w:rsidRPr="00C0591E">
              <w:rPr>
                <w:rFonts w:cs="Times New Roman"/>
                <w:b w:val="0"/>
                <w:bCs w:val="0"/>
                <w:szCs w:val="24"/>
              </w:rPr>
              <w:t>Independent Variable</w:t>
            </w:r>
          </w:p>
          <w:p w14:paraId="0FCB8BAB" w14:textId="660FA3C8" w:rsidR="005C4DBF" w:rsidRPr="00C0591E" w:rsidRDefault="005C4DBF" w:rsidP="00F14D26">
            <w:pPr>
              <w:spacing w:before="0" w:after="0" w:line="276" w:lineRule="auto"/>
              <w:rPr>
                <w:rFonts w:cs="Times New Roman"/>
                <w:b w:val="0"/>
                <w:szCs w:val="24"/>
              </w:rPr>
            </w:pPr>
          </w:p>
        </w:tc>
        <w:tc>
          <w:tcPr>
            <w:cnfStyle w:val="000010000000" w:firstRow="0" w:lastRow="0" w:firstColumn="0" w:lastColumn="0" w:oddVBand="1" w:evenVBand="0" w:oddHBand="0" w:evenHBand="0" w:firstRowFirstColumn="0" w:firstRowLastColumn="0" w:lastRowFirstColumn="0" w:lastRowLastColumn="0"/>
            <w:tcW w:w="841" w:type="pct"/>
            <w:tcBorders>
              <w:top w:val="single" w:sz="4" w:space="0" w:color="000000"/>
            </w:tcBorders>
            <w:shd w:val="clear" w:color="auto" w:fill="FFFFFF" w:themeFill="background1"/>
          </w:tcPr>
          <w:p w14:paraId="16F69610" w14:textId="35F55DE6" w:rsidR="005C4DBF" w:rsidRPr="00C0591E" w:rsidRDefault="0053714D" w:rsidP="00F14D26">
            <w:pPr>
              <w:autoSpaceDE w:val="0"/>
              <w:autoSpaceDN w:val="0"/>
              <w:adjustRightInd w:val="0"/>
              <w:spacing w:before="0" w:after="0" w:line="276" w:lineRule="auto"/>
              <w:jc w:val="left"/>
              <w:rPr>
                <w:rFonts w:eastAsiaTheme="minorHAnsi" w:cs="Times New Roman"/>
                <w:color w:val="000000"/>
                <w:szCs w:val="24"/>
              </w:rPr>
            </w:pPr>
            <w:r>
              <w:rPr>
                <w:lang w:val="en-GB"/>
              </w:rPr>
              <w:t>P</w:t>
            </w:r>
            <w:r w:rsidRPr="00AF069B">
              <w:rPr>
                <w:lang w:val="en-GB"/>
              </w:rPr>
              <w:t xml:space="preserve">illars of </w:t>
            </w:r>
            <w:r w:rsidR="005C4DBF" w:rsidRPr="00C0591E">
              <w:rPr>
                <w:rFonts w:cs="Times New Roman"/>
                <w:szCs w:val="24"/>
              </w:rPr>
              <w:t>Corporate Governance</w:t>
            </w:r>
          </w:p>
        </w:tc>
        <w:tc>
          <w:tcPr>
            <w:tcW w:w="1634" w:type="pct"/>
            <w:tcBorders>
              <w:top w:val="single" w:sz="4" w:space="0" w:color="000000"/>
            </w:tcBorders>
            <w:shd w:val="clear" w:color="auto" w:fill="FFFFFF" w:themeFill="background1"/>
          </w:tcPr>
          <w:p w14:paraId="1DBCF564" w14:textId="085DF116" w:rsidR="005C4DBF" w:rsidRPr="00C0591E" w:rsidRDefault="005C4DBF" w:rsidP="00F14D26">
            <w:pPr>
              <w:pStyle w:val="ListParagraph"/>
              <w:numPr>
                <w:ilvl w:val="0"/>
                <w:numId w:val="33"/>
              </w:numPr>
              <w:autoSpaceDE w:val="0"/>
              <w:autoSpaceDN w:val="0"/>
              <w:adjustRightInd w:val="0"/>
              <w:spacing w:before="0" w:after="0" w:line="276" w:lineRule="auto"/>
              <w:jc w:val="left"/>
              <w:cnfStyle w:val="000000100000" w:firstRow="0" w:lastRow="0" w:firstColumn="0" w:lastColumn="0" w:oddVBand="0" w:evenVBand="0" w:oddHBand="1" w:evenHBand="0" w:firstRowFirstColumn="0" w:firstRowLastColumn="0" w:lastRowFirstColumn="0" w:lastRowLastColumn="0"/>
              <w:rPr>
                <w:rFonts w:eastAsiaTheme="minorHAnsi" w:cs="Times New Roman"/>
                <w:color w:val="000000"/>
                <w:szCs w:val="24"/>
              </w:rPr>
            </w:pPr>
            <w:r w:rsidRPr="00C0591E">
              <w:rPr>
                <w:rFonts w:eastAsiaTheme="minorHAnsi" w:cs="Times New Roman"/>
                <w:color w:val="000000"/>
                <w:szCs w:val="24"/>
              </w:rPr>
              <w:t xml:space="preserve">Transparency </w:t>
            </w:r>
          </w:p>
          <w:p w14:paraId="751EC6E8" w14:textId="2A789B68" w:rsidR="005C4DBF" w:rsidRPr="00C0591E" w:rsidRDefault="004C68CD" w:rsidP="00F14D26">
            <w:pPr>
              <w:pStyle w:val="ListParagraph"/>
              <w:numPr>
                <w:ilvl w:val="0"/>
                <w:numId w:val="33"/>
              </w:numPr>
              <w:autoSpaceDE w:val="0"/>
              <w:autoSpaceDN w:val="0"/>
              <w:adjustRightInd w:val="0"/>
              <w:spacing w:before="0" w:after="0" w:line="276" w:lineRule="auto"/>
              <w:jc w:val="left"/>
              <w:cnfStyle w:val="000000100000" w:firstRow="0" w:lastRow="0" w:firstColumn="0" w:lastColumn="0" w:oddVBand="0" w:evenVBand="0" w:oddHBand="1" w:evenHBand="0" w:firstRowFirstColumn="0" w:firstRowLastColumn="0" w:lastRowFirstColumn="0" w:lastRowLastColumn="0"/>
              <w:rPr>
                <w:rFonts w:eastAsiaTheme="minorHAnsi" w:cs="Times New Roman"/>
                <w:color w:val="000000"/>
                <w:szCs w:val="24"/>
              </w:rPr>
            </w:pPr>
            <w:r w:rsidRPr="00C0591E">
              <w:rPr>
                <w:rFonts w:eastAsiaTheme="minorHAnsi" w:cs="Times New Roman"/>
                <w:color w:val="000000"/>
                <w:szCs w:val="24"/>
              </w:rPr>
              <w:t xml:space="preserve">Ownership </w:t>
            </w:r>
            <w:r w:rsidR="005C4DBF" w:rsidRPr="00C0591E">
              <w:rPr>
                <w:rFonts w:eastAsiaTheme="minorHAnsi" w:cs="Times New Roman"/>
                <w:color w:val="000000"/>
                <w:szCs w:val="24"/>
              </w:rPr>
              <w:t>Structure</w:t>
            </w:r>
          </w:p>
          <w:p w14:paraId="38C19A5B" w14:textId="77777777" w:rsidR="005C4DBF" w:rsidRPr="00C0591E" w:rsidRDefault="005C4DBF" w:rsidP="00F14D26">
            <w:pPr>
              <w:pStyle w:val="ListParagraph"/>
              <w:numPr>
                <w:ilvl w:val="0"/>
                <w:numId w:val="33"/>
              </w:numPr>
              <w:autoSpaceDE w:val="0"/>
              <w:autoSpaceDN w:val="0"/>
              <w:adjustRightInd w:val="0"/>
              <w:spacing w:before="0" w:after="0" w:line="276" w:lineRule="auto"/>
              <w:jc w:val="left"/>
              <w:cnfStyle w:val="000000100000" w:firstRow="0" w:lastRow="0" w:firstColumn="0" w:lastColumn="0" w:oddVBand="0" w:evenVBand="0" w:oddHBand="1" w:evenHBand="0" w:firstRowFirstColumn="0" w:firstRowLastColumn="0" w:lastRowFirstColumn="0" w:lastRowLastColumn="0"/>
              <w:rPr>
                <w:rFonts w:eastAsiaTheme="minorHAnsi" w:cs="Times New Roman"/>
                <w:color w:val="000000"/>
                <w:szCs w:val="24"/>
              </w:rPr>
            </w:pPr>
            <w:r w:rsidRPr="00C0591E">
              <w:rPr>
                <w:rFonts w:eastAsiaTheme="minorHAnsi" w:cs="Times New Roman"/>
                <w:color w:val="000000"/>
                <w:szCs w:val="24"/>
              </w:rPr>
              <w:t>Accountability</w:t>
            </w:r>
          </w:p>
          <w:p w14:paraId="711A0F82" w14:textId="7FF20061" w:rsidR="005C4DBF" w:rsidRPr="00C0591E" w:rsidRDefault="00C57D86" w:rsidP="00F14D26">
            <w:pPr>
              <w:pStyle w:val="ListParagraph"/>
              <w:numPr>
                <w:ilvl w:val="0"/>
                <w:numId w:val="33"/>
              </w:numPr>
              <w:spacing w:before="0" w:after="0" w:line="276" w:lineRule="auto"/>
              <w:jc w:val="left"/>
              <w:cnfStyle w:val="000000100000" w:firstRow="0" w:lastRow="0" w:firstColumn="0" w:lastColumn="0" w:oddVBand="0" w:evenVBand="0" w:oddHBand="1" w:evenHBand="0" w:firstRowFirstColumn="0" w:firstRowLastColumn="0" w:lastRowFirstColumn="0" w:lastRowLastColumn="0"/>
              <w:rPr>
                <w:rFonts w:eastAsiaTheme="minorHAnsi" w:cs="Times New Roman"/>
                <w:color w:val="000000"/>
                <w:szCs w:val="24"/>
              </w:rPr>
            </w:pPr>
            <w:r w:rsidRPr="00C0591E">
              <w:rPr>
                <w:rFonts w:eastAsiaTheme="minorHAnsi" w:cs="Times New Roman"/>
                <w:color w:val="000000"/>
                <w:szCs w:val="24"/>
              </w:rPr>
              <w:t>Stakeholder p</w:t>
            </w:r>
            <w:r w:rsidR="005C4DBF" w:rsidRPr="00C0591E">
              <w:rPr>
                <w:rFonts w:eastAsiaTheme="minorHAnsi" w:cs="Times New Roman"/>
                <w:color w:val="000000"/>
                <w:szCs w:val="24"/>
              </w:rPr>
              <w:t>articipation</w:t>
            </w:r>
          </w:p>
        </w:tc>
        <w:tc>
          <w:tcPr>
            <w:cnfStyle w:val="000010000000" w:firstRow="0" w:lastRow="0" w:firstColumn="0" w:lastColumn="0" w:oddVBand="1" w:evenVBand="0" w:oddHBand="0" w:evenHBand="0" w:firstRowFirstColumn="0" w:firstRowLastColumn="0" w:lastRowFirstColumn="0" w:lastRowLastColumn="0"/>
            <w:tcW w:w="730" w:type="pct"/>
            <w:tcBorders>
              <w:top w:val="single" w:sz="4" w:space="0" w:color="000000"/>
            </w:tcBorders>
            <w:shd w:val="clear" w:color="auto" w:fill="FFFFFF" w:themeFill="background1"/>
          </w:tcPr>
          <w:p w14:paraId="0FD1F507" w14:textId="77777777" w:rsidR="005C4DBF" w:rsidRPr="00C0591E" w:rsidRDefault="005C4DBF" w:rsidP="00F14D26">
            <w:pPr>
              <w:spacing w:before="0" w:after="0" w:line="276" w:lineRule="auto"/>
              <w:rPr>
                <w:rFonts w:cs="Times New Roman"/>
                <w:szCs w:val="24"/>
              </w:rPr>
            </w:pPr>
            <w:r w:rsidRPr="00C0591E">
              <w:rPr>
                <w:rFonts w:cs="Times New Roman"/>
                <w:szCs w:val="24"/>
              </w:rPr>
              <w:t>Interval</w:t>
            </w:r>
          </w:p>
        </w:tc>
        <w:tc>
          <w:tcPr>
            <w:cnfStyle w:val="000100000000" w:firstRow="0" w:lastRow="0" w:firstColumn="0" w:lastColumn="1" w:oddVBand="0" w:evenVBand="0" w:oddHBand="0" w:evenHBand="0" w:firstRowFirstColumn="0" w:firstRowLastColumn="0" w:lastRowFirstColumn="0" w:lastRowLastColumn="0"/>
            <w:tcW w:w="953" w:type="pct"/>
            <w:tcBorders>
              <w:top w:val="single" w:sz="4" w:space="0" w:color="000000"/>
            </w:tcBorders>
            <w:shd w:val="clear" w:color="auto" w:fill="FFFFFF" w:themeFill="background1"/>
          </w:tcPr>
          <w:p w14:paraId="04B1B855" w14:textId="77777777" w:rsidR="005C4DBF" w:rsidRPr="00C0591E" w:rsidRDefault="005C4DBF" w:rsidP="00F14D26">
            <w:pPr>
              <w:pStyle w:val="Header"/>
              <w:tabs>
                <w:tab w:val="clear" w:pos="4680"/>
                <w:tab w:val="clear" w:pos="9360"/>
              </w:tabs>
              <w:spacing w:before="0" w:line="276" w:lineRule="auto"/>
              <w:rPr>
                <w:rFonts w:cs="Times New Roman"/>
                <w:b w:val="0"/>
                <w:szCs w:val="24"/>
              </w:rPr>
            </w:pPr>
            <w:r w:rsidRPr="00C0591E">
              <w:rPr>
                <w:rFonts w:cs="Times New Roman"/>
                <w:b w:val="0"/>
                <w:szCs w:val="24"/>
              </w:rPr>
              <w:t>Section B</w:t>
            </w:r>
          </w:p>
        </w:tc>
      </w:tr>
      <w:tr w:rsidR="005C4DBF" w:rsidRPr="00C0591E" w14:paraId="6182EF58" w14:textId="77777777" w:rsidTr="005C4DBF">
        <w:trPr>
          <w:trHeight w:val="1250"/>
        </w:trPr>
        <w:tc>
          <w:tcPr>
            <w:cnfStyle w:val="001000000000" w:firstRow="0" w:lastRow="0" w:firstColumn="1" w:lastColumn="0" w:oddVBand="0" w:evenVBand="0" w:oddHBand="0" w:evenHBand="0" w:firstRowFirstColumn="0" w:firstRowLastColumn="0" w:lastRowFirstColumn="0" w:lastRowLastColumn="0"/>
            <w:tcW w:w="842" w:type="pct"/>
            <w:shd w:val="clear" w:color="auto" w:fill="FFFFFF" w:themeFill="background1"/>
          </w:tcPr>
          <w:p w14:paraId="64B8CF7B" w14:textId="77777777" w:rsidR="005C4DBF" w:rsidRPr="00C0591E" w:rsidRDefault="005C4DBF" w:rsidP="00F14D26">
            <w:pPr>
              <w:spacing w:before="0" w:after="0" w:line="276" w:lineRule="auto"/>
              <w:rPr>
                <w:rFonts w:cs="Times New Roman"/>
                <w:b w:val="0"/>
                <w:bCs w:val="0"/>
                <w:szCs w:val="24"/>
              </w:rPr>
            </w:pPr>
            <w:r w:rsidRPr="00C0591E">
              <w:rPr>
                <w:rFonts w:cs="Times New Roman"/>
                <w:b w:val="0"/>
                <w:bCs w:val="0"/>
                <w:szCs w:val="24"/>
              </w:rPr>
              <w:t>Moderating Variable:</w:t>
            </w:r>
          </w:p>
          <w:p w14:paraId="145A4FFB" w14:textId="16A9F750" w:rsidR="005C4DBF" w:rsidRPr="00C0591E" w:rsidRDefault="005C4DBF" w:rsidP="00F14D26">
            <w:pPr>
              <w:spacing w:before="0" w:after="0" w:line="276" w:lineRule="auto"/>
              <w:rPr>
                <w:rFonts w:cs="Times New Roman"/>
                <w:b w:val="0"/>
                <w:szCs w:val="24"/>
              </w:rPr>
            </w:pPr>
          </w:p>
        </w:tc>
        <w:tc>
          <w:tcPr>
            <w:cnfStyle w:val="000010000000" w:firstRow="0" w:lastRow="0" w:firstColumn="0" w:lastColumn="0" w:oddVBand="1" w:evenVBand="0" w:oddHBand="0" w:evenHBand="0" w:firstRowFirstColumn="0" w:firstRowLastColumn="0" w:lastRowFirstColumn="0" w:lastRowLastColumn="0"/>
            <w:tcW w:w="841" w:type="pct"/>
            <w:shd w:val="clear" w:color="auto" w:fill="FFFFFF" w:themeFill="background1"/>
          </w:tcPr>
          <w:p w14:paraId="2BDA6119" w14:textId="65C0C6F6" w:rsidR="005C4DBF" w:rsidRPr="00C0591E" w:rsidRDefault="005C4DBF" w:rsidP="00F14D26">
            <w:pPr>
              <w:spacing w:before="0" w:after="0" w:line="276" w:lineRule="auto"/>
              <w:rPr>
                <w:szCs w:val="24"/>
              </w:rPr>
            </w:pPr>
            <w:r w:rsidRPr="00C0591E">
              <w:rPr>
                <w:rFonts w:cs="Times New Roman"/>
                <w:szCs w:val="24"/>
              </w:rPr>
              <w:t>Government Regulations</w:t>
            </w:r>
          </w:p>
        </w:tc>
        <w:tc>
          <w:tcPr>
            <w:tcW w:w="1634" w:type="pct"/>
            <w:shd w:val="clear" w:color="auto" w:fill="FFFFFF" w:themeFill="background1"/>
          </w:tcPr>
          <w:p w14:paraId="5962024E" w14:textId="77777777" w:rsidR="00B95D94" w:rsidRPr="00C0591E" w:rsidRDefault="00B95D94" w:rsidP="00F14D26">
            <w:pPr>
              <w:pStyle w:val="ListParagraph"/>
              <w:numPr>
                <w:ilvl w:val="0"/>
                <w:numId w:val="33"/>
              </w:numPr>
              <w:spacing w:before="0" w:after="0" w:line="276" w:lineRule="auto"/>
              <w:jc w:val="left"/>
              <w:cnfStyle w:val="000000000000" w:firstRow="0" w:lastRow="0" w:firstColumn="0" w:lastColumn="0" w:oddVBand="0" w:evenVBand="0" w:oddHBand="0" w:evenHBand="0" w:firstRowFirstColumn="0" w:firstRowLastColumn="0" w:lastRowFirstColumn="0" w:lastRowLastColumn="0"/>
              <w:rPr>
                <w:szCs w:val="24"/>
              </w:rPr>
            </w:pPr>
            <w:r w:rsidRPr="00C0591E">
              <w:rPr>
                <w:szCs w:val="24"/>
              </w:rPr>
              <w:t>RBA/CMA guidelines</w:t>
            </w:r>
          </w:p>
          <w:p w14:paraId="67BB017C" w14:textId="01BD61EA" w:rsidR="005C4DBF" w:rsidRPr="00C0591E" w:rsidRDefault="005C4DBF" w:rsidP="00F14D26">
            <w:pPr>
              <w:pStyle w:val="ListParagraph"/>
              <w:numPr>
                <w:ilvl w:val="0"/>
                <w:numId w:val="33"/>
              </w:numPr>
              <w:spacing w:before="0" w:after="0" w:line="276" w:lineRule="auto"/>
              <w:jc w:val="left"/>
              <w:cnfStyle w:val="000000000000" w:firstRow="0" w:lastRow="0" w:firstColumn="0" w:lastColumn="0" w:oddVBand="0" w:evenVBand="0" w:oddHBand="0" w:evenHBand="0" w:firstRowFirstColumn="0" w:firstRowLastColumn="0" w:lastRowFirstColumn="0" w:lastRowLastColumn="0"/>
              <w:rPr>
                <w:szCs w:val="24"/>
              </w:rPr>
            </w:pPr>
            <w:r w:rsidRPr="00C0591E">
              <w:rPr>
                <w:szCs w:val="24"/>
              </w:rPr>
              <w:t>Taxation</w:t>
            </w:r>
          </w:p>
          <w:p w14:paraId="08564006" w14:textId="460D884F" w:rsidR="005C4DBF" w:rsidRPr="00C0591E" w:rsidRDefault="005C4DBF" w:rsidP="00F14D26">
            <w:pPr>
              <w:pStyle w:val="ListParagraph"/>
              <w:numPr>
                <w:ilvl w:val="0"/>
                <w:numId w:val="33"/>
              </w:numPr>
              <w:spacing w:before="0" w:after="0" w:line="276" w:lineRule="auto"/>
              <w:jc w:val="left"/>
              <w:cnfStyle w:val="000000000000" w:firstRow="0" w:lastRow="0" w:firstColumn="0" w:lastColumn="0" w:oddVBand="0" w:evenVBand="0" w:oddHBand="0" w:evenHBand="0" w:firstRowFirstColumn="0" w:firstRowLastColumn="0" w:lastRowFirstColumn="0" w:lastRowLastColumn="0"/>
              <w:rPr>
                <w:szCs w:val="24"/>
              </w:rPr>
            </w:pPr>
            <w:r w:rsidRPr="00C0591E">
              <w:rPr>
                <w:szCs w:val="24"/>
              </w:rPr>
              <w:t>Inflation</w:t>
            </w:r>
          </w:p>
        </w:tc>
        <w:tc>
          <w:tcPr>
            <w:cnfStyle w:val="000010000000" w:firstRow="0" w:lastRow="0" w:firstColumn="0" w:lastColumn="0" w:oddVBand="1" w:evenVBand="0" w:oddHBand="0" w:evenHBand="0" w:firstRowFirstColumn="0" w:firstRowLastColumn="0" w:lastRowFirstColumn="0" w:lastRowLastColumn="0"/>
            <w:tcW w:w="730" w:type="pct"/>
            <w:shd w:val="clear" w:color="auto" w:fill="FFFFFF" w:themeFill="background1"/>
          </w:tcPr>
          <w:p w14:paraId="6FE2E4F8" w14:textId="77777777" w:rsidR="005C4DBF" w:rsidRPr="00C0591E" w:rsidRDefault="005C4DBF" w:rsidP="00F14D26">
            <w:pPr>
              <w:spacing w:before="0" w:after="0" w:line="276" w:lineRule="auto"/>
              <w:rPr>
                <w:rFonts w:cs="Times New Roman"/>
                <w:szCs w:val="24"/>
              </w:rPr>
            </w:pPr>
            <w:r w:rsidRPr="00C0591E">
              <w:rPr>
                <w:rFonts w:cs="Times New Roman"/>
                <w:szCs w:val="24"/>
              </w:rPr>
              <w:t>Interval</w:t>
            </w:r>
          </w:p>
        </w:tc>
        <w:tc>
          <w:tcPr>
            <w:cnfStyle w:val="000100000000" w:firstRow="0" w:lastRow="0" w:firstColumn="0" w:lastColumn="1" w:oddVBand="0" w:evenVBand="0" w:oddHBand="0" w:evenHBand="0" w:firstRowFirstColumn="0" w:firstRowLastColumn="0" w:lastRowFirstColumn="0" w:lastRowLastColumn="0"/>
            <w:tcW w:w="953" w:type="pct"/>
            <w:shd w:val="clear" w:color="auto" w:fill="FFFFFF" w:themeFill="background1"/>
          </w:tcPr>
          <w:p w14:paraId="6E76E02C" w14:textId="77777777" w:rsidR="005C4DBF" w:rsidRPr="00C0591E" w:rsidRDefault="005C4DBF" w:rsidP="00F14D26">
            <w:pPr>
              <w:pStyle w:val="Header"/>
              <w:tabs>
                <w:tab w:val="clear" w:pos="4680"/>
                <w:tab w:val="clear" w:pos="9360"/>
              </w:tabs>
              <w:spacing w:before="0" w:line="276" w:lineRule="auto"/>
              <w:rPr>
                <w:rFonts w:cs="Times New Roman"/>
                <w:b w:val="0"/>
                <w:szCs w:val="24"/>
              </w:rPr>
            </w:pPr>
            <w:r w:rsidRPr="00C0591E">
              <w:rPr>
                <w:rFonts w:cs="Times New Roman"/>
                <w:b w:val="0"/>
                <w:szCs w:val="24"/>
              </w:rPr>
              <w:t>Section C</w:t>
            </w:r>
          </w:p>
        </w:tc>
      </w:tr>
      <w:tr w:rsidR="005C4DBF" w:rsidRPr="00C0591E" w14:paraId="059FF32A" w14:textId="77777777" w:rsidTr="005C4DBF">
        <w:trPr>
          <w:cnfStyle w:val="000000100000" w:firstRow="0" w:lastRow="0" w:firstColumn="0" w:lastColumn="0" w:oddVBand="0" w:evenVBand="0" w:oddHBand="1" w:evenHBand="0" w:firstRowFirstColumn="0" w:firstRowLastColumn="0" w:lastRowFirstColumn="0" w:lastRowLastColumn="0"/>
          <w:trHeight w:val="1071"/>
        </w:trPr>
        <w:tc>
          <w:tcPr>
            <w:cnfStyle w:val="001000000000" w:firstRow="0" w:lastRow="0" w:firstColumn="1" w:lastColumn="0" w:oddVBand="0" w:evenVBand="0" w:oddHBand="0" w:evenHBand="0" w:firstRowFirstColumn="0" w:firstRowLastColumn="0" w:lastRowFirstColumn="0" w:lastRowLastColumn="0"/>
            <w:tcW w:w="842" w:type="pct"/>
            <w:shd w:val="clear" w:color="auto" w:fill="FFFFFF" w:themeFill="background1"/>
          </w:tcPr>
          <w:p w14:paraId="7724EA71" w14:textId="77777777" w:rsidR="005C4DBF" w:rsidRPr="00C0591E" w:rsidRDefault="005C4DBF" w:rsidP="00F14D26">
            <w:pPr>
              <w:spacing w:before="0" w:after="0" w:line="276" w:lineRule="auto"/>
              <w:rPr>
                <w:rFonts w:cs="Times New Roman"/>
                <w:b w:val="0"/>
                <w:bCs w:val="0"/>
                <w:szCs w:val="24"/>
              </w:rPr>
            </w:pPr>
            <w:r w:rsidRPr="00C0591E">
              <w:rPr>
                <w:rFonts w:cs="Times New Roman"/>
                <w:b w:val="0"/>
                <w:bCs w:val="0"/>
                <w:szCs w:val="24"/>
              </w:rPr>
              <w:t>Intervening Variable:</w:t>
            </w:r>
          </w:p>
          <w:p w14:paraId="484B0680" w14:textId="5538DA2F" w:rsidR="005C4DBF" w:rsidRPr="00C0591E" w:rsidRDefault="005C4DBF" w:rsidP="00F14D26">
            <w:pPr>
              <w:spacing w:before="0" w:after="0" w:line="276" w:lineRule="auto"/>
              <w:rPr>
                <w:rFonts w:cs="Times New Roman"/>
                <w:b w:val="0"/>
                <w:szCs w:val="24"/>
              </w:rPr>
            </w:pPr>
          </w:p>
        </w:tc>
        <w:tc>
          <w:tcPr>
            <w:cnfStyle w:val="000010000000" w:firstRow="0" w:lastRow="0" w:firstColumn="0" w:lastColumn="0" w:oddVBand="1" w:evenVBand="0" w:oddHBand="0" w:evenHBand="0" w:firstRowFirstColumn="0" w:firstRowLastColumn="0" w:lastRowFirstColumn="0" w:lastRowLastColumn="0"/>
            <w:tcW w:w="841" w:type="pct"/>
            <w:shd w:val="clear" w:color="auto" w:fill="FFFFFF" w:themeFill="background1"/>
          </w:tcPr>
          <w:p w14:paraId="6D8CF3E5" w14:textId="4F233244" w:rsidR="005C4DBF" w:rsidRPr="00C0591E" w:rsidRDefault="005C4DBF" w:rsidP="00F14D26">
            <w:pPr>
              <w:spacing w:before="0" w:after="0" w:line="276" w:lineRule="auto"/>
              <w:rPr>
                <w:szCs w:val="24"/>
              </w:rPr>
            </w:pPr>
            <w:r w:rsidRPr="00C0591E">
              <w:rPr>
                <w:rFonts w:cs="Times New Roman"/>
                <w:szCs w:val="24"/>
              </w:rPr>
              <w:t>Investment policies</w:t>
            </w:r>
          </w:p>
        </w:tc>
        <w:tc>
          <w:tcPr>
            <w:tcW w:w="1634" w:type="pct"/>
            <w:shd w:val="clear" w:color="auto" w:fill="FFFFFF" w:themeFill="background1"/>
          </w:tcPr>
          <w:p w14:paraId="59FCF9DA" w14:textId="4D6E9E40" w:rsidR="005C4DBF" w:rsidRPr="00C0591E" w:rsidRDefault="005C4DBF" w:rsidP="00F14D26">
            <w:pPr>
              <w:pStyle w:val="ListParagraph"/>
              <w:numPr>
                <w:ilvl w:val="0"/>
                <w:numId w:val="33"/>
              </w:numPr>
              <w:spacing w:before="0" w:after="0" w:line="276" w:lineRule="auto"/>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C0591E">
              <w:rPr>
                <w:rFonts w:cs="Times New Roman"/>
                <w:szCs w:val="24"/>
              </w:rPr>
              <w:t>Leverage of the fund</w:t>
            </w:r>
          </w:p>
          <w:p w14:paraId="6418F612" w14:textId="77777777" w:rsidR="005C4DBF" w:rsidRPr="00C0591E" w:rsidRDefault="005C4DBF" w:rsidP="00F14D26">
            <w:pPr>
              <w:pStyle w:val="ListParagraph"/>
              <w:numPr>
                <w:ilvl w:val="0"/>
                <w:numId w:val="33"/>
              </w:numPr>
              <w:spacing w:before="0" w:after="0" w:line="276" w:lineRule="auto"/>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C0591E">
              <w:rPr>
                <w:rFonts w:cs="Times New Roman"/>
                <w:szCs w:val="24"/>
              </w:rPr>
              <w:t xml:space="preserve">Fund liquidity </w:t>
            </w:r>
          </w:p>
          <w:p w14:paraId="5909F59D" w14:textId="7F9DBBCB" w:rsidR="00B95D94" w:rsidRPr="00C0591E" w:rsidRDefault="00B95D94" w:rsidP="00F14D26">
            <w:pPr>
              <w:pStyle w:val="ListParagraph"/>
              <w:numPr>
                <w:ilvl w:val="0"/>
                <w:numId w:val="33"/>
              </w:numPr>
              <w:spacing w:before="0" w:after="0" w:line="276" w:lineRule="auto"/>
              <w:jc w:val="left"/>
              <w:cnfStyle w:val="000000100000" w:firstRow="0" w:lastRow="0" w:firstColumn="0" w:lastColumn="0" w:oddVBand="0" w:evenVBand="0" w:oddHBand="1" w:evenHBand="0" w:firstRowFirstColumn="0" w:firstRowLastColumn="0" w:lastRowFirstColumn="0" w:lastRowLastColumn="0"/>
              <w:rPr>
                <w:szCs w:val="24"/>
              </w:rPr>
            </w:pPr>
            <w:r w:rsidRPr="00C0591E">
              <w:rPr>
                <w:szCs w:val="24"/>
              </w:rPr>
              <w:t>Acts and covenants</w:t>
            </w:r>
          </w:p>
        </w:tc>
        <w:tc>
          <w:tcPr>
            <w:cnfStyle w:val="000010000000" w:firstRow="0" w:lastRow="0" w:firstColumn="0" w:lastColumn="0" w:oddVBand="1" w:evenVBand="0" w:oddHBand="0" w:evenHBand="0" w:firstRowFirstColumn="0" w:firstRowLastColumn="0" w:lastRowFirstColumn="0" w:lastRowLastColumn="0"/>
            <w:tcW w:w="730" w:type="pct"/>
            <w:shd w:val="clear" w:color="auto" w:fill="FFFFFF" w:themeFill="background1"/>
          </w:tcPr>
          <w:p w14:paraId="6E207008" w14:textId="77777777" w:rsidR="005C4DBF" w:rsidRPr="00C0591E" w:rsidRDefault="005C4DBF" w:rsidP="00F14D26">
            <w:pPr>
              <w:spacing w:before="0" w:after="0" w:line="276" w:lineRule="auto"/>
              <w:rPr>
                <w:rFonts w:cs="Times New Roman"/>
                <w:szCs w:val="24"/>
              </w:rPr>
            </w:pPr>
            <w:r w:rsidRPr="00C0591E">
              <w:rPr>
                <w:rFonts w:cs="Times New Roman"/>
                <w:szCs w:val="24"/>
              </w:rPr>
              <w:t>Interval</w:t>
            </w:r>
          </w:p>
        </w:tc>
        <w:tc>
          <w:tcPr>
            <w:cnfStyle w:val="000100000000" w:firstRow="0" w:lastRow="0" w:firstColumn="0" w:lastColumn="1" w:oddVBand="0" w:evenVBand="0" w:oddHBand="0" w:evenHBand="0" w:firstRowFirstColumn="0" w:firstRowLastColumn="0" w:lastRowFirstColumn="0" w:lastRowLastColumn="0"/>
            <w:tcW w:w="953" w:type="pct"/>
            <w:shd w:val="clear" w:color="auto" w:fill="FFFFFF" w:themeFill="background1"/>
          </w:tcPr>
          <w:p w14:paraId="6D76E79A" w14:textId="77777777" w:rsidR="005C4DBF" w:rsidRPr="00C0591E" w:rsidRDefault="005C4DBF" w:rsidP="00F14D26">
            <w:pPr>
              <w:pStyle w:val="Header"/>
              <w:tabs>
                <w:tab w:val="clear" w:pos="4680"/>
                <w:tab w:val="clear" w:pos="9360"/>
              </w:tabs>
              <w:spacing w:before="0" w:line="276" w:lineRule="auto"/>
              <w:rPr>
                <w:szCs w:val="24"/>
              </w:rPr>
            </w:pPr>
            <w:bookmarkStart w:id="78" w:name="_Toc8214573"/>
            <w:r w:rsidRPr="00C0591E">
              <w:rPr>
                <w:rFonts w:cs="Times New Roman"/>
                <w:b w:val="0"/>
                <w:szCs w:val="24"/>
              </w:rPr>
              <w:t>Section D</w:t>
            </w:r>
            <w:bookmarkEnd w:id="78"/>
          </w:p>
        </w:tc>
      </w:tr>
      <w:tr w:rsidR="005C4DBF" w:rsidRPr="00C0591E" w14:paraId="5D690648" w14:textId="77777777" w:rsidTr="005C4DBF">
        <w:trPr>
          <w:cnfStyle w:val="010000000000" w:firstRow="0" w:lastRow="1" w:firstColumn="0" w:lastColumn="0" w:oddVBand="0" w:evenVBand="0" w:oddHBand="0" w:evenHBand="0" w:firstRowFirstColumn="0" w:firstRowLastColumn="0" w:lastRowFirstColumn="0" w:lastRowLastColumn="0"/>
          <w:trHeight w:val="873"/>
        </w:trPr>
        <w:tc>
          <w:tcPr>
            <w:cnfStyle w:val="001000000000" w:firstRow="0" w:lastRow="0" w:firstColumn="1" w:lastColumn="0" w:oddVBand="0" w:evenVBand="0" w:oddHBand="0" w:evenHBand="0" w:firstRowFirstColumn="0" w:firstRowLastColumn="0" w:lastRowFirstColumn="0" w:lastRowLastColumn="0"/>
            <w:tcW w:w="842" w:type="pct"/>
            <w:tcBorders>
              <w:bottom w:val="single" w:sz="4" w:space="0" w:color="000000"/>
            </w:tcBorders>
            <w:shd w:val="clear" w:color="auto" w:fill="FFFFFF" w:themeFill="background1"/>
          </w:tcPr>
          <w:p w14:paraId="64403B3E" w14:textId="406DB3DA" w:rsidR="005C4DBF" w:rsidRPr="00C0591E" w:rsidRDefault="005C4DBF" w:rsidP="00F14D26">
            <w:pPr>
              <w:spacing w:before="0" w:after="0" w:line="276" w:lineRule="auto"/>
              <w:rPr>
                <w:b w:val="0"/>
                <w:szCs w:val="24"/>
              </w:rPr>
            </w:pPr>
            <w:r w:rsidRPr="00C0591E">
              <w:rPr>
                <w:rFonts w:cs="Times New Roman"/>
                <w:b w:val="0"/>
                <w:bCs w:val="0"/>
                <w:szCs w:val="24"/>
              </w:rPr>
              <w:t xml:space="preserve">Dependent Variable </w:t>
            </w:r>
          </w:p>
          <w:p w14:paraId="0F2DA114" w14:textId="77777777" w:rsidR="005C4DBF" w:rsidRPr="00C0591E" w:rsidRDefault="005C4DBF" w:rsidP="00F14D26">
            <w:pPr>
              <w:spacing w:before="0" w:line="276" w:lineRule="auto"/>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841" w:type="pct"/>
            <w:tcBorders>
              <w:bottom w:val="single" w:sz="4" w:space="0" w:color="000000"/>
            </w:tcBorders>
            <w:shd w:val="clear" w:color="auto" w:fill="FFFFFF" w:themeFill="background1"/>
          </w:tcPr>
          <w:p w14:paraId="60C333AE" w14:textId="79DD849A" w:rsidR="005C4DBF" w:rsidRPr="00C0591E" w:rsidRDefault="005C4DBF" w:rsidP="00F14D26">
            <w:pPr>
              <w:spacing w:before="0" w:after="0" w:line="276" w:lineRule="auto"/>
              <w:rPr>
                <w:rFonts w:cs="Times New Roman"/>
                <w:b w:val="0"/>
                <w:szCs w:val="24"/>
              </w:rPr>
            </w:pPr>
            <w:r w:rsidRPr="00C0591E">
              <w:rPr>
                <w:rFonts w:cs="Times New Roman"/>
                <w:b w:val="0"/>
                <w:bCs w:val="0"/>
                <w:szCs w:val="24"/>
              </w:rPr>
              <w:t>Performance</w:t>
            </w:r>
          </w:p>
        </w:tc>
        <w:tc>
          <w:tcPr>
            <w:tcW w:w="1634" w:type="pct"/>
            <w:tcBorders>
              <w:bottom w:val="single" w:sz="4" w:space="0" w:color="000000"/>
            </w:tcBorders>
            <w:shd w:val="clear" w:color="auto" w:fill="FFFFFF" w:themeFill="background1"/>
          </w:tcPr>
          <w:p w14:paraId="23CD7147" w14:textId="53759432" w:rsidR="005C4DBF" w:rsidRPr="00C0591E" w:rsidRDefault="005C4DBF" w:rsidP="00F14D26">
            <w:pPr>
              <w:pStyle w:val="ListParagraph"/>
              <w:numPr>
                <w:ilvl w:val="0"/>
                <w:numId w:val="33"/>
              </w:numPr>
              <w:spacing w:before="0" w:after="0" w:line="276" w:lineRule="auto"/>
              <w:jc w:val="left"/>
              <w:cnfStyle w:val="010000000000" w:firstRow="0" w:lastRow="1" w:firstColumn="0" w:lastColumn="0" w:oddVBand="0" w:evenVBand="0" w:oddHBand="0" w:evenHBand="0" w:firstRowFirstColumn="0" w:firstRowLastColumn="0" w:lastRowFirstColumn="0" w:lastRowLastColumn="0"/>
              <w:rPr>
                <w:rFonts w:cs="Times New Roman"/>
                <w:b w:val="0"/>
                <w:bCs w:val="0"/>
                <w:szCs w:val="24"/>
              </w:rPr>
            </w:pPr>
            <w:r w:rsidRPr="00C0591E">
              <w:rPr>
                <w:rFonts w:cs="Times New Roman"/>
                <w:b w:val="0"/>
                <w:szCs w:val="24"/>
              </w:rPr>
              <w:t>Profitability</w:t>
            </w:r>
          </w:p>
          <w:p w14:paraId="0E7EDF50" w14:textId="77777777" w:rsidR="00F14D26" w:rsidRPr="00C0591E" w:rsidRDefault="005C4DBF" w:rsidP="00FE24C6">
            <w:pPr>
              <w:pStyle w:val="ListParagraph"/>
              <w:numPr>
                <w:ilvl w:val="0"/>
                <w:numId w:val="33"/>
              </w:numPr>
              <w:spacing w:before="0" w:after="0" w:line="276" w:lineRule="auto"/>
              <w:jc w:val="left"/>
              <w:cnfStyle w:val="010000000000" w:firstRow="0" w:lastRow="1" w:firstColumn="0" w:lastColumn="0" w:oddVBand="0" w:evenVBand="0" w:oddHBand="0" w:evenHBand="0" w:firstRowFirstColumn="0" w:firstRowLastColumn="0" w:lastRowFirstColumn="0" w:lastRowLastColumn="0"/>
              <w:rPr>
                <w:rFonts w:cs="Times New Roman"/>
                <w:b w:val="0"/>
                <w:szCs w:val="24"/>
              </w:rPr>
            </w:pPr>
            <w:r w:rsidRPr="00C0591E">
              <w:rPr>
                <w:rFonts w:cs="Times New Roman"/>
                <w:b w:val="0"/>
                <w:szCs w:val="24"/>
              </w:rPr>
              <w:t>Market growth</w:t>
            </w:r>
          </w:p>
          <w:p w14:paraId="6C1E20B7" w14:textId="57D777F6" w:rsidR="00F14D26" w:rsidRPr="00C0591E" w:rsidRDefault="00F14D26" w:rsidP="00FE24C6">
            <w:pPr>
              <w:pStyle w:val="ListParagraph"/>
              <w:numPr>
                <w:ilvl w:val="0"/>
                <w:numId w:val="33"/>
              </w:numPr>
              <w:spacing w:before="0" w:after="0" w:line="276" w:lineRule="auto"/>
              <w:jc w:val="left"/>
              <w:cnfStyle w:val="010000000000" w:firstRow="0" w:lastRow="1" w:firstColumn="0" w:lastColumn="0" w:oddVBand="0" w:evenVBand="0" w:oddHBand="0" w:evenHBand="0" w:firstRowFirstColumn="0" w:firstRowLastColumn="0" w:lastRowFirstColumn="0" w:lastRowLastColumn="0"/>
              <w:rPr>
                <w:rFonts w:cs="Times New Roman"/>
                <w:b w:val="0"/>
                <w:szCs w:val="24"/>
              </w:rPr>
            </w:pPr>
            <w:r w:rsidRPr="00C0591E">
              <w:rPr>
                <w:rFonts w:cs="Times New Roman"/>
                <w:b w:val="0"/>
                <w:szCs w:val="24"/>
              </w:rPr>
              <w:t>Customer Satisfaction Levels</w:t>
            </w:r>
          </w:p>
          <w:p w14:paraId="6A1861D9" w14:textId="0A8AE1CD" w:rsidR="005C4DBF" w:rsidRPr="00C0591E" w:rsidRDefault="00F14D26" w:rsidP="00F14D26">
            <w:pPr>
              <w:pStyle w:val="ListParagraph"/>
              <w:numPr>
                <w:ilvl w:val="0"/>
                <w:numId w:val="33"/>
              </w:numPr>
              <w:spacing w:before="0" w:after="0" w:line="276" w:lineRule="auto"/>
              <w:jc w:val="left"/>
              <w:cnfStyle w:val="010000000000" w:firstRow="0" w:lastRow="1" w:firstColumn="0" w:lastColumn="0" w:oddVBand="0" w:evenVBand="0" w:oddHBand="0" w:evenHBand="0" w:firstRowFirstColumn="0" w:firstRowLastColumn="0" w:lastRowFirstColumn="0" w:lastRowLastColumn="0"/>
              <w:rPr>
                <w:rFonts w:cs="Times New Roman"/>
                <w:b w:val="0"/>
                <w:szCs w:val="24"/>
              </w:rPr>
            </w:pPr>
            <w:r w:rsidRPr="00C0591E">
              <w:rPr>
                <w:rFonts w:cs="Times New Roman"/>
                <w:b w:val="0"/>
                <w:szCs w:val="24"/>
              </w:rPr>
              <w:t>Employee Retention</w:t>
            </w:r>
          </w:p>
        </w:tc>
        <w:tc>
          <w:tcPr>
            <w:cnfStyle w:val="000010000000" w:firstRow="0" w:lastRow="0" w:firstColumn="0" w:lastColumn="0" w:oddVBand="1" w:evenVBand="0" w:oddHBand="0" w:evenHBand="0" w:firstRowFirstColumn="0" w:firstRowLastColumn="0" w:lastRowFirstColumn="0" w:lastRowLastColumn="0"/>
            <w:tcW w:w="730" w:type="pct"/>
            <w:tcBorders>
              <w:bottom w:val="single" w:sz="4" w:space="0" w:color="000000"/>
            </w:tcBorders>
            <w:shd w:val="clear" w:color="auto" w:fill="FFFFFF" w:themeFill="background1"/>
          </w:tcPr>
          <w:p w14:paraId="446EC27C" w14:textId="77777777" w:rsidR="005C4DBF" w:rsidRPr="00C0591E" w:rsidRDefault="005C4DBF" w:rsidP="00F14D26">
            <w:pPr>
              <w:spacing w:before="0" w:after="0" w:line="276" w:lineRule="auto"/>
              <w:rPr>
                <w:rFonts w:cs="Times New Roman"/>
                <w:b w:val="0"/>
                <w:szCs w:val="24"/>
              </w:rPr>
            </w:pPr>
            <w:r w:rsidRPr="00C0591E">
              <w:rPr>
                <w:rFonts w:cs="Times New Roman"/>
                <w:b w:val="0"/>
                <w:szCs w:val="24"/>
              </w:rPr>
              <w:t>Interval</w:t>
            </w:r>
          </w:p>
        </w:tc>
        <w:tc>
          <w:tcPr>
            <w:cnfStyle w:val="000100000000" w:firstRow="0" w:lastRow="0" w:firstColumn="0" w:lastColumn="1" w:oddVBand="0" w:evenVBand="0" w:oddHBand="0" w:evenHBand="0" w:firstRowFirstColumn="0" w:firstRowLastColumn="0" w:lastRowFirstColumn="0" w:lastRowLastColumn="0"/>
            <w:tcW w:w="953" w:type="pct"/>
            <w:tcBorders>
              <w:bottom w:val="single" w:sz="4" w:space="0" w:color="000000"/>
            </w:tcBorders>
            <w:shd w:val="clear" w:color="auto" w:fill="FFFFFF" w:themeFill="background1"/>
          </w:tcPr>
          <w:p w14:paraId="6827E42A" w14:textId="77777777" w:rsidR="005C4DBF" w:rsidRPr="00C0591E" w:rsidRDefault="005C4DBF" w:rsidP="00F14D26">
            <w:pPr>
              <w:pStyle w:val="Header"/>
              <w:tabs>
                <w:tab w:val="clear" w:pos="4680"/>
                <w:tab w:val="clear" w:pos="9360"/>
              </w:tabs>
              <w:spacing w:before="0" w:line="276" w:lineRule="auto"/>
              <w:rPr>
                <w:rFonts w:cs="Times New Roman"/>
                <w:b w:val="0"/>
                <w:szCs w:val="24"/>
              </w:rPr>
            </w:pPr>
            <w:r w:rsidRPr="00C0591E">
              <w:rPr>
                <w:rFonts w:cs="Times New Roman"/>
                <w:b w:val="0"/>
                <w:szCs w:val="24"/>
              </w:rPr>
              <w:t>Section E</w:t>
            </w:r>
          </w:p>
        </w:tc>
      </w:tr>
    </w:tbl>
    <w:p w14:paraId="54376342" w14:textId="763B0D50" w:rsidR="00267BE6" w:rsidRPr="00C0591E" w:rsidRDefault="00267BE6" w:rsidP="00347D67">
      <w:pPr>
        <w:pStyle w:val="Heading2"/>
      </w:pPr>
      <w:bookmarkStart w:id="79" w:name="_Toc113125089"/>
      <w:r w:rsidRPr="00C0591E">
        <w:t xml:space="preserve">2.7 Summary of Literature </w:t>
      </w:r>
      <w:r w:rsidR="00D34C3D" w:rsidRPr="00C0591E">
        <w:t>R</w:t>
      </w:r>
      <w:r w:rsidRPr="00C0591E">
        <w:t>eview</w:t>
      </w:r>
      <w:bookmarkEnd w:id="79"/>
    </w:p>
    <w:p w14:paraId="6BE7C4C6" w14:textId="09A7DED3" w:rsidR="00267BE6" w:rsidRPr="00C0591E" w:rsidRDefault="00267BE6" w:rsidP="00366F53">
      <w:r w:rsidRPr="00C0591E">
        <w:t xml:space="preserve">The focus of this chapter </w:t>
      </w:r>
      <w:r w:rsidR="004605AB" w:rsidRPr="00C0591E">
        <w:t>was</w:t>
      </w:r>
      <w:r w:rsidRPr="00C0591E">
        <w:t xml:space="preserve"> review of literature on effects of </w:t>
      </w:r>
      <w:r w:rsidR="0053714D">
        <w:rPr>
          <w:rFonts w:eastAsia="Times New Roman"/>
          <w:szCs w:val="24"/>
        </w:rPr>
        <w:t>p</w:t>
      </w:r>
      <w:r w:rsidR="0053714D" w:rsidRPr="00AF069B">
        <w:rPr>
          <w:lang w:val="en-GB"/>
        </w:rPr>
        <w:t xml:space="preserve">illars of </w:t>
      </w:r>
      <w:r w:rsidRPr="00C0591E">
        <w:t>corporate governance, investment policies and government regulation</w:t>
      </w:r>
      <w:r w:rsidR="00831282" w:rsidRPr="00C0591E">
        <w:t>s</w:t>
      </w:r>
      <w:r w:rsidRPr="00C0591E">
        <w:t xml:space="preserve"> on performance</w:t>
      </w:r>
      <w:r w:rsidR="00564724" w:rsidRPr="00C0591E">
        <w:t xml:space="preserve"> </w:t>
      </w:r>
      <w:r w:rsidR="00564724" w:rsidRPr="00C0591E">
        <w:rPr>
          <w:rFonts w:cs="Times New Roman"/>
          <w:szCs w:val="24"/>
        </w:rPr>
        <w:t>of pension fund managers in Kenya</w:t>
      </w:r>
      <w:r w:rsidRPr="00C0591E">
        <w:t xml:space="preserve">. The chapter also contains the theories that the study is anchored on. These theories include; </w:t>
      </w:r>
      <w:r w:rsidRPr="00C0591E">
        <w:rPr>
          <w:rFonts w:cs="Times New Roman"/>
          <w:color w:val="000000"/>
          <w:szCs w:val="24"/>
          <w:lang w:val="en-GB"/>
        </w:rPr>
        <w:t xml:space="preserve">neoclassical theory, </w:t>
      </w:r>
      <w:r w:rsidRPr="00C0591E">
        <w:t>Q-theory</w:t>
      </w:r>
      <w:r w:rsidRPr="00C0591E">
        <w:rPr>
          <w:rFonts w:cs="Times New Roman"/>
          <w:color w:val="000000"/>
          <w:szCs w:val="24"/>
          <w:lang w:val="en-GB"/>
        </w:rPr>
        <w:t>, contingency theory, stakeholder theory and agency theory.</w:t>
      </w:r>
      <w:r w:rsidRPr="00C0591E">
        <w:t xml:space="preserve"> The review discuss</w:t>
      </w:r>
      <w:r w:rsidR="0015128E" w:rsidRPr="00C0591E">
        <w:t>ed</w:t>
      </w:r>
      <w:r w:rsidRPr="00C0591E">
        <w:t xml:space="preserve"> </w:t>
      </w:r>
      <w:r w:rsidR="00482602" w:rsidRPr="00C0591E">
        <w:t xml:space="preserve">relationship between </w:t>
      </w:r>
      <w:r w:rsidR="0053714D">
        <w:t xml:space="preserve">pillars of </w:t>
      </w:r>
      <w:r w:rsidR="00482602" w:rsidRPr="00C0591E">
        <w:t>corporate governance and performance</w:t>
      </w:r>
      <w:r w:rsidRPr="00C0591E">
        <w:t xml:space="preserve">, effects of </w:t>
      </w:r>
      <w:r w:rsidRPr="00C0591E">
        <w:rPr>
          <w:bCs/>
          <w:spacing w:val="-4"/>
        </w:rPr>
        <w:t>investment policies</w:t>
      </w:r>
      <w:r w:rsidRPr="00C0591E">
        <w:t xml:space="preserve"> on performance, effects of government regulations</w:t>
      </w:r>
      <w:r w:rsidRPr="00C0591E">
        <w:rPr>
          <w:bCs/>
          <w:spacing w:val="-4"/>
        </w:rPr>
        <w:t xml:space="preserve"> on performance </w:t>
      </w:r>
      <w:r w:rsidR="0053714D" w:rsidRPr="00C0591E">
        <w:t>and</w:t>
      </w:r>
      <w:r w:rsidRPr="00C0591E">
        <w:t xml:space="preserve"> discuss</w:t>
      </w:r>
      <w:r w:rsidR="0015128E" w:rsidRPr="00C0591E">
        <w:t>ed</w:t>
      </w:r>
      <w:r w:rsidRPr="00C0591E">
        <w:t xml:space="preserve"> the dimensions of </w:t>
      </w:r>
      <w:r w:rsidR="0053714D">
        <w:t xml:space="preserve">pillars of </w:t>
      </w:r>
      <w:r w:rsidRPr="00C0591E">
        <w:t xml:space="preserve">corporate governance. Chapter summary </w:t>
      </w:r>
      <w:r w:rsidR="0015128E" w:rsidRPr="00C0591E">
        <w:t>was</w:t>
      </w:r>
      <w:r w:rsidRPr="00C0591E">
        <w:t xml:space="preserve"> also included.</w:t>
      </w:r>
    </w:p>
    <w:p w14:paraId="55DC417F" w14:textId="7BA5E90D" w:rsidR="00347D67" w:rsidRPr="00C0591E" w:rsidRDefault="00D34C3D" w:rsidP="00E8593E">
      <w:pPr>
        <w:pStyle w:val="Heading1"/>
      </w:pPr>
      <w:bookmarkStart w:id="80" w:name="_Toc487876051"/>
      <w:bookmarkStart w:id="81" w:name="_Toc51335"/>
      <w:bookmarkEnd w:id="70"/>
      <w:bookmarkEnd w:id="71"/>
      <w:bookmarkEnd w:id="72"/>
      <w:r w:rsidRPr="00C0591E">
        <w:rPr>
          <w:rFonts w:cs="Times New Roman"/>
          <w:szCs w:val="24"/>
        </w:rPr>
        <w:br w:type="page"/>
      </w:r>
      <w:bookmarkStart w:id="82" w:name="_Toc113125090"/>
      <w:r w:rsidR="00267BE6" w:rsidRPr="00C0591E">
        <w:t>CHAPTER THREE</w:t>
      </w:r>
      <w:bookmarkEnd w:id="82"/>
    </w:p>
    <w:p w14:paraId="3574CC0D" w14:textId="273F2D5C" w:rsidR="00267BE6" w:rsidRPr="00C0591E" w:rsidRDefault="00267BE6" w:rsidP="00347D67">
      <w:pPr>
        <w:pStyle w:val="Heading1"/>
      </w:pPr>
      <w:bookmarkStart w:id="83" w:name="_Toc113125091"/>
      <w:r w:rsidRPr="00C0591E">
        <w:t>RESEARCH METHODOLOGY</w:t>
      </w:r>
      <w:bookmarkEnd w:id="80"/>
      <w:bookmarkEnd w:id="81"/>
      <w:bookmarkEnd w:id="83"/>
    </w:p>
    <w:p w14:paraId="5CC4ECC2" w14:textId="288F3EE9" w:rsidR="00267BE6" w:rsidRPr="00C0591E" w:rsidRDefault="00267BE6" w:rsidP="00347D67">
      <w:pPr>
        <w:pStyle w:val="Heading2"/>
      </w:pPr>
      <w:bookmarkStart w:id="84" w:name="_Toc487876052"/>
      <w:bookmarkStart w:id="85" w:name="_Toc113125092"/>
      <w:bookmarkStart w:id="86" w:name="_Toc51336"/>
      <w:r w:rsidRPr="00C0591E">
        <w:t>3.0 Introduction</w:t>
      </w:r>
      <w:bookmarkEnd w:id="84"/>
      <w:bookmarkEnd w:id="85"/>
      <w:r w:rsidRPr="00C0591E">
        <w:t xml:space="preserve"> </w:t>
      </w:r>
      <w:bookmarkEnd w:id="86"/>
    </w:p>
    <w:p w14:paraId="09BBA6BF" w14:textId="4583C0CC" w:rsidR="00267BE6" w:rsidRPr="00C0591E" w:rsidRDefault="00267BE6" w:rsidP="00347D67">
      <w:r w:rsidRPr="00C0591E">
        <w:t>This chapter discuss</w:t>
      </w:r>
      <w:r w:rsidR="00366F53" w:rsidRPr="00C0591E">
        <w:t>ed</w:t>
      </w:r>
      <w:r w:rsidRPr="00C0591E">
        <w:t xml:space="preserve"> the research methodology that </w:t>
      </w:r>
      <w:r w:rsidR="00366F53" w:rsidRPr="00C0591E">
        <w:t xml:space="preserve">was </w:t>
      </w:r>
      <w:r w:rsidRPr="00C0591E">
        <w:t>follow</w:t>
      </w:r>
      <w:r w:rsidR="00366F53" w:rsidRPr="00C0591E">
        <w:t>ed</w:t>
      </w:r>
      <w:r w:rsidRPr="00C0591E">
        <w:t xml:space="preserve"> in the study. It examine</w:t>
      </w:r>
      <w:r w:rsidR="00366F53" w:rsidRPr="00C0591E">
        <w:t>d</w:t>
      </w:r>
      <w:r w:rsidRPr="00C0591E">
        <w:t xml:space="preserve"> and justif</w:t>
      </w:r>
      <w:r w:rsidR="00366F53" w:rsidRPr="00C0591E">
        <w:t>ied</w:t>
      </w:r>
      <w:r w:rsidRPr="00C0591E">
        <w:t xml:space="preserve"> the research design that </w:t>
      </w:r>
      <w:r w:rsidR="004605AB" w:rsidRPr="00C0591E">
        <w:t>was</w:t>
      </w:r>
      <w:r w:rsidRPr="00C0591E">
        <w:t xml:space="preserve"> applied in the study herein as well as stating the population of interest for the study. The data collection methods and how the data </w:t>
      </w:r>
      <w:r w:rsidR="004605AB" w:rsidRPr="00C0591E">
        <w:t>was</w:t>
      </w:r>
      <w:r w:rsidRPr="00C0591E">
        <w:t xml:space="preserve"> validated </w:t>
      </w:r>
      <w:r w:rsidR="0015128E" w:rsidRPr="00C0591E">
        <w:t>were</w:t>
      </w:r>
      <w:r w:rsidRPr="00C0591E">
        <w:t xml:space="preserve"> provided while the data analysis technique applied and the justification for its use </w:t>
      </w:r>
      <w:r w:rsidR="0015128E" w:rsidRPr="00C0591E">
        <w:t>were</w:t>
      </w:r>
      <w:r w:rsidRPr="00C0591E">
        <w:t xml:space="preserve"> also given.  </w:t>
      </w:r>
    </w:p>
    <w:p w14:paraId="7EF89FCF" w14:textId="79795470" w:rsidR="00460BE5" w:rsidRPr="00C0591E" w:rsidRDefault="00267BE6" w:rsidP="00347D67">
      <w:pPr>
        <w:pStyle w:val="Heading2"/>
      </w:pPr>
      <w:bookmarkStart w:id="87" w:name="_Toc113125093"/>
      <w:bookmarkStart w:id="88" w:name="_Toc487876053"/>
      <w:bookmarkStart w:id="89" w:name="_Toc51337"/>
      <w:r w:rsidRPr="00C0591E">
        <w:t xml:space="preserve">3.1 </w:t>
      </w:r>
      <w:r w:rsidR="00CE1693" w:rsidRPr="00C0591E">
        <w:t xml:space="preserve">Research </w:t>
      </w:r>
      <w:r w:rsidR="00D96260" w:rsidRPr="00C0591E">
        <w:t>P</w:t>
      </w:r>
      <w:r w:rsidR="00CE1693" w:rsidRPr="00C0591E">
        <w:t>hilosophy</w:t>
      </w:r>
      <w:bookmarkEnd w:id="87"/>
    </w:p>
    <w:p w14:paraId="2317D1C5" w14:textId="7D334D22" w:rsidR="0017283F" w:rsidRPr="00C0591E" w:rsidRDefault="007B2457" w:rsidP="00347D67">
      <w:r w:rsidRPr="00C0591E">
        <w:t xml:space="preserve">Research philosophy is a belief about the way in which data about a phenomenon should be gathered, analyzed and used. In social sciences, the key concepts of philosophy includes ontology, epistemology, methodology, methods and paradigm (Scotland, 2012). Ontology assumes that reality is subjective and understood based upon individual’s perceptions and experiences. Epistemology on the other hand, is concerned with nature of knowledge and how it can be acquired, either through positivism or interpretivism. Positivism perspective believes that the world is real and exists independent of researchers, hence the resulting knowledge is objective and true. </w:t>
      </w:r>
      <w:r w:rsidR="0017283F" w:rsidRPr="00C0591E">
        <w:t xml:space="preserve">Interpretivism contradicts this view and argues that the world is social </w:t>
      </w:r>
      <w:r w:rsidR="00231C79" w:rsidRPr="00C0591E">
        <w:t>hence,</w:t>
      </w:r>
      <w:r w:rsidR="0017283F" w:rsidRPr="00C0591E">
        <w:t xml:space="preserve"> researcher impacts study subjects (Aliyu, Bello, Kasim &amp; Martin, 2014).  </w:t>
      </w:r>
    </w:p>
    <w:p w14:paraId="63D738EC" w14:textId="2C684E60" w:rsidR="00A740B6" w:rsidRPr="00C0591E" w:rsidRDefault="00A740B6" w:rsidP="00347D67">
      <w:r w:rsidRPr="00C0591E">
        <w:t>Th</w:t>
      </w:r>
      <w:r w:rsidR="00AD1816" w:rsidRPr="00C0591E">
        <w:t>is</w:t>
      </w:r>
      <w:r w:rsidRPr="00C0591E">
        <w:t xml:space="preserve"> study adopt</w:t>
      </w:r>
      <w:r w:rsidR="0015128E" w:rsidRPr="00C0591E">
        <w:t>ed</w:t>
      </w:r>
      <w:r w:rsidR="00AD1816" w:rsidRPr="00C0591E">
        <w:t xml:space="preserve"> </w:t>
      </w:r>
      <w:r w:rsidRPr="00C0591E">
        <w:t xml:space="preserve">a </w:t>
      </w:r>
      <w:r w:rsidR="00AD1816" w:rsidRPr="00C0591E">
        <w:t>p</w:t>
      </w:r>
      <w:r w:rsidRPr="00C0591E">
        <w:t xml:space="preserve">ositivist </w:t>
      </w:r>
      <w:r w:rsidR="00AD1816" w:rsidRPr="00C0591E">
        <w:t>r</w:t>
      </w:r>
      <w:r w:rsidRPr="00C0591E">
        <w:t xml:space="preserve">esearch </w:t>
      </w:r>
      <w:r w:rsidR="00AD1816" w:rsidRPr="00C0591E">
        <w:t>p</w:t>
      </w:r>
      <w:r w:rsidRPr="00C0591E">
        <w:t>hilosophy. Mwaniki (2015), Bryman (2015) and Levin (</w:t>
      </w:r>
      <w:r w:rsidR="00C940EA" w:rsidRPr="00C0591E">
        <w:t>2019</w:t>
      </w:r>
      <w:r w:rsidRPr="00C0591E">
        <w:t>) argued that positivist approach research is based on knowledge gained from positive verification of observable experience rather than introspection or intuition. May (</w:t>
      </w:r>
      <w:r w:rsidR="00C940EA" w:rsidRPr="00C0591E">
        <w:t>2019</w:t>
      </w:r>
      <w:r w:rsidRPr="00C0591E">
        <w:t>) stated that the positivist philosophy presupposes that there is an objective reality that people can know reality and that symbols can accurately describe and explain this objective reality. Cohen and Crabtree (2015) and Creswell (</w:t>
      </w:r>
      <w:r w:rsidR="00C940EA" w:rsidRPr="00C0591E">
        <w:t>2019</w:t>
      </w:r>
      <w:r w:rsidRPr="00C0591E">
        <w:t>) holds the beliefs that the positivist approach that there are general patterns of cause and effect that can be used as a basis for predicting and controlling natural phenomena and the goal is to discover this phenomena (prediction and control); that a researcher could rely on perceptions of observations or measurements of the world to provide accurate data (empirical verification) and; that provided a strict methodological protocol is followed, research could be free of subjective bias and objectivity could be achieved (research was value free). Mwaniki (2015); Keraro (2014); Schiffman and Kanuk (</w:t>
      </w:r>
      <w:r w:rsidR="00C940EA" w:rsidRPr="00C0591E">
        <w:t>2019</w:t>
      </w:r>
      <w:r w:rsidRPr="00C0591E">
        <w:t>) observed that principal positivist methods often involve statistical analysis in order to generate findings and to test hypotheses.</w:t>
      </w:r>
    </w:p>
    <w:p w14:paraId="52AFA514" w14:textId="3BCB6E58" w:rsidR="00267BE6" w:rsidRPr="00C0591E" w:rsidRDefault="00460BE5" w:rsidP="00347D67">
      <w:pPr>
        <w:pStyle w:val="Heading2"/>
      </w:pPr>
      <w:bookmarkStart w:id="90" w:name="_Toc113125094"/>
      <w:r w:rsidRPr="00C0591E">
        <w:t xml:space="preserve">3.2 </w:t>
      </w:r>
      <w:r w:rsidR="00267BE6" w:rsidRPr="00C0591E">
        <w:t>Research Design</w:t>
      </w:r>
      <w:bookmarkEnd w:id="88"/>
      <w:bookmarkEnd w:id="90"/>
      <w:r w:rsidR="00267BE6" w:rsidRPr="00C0591E">
        <w:t xml:space="preserve"> </w:t>
      </w:r>
      <w:bookmarkEnd w:id="89"/>
    </w:p>
    <w:p w14:paraId="109B4E6C" w14:textId="1A42A2D1" w:rsidR="00157612" w:rsidRPr="00C0591E" w:rsidRDefault="00905441" w:rsidP="00157612">
      <w:bookmarkStart w:id="91" w:name="_Toc487876054"/>
      <w:bookmarkStart w:id="92" w:name="_Toc51338"/>
      <w:r w:rsidRPr="00C0591E">
        <w:t xml:space="preserve">A cross-sectional survey design </w:t>
      </w:r>
      <w:r w:rsidR="000376FF" w:rsidRPr="00C0591E">
        <w:t>is</w:t>
      </w:r>
      <w:r w:rsidRPr="00C0591E">
        <w:t xml:space="preserve"> the specific design that </w:t>
      </w:r>
      <w:r w:rsidR="004605AB" w:rsidRPr="00C0591E">
        <w:t>was</w:t>
      </w:r>
      <w:r w:rsidRPr="00C0591E">
        <w:t xml:space="preserve"> used in the research. This design has been used by several authors in their research in Kenya (Uzel et al., </w:t>
      </w:r>
      <w:r w:rsidR="00C940EA" w:rsidRPr="00C0591E">
        <w:t>2019</w:t>
      </w:r>
      <w:r w:rsidR="00347D67" w:rsidRPr="00C0591E">
        <w:t xml:space="preserve"> :</w:t>
      </w:r>
      <w:r w:rsidRPr="00C0591E">
        <w:t xml:space="preserve">) Fwaya et al., </w:t>
      </w:r>
      <w:r w:rsidR="00C940EA" w:rsidRPr="00C0591E">
        <w:t>2019</w:t>
      </w:r>
      <w:r w:rsidRPr="00C0591E">
        <w:t xml:space="preserve">; Wadongo et al., </w:t>
      </w:r>
      <w:r w:rsidR="00C940EA" w:rsidRPr="00C0591E">
        <w:t>2019</w:t>
      </w:r>
      <w:r w:rsidRPr="00C0591E">
        <w:t xml:space="preserve">; Odhuon et al., </w:t>
      </w:r>
      <w:r w:rsidR="00C940EA" w:rsidRPr="00C0591E">
        <w:t>2019</w:t>
      </w:r>
      <w:r w:rsidRPr="00C0591E">
        <w:t xml:space="preserve">; Kingi, </w:t>
      </w:r>
      <w:r w:rsidR="00C940EA" w:rsidRPr="00C0591E">
        <w:t>2019</w:t>
      </w:r>
      <w:r w:rsidRPr="00C0591E">
        <w:t xml:space="preserve">, Sasaka et al, 2016). </w:t>
      </w:r>
      <w:r w:rsidR="001F1BD7" w:rsidRPr="00C0591E">
        <w:rPr>
          <w:rFonts w:cs="Times New Roman"/>
          <w:szCs w:val="24"/>
          <w:lang w:val="en-ZA"/>
        </w:rPr>
        <w:t xml:space="preserve">A </w:t>
      </w:r>
      <w:r w:rsidR="00657940" w:rsidRPr="00C0591E">
        <w:t>c</w:t>
      </w:r>
      <w:r w:rsidR="00C95794" w:rsidRPr="00C0591E">
        <w:t xml:space="preserve">ross sectional survey design </w:t>
      </w:r>
      <w:r w:rsidR="0015128E" w:rsidRPr="00C0591E">
        <w:rPr>
          <w:rFonts w:cs="Times New Roman"/>
          <w:szCs w:val="24"/>
        </w:rPr>
        <w:t>was</w:t>
      </w:r>
      <w:r w:rsidR="001F1BD7" w:rsidRPr="00C0591E">
        <w:rPr>
          <w:rFonts w:cs="Times New Roman"/>
          <w:szCs w:val="24"/>
        </w:rPr>
        <w:t xml:space="preserve"> therefore be appropriate as data collected to help answer research questions relate</w:t>
      </w:r>
      <w:r w:rsidR="0015128E" w:rsidRPr="00C0591E">
        <w:rPr>
          <w:rFonts w:cs="Times New Roman"/>
          <w:szCs w:val="24"/>
        </w:rPr>
        <w:t>d</w:t>
      </w:r>
      <w:r w:rsidR="001F1BD7" w:rsidRPr="00C0591E">
        <w:rPr>
          <w:rFonts w:cs="Times New Roman"/>
          <w:szCs w:val="24"/>
        </w:rPr>
        <w:t xml:space="preserve"> to only one point in time.</w:t>
      </w:r>
      <w:r w:rsidR="00157612" w:rsidRPr="00C0591E">
        <w:rPr>
          <w:rFonts w:cs="Times New Roman"/>
          <w:szCs w:val="24"/>
        </w:rPr>
        <w:t xml:space="preserve"> </w:t>
      </w:r>
      <w:r w:rsidR="00157612" w:rsidRPr="00C0591E">
        <w:t xml:space="preserve">The study adopted a cross-sectional survey design. </w:t>
      </w:r>
      <w:r w:rsidR="00157612" w:rsidRPr="00C0591E">
        <w:rPr>
          <w:lang w:val="en-ZA"/>
        </w:rPr>
        <w:t xml:space="preserve">A </w:t>
      </w:r>
      <w:r w:rsidR="00157612" w:rsidRPr="00C0591E">
        <w:t xml:space="preserve">cross sectional survey design is more appropriate than </w:t>
      </w:r>
      <w:r w:rsidR="00231C79" w:rsidRPr="00C0591E">
        <w:t>others are</w:t>
      </w:r>
      <w:r w:rsidR="00157612" w:rsidRPr="00C0591E">
        <w:t xml:space="preserve"> since the data collected help answer research questions related to only one point in time (Hair, Money, Samouel, &amp; Page, 2010). Cross sectional survey design applies quantitative approaches of research. Cross sectional survey design enables researchers to obtain data about practices, situations or views at one point in time through questionnaires. The technique also seeks to obtain information that describes existing phenomena (Cooper &amp; Schindler, 2013). </w:t>
      </w:r>
    </w:p>
    <w:p w14:paraId="7D4984E9" w14:textId="55885805" w:rsidR="00E11193" w:rsidRPr="00C0591E" w:rsidRDefault="00E11193" w:rsidP="00347D67">
      <w:pPr>
        <w:rPr>
          <w:szCs w:val="24"/>
        </w:rPr>
      </w:pPr>
      <w:r w:rsidRPr="00C0591E">
        <w:t>Cross sectional survey design enables researchers to obtain data about practices, situations or views at one point in time through questionnaires and interviews. The technique also seeks to obtain information that describes existing phenomena (Cooper &amp; Schindler, 2014). The cross-sectional survey design is adopted for this study because it provide</w:t>
      </w:r>
      <w:r w:rsidR="00E47492" w:rsidRPr="00C0591E">
        <w:t>d</w:t>
      </w:r>
      <w:r w:rsidRPr="00C0591E">
        <w:t xml:space="preserve"> relevant information of the extent to which </w:t>
      </w:r>
      <w:r w:rsidR="0053714D" w:rsidRPr="0053714D">
        <w:t xml:space="preserve">pillars of </w:t>
      </w:r>
      <w:r w:rsidRPr="00C0591E">
        <w:t xml:space="preserve">corporate governance influences performance of Fund managers in Kenya is intervened by </w:t>
      </w:r>
      <w:r w:rsidR="00D56C37" w:rsidRPr="00C0591E">
        <w:t>investment policies</w:t>
      </w:r>
      <w:r w:rsidRPr="00C0591E">
        <w:t xml:space="preserve"> and moderated by </w:t>
      </w:r>
      <w:r w:rsidR="00D56C37" w:rsidRPr="00C0591E">
        <w:t>government regulations</w:t>
      </w:r>
      <w:r w:rsidRPr="00C0591E">
        <w:t>.</w:t>
      </w:r>
    </w:p>
    <w:p w14:paraId="087CCBAB" w14:textId="265336E4" w:rsidR="00267BE6" w:rsidRPr="00C0591E" w:rsidRDefault="00267BE6" w:rsidP="00347D67">
      <w:pPr>
        <w:pStyle w:val="Heading2"/>
      </w:pPr>
      <w:bookmarkStart w:id="93" w:name="_Toc113125095"/>
      <w:r w:rsidRPr="00C0591E">
        <w:t>3.</w:t>
      </w:r>
      <w:r w:rsidR="0036135C" w:rsidRPr="00C0591E">
        <w:t>3</w:t>
      </w:r>
      <w:r w:rsidRPr="00C0591E">
        <w:t xml:space="preserve"> Target Population</w:t>
      </w:r>
      <w:bookmarkEnd w:id="93"/>
      <w:r w:rsidRPr="00C0591E">
        <w:t xml:space="preserve"> </w:t>
      </w:r>
      <w:bookmarkEnd w:id="91"/>
      <w:bookmarkEnd w:id="92"/>
    </w:p>
    <w:p w14:paraId="369E1DB0" w14:textId="15424EE8" w:rsidR="00E11193" w:rsidRPr="00C0591E" w:rsidRDefault="00267BE6" w:rsidP="00BF416B">
      <w:pPr>
        <w:rPr>
          <w:rFonts w:eastAsiaTheme="minorHAnsi"/>
          <w:color w:val="000000"/>
          <w:szCs w:val="24"/>
        </w:rPr>
      </w:pPr>
      <w:r w:rsidRPr="00C0591E">
        <w:rPr>
          <w:rFonts w:cs="Times New Roman"/>
          <w:szCs w:val="24"/>
        </w:rPr>
        <w:t xml:space="preserve">The population of interest of the study </w:t>
      </w:r>
      <w:r w:rsidR="004605AB" w:rsidRPr="00C0591E">
        <w:rPr>
          <w:rFonts w:cs="Times New Roman"/>
          <w:szCs w:val="24"/>
        </w:rPr>
        <w:t>was</w:t>
      </w:r>
      <w:r w:rsidRPr="00C0591E">
        <w:rPr>
          <w:rFonts w:cs="Times New Roman"/>
          <w:szCs w:val="24"/>
        </w:rPr>
        <w:t xml:space="preserve"> </w:t>
      </w:r>
      <w:r w:rsidR="00ED612E" w:rsidRPr="00C0591E">
        <w:rPr>
          <w:rFonts w:cs="Times New Roman"/>
          <w:szCs w:val="24"/>
        </w:rPr>
        <w:t>31</w:t>
      </w:r>
      <w:r w:rsidRPr="00C0591E">
        <w:rPr>
          <w:rFonts w:cs="Times New Roman"/>
          <w:szCs w:val="24"/>
        </w:rPr>
        <w:t xml:space="preserve"> Fund Managers in Kenya licensed by RBA </w:t>
      </w:r>
      <w:r w:rsidR="008C4B7C" w:rsidRPr="00C0591E">
        <w:rPr>
          <w:rFonts w:cs="Times New Roman"/>
          <w:szCs w:val="24"/>
        </w:rPr>
        <w:t xml:space="preserve">/CMA </w:t>
      </w:r>
      <w:r w:rsidRPr="00C0591E">
        <w:rPr>
          <w:rFonts w:cs="Times New Roman"/>
          <w:szCs w:val="24"/>
        </w:rPr>
        <w:t>as at J</w:t>
      </w:r>
      <w:r w:rsidR="008C4B7C" w:rsidRPr="00C0591E">
        <w:rPr>
          <w:rFonts w:cs="Times New Roman"/>
          <w:szCs w:val="24"/>
        </w:rPr>
        <w:t xml:space="preserve">anuary </w:t>
      </w:r>
      <w:r w:rsidRPr="00C0591E">
        <w:rPr>
          <w:rFonts w:cs="Times New Roman"/>
          <w:szCs w:val="24"/>
        </w:rPr>
        <w:t>201</w:t>
      </w:r>
      <w:r w:rsidR="008C4B7C" w:rsidRPr="00C0591E">
        <w:rPr>
          <w:rFonts w:cs="Times New Roman"/>
          <w:szCs w:val="24"/>
        </w:rPr>
        <w:t>9</w:t>
      </w:r>
      <w:r w:rsidRPr="00C0591E">
        <w:rPr>
          <w:rFonts w:cs="Times New Roman"/>
          <w:szCs w:val="24"/>
        </w:rPr>
        <w:t xml:space="preserve">. </w:t>
      </w:r>
      <w:r w:rsidRPr="00C0591E">
        <w:t xml:space="preserve">To increase the accuracy of data collected in this research, a census survey </w:t>
      </w:r>
      <w:r w:rsidR="004605AB" w:rsidRPr="00C0591E">
        <w:t>was</w:t>
      </w:r>
      <w:r w:rsidRPr="00C0591E">
        <w:t xml:space="preserve"> adopted. Census refers to data collection about everyone or everything in a group or population and has advantages such as accuracy and detail. Considering that the population is finite and is also small, adoption of sampling less than population would consequently lead to higher probability of error.</w:t>
      </w:r>
      <w:r w:rsidR="00E11193" w:rsidRPr="00C0591E">
        <w:rPr>
          <w:rFonts w:eastAsiaTheme="minorHAnsi"/>
          <w:color w:val="000000"/>
          <w:szCs w:val="24"/>
        </w:rPr>
        <w:t xml:space="preserve"> The unit of analysis for this study </w:t>
      </w:r>
      <w:r w:rsidR="004605AB" w:rsidRPr="00C0591E">
        <w:rPr>
          <w:rFonts w:eastAsiaTheme="minorHAnsi"/>
          <w:color w:val="000000"/>
          <w:szCs w:val="24"/>
        </w:rPr>
        <w:t>was</w:t>
      </w:r>
      <w:r w:rsidR="00E11193" w:rsidRPr="00C0591E">
        <w:rPr>
          <w:rFonts w:eastAsiaTheme="minorHAnsi"/>
          <w:color w:val="000000"/>
          <w:szCs w:val="24"/>
        </w:rPr>
        <w:t xml:space="preserve"> the </w:t>
      </w:r>
      <w:r w:rsidR="00041FC3" w:rsidRPr="00C0591E">
        <w:rPr>
          <w:szCs w:val="24"/>
        </w:rPr>
        <w:t>31</w:t>
      </w:r>
      <w:r w:rsidR="00E11193" w:rsidRPr="00C0591E">
        <w:rPr>
          <w:szCs w:val="24"/>
        </w:rPr>
        <w:t xml:space="preserve"> </w:t>
      </w:r>
      <w:r w:rsidR="00E11193" w:rsidRPr="00C0591E">
        <w:rPr>
          <w:rFonts w:cs="Times New Roman"/>
          <w:szCs w:val="24"/>
        </w:rPr>
        <w:t xml:space="preserve">Fund </w:t>
      </w:r>
      <w:r w:rsidR="00CA5A08" w:rsidRPr="00C0591E">
        <w:rPr>
          <w:rFonts w:cs="Times New Roman"/>
          <w:szCs w:val="24"/>
        </w:rPr>
        <w:t xml:space="preserve">Pension </w:t>
      </w:r>
      <w:r w:rsidR="00E11193" w:rsidRPr="00C0591E">
        <w:rPr>
          <w:rFonts w:cs="Times New Roman"/>
          <w:szCs w:val="24"/>
        </w:rPr>
        <w:t>Managers in Kenya</w:t>
      </w:r>
      <w:r w:rsidR="00041FC3" w:rsidRPr="00C0591E">
        <w:rPr>
          <w:szCs w:val="24"/>
        </w:rPr>
        <w:t xml:space="preserve"> (See Appendix </w:t>
      </w:r>
      <w:r w:rsidR="006D1BED" w:rsidRPr="00C0591E">
        <w:rPr>
          <w:szCs w:val="24"/>
        </w:rPr>
        <w:t>III</w:t>
      </w:r>
      <w:r w:rsidR="00041FC3" w:rsidRPr="00C0591E">
        <w:rPr>
          <w:szCs w:val="24"/>
        </w:rPr>
        <w:t xml:space="preserve">). </w:t>
      </w:r>
      <w:r w:rsidR="00E11193" w:rsidRPr="00C0591E">
        <w:rPr>
          <w:rFonts w:eastAsiaTheme="minorHAnsi"/>
          <w:color w:val="000000"/>
          <w:szCs w:val="24"/>
        </w:rPr>
        <w:t xml:space="preserve">The unit of observation </w:t>
      </w:r>
      <w:r w:rsidR="004605AB" w:rsidRPr="00C0591E">
        <w:rPr>
          <w:rFonts w:eastAsiaTheme="minorHAnsi"/>
          <w:color w:val="000000"/>
          <w:szCs w:val="24"/>
        </w:rPr>
        <w:t>was</w:t>
      </w:r>
      <w:r w:rsidR="00E11193" w:rsidRPr="00C0591E">
        <w:rPr>
          <w:rFonts w:eastAsiaTheme="minorHAnsi"/>
          <w:color w:val="000000"/>
          <w:szCs w:val="24"/>
        </w:rPr>
        <w:t xml:space="preserve"> the </w:t>
      </w:r>
      <w:r w:rsidR="00041FC3" w:rsidRPr="00C0591E">
        <w:rPr>
          <w:rFonts w:eastAsiaTheme="minorHAnsi"/>
          <w:color w:val="000000"/>
          <w:szCs w:val="24"/>
        </w:rPr>
        <w:t>2</w:t>
      </w:r>
      <w:r w:rsidR="00FF512C" w:rsidRPr="00C0591E">
        <w:rPr>
          <w:rFonts w:eastAsiaTheme="minorHAnsi"/>
          <w:color w:val="000000"/>
          <w:szCs w:val="24"/>
        </w:rPr>
        <w:t>,</w:t>
      </w:r>
      <w:r w:rsidR="00041FC3" w:rsidRPr="00C0591E">
        <w:rPr>
          <w:rFonts w:eastAsiaTheme="minorHAnsi"/>
          <w:color w:val="000000"/>
          <w:szCs w:val="24"/>
        </w:rPr>
        <w:t>200</w:t>
      </w:r>
      <w:r w:rsidR="00E11193" w:rsidRPr="00C0591E">
        <w:rPr>
          <w:rFonts w:eastAsiaTheme="minorHAnsi"/>
          <w:color w:val="000000"/>
          <w:szCs w:val="24"/>
        </w:rPr>
        <w:t xml:space="preserve"> employees drawn from the </w:t>
      </w:r>
      <w:r w:rsidR="00041FC3" w:rsidRPr="00C0591E">
        <w:rPr>
          <w:szCs w:val="24"/>
        </w:rPr>
        <w:t>31</w:t>
      </w:r>
      <w:r w:rsidR="00E11193" w:rsidRPr="00C0591E">
        <w:rPr>
          <w:szCs w:val="24"/>
        </w:rPr>
        <w:t xml:space="preserve"> </w:t>
      </w:r>
      <w:r w:rsidR="00E11193" w:rsidRPr="00C0591E">
        <w:rPr>
          <w:rFonts w:cs="Times New Roman"/>
          <w:szCs w:val="24"/>
        </w:rPr>
        <w:t>Fund Managers</w:t>
      </w:r>
      <w:r w:rsidR="00BF416B" w:rsidRPr="00C0591E">
        <w:rPr>
          <w:rFonts w:cs="Times New Roman"/>
          <w:szCs w:val="24"/>
        </w:rPr>
        <w:t xml:space="preserve"> (RBA 2019)</w:t>
      </w:r>
      <w:r w:rsidR="00E11193" w:rsidRPr="00C0591E">
        <w:rPr>
          <w:rFonts w:eastAsiaTheme="minorHAnsi"/>
          <w:color w:val="000000"/>
          <w:szCs w:val="24"/>
        </w:rPr>
        <w:t>.</w:t>
      </w:r>
      <w:r w:rsidR="00CA5A08" w:rsidRPr="00C0591E">
        <w:rPr>
          <w:rFonts w:eastAsiaTheme="minorHAnsi"/>
          <w:color w:val="000000"/>
          <w:szCs w:val="24"/>
        </w:rPr>
        <w:t xml:space="preserve"> </w:t>
      </w:r>
    </w:p>
    <w:p w14:paraId="2ECF7899" w14:textId="77777777" w:rsidR="00FF512C" w:rsidRPr="00C0591E" w:rsidRDefault="00FF512C" w:rsidP="00FF512C">
      <w:pPr>
        <w:pStyle w:val="Heading2"/>
      </w:pPr>
      <w:bookmarkStart w:id="94" w:name="_Toc109897103"/>
      <w:bookmarkStart w:id="95" w:name="_Toc113125096"/>
      <w:r w:rsidRPr="00C0591E">
        <w:t>3.4 Sample and Sampling Techniques</w:t>
      </w:r>
      <w:bookmarkEnd w:id="94"/>
      <w:bookmarkEnd w:id="95"/>
      <w:r w:rsidRPr="00C0591E">
        <w:t xml:space="preserve">  </w:t>
      </w:r>
    </w:p>
    <w:p w14:paraId="685242F2" w14:textId="502DD208" w:rsidR="00FF512C" w:rsidRPr="00C0591E" w:rsidRDefault="00806231" w:rsidP="00806231">
      <w:r w:rsidRPr="00C0591E">
        <w:t xml:space="preserve">Sampling techniques allow random isolation of a representative sample from a target population for study or investigation. Stratified random sampling was used in this study as described by Slovin (1960) and Tongco (2007) respectively. Slovin (1960) formula may be used in deriving a sample size, n, from a target population (Wachiuru, 2015): Sample size n = N /1+N (e) </w:t>
      </w:r>
      <w:r w:rsidRPr="00C0591E">
        <w:rPr>
          <w:vertAlign w:val="superscript"/>
        </w:rPr>
        <w:t>2 .</w:t>
      </w:r>
      <w:r w:rsidRPr="00C0591E">
        <w:t>Where:</w:t>
      </w:r>
      <w:r w:rsidRPr="00C0591E">
        <w:rPr>
          <w:vertAlign w:val="superscript"/>
        </w:rPr>
        <w:t xml:space="preserve"> </w:t>
      </w:r>
      <w:r w:rsidRPr="00C0591E">
        <w:t>n= unknown sample size; N= Target population size; e: significance level at 0.05 confidence level for this model. Therefore, for this study a farmer/follower target population of 2,200 a respondent sample size   is 400: n = 2200 /1+2200(0.05)</w:t>
      </w:r>
      <w:r w:rsidRPr="00C0591E">
        <w:rPr>
          <w:vertAlign w:val="superscript"/>
        </w:rPr>
        <w:t xml:space="preserve">2 </w:t>
      </w:r>
      <w:r w:rsidRPr="00C0591E">
        <w:t>= 338. The sample should generate a normal distribution of observations</w:t>
      </w:r>
      <w:r w:rsidR="00FF512C" w:rsidRPr="00C0591E">
        <w:t xml:space="preserve">. </w:t>
      </w:r>
    </w:p>
    <w:p w14:paraId="1D7C6F18" w14:textId="350CE486" w:rsidR="00267BE6" w:rsidRPr="00C0591E" w:rsidRDefault="00267BE6" w:rsidP="00347D67">
      <w:pPr>
        <w:pStyle w:val="Heading2"/>
      </w:pPr>
      <w:bookmarkStart w:id="96" w:name="_Toc113125097"/>
      <w:r w:rsidRPr="00C0591E">
        <w:t>3.</w:t>
      </w:r>
      <w:r w:rsidR="00806231" w:rsidRPr="00C0591E">
        <w:t>5</w:t>
      </w:r>
      <w:r w:rsidR="00460BE5" w:rsidRPr="00C0591E">
        <w:t xml:space="preserve"> Data </w:t>
      </w:r>
      <w:r w:rsidR="00E042A2" w:rsidRPr="00C0591E">
        <w:t xml:space="preserve">Collection </w:t>
      </w:r>
      <w:r w:rsidRPr="00C0591E">
        <w:t>Instruments</w:t>
      </w:r>
      <w:bookmarkEnd w:id="96"/>
    </w:p>
    <w:p w14:paraId="49BEA0B1" w14:textId="6CA2F3BD" w:rsidR="00267BE6" w:rsidRPr="00C0591E" w:rsidRDefault="003866A9" w:rsidP="00347D67">
      <w:pPr>
        <w:rPr>
          <w:color w:val="FF0000"/>
        </w:rPr>
      </w:pPr>
      <w:r w:rsidRPr="00C0591E">
        <w:t>D</w:t>
      </w:r>
      <w:r w:rsidR="00267BE6" w:rsidRPr="00C0591E">
        <w:t xml:space="preserve">ata collection methods refer to the process of gathering data after the researcher has identified the types of information needed which is, the investigative questions the researcher must answer, and </w:t>
      </w:r>
      <w:r w:rsidR="006565E1" w:rsidRPr="00C0591E">
        <w:t>has</w:t>
      </w:r>
      <w:r w:rsidR="00267BE6" w:rsidRPr="00C0591E">
        <w:t xml:space="preserve"> identified the desired data </w:t>
      </w:r>
      <w:r w:rsidR="006565E1" w:rsidRPr="00C0591E">
        <w:t>type (Cooper &amp; Schindler, 2014).</w:t>
      </w:r>
      <w:r w:rsidR="00267BE6" w:rsidRPr="00C0591E">
        <w:t xml:space="preserve"> </w:t>
      </w:r>
      <w:r w:rsidR="006565E1" w:rsidRPr="00C0591E">
        <w:t xml:space="preserve">This can include </w:t>
      </w:r>
      <w:r w:rsidR="00267BE6" w:rsidRPr="00C0591E">
        <w:t>ratio</w:t>
      </w:r>
      <w:r w:rsidR="006565E1" w:rsidRPr="00C0591E">
        <w:t>s</w:t>
      </w:r>
      <w:r w:rsidR="00267BE6" w:rsidRPr="00C0591E">
        <w:t xml:space="preserve"> and ordinal scales for each of these questions </w:t>
      </w:r>
      <w:r w:rsidR="006565E1" w:rsidRPr="00C0591E">
        <w:t>and</w:t>
      </w:r>
      <w:r w:rsidR="00267BE6" w:rsidRPr="00C0591E">
        <w:t xml:space="preserve"> ascertained the characteristics of the sample unit that is, whether a participant can articulate his or her ideas, thoughts, and experiences. Primary data </w:t>
      </w:r>
      <w:r w:rsidR="004605AB" w:rsidRPr="00C0591E">
        <w:t>was</w:t>
      </w:r>
      <w:r w:rsidR="00267BE6" w:rsidRPr="00C0591E">
        <w:t xml:space="preserve"> obtained from the selected respondents of the </w:t>
      </w:r>
      <w:r w:rsidR="00B1204B" w:rsidRPr="00C0591E">
        <w:t>thesis</w:t>
      </w:r>
      <w:r w:rsidR="00267BE6" w:rsidRPr="00C0591E">
        <w:t xml:space="preserve">. Primary data </w:t>
      </w:r>
      <w:r w:rsidR="004605AB" w:rsidRPr="00C0591E">
        <w:t>was</w:t>
      </w:r>
      <w:r w:rsidR="00267BE6" w:rsidRPr="00C0591E">
        <w:t xml:space="preserve"> collected through questionnaire. The study </w:t>
      </w:r>
      <w:r w:rsidR="004605AB" w:rsidRPr="00C0591E">
        <w:t>was</w:t>
      </w:r>
      <w:r w:rsidR="00267BE6" w:rsidRPr="00C0591E">
        <w:t xml:space="preserve"> quantitative in nature. Quantitative data </w:t>
      </w:r>
      <w:r w:rsidR="004605AB" w:rsidRPr="00C0591E">
        <w:t>was</w:t>
      </w:r>
      <w:r w:rsidR="00267BE6" w:rsidRPr="00C0591E">
        <w:t xml:space="preserve"> obtaine</w:t>
      </w:r>
      <w:r w:rsidR="00BF416B" w:rsidRPr="00C0591E">
        <w:t>d through close-ended questions.</w:t>
      </w:r>
    </w:p>
    <w:p w14:paraId="31279040" w14:textId="020F4C44" w:rsidR="00267BE6" w:rsidRPr="00C0591E" w:rsidRDefault="00267BE6" w:rsidP="00347D67">
      <w:r w:rsidRPr="00C0591E">
        <w:t xml:space="preserve">The closed ended questions </w:t>
      </w:r>
      <w:r w:rsidR="004605AB" w:rsidRPr="00C0591E">
        <w:t>was</w:t>
      </w:r>
      <w:r w:rsidRPr="00C0591E">
        <w:t xml:space="preserve"> structured on a 5 (five) point </w:t>
      </w:r>
      <w:r w:rsidR="00FF512C" w:rsidRPr="00C0591E">
        <w:t>Likert</w:t>
      </w:r>
      <w:r w:rsidRPr="00C0591E">
        <w:t xml:space="preserve"> </w:t>
      </w:r>
      <w:r w:rsidR="00F3236A" w:rsidRPr="00C0591E">
        <w:t xml:space="preserve">type </w:t>
      </w:r>
      <w:r w:rsidRPr="00C0591E">
        <w:t>scale with options ranging from not at all to a great extent answer options for t</w:t>
      </w:r>
      <w:r w:rsidR="00E47492" w:rsidRPr="00C0591E">
        <w:t xml:space="preserve">he respondents to choose from. </w:t>
      </w:r>
      <w:r w:rsidRPr="00C0591E">
        <w:t xml:space="preserve"> The questionnaire contain</w:t>
      </w:r>
      <w:r w:rsidR="0015128E" w:rsidRPr="00C0591E">
        <w:t>ed</w:t>
      </w:r>
      <w:r w:rsidRPr="00C0591E">
        <w:t xml:space="preserve"> close ended questions aimed at giving respondent an opportunity to choose from listed alternatives. The researcher cluster</w:t>
      </w:r>
      <w:r w:rsidR="0015128E" w:rsidRPr="00C0591E">
        <w:t>ed</w:t>
      </w:r>
      <w:r w:rsidRPr="00C0591E">
        <w:t xml:space="preserve"> the respondents into management levels namely; top management, middle management and lower level management of the pension fund managers. The researcher acknowledge</w:t>
      </w:r>
      <w:r w:rsidR="0015128E" w:rsidRPr="00C0591E">
        <w:t>d</w:t>
      </w:r>
      <w:r w:rsidRPr="00C0591E">
        <w:t xml:space="preserve"> the various options available as data collection methods, each with its advantages and disadvantages.  This study use</w:t>
      </w:r>
      <w:r w:rsidR="008D4057" w:rsidRPr="00C0591E">
        <w:t>d</w:t>
      </w:r>
      <w:r w:rsidRPr="00C0591E">
        <w:t xml:space="preserve"> primary data to </w:t>
      </w:r>
      <w:r w:rsidR="008D4057" w:rsidRPr="00C0591E">
        <w:t>analyze</w:t>
      </w:r>
      <w:r w:rsidRPr="00C0591E">
        <w:t xml:space="preserve"> the relationship between </w:t>
      </w:r>
      <w:r w:rsidR="0053714D" w:rsidRPr="0053714D">
        <w:t xml:space="preserve">pillars of </w:t>
      </w:r>
      <w:r w:rsidRPr="00C0591E">
        <w:t xml:space="preserve">corporate governance, investment policies, government regulations and performance. </w:t>
      </w:r>
    </w:p>
    <w:p w14:paraId="55D5BAF2" w14:textId="2A3369E3" w:rsidR="00267BE6" w:rsidRPr="00C0591E" w:rsidRDefault="00267BE6" w:rsidP="00347D67">
      <w:pPr>
        <w:pStyle w:val="Heading2"/>
      </w:pPr>
      <w:bookmarkStart w:id="97" w:name="_Toc113125098"/>
      <w:r w:rsidRPr="00C0591E">
        <w:t>3.</w:t>
      </w:r>
      <w:r w:rsidR="00806231" w:rsidRPr="00C0591E">
        <w:t>6</w:t>
      </w:r>
      <w:r w:rsidRPr="00C0591E">
        <w:t xml:space="preserve"> </w:t>
      </w:r>
      <w:r w:rsidR="00C21494" w:rsidRPr="00C0591E">
        <w:t xml:space="preserve">Pilot </w:t>
      </w:r>
      <w:r w:rsidR="00E042A2" w:rsidRPr="00C0591E">
        <w:t>S</w:t>
      </w:r>
      <w:r w:rsidRPr="00C0591E">
        <w:t>tudy</w:t>
      </w:r>
      <w:bookmarkEnd w:id="97"/>
    </w:p>
    <w:p w14:paraId="48F4495C" w14:textId="05ED6B4A" w:rsidR="000C518B" w:rsidRPr="00C0591E" w:rsidRDefault="00267BE6" w:rsidP="00347D67">
      <w:pPr>
        <w:rPr>
          <w:shd w:val="clear" w:color="auto" w:fill="FFFFFF"/>
        </w:rPr>
      </w:pPr>
      <w:r w:rsidRPr="00C0591E">
        <w:rPr>
          <w:shd w:val="clear" w:color="auto" w:fill="FFFFFF"/>
        </w:rPr>
        <w:t xml:space="preserve">According to Cooper and Schindler (2014), a good measurement tool should be an </w:t>
      </w:r>
      <w:r w:rsidR="00250459" w:rsidRPr="00C0591E">
        <w:rPr>
          <w:shd w:val="clear" w:color="auto" w:fill="FFFFFF"/>
        </w:rPr>
        <w:t>accurate counter</w:t>
      </w:r>
      <w:r w:rsidRPr="00C0591E">
        <w:rPr>
          <w:shd w:val="clear" w:color="auto" w:fill="FFFFFF"/>
        </w:rPr>
        <w:t xml:space="preserve"> or indicator of what we are interested in measuring also known as validity. A pilot study </w:t>
      </w:r>
      <w:r w:rsidR="004605AB" w:rsidRPr="00C0591E">
        <w:rPr>
          <w:shd w:val="clear" w:color="auto" w:fill="FFFFFF"/>
        </w:rPr>
        <w:t>was</w:t>
      </w:r>
      <w:r w:rsidRPr="00C0591E">
        <w:rPr>
          <w:shd w:val="clear" w:color="auto" w:fill="FFFFFF"/>
        </w:rPr>
        <w:t xml:space="preserve"> carried out to ensure that the questionnaires met the set objectives. As Koopman (2015) suggest, pilot studies are often recommended by researchers since they help address a variety of concerns ranging from item clarity and discrimination, internal inconsistencies and checking on possible response rates. It is always desirable to pre-test the data collection instruments before they are finally used for the study purposes (Kothari &amp; Garg, 2014). </w:t>
      </w:r>
    </w:p>
    <w:p w14:paraId="3AD237E6" w14:textId="42D7F260" w:rsidR="00267BE6" w:rsidRPr="00C0591E" w:rsidRDefault="00267BE6" w:rsidP="00347D67">
      <w:pPr>
        <w:rPr>
          <w:shd w:val="clear" w:color="auto" w:fill="FFFFFF"/>
        </w:rPr>
      </w:pPr>
      <w:r w:rsidRPr="00C0591E">
        <w:rPr>
          <w:shd w:val="clear" w:color="auto" w:fill="FFFFFF"/>
        </w:rPr>
        <w:t xml:space="preserve">The data collection phase of a research process typically begins with pilot testing. This is a pre-test done prior to the commencement of data collection to determine the accuracy of the research instruments (the questionnaires) that </w:t>
      </w:r>
      <w:r w:rsidR="004605AB" w:rsidRPr="00C0591E">
        <w:rPr>
          <w:shd w:val="clear" w:color="auto" w:fill="FFFFFF"/>
        </w:rPr>
        <w:t>was</w:t>
      </w:r>
      <w:r w:rsidRPr="00C0591E">
        <w:rPr>
          <w:shd w:val="clear" w:color="auto" w:fill="FFFFFF"/>
        </w:rPr>
        <w:t xml:space="preserve"> applied in obtaining desired information (Cooper &amp; Schindler, 2014). Pre-testing the instrumentation and the entire research design permits refinement before the commencement of the study. In particular, pilot testing helps to detect weaknesses in design and instrumentation and provide proxy data for selection of a sample.</w:t>
      </w:r>
      <w:r w:rsidR="00147588" w:rsidRPr="00C0591E">
        <w:rPr>
          <w:shd w:val="clear" w:color="auto" w:fill="FFFFFF"/>
        </w:rPr>
        <w:t xml:space="preserve"> A sample equivalent to 10% of the study population as suggested by Koopman (2015) </w:t>
      </w:r>
      <w:r w:rsidR="004605AB" w:rsidRPr="00C0591E">
        <w:rPr>
          <w:shd w:val="clear" w:color="auto" w:fill="FFFFFF"/>
        </w:rPr>
        <w:t>was</w:t>
      </w:r>
      <w:r w:rsidR="00147588" w:rsidRPr="00C0591E">
        <w:rPr>
          <w:shd w:val="clear" w:color="auto" w:fill="FFFFFF"/>
        </w:rPr>
        <w:t xml:space="preserve"> used to obtain a pilot group</w:t>
      </w:r>
      <w:r w:rsidR="0043123E" w:rsidRPr="00C0591E">
        <w:rPr>
          <w:shd w:val="clear" w:color="auto" w:fill="FFFFFF"/>
        </w:rPr>
        <w:t xml:space="preserve"> hence</w:t>
      </w:r>
      <w:r w:rsidR="00147588" w:rsidRPr="00C0591E">
        <w:rPr>
          <w:shd w:val="clear" w:color="auto" w:fill="FFFFFF"/>
        </w:rPr>
        <w:t xml:space="preserve"> </w:t>
      </w:r>
      <w:r w:rsidR="00100E48" w:rsidRPr="00C0591E">
        <w:rPr>
          <w:shd w:val="clear" w:color="auto" w:fill="FFFFFF"/>
        </w:rPr>
        <w:t>t</w:t>
      </w:r>
      <w:r w:rsidR="0043123E" w:rsidRPr="00C0591E">
        <w:rPr>
          <w:shd w:val="clear" w:color="auto" w:fill="FFFFFF"/>
        </w:rPr>
        <w:t xml:space="preserve">wo </w:t>
      </w:r>
      <w:r w:rsidR="00147588" w:rsidRPr="00C0591E">
        <w:rPr>
          <w:shd w:val="clear" w:color="auto" w:fill="FFFFFF"/>
        </w:rPr>
        <w:t>pension</w:t>
      </w:r>
      <w:r w:rsidR="0043123E" w:rsidRPr="00C0591E">
        <w:rPr>
          <w:shd w:val="clear" w:color="auto" w:fill="FFFFFF"/>
        </w:rPr>
        <w:t xml:space="preserve"> fund managers </w:t>
      </w:r>
      <w:r w:rsidR="004605AB" w:rsidRPr="00C0591E">
        <w:rPr>
          <w:shd w:val="clear" w:color="auto" w:fill="FFFFFF"/>
        </w:rPr>
        <w:t>was</w:t>
      </w:r>
      <w:r w:rsidR="0043123E" w:rsidRPr="00C0591E">
        <w:rPr>
          <w:shd w:val="clear" w:color="auto" w:fill="FFFFFF"/>
        </w:rPr>
        <w:t xml:space="preserve"> realised</w:t>
      </w:r>
      <w:r w:rsidR="00147588" w:rsidRPr="00C0591E">
        <w:rPr>
          <w:shd w:val="clear" w:color="auto" w:fill="FFFFFF"/>
        </w:rPr>
        <w:t xml:space="preserve">. The </w:t>
      </w:r>
      <w:r w:rsidR="0043123E" w:rsidRPr="00C0591E">
        <w:rPr>
          <w:shd w:val="clear" w:color="auto" w:fill="FFFFFF"/>
        </w:rPr>
        <w:t xml:space="preserve">2 pension fund managers </w:t>
      </w:r>
      <w:r w:rsidR="008D4057" w:rsidRPr="00C0591E">
        <w:rPr>
          <w:shd w:val="clear" w:color="auto" w:fill="FFFFFF"/>
        </w:rPr>
        <w:t>were</w:t>
      </w:r>
      <w:r w:rsidR="00147588" w:rsidRPr="00C0591E">
        <w:rPr>
          <w:shd w:val="clear" w:color="auto" w:fill="FFFFFF"/>
        </w:rPr>
        <w:t xml:space="preserve"> randomly selected from the </w:t>
      </w:r>
      <w:r w:rsidR="00F67258" w:rsidRPr="00C0591E">
        <w:rPr>
          <w:shd w:val="clear" w:color="auto" w:fill="FFFFFF"/>
        </w:rPr>
        <w:t>31</w:t>
      </w:r>
      <w:r w:rsidR="0043123E" w:rsidRPr="00C0591E">
        <w:rPr>
          <w:shd w:val="clear" w:color="auto" w:fill="FFFFFF"/>
        </w:rPr>
        <w:t xml:space="preserve"> pension fund managers</w:t>
      </w:r>
      <w:r w:rsidR="00147588" w:rsidRPr="00C0591E">
        <w:rPr>
          <w:shd w:val="clear" w:color="auto" w:fill="FFFFFF"/>
        </w:rPr>
        <w:t>. Kothari and Garg (2014) direct that the pilot group should not be allowed to participate in the main study because they could bring biased outcome and replications.</w:t>
      </w:r>
    </w:p>
    <w:p w14:paraId="2DB7486D" w14:textId="0FE767F0" w:rsidR="00267BE6" w:rsidRPr="00C0591E" w:rsidRDefault="00267BE6" w:rsidP="00347D67">
      <w:pPr>
        <w:pStyle w:val="Heading3"/>
      </w:pPr>
      <w:r w:rsidRPr="00C0591E">
        <w:t>3.</w:t>
      </w:r>
      <w:r w:rsidR="00806231" w:rsidRPr="00C0591E">
        <w:t>6</w:t>
      </w:r>
      <w:r w:rsidRPr="00C0591E">
        <w:t>.1 Reliability</w:t>
      </w:r>
    </w:p>
    <w:p w14:paraId="6B623737" w14:textId="49F15DDE" w:rsidR="00267BE6" w:rsidRPr="00C0591E" w:rsidRDefault="00267BE6" w:rsidP="00347D67">
      <w:pPr>
        <w:rPr>
          <w:shd w:val="clear" w:color="auto" w:fill="FFFFFF"/>
        </w:rPr>
      </w:pPr>
      <w:r w:rsidRPr="00C0591E">
        <w:rPr>
          <w:shd w:val="clear" w:color="auto" w:fill="FFFFFF"/>
        </w:rPr>
        <w:t>Reliability is the extent to which a measure consistently produces similar results over time, in running several tests at different instances. This is also viewed as the consistency and stability of a measurement over time (</w:t>
      </w:r>
      <w:r w:rsidRPr="00C0591E">
        <w:t xml:space="preserve">Lameck, </w:t>
      </w:r>
      <w:r w:rsidR="00C940EA" w:rsidRPr="00C0591E">
        <w:t>2019</w:t>
      </w:r>
      <w:r w:rsidRPr="00C0591E">
        <w:rPr>
          <w:shd w:val="clear" w:color="auto" w:fill="FFFFFF"/>
        </w:rPr>
        <w:t>). Tests for reliability includes test-retest, parallel reliability, alternative forms, Inter-rater, split- halves and internal consistency.</w:t>
      </w:r>
      <w:r w:rsidRPr="00C0591E">
        <w:rPr>
          <w:bCs/>
          <w:shd w:val="clear" w:color="auto" w:fill="FFFFFF"/>
        </w:rPr>
        <w:t xml:space="preserve"> </w:t>
      </w:r>
      <w:r w:rsidRPr="00C0591E">
        <w:rPr>
          <w:lang w:val="en-GB"/>
        </w:rPr>
        <w:t xml:space="preserve">The </w:t>
      </w:r>
      <w:r w:rsidRPr="00C0591E">
        <w:rPr>
          <w:shd w:val="clear" w:color="auto" w:fill="FFFFFF"/>
        </w:rPr>
        <w:t xml:space="preserve">test-retest, entails administering the same test twice, parallel reliability involves administering different versions of an assessment to test the same construct.  </w:t>
      </w:r>
    </w:p>
    <w:p w14:paraId="5BBE4B93" w14:textId="7D1D57D3" w:rsidR="00273ACF" w:rsidRPr="00C0591E" w:rsidRDefault="00267BE6" w:rsidP="00347D67">
      <w:pPr>
        <w:rPr>
          <w:rFonts w:eastAsia="Times New Roman"/>
          <w:lang w:val="en-GB" w:eastAsia="en-GB"/>
        </w:rPr>
      </w:pPr>
      <w:r w:rsidRPr="00C0591E">
        <w:rPr>
          <w:shd w:val="clear" w:color="auto" w:fill="FFFFFF"/>
        </w:rPr>
        <w:t>To achieve reliability in this study, the researcher use</w:t>
      </w:r>
      <w:r w:rsidR="008D4057" w:rsidRPr="00C0591E">
        <w:rPr>
          <w:shd w:val="clear" w:color="auto" w:fill="FFFFFF"/>
        </w:rPr>
        <w:t>d</w:t>
      </w:r>
      <w:r w:rsidRPr="00C0591E">
        <w:rPr>
          <w:shd w:val="clear" w:color="auto" w:fill="FFFFFF"/>
        </w:rPr>
        <w:t xml:space="preserve"> </w:t>
      </w:r>
      <w:r w:rsidRPr="00C0591E">
        <w:rPr>
          <w:rFonts w:eastAsia="Times New Roman"/>
          <w:bCs/>
          <w:lang w:val="en-GB" w:eastAsia="en-GB"/>
        </w:rPr>
        <w:t xml:space="preserve">inter-ratter reliability. This </w:t>
      </w:r>
      <w:r w:rsidR="004605AB" w:rsidRPr="00C0591E">
        <w:rPr>
          <w:rFonts w:eastAsia="Times New Roman"/>
          <w:bCs/>
          <w:lang w:val="en-GB" w:eastAsia="en-GB"/>
        </w:rPr>
        <w:t>was</w:t>
      </w:r>
      <w:r w:rsidRPr="00C0591E">
        <w:rPr>
          <w:rFonts w:eastAsia="Times New Roman"/>
          <w:lang w:val="en-GB" w:eastAsia="en-GB"/>
        </w:rPr>
        <w:t xml:space="preserve"> achieved by issuing the data collection tools or questionnaires to different senior executives of the same organizations to gauge how their judgement of same constructs </w:t>
      </w:r>
      <w:r w:rsidR="00E47492" w:rsidRPr="00C0591E">
        <w:rPr>
          <w:rFonts w:eastAsia="Times New Roman"/>
          <w:lang w:val="en-GB" w:eastAsia="en-GB"/>
        </w:rPr>
        <w:t>would</w:t>
      </w:r>
      <w:r w:rsidRPr="00C0591E">
        <w:rPr>
          <w:rFonts w:eastAsia="Times New Roman"/>
          <w:lang w:val="en-GB" w:eastAsia="en-GB"/>
        </w:rPr>
        <w:t xml:space="preserve"> produce similar results. This research also use</w:t>
      </w:r>
      <w:r w:rsidR="008D4057" w:rsidRPr="00C0591E">
        <w:rPr>
          <w:rFonts w:eastAsia="Times New Roman"/>
          <w:lang w:val="en-GB" w:eastAsia="en-GB"/>
        </w:rPr>
        <w:t>d</w:t>
      </w:r>
      <w:r w:rsidRPr="00C0591E">
        <w:rPr>
          <w:rFonts w:eastAsia="Times New Roman"/>
          <w:lang w:val="en-GB" w:eastAsia="en-GB"/>
        </w:rPr>
        <w:t xml:space="preserve"> Cronbach's alpha coefficient of reliability to test internal consistency. </w:t>
      </w:r>
    </w:p>
    <w:p w14:paraId="72E306D3" w14:textId="53F8D21E" w:rsidR="00267BE6" w:rsidRPr="00C0591E" w:rsidRDefault="00267BE6" w:rsidP="00347D67">
      <w:pPr>
        <w:rPr>
          <w:rFonts w:eastAsia="Times New Roman"/>
          <w:lang w:val="en-GB" w:eastAsia="en-GB"/>
        </w:rPr>
      </w:pPr>
      <w:r w:rsidRPr="00C0591E">
        <w:t xml:space="preserve">Reliability and validity are means of evaluation of research instruments (Flick 2014). Reliability, according to Eriksson and Kovalainen (2015), is the extent to which a measure, procedure or instrument yields the same result on repeated trials. Cooper and Schindler (2014) define reliability as a measure of the degree to which a research instrument yields consistent results or data after repeated trials. Internal consistency method </w:t>
      </w:r>
      <w:r w:rsidR="004605AB" w:rsidRPr="00C0591E">
        <w:t>was</w:t>
      </w:r>
      <w:r w:rsidRPr="00C0591E">
        <w:t xml:space="preserve"> tested using Cronbach’s Alpha. Cronbach's alpha is a measure of internal consistency, that is, how closely related a set of items are as a group.  A "high" value of alpha is often used as evidence that the items measure an underlying (or latent) construct (Warmbrod, 2014). To ensure reliability a predetermined threshold of 0.7 is needed. </w:t>
      </w:r>
      <w:r w:rsidR="00B0342B" w:rsidRPr="00C0591E">
        <w:rPr>
          <w:shd w:val="clear" w:color="auto" w:fill="FFFFFF"/>
        </w:rPr>
        <w:t xml:space="preserve">A computed alpha coefficient varied from 1 to 0. Most studies have adopted the recommended level of 0.70 and above and therefore the specified indicators </w:t>
      </w:r>
      <w:r w:rsidR="004605AB" w:rsidRPr="00C0591E">
        <w:rPr>
          <w:shd w:val="clear" w:color="auto" w:fill="FFFFFF"/>
        </w:rPr>
        <w:t>was</w:t>
      </w:r>
      <w:r w:rsidR="00B0342B" w:rsidRPr="00C0591E">
        <w:rPr>
          <w:shd w:val="clear" w:color="auto" w:fill="FFFFFF"/>
        </w:rPr>
        <w:t xml:space="preserve"> considered sufficient in their representation of the constructs.</w:t>
      </w:r>
    </w:p>
    <w:p w14:paraId="0A89B99A" w14:textId="005E51DA" w:rsidR="00267BE6" w:rsidRPr="00C0591E" w:rsidRDefault="00267BE6" w:rsidP="00347D67">
      <w:pPr>
        <w:pStyle w:val="Heading3"/>
      </w:pPr>
      <w:r w:rsidRPr="00C0591E">
        <w:t>3.</w:t>
      </w:r>
      <w:r w:rsidR="00806231" w:rsidRPr="00C0591E">
        <w:t>6</w:t>
      </w:r>
      <w:r w:rsidRPr="00C0591E">
        <w:t>.2 Validity</w:t>
      </w:r>
    </w:p>
    <w:p w14:paraId="60A2009E" w14:textId="36542E84" w:rsidR="00267BE6" w:rsidRPr="00C0591E" w:rsidRDefault="00267BE6" w:rsidP="00347D67">
      <w:r w:rsidRPr="00C0591E">
        <w:rPr>
          <w:lang w:val="en-GB"/>
        </w:rPr>
        <w:t>Validity is the meaningfulness of a test to measure what it was intended to measure, which can be internal, external, construct or discriminant. E</w:t>
      </w:r>
      <w:r w:rsidRPr="00C0591E">
        <w:rPr>
          <w:iCs/>
          <w:lang w:val="en-GB"/>
        </w:rPr>
        <w:t xml:space="preserve">xternal validity </w:t>
      </w:r>
      <w:r w:rsidRPr="00C0591E">
        <w:rPr>
          <w:lang w:val="en-GB"/>
        </w:rPr>
        <w:t xml:space="preserve">is data’s ability to be generalized while </w:t>
      </w:r>
      <w:r w:rsidRPr="00C0591E">
        <w:rPr>
          <w:bCs/>
          <w:lang w:val="en-GB"/>
        </w:rPr>
        <w:t xml:space="preserve">internal validity is </w:t>
      </w:r>
      <w:r w:rsidRPr="00C0591E">
        <w:rPr>
          <w:lang w:val="en-GB"/>
        </w:rPr>
        <w:t xml:space="preserve">the ability of a research instrument to measure what it is purported to measure (Zohrabi, </w:t>
      </w:r>
      <w:r w:rsidR="00C940EA" w:rsidRPr="00C0591E">
        <w:rPr>
          <w:lang w:val="en-GB"/>
        </w:rPr>
        <w:t>2019</w:t>
      </w:r>
      <w:r w:rsidRPr="00C0591E">
        <w:rPr>
          <w:lang w:val="en-GB"/>
        </w:rPr>
        <w:t>). C</w:t>
      </w:r>
      <w:r w:rsidRPr="00C0591E">
        <w:rPr>
          <w:iCs/>
          <w:lang w:val="en-GB"/>
        </w:rPr>
        <w:t xml:space="preserve">onvergent </w:t>
      </w:r>
      <w:r w:rsidRPr="00C0591E">
        <w:rPr>
          <w:lang w:val="en-GB"/>
        </w:rPr>
        <w:t>validity is the degree to which scores on one scale correlate on other scales designed to assess the same construct. D</w:t>
      </w:r>
      <w:r w:rsidRPr="00C0591E">
        <w:rPr>
          <w:iCs/>
          <w:lang w:val="en-GB"/>
        </w:rPr>
        <w:t xml:space="preserve">iscriminant </w:t>
      </w:r>
      <w:r w:rsidRPr="00C0591E">
        <w:rPr>
          <w:lang w:val="en-GB"/>
        </w:rPr>
        <w:t xml:space="preserve">validity assumes the scale </w:t>
      </w:r>
      <w:r w:rsidRPr="00C0591E">
        <w:rPr>
          <w:iCs/>
          <w:lang w:val="en-GB"/>
        </w:rPr>
        <w:t xml:space="preserve">do not </w:t>
      </w:r>
      <w:r w:rsidRPr="00C0591E">
        <w:rPr>
          <w:lang w:val="en-GB"/>
        </w:rPr>
        <w:t xml:space="preserve">correlate with scores from scales designed to measure different constructs (Lameck, </w:t>
      </w:r>
      <w:r w:rsidR="00C940EA" w:rsidRPr="00C0591E">
        <w:rPr>
          <w:lang w:val="en-GB"/>
        </w:rPr>
        <w:t>2019</w:t>
      </w:r>
      <w:r w:rsidRPr="00C0591E">
        <w:rPr>
          <w:lang w:val="en-GB"/>
        </w:rPr>
        <w:t xml:space="preserve">). </w:t>
      </w:r>
      <w:r w:rsidR="00C62CF8" w:rsidRPr="00C0591E">
        <w:rPr>
          <w:lang w:val="en-GB"/>
        </w:rPr>
        <w:t>Con</w:t>
      </w:r>
      <w:r w:rsidR="005C14DE" w:rsidRPr="00C0591E">
        <w:rPr>
          <w:lang w:val="en-GB"/>
        </w:rPr>
        <w:t>tent</w:t>
      </w:r>
      <w:r w:rsidR="00C62CF8" w:rsidRPr="00C0591E">
        <w:rPr>
          <w:lang w:val="en-GB"/>
        </w:rPr>
        <w:t xml:space="preserve"> validity </w:t>
      </w:r>
      <w:r w:rsidR="004605AB" w:rsidRPr="00C0591E">
        <w:rPr>
          <w:lang w:val="en-GB"/>
        </w:rPr>
        <w:t>was</w:t>
      </w:r>
      <w:r w:rsidR="00C62CF8" w:rsidRPr="00C0591E">
        <w:rPr>
          <w:lang w:val="en-GB"/>
        </w:rPr>
        <w:t xml:space="preserve"> measured </w:t>
      </w:r>
      <w:r w:rsidR="004E5CA8" w:rsidRPr="00C0591E">
        <w:rPr>
          <w:lang w:val="en-GB"/>
        </w:rPr>
        <w:t xml:space="preserve">by use of factor analysis. </w:t>
      </w:r>
      <w:r w:rsidR="00C327F5" w:rsidRPr="00C0591E">
        <w:rPr>
          <w:lang w:val="en-GB"/>
        </w:rPr>
        <w:t xml:space="preserve">Content validity is concerned with sample-population representativeness. </w:t>
      </w:r>
      <w:r w:rsidRPr="00C0591E">
        <w:rPr>
          <w:lang w:val="en-GB"/>
        </w:rPr>
        <w:t>In this</w:t>
      </w:r>
      <w:r w:rsidRPr="00C0591E">
        <w:t xml:space="preserve"> study, validity entail</w:t>
      </w:r>
      <w:r w:rsidR="008D4057" w:rsidRPr="00C0591E">
        <w:t>ed</w:t>
      </w:r>
      <w:r w:rsidRPr="00C0591E">
        <w:t xml:space="preserve"> testing how the results obtained can be generalized to all pension fund managers in Kenya </w:t>
      </w:r>
      <w:r w:rsidR="009A6485" w:rsidRPr="00C0591E">
        <w:t>and</w:t>
      </w:r>
      <w:r w:rsidRPr="00C0591E">
        <w:t xml:space="preserve"> become applicable to other institutions. To achieve this, the researcher </w:t>
      </w:r>
      <w:r w:rsidRPr="00C0591E">
        <w:rPr>
          <w:lang w:val="en-GB"/>
        </w:rPr>
        <w:t>ensure</w:t>
      </w:r>
      <w:r w:rsidR="00E47492" w:rsidRPr="00C0591E">
        <w:rPr>
          <w:lang w:val="en-GB"/>
        </w:rPr>
        <w:t>d</w:t>
      </w:r>
      <w:r w:rsidRPr="00C0591E">
        <w:rPr>
          <w:lang w:val="en-GB"/>
        </w:rPr>
        <w:t xml:space="preserve"> all management level units are well represented. In addition, the researcher ensure</w:t>
      </w:r>
      <w:r w:rsidR="008D4057" w:rsidRPr="00C0591E">
        <w:rPr>
          <w:lang w:val="en-GB"/>
        </w:rPr>
        <w:t>d</w:t>
      </w:r>
      <w:r w:rsidRPr="00C0591E">
        <w:rPr>
          <w:lang w:val="en-GB"/>
        </w:rPr>
        <w:t xml:space="preserve"> measurements are as defined in the study and not generated by the research process, and that research design provides credible conclusions and </w:t>
      </w:r>
      <w:r w:rsidRPr="00C0591E">
        <w:t xml:space="preserve">interpretation (Zohrabi, </w:t>
      </w:r>
      <w:r w:rsidR="00C940EA" w:rsidRPr="00C0591E">
        <w:t>2019</w:t>
      </w:r>
      <w:r w:rsidRPr="00C0591E">
        <w:t>).</w:t>
      </w:r>
    </w:p>
    <w:p w14:paraId="41FE85AA" w14:textId="66F3D23D" w:rsidR="00267BE6" w:rsidRPr="00C0591E" w:rsidRDefault="00267BE6" w:rsidP="00347D67">
      <w:pPr>
        <w:pStyle w:val="Heading2"/>
      </w:pPr>
      <w:bookmarkStart w:id="98" w:name="_Toc487876055"/>
      <w:bookmarkStart w:id="99" w:name="_Toc51339"/>
      <w:bookmarkStart w:id="100" w:name="_Toc113125099"/>
      <w:r w:rsidRPr="00C0591E">
        <w:t>3.</w:t>
      </w:r>
      <w:r w:rsidR="00806231" w:rsidRPr="00C0591E">
        <w:t>7</w:t>
      </w:r>
      <w:r w:rsidRPr="00C0591E">
        <w:t xml:space="preserve"> Data </w:t>
      </w:r>
      <w:bookmarkEnd w:id="98"/>
      <w:bookmarkEnd w:id="99"/>
      <w:r w:rsidRPr="00C0591E">
        <w:t>Collection Procedure</w:t>
      </w:r>
      <w:bookmarkEnd w:id="100"/>
    </w:p>
    <w:p w14:paraId="689D8643" w14:textId="264588A6" w:rsidR="006B76F6" w:rsidRPr="00C0591E" w:rsidRDefault="00A867C6" w:rsidP="00347D67">
      <w:r w:rsidRPr="00C0591E">
        <w:t>The study used primary data which was col</w:t>
      </w:r>
      <w:r w:rsidR="00C1380D" w:rsidRPr="00C0591E">
        <w:t>lected by use of questionnaires.</w:t>
      </w:r>
      <w:r w:rsidRPr="00C0591E">
        <w:t xml:space="preserve"> </w:t>
      </w:r>
      <w:r w:rsidR="00C1380D" w:rsidRPr="00C0591E">
        <w:t xml:space="preserve">Questionnaires were </w:t>
      </w:r>
      <w:r w:rsidRPr="00C0591E">
        <w:t xml:space="preserve">suitable for a descriptive study </w:t>
      </w:r>
      <w:r w:rsidR="00C1380D" w:rsidRPr="00C0591E">
        <w:t xml:space="preserve">as </w:t>
      </w:r>
      <w:r w:rsidRPr="00C0591E">
        <w:t>they</w:t>
      </w:r>
      <w:r w:rsidR="00347D67" w:rsidRPr="00C0591E">
        <w:t xml:space="preserve"> </w:t>
      </w:r>
      <w:r w:rsidRPr="00C0591E">
        <w:t>are easy to administer, ensure fast delivery and the respondent can answer at their convenience.</w:t>
      </w:r>
      <w:r w:rsidR="00C1380D" w:rsidRPr="00C0591E">
        <w:t xml:space="preserve"> Before the data collection, t</w:t>
      </w:r>
      <w:r w:rsidR="00267BE6" w:rsidRPr="00C0591E">
        <w:t xml:space="preserve">he researcher </w:t>
      </w:r>
      <w:r w:rsidR="00E47492" w:rsidRPr="00C0591E">
        <w:t>sought</w:t>
      </w:r>
      <w:r w:rsidR="00267BE6" w:rsidRPr="00C0591E">
        <w:t xml:space="preserve"> permission/authorization letter from the firms’ authority to collect data after having taken the introductory letter from the University. To enhance the response rate, the study put into consideration the research ethical issues. The researcher explain</w:t>
      </w:r>
      <w:r w:rsidR="008D4057" w:rsidRPr="00C0591E">
        <w:t>ed</w:t>
      </w:r>
      <w:r w:rsidR="00267BE6" w:rsidRPr="00C0591E">
        <w:t xml:space="preserve"> to the respondent the importance of the study and remind them (informed permission). The researcher assure</w:t>
      </w:r>
      <w:r w:rsidR="00E47492" w:rsidRPr="00C0591E">
        <w:t>d</w:t>
      </w:r>
      <w:r w:rsidR="00267BE6" w:rsidRPr="00C0591E">
        <w:t xml:space="preserve"> the respondents of the confidentiality and anonymity of their identities. </w:t>
      </w:r>
    </w:p>
    <w:p w14:paraId="5C5AA38C" w14:textId="2B90C686" w:rsidR="00267BE6" w:rsidRPr="00C0591E" w:rsidRDefault="00267BE6" w:rsidP="00347D67">
      <w:pPr>
        <w:rPr>
          <w:rFonts w:cs="Times New Roman"/>
          <w:szCs w:val="24"/>
        </w:rPr>
      </w:pPr>
      <w:r w:rsidRPr="00C0591E">
        <w:t xml:space="preserve">The researcher </w:t>
      </w:r>
      <w:r w:rsidR="008D4057" w:rsidRPr="00C0591E">
        <w:t>sought</w:t>
      </w:r>
      <w:r w:rsidRPr="00C0591E">
        <w:t xml:space="preserve"> for consent form from the respondents and also debrief them about the questions. The researcher </w:t>
      </w:r>
      <w:r w:rsidR="008D4057" w:rsidRPr="00C0591E">
        <w:t>administered</w:t>
      </w:r>
      <w:r w:rsidRPr="00C0591E">
        <w:t xml:space="preserve"> questionnaires through drop and pick-later method and request the respondents to complete the questionnaires and return in time owing that it is for academic purpose. One set of the questionnaire per respondent </w:t>
      </w:r>
      <w:r w:rsidR="004605AB" w:rsidRPr="00C0591E">
        <w:t>was</w:t>
      </w:r>
      <w:r w:rsidRPr="00C0591E">
        <w:t xml:space="preserve"> administered. </w:t>
      </w:r>
      <w:r w:rsidRPr="00C0591E">
        <w:rPr>
          <w:rFonts w:cs="Times New Roman"/>
          <w:szCs w:val="24"/>
        </w:rPr>
        <w:t>Primary data provide</w:t>
      </w:r>
      <w:r w:rsidR="008D4057" w:rsidRPr="00C0591E">
        <w:rPr>
          <w:rFonts w:cs="Times New Roman"/>
          <w:szCs w:val="24"/>
        </w:rPr>
        <w:t>d</w:t>
      </w:r>
      <w:r w:rsidRPr="00C0591E">
        <w:rPr>
          <w:rFonts w:cs="Times New Roman"/>
          <w:szCs w:val="24"/>
        </w:rPr>
        <w:t xml:space="preserve"> original raw evidence on study variables interactions. </w:t>
      </w:r>
    </w:p>
    <w:p w14:paraId="1C411511" w14:textId="46ECFDA6" w:rsidR="00267BE6" w:rsidRPr="00C0591E" w:rsidRDefault="00267BE6" w:rsidP="000C518B">
      <w:pPr>
        <w:spacing w:before="240" w:after="0"/>
        <w:rPr>
          <w:rFonts w:cs="Times New Roman"/>
          <w:szCs w:val="24"/>
        </w:rPr>
      </w:pPr>
      <w:r w:rsidRPr="00C0591E">
        <w:t xml:space="preserve">Primary data </w:t>
      </w:r>
      <w:r w:rsidR="004605AB" w:rsidRPr="00C0591E">
        <w:t>was</w:t>
      </w:r>
      <w:r w:rsidRPr="00C0591E">
        <w:t xml:space="preserve"> collected using a questionnaire in Appendix I. It </w:t>
      </w:r>
      <w:r w:rsidR="00C1380D" w:rsidRPr="00C0591E">
        <w:t>was</w:t>
      </w:r>
      <w:r w:rsidRPr="00C0591E">
        <w:t xml:space="preserve"> structured into five sections, namely: General information, </w:t>
      </w:r>
      <w:r w:rsidR="0053714D" w:rsidRPr="0053714D">
        <w:t xml:space="preserve">pillars of </w:t>
      </w:r>
      <w:r w:rsidRPr="00C0591E">
        <w:t xml:space="preserve">corporate </w:t>
      </w:r>
      <w:r w:rsidR="0053714D" w:rsidRPr="00C0591E">
        <w:t>governance, investment policies, government regulations and performance</w:t>
      </w:r>
      <w:r w:rsidRPr="00C0591E">
        <w:t xml:space="preserve">. </w:t>
      </w:r>
      <w:r w:rsidR="0053714D" w:rsidRPr="0053714D">
        <w:t xml:space="preserve">Pillars of </w:t>
      </w:r>
      <w:r w:rsidRPr="00C0591E">
        <w:t>Corporate governance section capture</w:t>
      </w:r>
      <w:r w:rsidR="008D4057" w:rsidRPr="00C0591E">
        <w:t>d</w:t>
      </w:r>
      <w:r w:rsidRPr="00C0591E">
        <w:t xml:space="preserve"> the various structures and practices especially on board. On </w:t>
      </w:r>
      <w:r w:rsidR="008D4057" w:rsidRPr="00C0591E">
        <w:t>investment policies</w:t>
      </w:r>
      <w:r w:rsidRPr="00C0591E">
        <w:t xml:space="preserve">, the questions </w:t>
      </w:r>
      <w:r w:rsidR="00E47492" w:rsidRPr="00C0591E">
        <w:t>sought</w:t>
      </w:r>
      <w:r w:rsidRPr="00C0591E">
        <w:t xml:space="preserve"> to establish manifestation, acts and covenants of its various forms. Government Regulations section identif</w:t>
      </w:r>
      <w:r w:rsidR="00E47492" w:rsidRPr="00C0591E">
        <w:t>ied</w:t>
      </w:r>
      <w:r w:rsidRPr="00C0591E">
        <w:t xml:space="preserve"> the various factors that organization needs to adjust itself to (taxation and inflation). These include the CEOs, company secretaries or others playing similar roles. Follow up </w:t>
      </w:r>
      <w:r w:rsidR="004605AB" w:rsidRPr="00C0591E">
        <w:t>was</w:t>
      </w:r>
      <w:r w:rsidRPr="00C0591E">
        <w:t xml:space="preserve"> done through telephone calls, emails and visits to the financial institutions </w:t>
      </w:r>
      <w:r w:rsidR="004605AB" w:rsidRPr="00C0591E">
        <w:t>was</w:t>
      </w:r>
      <w:r w:rsidRPr="00C0591E">
        <w:t xml:space="preserve"> done to en</w:t>
      </w:r>
      <w:r w:rsidR="008D4057" w:rsidRPr="00C0591E">
        <w:t xml:space="preserve">hance a high response rate. </w:t>
      </w:r>
      <w:r w:rsidRPr="00C0591E">
        <w:rPr>
          <w:rFonts w:cs="Times New Roman"/>
          <w:szCs w:val="24"/>
        </w:rPr>
        <w:t xml:space="preserve"> </w:t>
      </w:r>
      <w:bookmarkStart w:id="101" w:name="_Toc487876057"/>
      <w:bookmarkStart w:id="102" w:name="_Toc51341"/>
    </w:p>
    <w:p w14:paraId="07D1F38A" w14:textId="25A1A87C" w:rsidR="00267BE6" w:rsidRPr="00C0591E" w:rsidRDefault="00267BE6" w:rsidP="00347D67">
      <w:pPr>
        <w:pStyle w:val="Heading2"/>
      </w:pPr>
      <w:bookmarkStart w:id="103" w:name="_Toc113125100"/>
      <w:r w:rsidRPr="00C0591E">
        <w:t>3.</w:t>
      </w:r>
      <w:r w:rsidR="00806231" w:rsidRPr="00C0591E">
        <w:t>8</w:t>
      </w:r>
      <w:r w:rsidRPr="00C0591E">
        <w:t xml:space="preserve"> Data </w:t>
      </w:r>
      <w:bookmarkEnd w:id="101"/>
      <w:bookmarkEnd w:id="102"/>
      <w:r w:rsidRPr="00C0591E">
        <w:t>Analysis and Presentation</w:t>
      </w:r>
      <w:bookmarkEnd w:id="103"/>
    </w:p>
    <w:p w14:paraId="1C7897C1" w14:textId="19531AB3" w:rsidR="00F97DD8" w:rsidRPr="00C0591E" w:rsidRDefault="00F97DD8" w:rsidP="00347D67">
      <w:pPr>
        <w:rPr>
          <w:lang w:val="en-GB"/>
        </w:rPr>
      </w:pPr>
      <w:bookmarkStart w:id="104" w:name="_Toc487876058"/>
      <w:r w:rsidRPr="00C0591E">
        <w:rPr>
          <w:lang w:val="en-GB"/>
        </w:rPr>
        <w:t xml:space="preserve">The data collected in this study </w:t>
      </w:r>
      <w:r w:rsidR="004605AB" w:rsidRPr="00C0591E">
        <w:rPr>
          <w:lang w:val="en-GB"/>
        </w:rPr>
        <w:t>was</w:t>
      </w:r>
      <w:r w:rsidRPr="00C0591E">
        <w:rPr>
          <w:lang w:val="en-GB"/>
        </w:rPr>
        <w:t xml:space="preserve"> organized and classified based from the research design and the problems formulated. The data </w:t>
      </w:r>
      <w:r w:rsidR="004605AB" w:rsidRPr="00C0591E">
        <w:rPr>
          <w:lang w:val="en-GB"/>
        </w:rPr>
        <w:t>was</w:t>
      </w:r>
      <w:r w:rsidRPr="00C0591E">
        <w:rPr>
          <w:lang w:val="en-GB"/>
        </w:rPr>
        <w:t xml:space="preserve"> coded, tallied and tabulated to facilitate the presentation and interpretation of results using the following: The percentage and frequency distributions </w:t>
      </w:r>
      <w:r w:rsidR="004605AB" w:rsidRPr="00C0591E">
        <w:rPr>
          <w:lang w:val="en-GB"/>
        </w:rPr>
        <w:t>was</w:t>
      </w:r>
      <w:r w:rsidRPr="00C0591E">
        <w:rPr>
          <w:lang w:val="en-GB"/>
        </w:rPr>
        <w:t xml:space="preserve"> used to classify the respondents and presented the actual response of the respondents to a specific question or item in the questionnaires.</w:t>
      </w:r>
    </w:p>
    <w:p w14:paraId="4094951F" w14:textId="20797EB6" w:rsidR="008D4057" w:rsidRPr="00C0591E" w:rsidRDefault="00F97DD8" w:rsidP="00347D67">
      <w:r w:rsidRPr="00C0591E">
        <w:rPr>
          <w:color w:val="000000"/>
          <w:szCs w:val="24"/>
        </w:rPr>
        <w:t xml:space="preserve">Quantitative data </w:t>
      </w:r>
      <w:r w:rsidR="004605AB" w:rsidRPr="00C0591E">
        <w:rPr>
          <w:szCs w:val="24"/>
          <w:lang w:val="en-GB"/>
        </w:rPr>
        <w:t>was</w:t>
      </w:r>
      <w:r w:rsidRPr="00C0591E">
        <w:rPr>
          <w:szCs w:val="24"/>
          <w:lang w:val="en-GB"/>
        </w:rPr>
        <w:t xml:space="preserve"> analysed using Statistical Package for Social Sciences (SPSS version 22). </w:t>
      </w:r>
      <w:r w:rsidR="00267BE6" w:rsidRPr="00C0591E">
        <w:rPr>
          <w:rFonts w:cs="Times New Roman"/>
          <w:szCs w:val="24"/>
          <w:shd w:val="clear" w:color="auto" w:fill="FFFFFF"/>
        </w:rPr>
        <w:t xml:space="preserve">The </w:t>
      </w:r>
      <w:r w:rsidR="006D1BED" w:rsidRPr="00C0591E">
        <w:rPr>
          <w:rFonts w:cs="Times New Roman"/>
          <w:szCs w:val="24"/>
          <w:shd w:val="clear" w:color="auto" w:fill="FFFFFF"/>
        </w:rPr>
        <w:t>study</w:t>
      </w:r>
      <w:r w:rsidR="00267BE6" w:rsidRPr="00C0591E">
        <w:rPr>
          <w:rFonts w:cs="Times New Roman"/>
          <w:szCs w:val="24"/>
          <w:shd w:val="clear" w:color="auto" w:fill="FFFFFF"/>
        </w:rPr>
        <w:t xml:space="preserve"> </w:t>
      </w:r>
      <w:r w:rsidR="006D1BED" w:rsidRPr="00C0591E">
        <w:rPr>
          <w:rFonts w:cs="Times New Roman"/>
          <w:szCs w:val="24"/>
          <w:shd w:val="clear" w:color="auto" w:fill="FFFFFF"/>
        </w:rPr>
        <w:t>conducted</w:t>
      </w:r>
      <w:r w:rsidR="00267BE6" w:rsidRPr="00C0591E">
        <w:rPr>
          <w:rFonts w:cs="Times New Roman"/>
          <w:szCs w:val="24"/>
          <w:shd w:val="clear" w:color="auto" w:fill="FFFFFF"/>
        </w:rPr>
        <w:t xml:space="preserve"> diagnostic tests to confirm data normality, linearity, and multicollinearity </w:t>
      </w:r>
      <w:r w:rsidR="00267BE6" w:rsidRPr="00C0591E">
        <w:rPr>
          <w:rFonts w:cs="Times New Roman"/>
          <w:bCs/>
          <w:szCs w:val="24"/>
          <w:shd w:val="clear" w:color="auto" w:fill="FFFFFF"/>
        </w:rPr>
        <w:t>before actual data analysis</w:t>
      </w:r>
      <w:r w:rsidR="00267BE6" w:rsidRPr="00C0591E">
        <w:rPr>
          <w:rFonts w:cs="Times New Roman"/>
          <w:szCs w:val="24"/>
          <w:shd w:val="clear" w:color="auto" w:fill="FFFFFF"/>
        </w:rPr>
        <w:t>. For normality, Shapiro-Wilk’s W test</w:t>
      </w:r>
      <w:r w:rsidR="008D4057" w:rsidRPr="00C0591E">
        <w:rPr>
          <w:rFonts w:cs="Times New Roman"/>
          <w:szCs w:val="24"/>
          <w:shd w:val="clear" w:color="auto" w:fill="FFFFFF"/>
        </w:rPr>
        <w:t xml:space="preserve"> was used</w:t>
      </w:r>
      <w:r w:rsidR="00267BE6" w:rsidRPr="00C0591E">
        <w:rPr>
          <w:rFonts w:cs="Times New Roman"/>
          <w:szCs w:val="24"/>
          <w:shd w:val="clear" w:color="auto" w:fill="FFFFFF"/>
        </w:rPr>
        <w:t>.</w:t>
      </w:r>
      <w:r w:rsidR="008D4057" w:rsidRPr="00C0591E">
        <w:rPr>
          <w:rFonts w:cs="Times New Roman"/>
          <w:szCs w:val="24"/>
          <w:shd w:val="clear" w:color="auto" w:fill="FFFFFF"/>
        </w:rPr>
        <w:t xml:space="preserve"> </w:t>
      </w:r>
      <w:r w:rsidR="009E7F05" w:rsidRPr="00C0591E">
        <w:rPr>
          <w:rFonts w:cs="Times New Roman"/>
          <w:szCs w:val="24"/>
          <w:shd w:val="clear" w:color="auto" w:fill="FFFFFF"/>
        </w:rPr>
        <w:t xml:space="preserve">Multicollinearity, </w:t>
      </w:r>
      <w:r w:rsidR="004605AB" w:rsidRPr="00C0591E">
        <w:rPr>
          <w:rFonts w:cs="Times New Roman"/>
          <w:szCs w:val="24"/>
          <w:shd w:val="clear" w:color="auto" w:fill="FFFFFF"/>
        </w:rPr>
        <w:t>was</w:t>
      </w:r>
      <w:r w:rsidR="009E7F05" w:rsidRPr="00C0591E">
        <w:rPr>
          <w:rFonts w:cs="Times New Roman"/>
          <w:szCs w:val="24"/>
          <w:shd w:val="clear" w:color="auto" w:fill="FFFFFF"/>
        </w:rPr>
        <w:t xml:space="preserve"> tested by examining tolerance and the variance inflation factor (VIF) and finally linearity, </w:t>
      </w:r>
      <w:r w:rsidR="004605AB" w:rsidRPr="00C0591E">
        <w:rPr>
          <w:rFonts w:cs="Times New Roman"/>
          <w:szCs w:val="24"/>
          <w:shd w:val="clear" w:color="auto" w:fill="FFFFFF"/>
        </w:rPr>
        <w:t>was</w:t>
      </w:r>
      <w:r w:rsidR="009E7F05" w:rsidRPr="00C0591E">
        <w:rPr>
          <w:rFonts w:cs="Times New Roman"/>
          <w:szCs w:val="24"/>
          <w:shd w:val="clear" w:color="auto" w:fill="FFFFFF"/>
        </w:rPr>
        <w:t xml:space="preserve"> tested using scatterplots and analysis of variance (ANOVA) (Ghasemi &amp; Zahediasl, </w:t>
      </w:r>
      <w:r w:rsidR="00C940EA" w:rsidRPr="00C0591E">
        <w:rPr>
          <w:rFonts w:cs="Times New Roman"/>
          <w:szCs w:val="24"/>
          <w:shd w:val="clear" w:color="auto" w:fill="FFFFFF"/>
        </w:rPr>
        <w:t>2019</w:t>
      </w:r>
      <w:r w:rsidR="009E7F05" w:rsidRPr="00C0591E">
        <w:rPr>
          <w:rFonts w:cs="Times New Roman"/>
          <w:szCs w:val="24"/>
          <w:shd w:val="clear" w:color="auto" w:fill="FFFFFF"/>
        </w:rPr>
        <w:t xml:space="preserve">). Multicollinearity is the study of the relationship between independent variables in a study. It is also viewed as the absence of a strong correlation between two or more independent variables. </w:t>
      </w:r>
      <w:r w:rsidR="00A40DBB" w:rsidRPr="00C0591E">
        <w:t xml:space="preserve">The aim of performing multicollinearity test </w:t>
      </w:r>
      <w:r w:rsidR="00366F53" w:rsidRPr="00C0591E">
        <w:t>was</w:t>
      </w:r>
      <w:r w:rsidR="00A40DBB" w:rsidRPr="00C0591E">
        <w:t xml:space="preserve"> to ascertain that there is no collinearity problem of the predictor variables having some explanatory power over each other. According to Field (2013), presence of multicollinearity is deduced by Variance Inflation Factor (VIF) of greater than 10 indicating the presence of multicollinearity. Multi-collinearity reduces the reliability of multiple regressions models because the standard error of coefficients increases with increase in collinearity. </w:t>
      </w:r>
    </w:p>
    <w:p w14:paraId="5E7C063B" w14:textId="77777777" w:rsidR="00CD27BA" w:rsidRPr="00C0591E" w:rsidRDefault="00CD27BA" w:rsidP="00347D67">
      <w:r w:rsidRPr="00C0591E">
        <w:t xml:space="preserve">On heteroscedasticity, Breusch-Pagan/Godfrey test was used to test whether the error terms are correlated across observations in the cross sectional of the data </w:t>
      </w:r>
      <w:r w:rsidRPr="00C0591E">
        <w:rPr>
          <w:shd w:val="clear" w:color="auto" w:fill="FFFFFF"/>
        </w:rPr>
        <w:t>(Long &amp; Ervin, 2000)</w:t>
      </w:r>
      <w:r w:rsidRPr="00C0591E">
        <w:t>. Heteroscedasticity describes the case where the variance of errors or the model is not the same for all observations, while often one of the basic assumptions in modelling is that the variances are homogeneous and that the errors of the model are identically distributed across all observations. The analytical procedures, inspection visually from the plotted residuals and the fitted values as recommended by Williams (2015) and Gujarati (2010).</w:t>
      </w:r>
    </w:p>
    <w:p w14:paraId="60E9F211" w14:textId="5D74A21C" w:rsidR="000518AC" w:rsidRPr="00C0591E" w:rsidRDefault="000D56F8" w:rsidP="00347D67">
      <w:r w:rsidRPr="00C0591E">
        <w:rPr>
          <w:rFonts w:eastAsiaTheme="minorHAnsi" w:cs="Times New Roman"/>
          <w:color w:val="000000"/>
          <w:szCs w:val="24"/>
        </w:rPr>
        <w:t xml:space="preserve">The ANOVA test of linearity </w:t>
      </w:r>
      <w:r w:rsidR="004605AB" w:rsidRPr="00C0591E">
        <w:rPr>
          <w:rFonts w:eastAsiaTheme="minorHAnsi" w:cs="Times New Roman"/>
          <w:color w:val="000000"/>
          <w:szCs w:val="24"/>
        </w:rPr>
        <w:t>was</w:t>
      </w:r>
      <w:r w:rsidRPr="00C0591E">
        <w:rPr>
          <w:rFonts w:eastAsiaTheme="minorHAnsi" w:cs="Times New Roman"/>
          <w:color w:val="000000"/>
          <w:szCs w:val="24"/>
        </w:rPr>
        <w:t xml:space="preserve"> used to check for linearity of the relationships between the independent and the dependent variables data. The test </w:t>
      </w:r>
      <w:r w:rsidR="007C03B3" w:rsidRPr="00C0591E">
        <w:rPr>
          <w:rFonts w:eastAsiaTheme="minorHAnsi" w:cs="Times New Roman"/>
          <w:color w:val="000000"/>
          <w:szCs w:val="24"/>
        </w:rPr>
        <w:t>compute</w:t>
      </w:r>
      <w:r w:rsidR="000256D1" w:rsidRPr="00C0591E">
        <w:rPr>
          <w:rFonts w:eastAsiaTheme="minorHAnsi" w:cs="Times New Roman"/>
          <w:color w:val="000000"/>
          <w:szCs w:val="24"/>
        </w:rPr>
        <w:t>d</w:t>
      </w:r>
      <w:r w:rsidRPr="00C0591E">
        <w:rPr>
          <w:rFonts w:eastAsiaTheme="minorHAnsi" w:cs="Times New Roman"/>
          <w:color w:val="000000"/>
          <w:szCs w:val="24"/>
        </w:rPr>
        <w:t xml:space="preserve"> both the linear and nonlinear components of a pair of variables. Nonlinearity </w:t>
      </w:r>
      <w:r w:rsidR="004605AB" w:rsidRPr="00C0591E">
        <w:rPr>
          <w:rFonts w:eastAsiaTheme="minorHAnsi" w:cs="Times New Roman"/>
          <w:color w:val="000000"/>
          <w:szCs w:val="24"/>
        </w:rPr>
        <w:t>was</w:t>
      </w:r>
      <w:r w:rsidRPr="00C0591E">
        <w:rPr>
          <w:rFonts w:eastAsiaTheme="minorHAnsi" w:cs="Times New Roman"/>
          <w:color w:val="000000"/>
          <w:szCs w:val="24"/>
        </w:rPr>
        <w:t xml:space="preserve"> considered significant if the computed F value for the nonlinear component </w:t>
      </w:r>
      <w:r w:rsidR="00F25E59" w:rsidRPr="00C0591E">
        <w:rPr>
          <w:rFonts w:eastAsiaTheme="minorHAnsi" w:cs="Times New Roman"/>
          <w:color w:val="000000"/>
          <w:szCs w:val="24"/>
        </w:rPr>
        <w:t>is</w:t>
      </w:r>
      <w:r w:rsidR="00ED0205" w:rsidRPr="00C0591E">
        <w:rPr>
          <w:rFonts w:eastAsiaTheme="minorHAnsi" w:cs="Times New Roman"/>
          <w:color w:val="000000"/>
          <w:szCs w:val="24"/>
        </w:rPr>
        <w:t xml:space="preserve"> below 0.05.</w:t>
      </w:r>
      <w:r w:rsidR="000518AC" w:rsidRPr="00C0591E">
        <w:rPr>
          <w:rFonts w:eastAsiaTheme="minorHAnsi" w:cs="Times New Roman"/>
          <w:color w:val="000000"/>
          <w:szCs w:val="24"/>
        </w:rPr>
        <w:t xml:space="preserve"> </w:t>
      </w:r>
      <w:r w:rsidR="00C5314A" w:rsidRPr="00C0591E">
        <w:rPr>
          <w:rFonts w:eastAsiaTheme="minorHAnsi" w:cs="Times New Roman"/>
          <w:color w:val="000000"/>
          <w:szCs w:val="24"/>
        </w:rPr>
        <w:t xml:space="preserve">The presence of multicollinearity </w:t>
      </w:r>
      <w:r w:rsidR="004605AB" w:rsidRPr="00C0591E">
        <w:rPr>
          <w:rFonts w:eastAsiaTheme="minorHAnsi" w:cs="Times New Roman"/>
          <w:color w:val="000000"/>
          <w:szCs w:val="24"/>
        </w:rPr>
        <w:t>was</w:t>
      </w:r>
      <w:r w:rsidR="0099741D" w:rsidRPr="00C0591E">
        <w:rPr>
          <w:rFonts w:eastAsiaTheme="minorHAnsi" w:cs="Times New Roman"/>
          <w:color w:val="000000"/>
          <w:szCs w:val="24"/>
        </w:rPr>
        <w:t xml:space="preserve"> tested by computing the Variance Inflation Factors (VIF) with any variable with VIF values greater than 10 considered as indicative of presence of multicollinearity as recommended by Robinson and Schumacker (2009). Multicollinearity occurs when the explanatory variables are highly correlated. </w:t>
      </w:r>
    </w:p>
    <w:p w14:paraId="1856214B" w14:textId="14E891FC" w:rsidR="000C518B" w:rsidRPr="00C0591E" w:rsidRDefault="00267BE6" w:rsidP="00ED0205">
      <w:r w:rsidRPr="00C0591E">
        <w:t xml:space="preserve">Further, the </w:t>
      </w:r>
      <w:r w:rsidR="006D1BED" w:rsidRPr="00C0591E">
        <w:t>study</w:t>
      </w:r>
      <w:r w:rsidRPr="00C0591E">
        <w:t xml:space="preserve"> use</w:t>
      </w:r>
      <w:r w:rsidR="00E47492" w:rsidRPr="00C0591E">
        <w:t>d</w:t>
      </w:r>
      <w:r w:rsidRPr="00C0591E">
        <w:t xml:space="preserve"> several analytical models to interpret the data. These include</w:t>
      </w:r>
      <w:r w:rsidR="00E47492" w:rsidRPr="00C0591E">
        <w:t>d</w:t>
      </w:r>
      <w:r w:rsidRPr="00C0591E">
        <w:t xml:space="preserve"> simple regression for establishing the relationship between </w:t>
      </w:r>
      <w:r w:rsidR="0053714D" w:rsidRPr="0053714D">
        <w:t xml:space="preserve">pillars of </w:t>
      </w:r>
      <w:r w:rsidRPr="00C0591E">
        <w:t xml:space="preserve">corporate governance and performance. </w:t>
      </w:r>
      <w:r w:rsidR="00A50833" w:rsidRPr="00C0591E">
        <w:t>Multip</w:t>
      </w:r>
      <w:r w:rsidR="00E85841" w:rsidRPr="00C0591E">
        <w:t>le</w:t>
      </w:r>
      <w:r w:rsidRPr="00C0591E">
        <w:t xml:space="preserve"> regression analysis </w:t>
      </w:r>
      <w:r w:rsidR="00E47492" w:rsidRPr="00C0591E">
        <w:t>assed</w:t>
      </w:r>
      <w:r w:rsidRPr="00C0591E">
        <w:t xml:space="preserve"> the moderating effect of government regulations on the relationship between </w:t>
      </w:r>
      <w:r w:rsidR="0053714D" w:rsidRPr="0053714D">
        <w:t xml:space="preserve">pillars of </w:t>
      </w:r>
      <w:r w:rsidRPr="00C0591E">
        <w:t>corporate governance and performance. Step wise regression, both simple and multiple examine</w:t>
      </w:r>
      <w:r w:rsidR="00E47492" w:rsidRPr="00C0591E">
        <w:t>d</w:t>
      </w:r>
      <w:r w:rsidRPr="00C0591E">
        <w:t xml:space="preserve"> the mediating effect of investment policies on the relationship between </w:t>
      </w:r>
      <w:r w:rsidR="0053714D" w:rsidRPr="0053714D">
        <w:t xml:space="preserve">pillars of </w:t>
      </w:r>
      <w:r w:rsidRPr="00C0591E">
        <w:t>corporate governance and performance.</w:t>
      </w:r>
      <w:r w:rsidR="000C518B" w:rsidRPr="00C0591E">
        <w:t xml:space="preserve"> </w:t>
      </w:r>
      <w:r w:rsidRPr="00C0591E">
        <w:t xml:space="preserve">To further analyze the moderating and mediating effect of government regulations and investment policies respectively on </w:t>
      </w:r>
      <w:r w:rsidR="0053714D" w:rsidRPr="0053714D">
        <w:t xml:space="preserve">pillars of </w:t>
      </w:r>
      <w:r w:rsidRPr="00C0591E">
        <w:t xml:space="preserve">corporate governance and performance, </w:t>
      </w:r>
      <w:r w:rsidR="00E85841" w:rsidRPr="00C0591E">
        <w:t>multiple</w:t>
      </w:r>
      <w:r w:rsidR="005671A3" w:rsidRPr="00C0591E">
        <w:t xml:space="preserve"> and stepwise regression</w:t>
      </w:r>
      <w:r w:rsidRPr="00C0591E">
        <w:t xml:space="preserve"> </w:t>
      </w:r>
      <w:r w:rsidR="004605AB" w:rsidRPr="00C0591E">
        <w:t>was</w:t>
      </w:r>
      <w:r w:rsidRPr="00C0591E">
        <w:t xml:space="preserve"> used</w:t>
      </w:r>
      <w:r w:rsidR="005671A3" w:rsidRPr="00C0591E">
        <w:t xml:space="preserve"> respectively</w:t>
      </w:r>
      <w:r w:rsidRPr="00C0591E">
        <w:t xml:space="preserve">. This </w:t>
      </w:r>
      <w:r w:rsidR="00CD27BA" w:rsidRPr="00C0591E">
        <w:t>was</w:t>
      </w:r>
      <w:r w:rsidRPr="00C0591E">
        <w:t xml:space="preserve"> necessary for providing estimates of the magnitude and significance of the hypothesized causal connections between variables. This </w:t>
      </w:r>
      <w:r w:rsidR="004605AB" w:rsidRPr="00C0591E">
        <w:t>was</w:t>
      </w:r>
      <w:r w:rsidRPr="00C0591E">
        <w:t xml:space="preserve"> achieved through conducting series of regressions and analyzing their influence on dependent variable. </w:t>
      </w:r>
      <w:r w:rsidR="00B478A4" w:rsidRPr="00C0591E">
        <w:t>T</w:t>
      </w:r>
      <w:r w:rsidR="003C58AA" w:rsidRPr="00C0591E">
        <w:t xml:space="preserve">o test the various hypotheses, </w:t>
      </w:r>
      <w:r w:rsidR="00B478A4" w:rsidRPr="00C0591E">
        <w:t xml:space="preserve">regression </w:t>
      </w:r>
      <w:r w:rsidR="004605AB" w:rsidRPr="00C0591E">
        <w:t>was</w:t>
      </w:r>
      <w:r w:rsidR="00B478A4" w:rsidRPr="00C0591E">
        <w:t xml:space="preserve"> used to determine the influence of the predictor/independent variables on the predicted/dependent variables. A summary of specific analysis to be carried out is summarized in Table 3.1. </w:t>
      </w:r>
    </w:p>
    <w:p w14:paraId="18CF7009" w14:textId="290DCFF6" w:rsidR="00B478A4" w:rsidRPr="00C0591E" w:rsidRDefault="00B478A4" w:rsidP="000C518B">
      <w:pPr>
        <w:spacing w:line="336" w:lineRule="auto"/>
        <w:rPr>
          <w:rFonts w:cs="Times New Roman"/>
          <w:szCs w:val="24"/>
        </w:rPr>
      </w:pPr>
      <w:r w:rsidRPr="00C0591E">
        <w:rPr>
          <w:rFonts w:cs="Times New Roman"/>
          <w:szCs w:val="24"/>
        </w:rPr>
        <w:t xml:space="preserve">The regression model </w:t>
      </w:r>
      <w:r w:rsidR="004605AB" w:rsidRPr="00C0591E">
        <w:rPr>
          <w:rFonts w:cs="Times New Roman"/>
          <w:szCs w:val="24"/>
        </w:rPr>
        <w:t>was</w:t>
      </w:r>
      <w:r w:rsidRPr="00C0591E">
        <w:rPr>
          <w:rFonts w:cs="Times New Roman"/>
          <w:szCs w:val="24"/>
        </w:rPr>
        <w:t xml:space="preserve"> of the form;</w:t>
      </w:r>
    </w:p>
    <w:p w14:paraId="38695CBA" w14:textId="20FF4646" w:rsidR="00B478A4" w:rsidRPr="00C0591E" w:rsidRDefault="00B478A4" w:rsidP="00B478A4">
      <w:pPr>
        <w:spacing w:after="0"/>
        <w:rPr>
          <w:rFonts w:cs="Times New Roman"/>
          <w:szCs w:val="24"/>
        </w:rPr>
      </w:pPr>
      <w:r w:rsidRPr="00C0591E">
        <w:rPr>
          <w:rFonts w:cs="Times New Roman"/>
          <w:szCs w:val="24"/>
        </w:rPr>
        <w:t xml:space="preserve"> Y = b</w:t>
      </w:r>
      <w:r w:rsidRPr="00C0591E">
        <w:rPr>
          <w:rFonts w:cs="Times New Roman"/>
          <w:szCs w:val="24"/>
          <w:vertAlign w:val="subscript"/>
        </w:rPr>
        <w:t>0</w:t>
      </w:r>
      <w:r w:rsidRPr="00C0591E">
        <w:rPr>
          <w:rFonts w:cs="Times New Roman"/>
          <w:szCs w:val="24"/>
        </w:rPr>
        <w:t xml:space="preserve"> + b</w:t>
      </w:r>
      <w:r w:rsidRPr="00C0591E">
        <w:rPr>
          <w:rFonts w:cs="Times New Roman"/>
          <w:szCs w:val="24"/>
          <w:vertAlign w:val="subscript"/>
        </w:rPr>
        <w:t>1</w:t>
      </w:r>
      <w:r w:rsidRPr="00C0591E">
        <w:rPr>
          <w:rFonts w:cs="Times New Roman"/>
          <w:szCs w:val="24"/>
        </w:rPr>
        <w:t>X</w:t>
      </w:r>
      <w:r w:rsidRPr="00C0591E">
        <w:rPr>
          <w:rFonts w:cs="Times New Roman"/>
          <w:szCs w:val="24"/>
          <w:vertAlign w:val="subscript"/>
        </w:rPr>
        <w:t>1</w:t>
      </w:r>
      <w:r w:rsidRPr="00C0591E">
        <w:rPr>
          <w:rFonts w:cs="Times New Roman"/>
          <w:szCs w:val="24"/>
        </w:rPr>
        <w:t xml:space="preserve"> + b</w:t>
      </w:r>
      <w:r w:rsidRPr="00C0591E">
        <w:rPr>
          <w:rFonts w:cs="Times New Roman"/>
          <w:szCs w:val="24"/>
          <w:vertAlign w:val="subscript"/>
        </w:rPr>
        <w:t>2</w:t>
      </w:r>
      <w:r w:rsidRPr="00C0591E">
        <w:rPr>
          <w:rFonts w:cs="Times New Roman"/>
          <w:szCs w:val="24"/>
        </w:rPr>
        <w:t>X</w:t>
      </w:r>
      <w:r w:rsidRPr="00C0591E">
        <w:rPr>
          <w:rFonts w:cs="Times New Roman"/>
          <w:szCs w:val="24"/>
          <w:vertAlign w:val="subscript"/>
        </w:rPr>
        <w:t>2</w:t>
      </w:r>
      <w:r w:rsidRPr="00C0591E">
        <w:rPr>
          <w:rFonts w:cs="Times New Roman"/>
          <w:szCs w:val="24"/>
        </w:rPr>
        <w:t xml:space="preserve"> …… b</w:t>
      </w:r>
      <w:r w:rsidRPr="00C0591E">
        <w:rPr>
          <w:rFonts w:cs="Times New Roman"/>
          <w:szCs w:val="24"/>
          <w:vertAlign w:val="subscript"/>
        </w:rPr>
        <w:t>n</w:t>
      </w:r>
      <w:r w:rsidRPr="00C0591E">
        <w:rPr>
          <w:rFonts w:cs="Times New Roman"/>
          <w:szCs w:val="24"/>
        </w:rPr>
        <w:t>X</w:t>
      </w:r>
      <w:r w:rsidRPr="00C0591E">
        <w:rPr>
          <w:rFonts w:cs="Times New Roman"/>
          <w:szCs w:val="24"/>
          <w:vertAlign w:val="subscript"/>
        </w:rPr>
        <w:t>n</w:t>
      </w:r>
      <w:r w:rsidRPr="00C0591E">
        <w:rPr>
          <w:rFonts w:cs="Times New Roman"/>
          <w:szCs w:val="24"/>
          <w:vertAlign w:val="subscript"/>
        </w:rPr>
        <w:tab/>
      </w:r>
      <w:r w:rsidRPr="00C0591E">
        <w:rPr>
          <w:rFonts w:cs="Times New Roman"/>
          <w:szCs w:val="24"/>
          <w:vertAlign w:val="subscript"/>
        </w:rPr>
        <w:tab/>
      </w:r>
      <w:r w:rsidRPr="00C0591E">
        <w:rPr>
          <w:rFonts w:cs="Times New Roman"/>
          <w:szCs w:val="24"/>
          <w:vertAlign w:val="subscript"/>
        </w:rPr>
        <w:tab/>
      </w:r>
    </w:p>
    <w:p w14:paraId="3D172A81" w14:textId="4E25968A" w:rsidR="00B478A4" w:rsidRPr="00C0591E" w:rsidRDefault="00B478A4" w:rsidP="00B478A4">
      <w:pPr>
        <w:spacing w:after="0"/>
        <w:rPr>
          <w:rFonts w:cs="Times New Roman"/>
          <w:szCs w:val="24"/>
        </w:rPr>
      </w:pPr>
      <w:r w:rsidRPr="00C0591E">
        <w:rPr>
          <w:rFonts w:cs="Times New Roman"/>
          <w:szCs w:val="24"/>
        </w:rPr>
        <w:t>Where Y represent the dependent variable, X</w:t>
      </w:r>
      <w:r w:rsidRPr="00C0591E">
        <w:rPr>
          <w:rFonts w:cs="Times New Roman"/>
          <w:szCs w:val="24"/>
          <w:vertAlign w:val="subscript"/>
        </w:rPr>
        <w:t xml:space="preserve">1, </w:t>
      </w:r>
      <w:r w:rsidRPr="00C0591E">
        <w:rPr>
          <w:rFonts w:cs="Times New Roman"/>
          <w:szCs w:val="24"/>
        </w:rPr>
        <w:t>X</w:t>
      </w:r>
      <w:r w:rsidRPr="00C0591E">
        <w:rPr>
          <w:rFonts w:cs="Times New Roman"/>
          <w:szCs w:val="24"/>
          <w:vertAlign w:val="subscript"/>
        </w:rPr>
        <w:t>2</w:t>
      </w:r>
      <w:r w:rsidR="00262DDF" w:rsidRPr="00C0591E">
        <w:rPr>
          <w:rFonts w:cs="Times New Roman"/>
          <w:szCs w:val="24"/>
          <w:vertAlign w:val="subscript"/>
        </w:rPr>
        <w:t>…Xn</w:t>
      </w:r>
      <w:r w:rsidRPr="00C0591E">
        <w:rPr>
          <w:rFonts w:cs="Times New Roman"/>
          <w:szCs w:val="24"/>
        </w:rPr>
        <w:t xml:space="preserve"> represents independent variables </w:t>
      </w:r>
    </w:p>
    <w:p w14:paraId="07874200" w14:textId="6590F0D6" w:rsidR="000B6147" w:rsidRPr="00C0591E" w:rsidRDefault="000B6147" w:rsidP="00B478A4">
      <w:pPr>
        <w:spacing w:after="0"/>
        <w:rPr>
          <w:rFonts w:cs="Times New Roman"/>
          <w:szCs w:val="24"/>
        </w:rPr>
      </w:pPr>
    </w:p>
    <w:p w14:paraId="04742819" w14:textId="0DD81978" w:rsidR="000B6147" w:rsidRPr="00C0591E" w:rsidRDefault="000B6147" w:rsidP="00B478A4">
      <w:pPr>
        <w:spacing w:after="0"/>
        <w:rPr>
          <w:rFonts w:cs="Times New Roman"/>
          <w:szCs w:val="24"/>
        </w:rPr>
      </w:pPr>
    </w:p>
    <w:p w14:paraId="3655BFCD" w14:textId="28802E22" w:rsidR="000B6147" w:rsidRPr="00C0591E" w:rsidRDefault="000B6147" w:rsidP="00B478A4">
      <w:pPr>
        <w:spacing w:after="0"/>
        <w:rPr>
          <w:rFonts w:cs="Times New Roman"/>
          <w:szCs w:val="24"/>
        </w:rPr>
      </w:pPr>
    </w:p>
    <w:p w14:paraId="587683D9" w14:textId="77777777" w:rsidR="004675D6" w:rsidRPr="00C0591E" w:rsidRDefault="004675D6" w:rsidP="00B478A4">
      <w:pPr>
        <w:spacing w:after="0"/>
        <w:rPr>
          <w:rFonts w:cs="Times New Roman"/>
          <w:szCs w:val="24"/>
        </w:rPr>
      </w:pPr>
    </w:p>
    <w:p w14:paraId="462ECF5D" w14:textId="77777777" w:rsidR="000B6147" w:rsidRPr="00C0591E" w:rsidRDefault="000B6147" w:rsidP="00B478A4">
      <w:pPr>
        <w:spacing w:after="0"/>
        <w:rPr>
          <w:rFonts w:cs="Times New Roman"/>
          <w:szCs w:val="24"/>
        </w:rPr>
      </w:pPr>
    </w:p>
    <w:p w14:paraId="3CC67606" w14:textId="174334D8" w:rsidR="00267BE6" w:rsidRPr="00C0591E" w:rsidRDefault="006753B0" w:rsidP="006753B0">
      <w:pPr>
        <w:pStyle w:val="Heading4"/>
        <w:rPr>
          <w:i/>
          <w:szCs w:val="24"/>
          <w:lang w:val="en-GB"/>
        </w:rPr>
      </w:pPr>
      <w:bookmarkStart w:id="105" w:name="_Toc113125138"/>
      <w:r w:rsidRPr="00C0591E">
        <w:t xml:space="preserve">Table </w:t>
      </w:r>
      <w:r w:rsidR="0082612E" w:rsidRPr="00C0591E">
        <w:rPr>
          <w:i/>
        </w:rPr>
        <w:fldChar w:fldCharType="begin"/>
      </w:r>
      <w:r w:rsidR="0082612E" w:rsidRPr="00C0591E">
        <w:instrText xml:space="preserve"> SEQ Table \* ARABIC </w:instrText>
      </w:r>
      <w:r w:rsidR="0082612E" w:rsidRPr="00C0591E">
        <w:rPr>
          <w:i/>
        </w:rPr>
        <w:fldChar w:fldCharType="separate"/>
      </w:r>
      <w:r w:rsidR="003A104A">
        <w:rPr>
          <w:noProof/>
        </w:rPr>
        <w:t>2</w:t>
      </w:r>
      <w:r w:rsidR="0082612E" w:rsidRPr="00C0591E">
        <w:rPr>
          <w:i/>
        </w:rPr>
        <w:fldChar w:fldCharType="end"/>
      </w:r>
      <w:r w:rsidR="0082612E" w:rsidRPr="00C0591E">
        <w:t xml:space="preserve">: </w:t>
      </w:r>
      <w:r w:rsidR="00267BE6" w:rsidRPr="00C0591E">
        <w:t>Summary Analytical Model</w:t>
      </w:r>
      <w:bookmarkEnd w:id="105"/>
      <w:r w:rsidR="00267BE6" w:rsidRPr="00C0591E">
        <w:t xml:space="preserve"> </w:t>
      </w:r>
    </w:p>
    <w:tbl>
      <w:tblPr>
        <w:tblStyle w:val="ListTable6Colorful"/>
        <w:tblW w:w="5384" w:type="pct"/>
        <w:shd w:val="clear" w:color="auto" w:fill="FFFFFF" w:themeFill="background1"/>
        <w:tblLook w:val="04A0" w:firstRow="1" w:lastRow="0" w:firstColumn="1" w:lastColumn="0" w:noHBand="0" w:noVBand="1"/>
      </w:tblPr>
      <w:tblGrid>
        <w:gridCol w:w="1968"/>
        <w:gridCol w:w="1613"/>
        <w:gridCol w:w="2900"/>
        <w:gridCol w:w="3238"/>
      </w:tblGrid>
      <w:tr w:rsidR="00267BE6" w:rsidRPr="00C0591E" w14:paraId="770B94C9" w14:textId="77777777" w:rsidTr="004675D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012" w:type="pct"/>
            <w:shd w:val="clear" w:color="auto" w:fill="FFFFFF" w:themeFill="background1"/>
          </w:tcPr>
          <w:p w14:paraId="3EAB4C70" w14:textId="77777777" w:rsidR="00267BE6" w:rsidRPr="00C0591E" w:rsidRDefault="00267BE6" w:rsidP="00347D67">
            <w:pPr>
              <w:autoSpaceDE w:val="0"/>
              <w:autoSpaceDN w:val="0"/>
              <w:adjustRightInd w:val="0"/>
              <w:spacing w:before="0" w:after="0"/>
              <w:rPr>
                <w:rFonts w:cs="Times New Roman"/>
                <w:sz w:val="20"/>
                <w:szCs w:val="20"/>
              </w:rPr>
            </w:pPr>
            <w:r w:rsidRPr="00C0591E">
              <w:rPr>
                <w:rFonts w:cs="Times New Roman"/>
                <w:sz w:val="20"/>
                <w:szCs w:val="20"/>
              </w:rPr>
              <w:t>Objective</w:t>
            </w:r>
          </w:p>
        </w:tc>
        <w:tc>
          <w:tcPr>
            <w:tcW w:w="830" w:type="pct"/>
            <w:shd w:val="clear" w:color="auto" w:fill="FFFFFF" w:themeFill="background1"/>
          </w:tcPr>
          <w:p w14:paraId="4CA04D83" w14:textId="77777777" w:rsidR="00267BE6" w:rsidRPr="00C0591E" w:rsidRDefault="00267BE6" w:rsidP="00347D67">
            <w:pPr>
              <w:autoSpaceDE w:val="0"/>
              <w:autoSpaceDN w:val="0"/>
              <w:adjustRightInd w:val="0"/>
              <w:spacing w:before="0" w:after="0"/>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Hypotheses</w:t>
            </w:r>
          </w:p>
        </w:tc>
        <w:tc>
          <w:tcPr>
            <w:tcW w:w="1492" w:type="pct"/>
            <w:shd w:val="clear" w:color="auto" w:fill="FFFFFF" w:themeFill="background1"/>
          </w:tcPr>
          <w:p w14:paraId="3CCA78DA" w14:textId="77777777" w:rsidR="00267BE6" w:rsidRPr="00C0591E" w:rsidRDefault="00267BE6" w:rsidP="00347D67">
            <w:pPr>
              <w:autoSpaceDE w:val="0"/>
              <w:autoSpaceDN w:val="0"/>
              <w:adjustRightInd w:val="0"/>
              <w:spacing w:before="0" w:after="0"/>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Analytical Model</w:t>
            </w:r>
          </w:p>
        </w:tc>
        <w:tc>
          <w:tcPr>
            <w:tcW w:w="1667" w:type="pct"/>
            <w:shd w:val="clear" w:color="auto" w:fill="FFFFFF" w:themeFill="background1"/>
          </w:tcPr>
          <w:p w14:paraId="3E8B0A01" w14:textId="77777777" w:rsidR="00267BE6" w:rsidRPr="00C0591E" w:rsidRDefault="00267BE6" w:rsidP="00347D67">
            <w:pPr>
              <w:autoSpaceDE w:val="0"/>
              <w:autoSpaceDN w:val="0"/>
              <w:adjustRightInd w:val="0"/>
              <w:spacing w:before="0" w:after="0"/>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Interpretation</w:t>
            </w:r>
          </w:p>
        </w:tc>
      </w:tr>
      <w:tr w:rsidR="00267BE6" w:rsidRPr="00C0591E" w14:paraId="0C3C73F4" w14:textId="77777777" w:rsidTr="008D4057">
        <w:trPr>
          <w:cnfStyle w:val="000000100000" w:firstRow="0" w:lastRow="0" w:firstColumn="0" w:lastColumn="0" w:oddVBand="0" w:evenVBand="0" w:oddHBand="1" w:evenHBand="0" w:firstRowFirstColumn="0" w:firstRowLastColumn="0" w:lastRowFirstColumn="0" w:lastRowLastColumn="0"/>
          <w:trHeight w:val="699"/>
        </w:trPr>
        <w:tc>
          <w:tcPr>
            <w:cnfStyle w:val="001000000000" w:firstRow="0" w:lastRow="0" w:firstColumn="1" w:lastColumn="0" w:oddVBand="0" w:evenVBand="0" w:oddHBand="0" w:evenHBand="0" w:firstRowFirstColumn="0" w:firstRowLastColumn="0" w:lastRowFirstColumn="0" w:lastRowLastColumn="0"/>
            <w:tcW w:w="1012" w:type="pct"/>
            <w:shd w:val="clear" w:color="auto" w:fill="FFFFFF" w:themeFill="background1"/>
          </w:tcPr>
          <w:p w14:paraId="1257EDB7" w14:textId="2D027299" w:rsidR="00267BE6" w:rsidRPr="00C0591E" w:rsidRDefault="00267BE6" w:rsidP="00366F53">
            <w:pPr>
              <w:spacing w:before="0" w:after="0"/>
              <w:jc w:val="left"/>
              <w:rPr>
                <w:rFonts w:cs="Times New Roman"/>
                <w:b w:val="0"/>
                <w:sz w:val="20"/>
                <w:szCs w:val="20"/>
                <w:lang w:val="en-GB"/>
              </w:rPr>
            </w:pPr>
            <w:r w:rsidRPr="00C0591E">
              <w:rPr>
                <w:rFonts w:cs="Times New Roman"/>
                <w:b w:val="0"/>
                <w:sz w:val="20"/>
                <w:szCs w:val="20"/>
                <w:lang w:val="en-GB"/>
              </w:rPr>
              <w:t xml:space="preserve">To determine the </w:t>
            </w:r>
            <w:r w:rsidR="00537807" w:rsidRPr="00C0591E">
              <w:rPr>
                <w:rFonts w:cs="Times New Roman"/>
                <w:b w:val="0"/>
                <w:sz w:val="20"/>
                <w:szCs w:val="20"/>
                <w:lang w:val="en-GB"/>
              </w:rPr>
              <w:t>relationship between</w:t>
            </w:r>
            <w:r w:rsidRPr="00C0591E">
              <w:rPr>
                <w:rFonts w:cs="Times New Roman"/>
                <w:b w:val="0"/>
                <w:sz w:val="20"/>
                <w:szCs w:val="20"/>
                <w:lang w:val="en-GB"/>
              </w:rPr>
              <w:t xml:space="preserve"> </w:t>
            </w:r>
            <w:r w:rsidR="0053714D" w:rsidRPr="0053714D">
              <w:rPr>
                <w:rFonts w:cs="Times New Roman"/>
                <w:b w:val="0"/>
                <w:sz w:val="20"/>
                <w:szCs w:val="20"/>
                <w:lang w:val="en-GB"/>
              </w:rPr>
              <w:t xml:space="preserve">pillars of </w:t>
            </w:r>
            <w:r w:rsidRPr="00C0591E">
              <w:rPr>
                <w:rFonts w:cs="Times New Roman"/>
                <w:b w:val="0"/>
                <w:sz w:val="20"/>
                <w:szCs w:val="20"/>
                <w:lang w:val="en-GB"/>
              </w:rPr>
              <w:t xml:space="preserve">corporate governance </w:t>
            </w:r>
            <w:r w:rsidR="00537807" w:rsidRPr="00C0591E">
              <w:rPr>
                <w:rFonts w:cs="Times New Roman"/>
                <w:b w:val="0"/>
                <w:sz w:val="20"/>
                <w:szCs w:val="20"/>
                <w:lang w:val="en-GB"/>
              </w:rPr>
              <w:t>and</w:t>
            </w:r>
            <w:r w:rsidRPr="00C0591E">
              <w:rPr>
                <w:rFonts w:cs="Times New Roman"/>
                <w:b w:val="0"/>
                <w:sz w:val="20"/>
                <w:szCs w:val="20"/>
                <w:lang w:val="en-GB"/>
              </w:rPr>
              <w:t xml:space="preserve"> performance of pension fund managers in Kenya.</w:t>
            </w:r>
          </w:p>
          <w:p w14:paraId="52474159" w14:textId="77777777" w:rsidR="00267BE6" w:rsidRPr="00C0591E" w:rsidRDefault="00267BE6" w:rsidP="00366F53">
            <w:pPr>
              <w:spacing w:before="0" w:after="0"/>
              <w:jc w:val="left"/>
              <w:rPr>
                <w:rFonts w:cs="Times New Roman"/>
                <w:sz w:val="20"/>
                <w:szCs w:val="20"/>
                <w:lang w:val="en-GB"/>
              </w:rPr>
            </w:pPr>
          </w:p>
        </w:tc>
        <w:tc>
          <w:tcPr>
            <w:tcW w:w="830" w:type="pct"/>
            <w:shd w:val="clear" w:color="auto" w:fill="FFFFFF" w:themeFill="background1"/>
          </w:tcPr>
          <w:p w14:paraId="0B6679FF" w14:textId="4E7C5BB5" w:rsidR="00267BE6" w:rsidRPr="00C0591E" w:rsidRDefault="00267BE6" w:rsidP="00366F53">
            <w:pPr>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lang w:val="en-GB"/>
              </w:rPr>
            </w:pPr>
            <w:r w:rsidRPr="00C0591E">
              <w:rPr>
                <w:rFonts w:cs="Times New Roman"/>
                <w:b/>
                <w:sz w:val="20"/>
                <w:szCs w:val="20"/>
                <w:lang w:val="en-GB"/>
              </w:rPr>
              <w:t>H</w:t>
            </w:r>
            <w:r w:rsidRPr="00C0591E">
              <w:rPr>
                <w:rFonts w:cs="Times New Roman"/>
                <w:b/>
                <w:sz w:val="20"/>
                <w:szCs w:val="20"/>
                <w:vertAlign w:val="subscript"/>
                <w:lang w:val="en-GB"/>
              </w:rPr>
              <w:t>1</w:t>
            </w:r>
            <w:r w:rsidRPr="00C0591E">
              <w:rPr>
                <w:rFonts w:cs="Times New Roman"/>
                <w:b/>
                <w:sz w:val="20"/>
                <w:szCs w:val="20"/>
                <w:lang w:val="en-GB"/>
              </w:rPr>
              <w:t>:</w:t>
            </w:r>
            <w:r w:rsidRPr="00C0591E">
              <w:rPr>
                <w:rFonts w:cs="Times New Roman"/>
                <w:sz w:val="20"/>
                <w:szCs w:val="20"/>
                <w:lang w:val="en-GB"/>
              </w:rPr>
              <w:t xml:space="preserve"> There is no significant </w:t>
            </w:r>
            <w:r w:rsidR="00C81CD9" w:rsidRPr="00C0591E">
              <w:rPr>
                <w:rFonts w:cs="Times New Roman"/>
                <w:sz w:val="20"/>
                <w:szCs w:val="20"/>
                <w:lang w:val="en-GB"/>
              </w:rPr>
              <w:t>relationship</w:t>
            </w:r>
            <w:r w:rsidRPr="00C0591E">
              <w:rPr>
                <w:rFonts w:cs="Times New Roman"/>
                <w:sz w:val="20"/>
                <w:szCs w:val="20"/>
                <w:lang w:val="en-GB"/>
              </w:rPr>
              <w:t xml:space="preserve"> of </w:t>
            </w:r>
            <w:r w:rsidR="0053714D" w:rsidRPr="0053714D">
              <w:rPr>
                <w:rFonts w:cs="Times New Roman"/>
                <w:sz w:val="20"/>
                <w:szCs w:val="20"/>
                <w:lang w:val="en-GB"/>
              </w:rPr>
              <w:t xml:space="preserve">pillars of </w:t>
            </w:r>
            <w:r w:rsidRPr="00C0591E">
              <w:rPr>
                <w:rFonts w:cs="Times New Roman"/>
                <w:sz w:val="20"/>
                <w:szCs w:val="20"/>
                <w:lang w:val="en-GB"/>
              </w:rPr>
              <w:t xml:space="preserve">corporate governance </w:t>
            </w:r>
            <w:r w:rsidR="000A3242" w:rsidRPr="00C0591E">
              <w:rPr>
                <w:rFonts w:cs="Times New Roman"/>
                <w:sz w:val="20"/>
                <w:szCs w:val="20"/>
                <w:lang w:val="en-GB"/>
              </w:rPr>
              <w:t xml:space="preserve">and </w:t>
            </w:r>
            <w:r w:rsidRPr="00C0591E">
              <w:rPr>
                <w:rFonts w:cs="Times New Roman"/>
                <w:sz w:val="20"/>
                <w:szCs w:val="20"/>
                <w:lang w:val="en-GB"/>
              </w:rPr>
              <w:t xml:space="preserve">performance of </w:t>
            </w:r>
            <w:r w:rsidR="00A50A1A" w:rsidRPr="00C0591E">
              <w:rPr>
                <w:rFonts w:cs="Times New Roman"/>
                <w:sz w:val="20"/>
                <w:szCs w:val="20"/>
                <w:lang w:val="en-GB"/>
              </w:rPr>
              <w:t>pension fund managers in Kenya.</w:t>
            </w:r>
          </w:p>
        </w:tc>
        <w:tc>
          <w:tcPr>
            <w:tcW w:w="1492" w:type="pct"/>
            <w:shd w:val="clear" w:color="auto" w:fill="FFFFFF" w:themeFill="background1"/>
          </w:tcPr>
          <w:p w14:paraId="7562D718" w14:textId="2B21764D" w:rsidR="00267BE6" w:rsidRPr="00C0591E" w:rsidRDefault="00267BE6"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Regression Analysis</w:t>
            </w:r>
          </w:p>
          <w:p w14:paraId="6BE29B0B" w14:textId="77777777" w:rsidR="00ED106F" w:rsidRPr="00C0591E" w:rsidRDefault="00ED106F"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2"/>
              </w:rPr>
              <w:t>Y = α</w:t>
            </w:r>
            <w:r w:rsidRPr="00C0591E">
              <w:rPr>
                <w:rFonts w:cs="Times New Roman"/>
                <w:sz w:val="22"/>
                <w:vertAlign w:val="subscript"/>
              </w:rPr>
              <w:t>0</w:t>
            </w:r>
            <w:r w:rsidRPr="00C0591E">
              <w:rPr>
                <w:rFonts w:cs="Times New Roman"/>
                <w:sz w:val="22"/>
              </w:rPr>
              <w:t xml:space="preserve"> + β</w:t>
            </w:r>
            <w:r w:rsidRPr="00C0591E">
              <w:rPr>
                <w:rFonts w:cs="Times New Roman"/>
                <w:sz w:val="22"/>
                <w:vertAlign w:val="subscript"/>
              </w:rPr>
              <w:t>1</w:t>
            </w:r>
            <w:r w:rsidRPr="00C0591E">
              <w:rPr>
                <w:rFonts w:cs="Times New Roman"/>
                <w:sz w:val="22"/>
              </w:rPr>
              <w:t>X</w:t>
            </w:r>
            <w:r w:rsidRPr="00C0591E">
              <w:rPr>
                <w:rFonts w:cs="Times New Roman"/>
                <w:sz w:val="22"/>
                <w:vertAlign w:val="subscript"/>
              </w:rPr>
              <w:t>1</w:t>
            </w:r>
            <w:r w:rsidRPr="00C0591E">
              <w:rPr>
                <w:rFonts w:cs="Times New Roman"/>
                <w:sz w:val="22"/>
              </w:rPr>
              <w:t xml:space="preserve"> + e</w:t>
            </w:r>
          </w:p>
          <w:p w14:paraId="3F6E996B" w14:textId="77777777" w:rsidR="00267BE6" w:rsidRPr="00C0591E" w:rsidRDefault="00267BE6"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Where</w:t>
            </w:r>
          </w:p>
          <w:p w14:paraId="110065BB" w14:textId="77777777" w:rsidR="00267BE6" w:rsidRPr="00C0591E" w:rsidRDefault="00267BE6"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P= Performance</w:t>
            </w:r>
          </w:p>
          <w:p w14:paraId="574B71D3" w14:textId="0C880E28" w:rsidR="00267BE6" w:rsidRPr="00C0591E" w:rsidRDefault="00267BE6"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β= Regression Constant</w:t>
            </w:r>
          </w:p>
          <w:p w14:paraId="51AC00C4" w14:textId="4019FD5D" w:rsidR="00A50A1A" w:rsidRPr="00C0591E" w:rsidRDefault="00ED106F" w:rsidP="00A50A1A">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X</w:t>
            </w:r>
            <w:r w:rsidRPr="00C0591E">
              <w:rPr>
                <w:rFonts w:cs="Times New Roman"/>
                <w:sz w:val="20"/>
                <w:szCs w:val="20"/>
                <w:vertAlign w:val="subscript"/>
              </w:rPr>
              <w:t>1</w:t>
            </w:r>
            <w:r w:rsidRPr="00C0591E">
              <w:rPr>
                <w:rFonts w:cs="Times New Roman"/>
                <w:sz w:val="20"/>
                <w:szCs w:val="20"/>
              </w:rPr>
              <w:t xml:space="preserve"> </w:t>
            </w:r>
            <w:r w:rsidR="00267BE6" w:rsidRPr="00C0591E">
              <w:rPr>
                <w:rFonts w:cs="Times New Roman"/>
                <w:sz w:val="20"/>
                <w:szCs w:val="20"/>
              </w:rPr>
              <w:t>=</w:t>
            </w:r>
            <w:r w:rsidRPr="00C0591E">
              <w:rPr>
                <w:rFonts w:cs="Times New Roman"/>
                <w:sz w:val="20"/>
                <w:szCs w:val="20"/>
              </w:rPr>
              <w:t xml:space="preserve"> </w:t>
            </w:r>
            <w:r w:rsidR="0053714D" w:rsidRPr="0053714D">
              <w:rPr>
                <w:rFonts w:cs="Times New Roman"/>
                <w:sz w:val="20"/>
                <w:szCs w:val="20"/>
              </w:rPr>
              <w:t xml:space="preserve">pillars of </w:t>
            </w:r>
            <w:r w:rsidR="00A50A1A" w:rsidRPr="00C0591E">
              <w:rPr>
                <w:rFonts w:cs="Times New Roman"/>
                <w:sz w:val="20"/>
                <w:szCs w:val="20"/>
              </w:rPr>
              <w:t>Corporate Governance</w:t>
            </w:r>
          </w:p>
          <w:p w14:paraId="242C917E" w14:textId="052403A2" w:rsidR="00267BE6" w:rsidRPr="00C0591E" w:rsidRDefault="00267BE6" w:rsidP="00A50A1A">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Ɛ = Error Term</w:t>
            </w:r>
          </w:p>
        </w:tc>
        <w:tc>
          <w:tcPr>
            <w:tcW w:w="1667" w:type="pct"/>
            <w:shd w:val="clear" w:color="auto" w:fill="FFFFFF" w:themeFill="background1"/>
          </w:tcPr>
          <w:p w14:paraId="5CD65BB9" w14:textId="77777777" w:rsidR="00267BE6" w:rsidRPr="00C0591E" w:rsidRDefault="00267BE6"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R² - to determine by how much change in Performance is attributable to CG.</w:t>
            </w:r>
          </w:p>
          <w:p w14:paraId="2689B6F4" w14:textId="77777777" w:rsidR="00267BE6" w:rsidRPr="00C0591E" w:rsidRDefault="00267BE6"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β- The contribution of each variable to the model</w:t>
            </w:r>
          </w:p>
        </w:tc>
      </w:tr>
      <w:tr w:rsidR="00267BE6" w:rsidRPr="00C0591E" w14:paraId="2EE40574" w14:textId="77777777" w:rsidTr="008D4057">
        <w:trPr>
          <w:trHeight w:val="1556"/>
        </w:trPr>
        <w:tc>
          <w:tcPr>
            <w:cnfStyle w:val="001000000000" w:firstRow="0" w:lastRow="0" w:firstColumn="1" w:lastColumn="0" w:oddVBand="0" w:evenVBand="0" w:oddHBand="0" w:evenHBand="0" w:firstRowFirstColumn="0" w:firstRowLastColumn="0" w:lastRowFirstColumn="0" w:lastRowLastColumn="0"/>
            <w:tcW w:w="1012" w:type="pct"/>
            <w:shd w:val="clear" w:color="auto" w:fill="FFFFFF" w:themeFill="background1"/>
          </w:tcPr>
          <w:p w14:paraId="06390BCB" w14:textId="658621B8" w:rsidR="00267BE6" w:rsidRPr="00C0591E" w:rsidRDefault="00267BE6" w:rsidP="00366F53">
            <w:pPr>
              <w:spacing w:before="0" w:after="0"/>
              <w:jc w:val="left"/>
              <w:rPr>
                <w:rFonts w:cs="Times New Roman"/>
                <w:b w:val="0"/>
                <w:sz w:val="20"/>
                <w:szCs w:val="20"/>
                <w:lang w:val="en-GB"/>
              </w:rPr>
            </w:pPr>
            <w:r w:rsidRPr="00C0591E">
              <w:rPr>
                <w:rFonts w:cs="Times New Roman"/>
                <w:b w:val="0"/>
                <w:sz w:val="20"/>
                <w:szCs w:val="20"/>
                <w:lang w:val="en-GB"/>
              </w:rPr>
              <w:t xml:space="preserve">To find out the mediating effect of investment policies on the relationship between </w:t>
            </w:r>
            <w:r w:rsidR="0053714D" w:rsidRPr="0053714D">
              <w:rPr>
                <w:rFonts w:cs="Times New Roman"/>
                <w:b w:val="0"/>
                <w:sz w:val="20"/>
                <w:szCs w:val="20"/>
                <w:lang w:val="en-GB"/>
              </w:rPr>
              <w:t xml:space="preserve">pillars of </w:t>
            </w:r>
            <w:r w:rsidRPr="00C0591E">
              <w:rPr>
                <w:rFonts w:cs="Times New Roman"/>
                <w:b w:val="0"/>
                <w:sz w:val="20"/>
                <w:szCs w:val="20"/>
                <w:lang w:val="en-GB"/>
              </w:rPr>
              <w:t>corporate governance and performance of pension fund managers in Kenya.</w:t>
            </w:r>
          </w:p>
          <w:p w14:paraId="55862E68" w14:textId="77777777" w:rsidR="00267BE6" w:rsidRPr="00C0591E" w:rsidRDefault="00267BE6" w:rsidP="00366F53">
            <w:pPr>
              <w:spacing w:before="0" w:after="0"/>
              <w:jc w:val="left"/>
              <w:rPr>
                <w:rFonts w:cs="Times New Roman"/>
                <w:sz w:val="20"/>
                <w:szCs w:val="20"/>
                <w:lang w:val="en-GB"/>
              </w:rPr>
            </w:pPr>
          </w:p>
        </w:tc>
        <w:tc>
          <w:tcPr>
            <w:tcW w:w="830" w:type="pct"/>
            <w:shd w:val="clear" w:color="auto" w:fill="FFFFFF" w:themeFill="background1"/>
          </w:tcPr>
          <w:p w14:paraId="17AF2673" w14:textId="3229C4A7" w:rsidR="00267BE6" w:rsidRPr="00C0591E" w:rsidRDefault="00267BE6" w:rsidP="00366F53">
            <w:pPr>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r w:rsidRPr="00C0591E">
              <w:rPr>
                <w:rFonts w:cs="Times New Roman"/>
                <w:b/>
                <w:sz w:val="20"/>
                <w:szCs w:val="20"/>
                <w:lang w:val="en-GB"/>
              </w:rPr>
              <w:t>H</w:t>
            </w:r>
            <w:r w:rsidRPr="00C0591E">
              <w:rPr>
                <w:rFonts w:cs="Times New Roman"/>
                <w:b/>
                <w:sz w:val="20"/>
                <w:szCs w:val="20"/>
                <w:vertAlign w:val="subscript"/>
                <w:lang w:val="en-GB"/>
              </w:rPr>
              <w:t>2</w:t>
            </w:r>
            <w:r w:rsidRPr="00C0591E">
              <w:rPr>
                <w:rFonts w:cs="Times New Roman"/>
                <w:b/>
                <w:sz w:val="20"/>
                <w:szCs w:val="20"/>
                <w:lang w:val="en-GB"/>
              </w:rPr>
              <w:t>:</w:t>
            </w:r>
            <w:r w:rsidRPr="00C0591E">
              <w:rPr>
                <w:rFonts w:cs="Times New Roman"/>
                <w:sz w:val="20"/>
                <w:szCs w:val="20"/>
                <w:lang w:val="en-GB"/>
              </w:rPr>
              <w:t xml:space="preserve"> There is no significant mediating effect of investment policies on the relationship between </w:t>
            </w:r>
            <w:r w:rsidR="0053714D" w:rsidRPr="0053714D">
              <w:rPr>
                <w:rFonts w:cs="Times New Roman"/>
                <w:sz w:val="20"/>
                <w:szCs w:val="20"/>
                <w:lang w:val="en-GB"/>
              </w:rPr>
              <w:t xml:space="preserve">pillars of </w:t>
            </w:r>
            <w:r w:rsidRPr="00C0591E">
              <w:rPr>
                <w:rFonts w:cs="Times New Roman"/>
                <w:sz w:val="20"/>
                <w:szCs w:val="20"/>
                <w:lang w:val="en-GB"/>
              </w:rPr>
              <w:t>corporate governance and performance of pension fund managers in Kenya.</w:t>
            </w:r>
          </w:p>
          <w:p w14:paraId="3562B503" w14:textId="77777777" w:rsidR="00267BE6" w:rsidRPr="00C0591E" w:rsidRDefault="00267BE6" w:rsidP="00366F53">
            <w:pPr>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p>
        </w:tc>
        <w:tc>
          <w:tcPr>
            <w:tcW w:w="1492" w:type="pct"/>
            <w:shd w:val="clear" w:color="auto" w:fill="FFFFFF" w:themeFill="background1"/>
          </w:tcPr>
          <w:p w14:paraId="26C70683" w14:textId="77777777"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Stepwise Regression</w:t>
            </w:r>
          </w:p>
          <w:p w14:paraId="3C51A1F0" w14:textId="34F0CD8F"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Step 1: P= β+ βCG+ Ɛ</w:t>
            </w:r>
          </w:p>
          <w:p w14:paraId="22BE3F91" w14:textId="7BB09743"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Step 2: IP= β+ βCG+ Ɛ</w:t>
            </w:r>
          </w:p>
          <w:p w14:paraId="77996D2C" w14:textId="73223311"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Step 3: P= β+ βIP+ Ɛ</w:t>
            </w:r>
          </w:p>
          <w:p w14:paraId="53FE2679" w14:textId="7E5A496A"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Step 4: P= β+ βCG+ βIP+ Ɛ</w:t>
            </w:r>
          </w:p>
          <w:p w14:paraId="5816C29A" w14:textId="77777777"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Where:</w:t>
            </w:r>
          </w:p>
          <w:p w14:paraId="7C347531" w14:textId="77777777"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P= Performance</w:t>
            </w:r>
          </w:p>
          <w:p w14:paraId="0380E48C" w14:textId="15C51093" w:rsidR="00267BE6" w:rsidRPr="00C0591E" w:rsidRDefault="00366619"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β</w:t>
            </w:r>
            <w:r w:rsidR="00267BE6" w:rsidRPr="00C0591E">
              <w:rPr>
                <w:rFonts w:cs="Times New Roman"/>
                <w:sz w:val="20"/>
                <w:szCs w:val="20"/>
              </w:rPr>
              <w:t>=Regressions Constants</w:t>
            </w:r>
          </w:p>
          <w:p w14:paraId="02CC7933" w14:textId="6AB1557A"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IP= Investment Policies</w:t>
            </w:r>
          </w:p>
          <w:p w14:paraId="4E8931AA" w14:textId="4EF602D8" w:rsidR="000B6147" w:rsidRPr="00C0591E" w:rsidRDefault="000B6147" w:rsidP="000B6147">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 xml:space="preserve">CG= </w:t>
            </w:r>
            <w:r w:rsidR="0053714D" w:rsidRPr="0053714D">
              <w:rPr>
                <w:rFonts w:cs="Times New Roman"/>
                <w:sz w:val="20"/>
                <w:szCs w:val="20"/>
              </w:rPr>
              <w:t xml:space="preserve">pillars of </w:t>
            </w:r>
            <w:r w:rsidRPr="00C0591E">
              <w:rPr>
                <w:rFonts w:cs="Times New Roman"/>
                <w:sz w:val="20"/>
                <w:szCs w:val="20"/>
              </w:rPr>
              <w:t>Corporate governance</w:t>
            </w:r>
          </w:p>
          <w:p w14:paraId="79523EB0" w14:textId="77777777"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Ɛ = Error Term</w:t>
            </w:r>
          </w:p>
          <w:p w14:paraId="633BE9BD" w14:textId="77777777"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vertAlign w:val="subscript"/>
              </w:rPr>
            </w:pPr>
            <w:r w:rsidRPr="00C0591E">
              <w:rPr>
                <w:rFonts w:cs="Times New Roman"/>
                <w:sz w:val="20"/>
                <w:szCs w:val="20"/>
              </w:rPr>
              <w:t>β</w:t>
            </w:r>
            <w:r w:rsidRPr="00C0591E">
              <w:rPr>
                <w:rFonts w:cs="Times New Roman"/>
                <w:sz w:val="20"/>
                <w:szCs w:val="20"/>
                <w:vertAlign w:val="subscript"/>
              </w:rPr>
              <w:t xml:space="preserve">31,41,51,61,62 </w:t>
            </w:r>
            <w:r w:rsidRPr="00C0591E">
              <w:rPr>
                <w:rFonts w:cs="Times New Roman"/>
                <w:sz w:val="20"/>
                <w:szCs w:val="20"/>
              </w:rPr>
              <w:t>are coefficient’s</w:t>
            </w:r>
          </w:p>
        </w:tc>
        <w:tc>
          <w:tcPr>
            <w:tcW w:w="1667" w:type="pct"/>
            <w:shd w:val="clear" w:color="auto" w:fill="FFFFFF" w:themeFill="background1"/>
          </w:tcPr>
          <w:p w14:paraId="0C82D58C" w14:textId="77777777"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R2 - Determines how much change in performance is attributable to CG and IP</w:t>
            </w:r>
          </w:p>
          <w:p w14:paraId="12472631" w14:textId="77777777"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F - tests overall statistical significance of the model</w:t>
            </w:r>
          </w:p>
          <w:p w14:paraId="27003E0D" w14:textId="77777777"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 xml:space="preserve">P Value (determines the significance of the model) </w:t>
            </w:r>
          </w:p>
          <w:p w14:paraId="57EF1EDA" w14:textId="0ED348CD"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To assess intervening effect, step 1 to 3 needs to be significant i.e. p&lt;.05; and step 4 when controlling for mediating (Investment Policies), the influence of independent variable (</w:t>
            </w:r>
            <w:r w:rsidR="0053714D" w:rsidRPr="0053714D">
              <w:rPr>
                <w:rFonts w:cs="Times New Roman"/>
                <w:sz w:val="20"/>
                <w:szCs w:val="20"/>
              </w:rPr>
              <w:t xml:space="preserve">pillars of </w:t>
            </w:r>
            <w:r w:rsidR="0053714D">
              <w:rPr>
                <w:rFonts w:cs="Times New Roman"/>
                <w:sz w:val="20"/>
                <w:szCs w:val="20"/>
              </w:rPr>
              <w:t>c</w:t>
            </w:r>
            <w:r w:rsidRPr="00C0591E">
              <w:rPr>
                <w:rFonts w:cs="Times New Roman"/>
                <w:sz w:val="20"/>
                <w:szCs w:val="20"/>
              </w:rPr>
              <w:t>orporate governance) needs to be insignificant.</w:t>
            </w:r>
          </w:p>
          <w:p w14:paraId="4F59461F" w14:textId="6F1F09DE" w:rsidR="00437DDD" w:rsidRPr="00C0591E" w:rsidRDefault="004675D6" w:rsidP="004675D6">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If CG</w:t>
            </w:r>
            <w:r w:rsidR="00437DDD" w:rsidRPr="00C0591E">
              <w:rPr>
                <w:rFonts w:cs="Times New Roman"/>
                <w:sz w:val="20"/>
                <w:szCs w:val="20"/>
              </w:rPr>
              <w:t xml:space="preserve"> is not significant when </w:t>
            </w:r>
            <w:r w:rsidRPr="00C0591E">
              <w:rPr>
                <w:rFonts w:cs="Times New Roman"/>
                <w:sz w:val="20"/>
                <w:szCs w:val="20"/>
              </w:rPr>
              <w:t>IP</w:t>
            </w:r>
            <w:r w:rsidR="00437DDD" w:rsidRPr="00C0591E">
              <w:rPr>
                <w:rFonts w:cs="Times New Roman"/>
                <w:sz w:val="20"/>
                <w:szCs w:val="20"/>
              </w:rPr>
              <w:t xml:space="preserve"> is controlled, there is full mediation, and if both CG and IP significantly predict P, there is partial mediation.</w:t>
            </w:r>
          </w:p>
        </w:tc>
      </w:tr>
      <w:tr w:rsidR="00267BE6" w:rsidRPr="00C0591E" w14:paraId="6377FFEC" w14:textId="77777777" w:rsidTr="008D4057">
        <w:trPr>
          <w:cnfStyle w:val="000000100000" w:firstRow="0" w:lastRow="0" w:firstColumn="0" w:lastColumn="0" w:oddVBand="0" w:evenVBand="0" w:oddHBand="1" w:evenHBand="0" w:firstRowFirstColumn="0" w:firstRowLastColumn="0" w:lastRowFirstColumn="0" w:lastRowLastColumn="0"/>
          <w:trHeight w:val="1520"/>
        </w:trPr>
        <w:tc>
          <w:tcPr>
            <w:cnfStyle w:val="001000000000" w:firstRow="0" w:lastRow="0" w:firstColumn="1" w:lastColumn="0" w:oddVBand="0" w:evenVBand="0" w:oddHBand="0" w:evenHBand="0" w:firstRowFirstColumn="0" w:firstRowLastColumn="0" w:lastRowFirstColumn="0" w:lastRowLastColumn="0"/>
            <w:tcW w:w="1012" w:type="pct"/>
            <w:shd w:val="clear" w:color="auto" w:fill="FFFFFF" w:themeFill="background1"/>
          </w:tcPr>
          <w:p w14:paraId="7CB20615" w14:textId="40626489" w:rsidR="00267BE6" w:rsidRPr="00C0591E" w:rsidRDefault="00267BE6" w:rsidP="00366F53">
            <w:pPr>
              <w:autoSpaceDE w:val="0"/>
              <w:autoSpaceDN w:val="0"/>
              <w:adjustRightInd w:val="0"/>
              <w:spacing w:before="0" w:after="0"/>
              <w:jc w:val="left"/>
              <w:rPr>
                <w:rFonts w:cs="Times New Roman"/>
                <w:b w:val="0"/>
                <w:sz w:val="20"/>
                <w:szCs w:val="20"/>
                <w:lang w:val="en-GB"/>
              </w:rPr>
            </w:pPr>
            <w:r w:rsidRPr="00C0591E">
              <w:rPr>
                <w:rFonts w:cs="Times New Roman"/>
                <w:b w:val="0"/>
                <w:sz w:val="20"/>
                <w:szCs w:val="20"/>
                <w:lang w:val="en-GB"/>
              </w:rPr>
              <w:t>To establish the moderating effect of government regulations on the relationship between</w:t>
            </w:r>
            <w:r w:rsidR="0053714D">
              <w:t xml:space="preserve"> </w:t>
            </w:r>
            <w:r w:rsidR="0053714D" w:rsidRPr="0053714D">
              <w:rPr>
                <w:rFonts w:cs="Times New Roman"/>
                <w:b w:val="0"/>
                <w:sz w:val="20"/>
                <w:szCs w:val="20"/>
                <w:lang w:val="en-GB"/>
              </w:rPr>
              <w:t>pillars of</w:t>
            </w:r>
            <w:r w:rsidRPr="00C0591E">
              <w:rPr>
                <w:rFonts w:cs="Times New Roman"/>
                <w:b w:val="0"/>
                <w:sz w:val="20"/>
                <w:szCs w:val="20"/>
                <w:lang w:val="en-GB"/>
              </w:rPr>
              <w:t xml:space="preserve"> corporate governance and performance of pension fund managers in Kenya.</w:t>
            </w:r>
          </w:p>
          <w:p w14:paraId="54A056C1" w14:textId="77777777" w:rsidR="00267BE6" w:rsidRPr="00C0591E" w:rsidRDefault="00267BE6" w:rsidP="00366F53">
            <w:pPr>
              <w:spacing w:before="0" w:after="0"/>
              <w:jc w:val="left"/>
              <w:rPr>
                <w:rFonts w:cs="Times New Roman"/>
                <w:b w:val="0"/>
                <w:sz w:val="20"/>
                <w:szCs w:val="20"/>
                <w:lang w:val="en-GB"/>
              </w:rPr>
            </w:pPr>
          </w:p>
        </w:tc>
        <w:tc>
          <w:tcPr>
            <w:tcW w:w="830" w:type="pct"/>
            <w:shd w:val="clear" w:color="auto" w:fill="FFFFFF" w:themeFill="background1"/>
          </w:tcPr>
          <w:p w14:paraId="262CFF29" w14:textId="590B5509" w:rsidR="00267BE6" w:rsidRPr="00C0591E" w:rsidRDefault="00267BE6"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lang w:val="en-GB"/>
              </w:rPr>
            </w:pPr>
            <w:r w:rsidRPr="00C0591E">
              <w:rPr>
                <w:rFonts w:cs="Times New Roman"/>
                <w:b/>
                <w:sz w:val="20"/>
                <w:szCs w:val="20"/>
                <w:lang w:val="en-GB"/>
              </w:rPr>
              <w:t>H</w:t>
            </w:r>
            <w:r w:rsidRPr="00C0591E">
              <w:rPr>
                <w:rFonts w:cs="Times New Roman"/>
                <w:b/>
                <w:sz w:val="20"/>
                <w:szCs w:val="20"/>
                <w:vertAlign w:val="subscript"/>
                <w:lang w:val="en-GB"/>
              </w:rPr>
              <w:t>3</w:t>
            </w:r>
            <w:r w:rsidRPr="00C0591E">
              <w:rPr>
                <w:rFonts w:cs="Times New Roman"/>
                <w:b/>
                <w:sz w:val="20"/>
                <w:szCs w:val="20"/>
                <w:lang w:val="en-GB"/>
              </w:rPr>
              <w:t>:</w:t>
            </w:r>
            <w:r w:rsidRPr="00C0591E">
              <w:rPr>
                <w:rFonts w:eastAsia="Times New Roman" w:cs="Times New Roman"/>
                <w:szCs w:val="24"/>
              </w:rPr>
              <w:t xml:space="preserve"> </w:t>
            </w:r>
            <w:r w:rsidRPr="00C0591E">
              <w:rPr>
                <w:rFonts w:cs="Times New Roman"/>
                <w:sz w:val="20"/>
                <w:szCs w:val="20"/>
                <w:lang w:val="en-GB"/>
              </w:rPr>
              <w:t xml:space="preserve">There is no significant moderating effect of government regulations on the relationship between </w:t>
            </w:r>
            <w:r w:rsidR="0053714D" w:rsidRPr="0053714D">
              <w:rPr>
                <w:rFonts w:cs="Times New Roman"/>
                <w:sz w:val="20"/>
                <w:szCs w:val="20"/>
                <w:lang w:val="en-GB"/>
              </w:rPr>
              <w:t xml:space="preserve">pillars of </w:t>
            </w:r>
            <w:r w:rsidRPr="00C0591E">
              <w:rPr>
                <w:rFonts w:cs="Times New Roman"/>
                <w:sz w:val="20"/>
                <w:szCs w:val="20"/>
                <w:lang w:val="en-GB"/>
              </w:rPr>
              <w:t>corporate governance and performance of pension fund managers in Kenya.</w:t>
            </w:r>
          </w:p>
        </w:tc>
        <w:tc>
          <w:tcPr>
            <w:tcW w:w="1492" w:type="pct"/>
            <w:shd w:val="clear" w:color="auto" w:fill="FFFFFF" w:themeFill="background1"/>
          </w:tcPr>
          <w:p w14:paraId="27458197" w14:textId="722944C7" w:rsidR="00267BE6" w:rsidRPr="00C0591E" w:rsidRDefault="00C80687"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Hierarchical regression</w:t>
            </w:r>
          </w:p>
          <w:p w14:paraId="4DE404D3" w14:textId="7B99D258" w:rsidR="003A2618" w:rsidRPr="00C0591E" w:rsidRDefault="006604AB" w:rsidP="00366F53">
            <w:pPr>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rPr>
              <w:t xml:space="preserve">(i) </w:t>
            </w:r>
            <w:r w:rsidR="00267BE6" w:rsidRPr="00C0591E">
              <w:rPr>
                <w:rFonts w:cs="Times New Roman"/>
              </w:rPr>
              <w:t>P=</w:t>
            </w:r>
            <w:r w:rsidR="003A2618" w:rsidRPr="00C0591E">
              <w:rPr>
                <w:rFonts w:cs="Times New Roman"/>
              </w:rPr>
              <w:t xml:space="preserve"> </w:t>
            </w:r>
            <w:r w:rsidR="003A2618" w:rsidRPr="00C0591E">
              <w:rPr>
                <w:rFonts w:cs="Times New Roman"/>
                <w:sz w:val="22"/>
              </w:rPr>
              <w:t>α</w:t>
            </w:r>
            <w:r w:rsidR="003A2618" w:rsidRPr="00C0591E">
              <w:rPr>
                <w:rFonts w:cs="Times New Roman"/>
                <w:sz w:val="22"/>
                <w:vertAlign w:val="subscript"/>
              </w:rPr>
              <w:t xml:space="preserve">0 </w:t>
            </w:r>
            <w:r w:rsidR="003A2618" w:rsidRPr="00C0591E">
              <w:rPr>
                <w:rFonts w:cs="Times New Roman"/>
                <w:sz w:val="20"/>
                <w:szCs w:val="20"/>
              </w:rPr>
              <w:t xml:space="preserve">+ βCG </w:t>
            </w:r>
            <w:r w:rsidR="007F243E" w:rsidRPr="00C0591E">
              <w:rPr>
                <w:rFonts w:cs="Times New Roman"/>
                <w:sz w:val="20"/>
                <w:szCs w:val="20"/>
              </w:rPr>
              <w:t>+Ɛ</w:t>
            </w:r>
          </w:p>
          <w:p w14:paraId="2B64441B" w14:textId="069FEAF2" w:rsidR="007F243E" w:rsidRPr="00C0591E" w:rsidRDefault="006604AB" w:rsidP="00366F53">
            <w:pPr>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rPr>
              <w:t xml:space="preserve">(ii) </w:t>
            </w:r>
            <w:r w:rsidR="007F243E" w:rsidRPr="00C0591E">
              <w:rPr>
                <w:rFonts w:cs="Times New Roman"/>
              </w:rPr>
              <w:t xml:space="preserve">P= </w:t>
            </w:r>
            <w:r w:rsidR="007F243E" w:rsidRPr="00C0591E">
              <w:rPr>
                <w:rFonts w:cs="Times New Roman"/>
                <w:sz w:val="22"/>
              </w:rPr>
              <w:t>α</w:t>
            </w:r>
            <w:r w:rsidR="007F243E" w:rsidRPr="00C0591E">
              <w:rPr>
                <w:rFonts w:cs="Times New Roman"/>
                <w:sz w:val="22"/>
                <w:vertAlign w:val="subscript"/>
              </w:rPr>
              <w:t xml:space="preserve">0 </w:t>
            </w:r>
            <w:r w:rsidR="007F243E" w:rsidRPr="00C0591E">
              <w:rPr>
                <w:rFonts w:cs="Times New Roman"/>
                <w:sz w:val="20"/>
                <w:szCs w:val="20"/>
              </w:rPr>
              <w:t>+ βCG +</w:t>
            </w:r>
            <w:r w:rsidR="00DC383D" w:rsidRPr="00C0591E">
              <w:rPr>
                <w:rFonts w:cs="Times New Roman"/>
                <w:sz w:val="20"/>
                <w:szCs w:val="20"/>
              </w:rPr>
              <w:t>βGR+Ɛ</w:t>
            </w:r>
          </w:p>
          <w:p w14:paraId="529691DC" w14:textId="28B7FB54" w:rsidR="00DC383D" w:rsidRPr="00C0591E" w:rsidRDefault="006604AB" w:rsidP="00366F53">
            <w:pPr>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rPr>
              <w:t xml:space="preserve">(iii) </w:t>
            </w:r>
            <w:r w:rsidR="00DC383D" w:rsidRPr="00C0591E">
              <w:rPr>
                <w:rFonts w:cs="Times New Roman"/>
              </w:rPr>
              <w:t xml:space="preserve">P= </w:t>
            </w:r>
            <w:r w:rsidR="00DC383D" w:rsidRPr="00C0591E">
              <w:rPr>
                <w:rFonts w:cs="Times New Roman"/>
                <w:sz w:val="22"/>
              </w:rPr>
              <w:t>α</w:t>
            </w:r>
            <w:r w:rsidR="00DC383D" w:rsidRPr="00C0591E">
              <w:rPr>
                <w:rFonts w:cs="Times New Roman"/>
                <w:sz w:val="22"/>
                <w:vertAlign w:val="subscript"/>
              </w:rPr>
              <w:t xml:space="preserve">0 </w:t>
            </w:r>
            <w:r w:rsidR="00DC383D" w:rsidRPr="00C0591E">
              <w:rPr>
                <w:rFonts w:cs="Times New Roman"/>
                <w:sz w:val="20"/>
                <w:szCs w:val="20"/>
              </w:rPr>
              <w:t>+ βCG +βGR+</w:t>
            </w:r>
            <w:r w:rsidR="00220574" w:rsidRPr="00C0591E">
              <w:rPr>
                <w:rFonts w:cs="Times New Roman"/>
                <w:sz w:val="20"/>
                <w:szCs w:val="20"/>
              </w:rPr>
              <w:t xml:space="preserve"> CG*GR+Ɛ</w:t>
            </w:r>
          </w:p>
          <w:p w14:paraId="1F2CE264" w14:textId="77777777" w:rsidR="00267BE6" w:rsidRPr="00C0591E" w:rsidRDefault="00267BE6"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Where:</w:t>
            </w:r>
          </w:p>
          <w:p w14:paraId="17F5DD4A" w14:textId="77777777" w:rsidR="00267BE6" w:rsidRPr="00C0591E" w:rsidRDefault="00267BE6"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P= Performance</w:t>
            </w:r>
          </w:p>
          <w:p w14:paraId="4E3713E2" w14:textId="56F1775B" w:rsidR="00267BE6" w:rsidRPr="00C0591E" w:rsidRDefault="00993960"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β</w:t>
            </w:r>
            <w:r w:rsidR="00267BE6" w:rsidRPr="00C0591E">
              <w:rPr>
                <w:rFonts w:cs="Times New Roman"/>
                <w:sz w:val="20"/>
                <w:szCs w:val="20"/>
                <w:vertAlign w:val="subscript"/>
              </w:rPr>
              <w:t>0</w:t>
            </w:r>
            <w:r w:rsidR="00267BE6" w:rsidRPr="00C0591E">
              <w:rPr>
                <w:rFonts w:cs="Times New Roman"/>
                <w:sz w:val="20"/>
                <w:szCs w:val="20"/>
              </w:rPr>
              <w:t>=Regression Constant</w:t>
            </w:r>
          </w:p>
          <w:p w14:paraId="3202A131" w14:textId="77777777" w:rsidR="00267BE6" w:rsidRPr="00C0591E" w:rsidRDefault="00267BE6"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GR = Government Regulations</w:t>
            </w:r>
          </w:p>
          <w:p w14:paraId="29EE9158" w14:textId="19201639" w:rsidR="00267BE6" w:rsidRPr="00C0591E" w:rsidRDefault="00267BE6"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CG=</w:t>
            </w:r>
            <w:r w:rsidR="0053714D">
              <w:t xml:space="preserve"> </w:t>
            </w:r>
            <w:r w:rsidR="0053714D" w:rsidRPr="0053714D">
              <w:rPr>
                <w:rFonts w:cs="Times New Roman"/>
                <w:sz w:val="20"/>
                <w:szCs w:val="20"/>
              </w:rPr>
              <w:t xml:space="preserve">pillars of </w:t>
            </w:r>
            <w:r w:rsidR="0053714D" w:rsidRPr="00C0591E">
              <w:rPr>
                <w:rFonts w:cs="Times New Roman"/>
                <w:sz w:val="20"/>
                <w:szCs w:val="20"/>
              </w:rPr>
              <w:t>corporate governance</w:t>
            </w:r>
          </w:p>
          <w:p w14:paraId="404AADD1" w14:textId="77777777" w:rsidR="00267BE6" w:rsidRPr="00C0591E" w:rsidRDefault="00267BE6"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Ɛ = Error Term</w:t>
            </w:r>
          </w:p>
          <w:p w14:paraId="0BFB0465" w14:textId="2DFBC0EE" w:rsidR="00267BE6" w:rsidRPr="00C0591E" w:rsidRDefault="00993960"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β</w:t>
            </w:r>
            <w:r w:rsidR="00267BE6" w:rsidRPr="00C0591E">
              <w:rPr>
                <w:rFonts w:cs="Times New Roman"/>
                <w:sz w:val="20"/>
                <w:szCs w:val="20"/>
              </w:rPr>
              <w:t>CG*GR=Interaction effect of GR on CG &amp; FP</w:t>
            </w:r>
          </w:p>
        </w:tc>
        <w:tc>
          <w:tcPr>
            <w:tcW w:w="1667" w:type="pct"/>
            <w:shd w:val="clear" w:color="auto" w:fill="FFFFFF" w:themeFill="background1"/>
          </w:tcPr>
          <w:p w14:paraId="37E44586" w14:textId="77777777" w:rsidR="00267BE6" w:rsidRPr="00C0591E" w:rsidRDefault="00267BE6"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R²- Determines how much change in performance is attributable to CG and GR</w:t>
            </w:r>
            <w:r w:rsidR="00517B88" w:rsidRPr="00C0591E">
              <w:rPr>
                <w:rFonts w:cs="Times New Roman"/>
                <w:sz w:val="20"/>
                <w:szCs w:val="20"/>
              </w:rPr>
              <w:t xml:space="preserve"> </w:t>
            </w:r>
          </w:p>
          <w:p w14:paraId="4B4BED50" w14:textId="77777777" w:rsidR="00267BE6" w:rsidRPr="00C0591E" w:rsidRDefault="00267BE6"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F-tests overall significance of the model</w:t>
            </w:r>
          </w:p>
          <w:p w14:paraId="3ADBE26A" w14:textId="77777777" w:rsidR="00267BE6" w:rsidRPr="00C0591E" w:rsidRDefault="00267BE6"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0591E">
              <w:rPr>
                <w:rFonts w:cs="Times New Roman"/>
                <w:sz w:val="20"/>
                <w:szCs w:val="20"/>
              </w:rPr>
              <w:t>β - The contribution of each variable to the model</w:t>
            </w:r>
          </w:p>
          <w:p w14:paraId="2089D9DF" w14:textId="77777777" w:rsidR="00267BE6" w:rsidRPr="00C0591E" w:rsidRDefault="00267BE6" w:rsidP="00366F53">
            <w:pPr>
              <w:autoSpaceDE w:val="0"/>
              <w:autoSpaceDN w:val="0"/>
              <w:adjustRightInd w:val="0"/>
              <w:spacing w:before="0" w:after="0"/>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p>
        </w:tc>
      </w:tr>
      <w:tr w:rsidR="00267BE6" w:rsidRPr="00C0591E" w14:paraId="21023FC5" w14:textId="77777777" w:rsidTr="008D4057">
        <w:trPr>
          <w:trHeight w:val="771"/>
        </w:trPr>
        <w:tc>
          <w:tcPr>
            <w:cnfStyle w:val="001000000000" w:firstRow="0" w:lastRow="0" w:firstColumn="1" w:lastColumn="0" w:oddVBand="0" w:evenVBand="0" w:oddHBand="0" w:evenHBand="0" w:firstRowFirstColumn="0" w:firstRowLastColumn="0" w:lastRowFirstColumn="0" w:lastRowLastColumn="0"/>
            <w:tcW w:w="1012" w:type="pct"/>
            <w:shd w:val="clear" w:color="auto" w:fill="FFFFFF" w:themeFill="background1"/>
          </w:tcPr>
          <w:p w14:paraId="0DA1FE9E" w14:textId="4EB28654" w:rsidR="00267BE6" w:rsidRPr="00C0591E" w:rsidRDefault="000524F5" w:rsidP="00366F53">
            <w:pPr>
              <w:spacing w:before="0" w:after="0"/>
              <w:jc w:val="left"/>
              <w:rPr>
                <w:rFonts w:cs="Times New Roman"/>
                <w:b w:val="0"/>
                <w:sz w:val="20"/>
                <w:szCs w:val="20"/>
                <w:lang w:val="en-GB"/>
              </w:rPr>
            </w:pPr>
            <w:r w:rsidRPr="00C0591E">
              <w:rPr>
                <w:rFonts w:cs="Times New Roman"/>
                <w:b w:val="0"/>
                <w:sz w:val="20"/>
                <w:szCs w:val="20"/>
                <w:lang w:val="en-GB"/>
              </w:rPr>
              <w:t>To determine the moderation - mediator effect on the relationship between</w:t>
            </w:r>
            <w:r w:rsidR="0053714D">
              <w:t xml:space="preserve"> </w:t>
            </w:r>
            <w:r w:rsidR="0053714D" w:rsidRPr="0053714D">
              <w:rPr>
                <w:rFonts w:cs="Times New Roman"/>
                <w:b w:val="0"/>
                <w:sz w:val="20"/>
                <w:szCs w:val="20"/>
                <w:lang w:val="en-GB"/>
              </w:rPr>
              <w:t>pillars of</w:t>
            </w:r>
            <w:r w:rsidRPr="00C0591E">
              <w:rPr>
                <w:rFonts w:cs="Times New Roman"/>
                <w:b w:val="0"/>
                <w:sz w:val="20"/>
                <w:szCs w:val="20"/>
                <w:lang w:val="en-GB"/>
              </w:rPr>
              <w:t xml:space="preserve"> corporate governance and performance of pension fund managers in Kenya</w:t>
            </w:r>
            <w:r w:rsidR="00267BE6" w:rsidRPr="00C0591E">
              <w:rPr>
                <w:rFonts w:cs="Times New Roman"/>
                <w:b w:val="0"/>
                <w:sz w:val="20"/>
                <w:szCs w:val="20"/>
                <w:lang w:val="en-GB"/>
              </w:rPr>
              <w:t>.</w:t>
            </w:r>
          </w:p>
          <w:p w14:paraId="1AB1ACDF" w14:textId="77777777" w:rsidR="00267BE6" w:rsidRPr="00C0591E" w:rsidRDefault="00267BE6" w:rsidP="006F2377">
            <w:pPr>
              <w:rPr>
                <w:lang w:val="en-GB"/>
              </w:rPr>
            </w:pPr>
          </w:p>
        </w:tc>
        <w:tc>
          <w:tcPr>
            <w:tcW w:w="830" w:type="pct"/>
            <w:shd w:val="clear" w:color="auto" w:fill="FFFFFF" w:themeFill="background1"/>
          </w:tcPr>
          <w:p w14:paraId="2D41A6B4" w14:textId="0391DB6F" w:rsidR="00267BE6" w:rsidRPr="00C0591E" w:rsidRDefault="00267BE6" w:rsidP="00366F53">
            <w:pPr>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r w:rsidRPr="00C0591E">
              <w:rPr>
                <w:rFonts w:cs="Times New Roman"/>
                <w:b/>
                <w:sz w:val="20"/>
                <w:szCs w:val="20"/>
                <w:lang w:val="en-GB"/>
              </w:rPr>
              <w:t>H</w:t>
            </w:r>
            <w:r w:rsidRPr="00C0591E">
              <w:rPr>
                <w:rFonts w:cs="Times New Roman"/>
                <w:b/>
                <w:sz w:val="20"/>
                <w:szCs w:val="20"/>
                <w:vertAlign w:val="subscript"/>
                <w:lang w:val="en-GB"/>
              </w:rPr>
              <w:t>4</w:t>
            </w:r>
            <w:r w:rsidRPr="00C0591E">
              <w:rPr>
                <w:rFonts w:cs="Times New Roman"/>
                <w:b/>
                <w:sz w:val="20"/>
                <w:szCs w:val="20"/>
                <w:lang w:val="en-GB"/>
              </w:rPr>
              <w:t>:</w:t>
            </w:r>
            <w:r w:rsidRPr="00C0591E">
              <w:rPr>
                <w:rFonts w:cs="Times New Roman"/>
                <w:sz w:val="20"/>
                <w:szCs w:val="20"/>
                <w:lang w:val="en-GB"/>
              </w:rPr>
              <w:t xml:space="preserve"> </w:t>
            </w:r>
            <w:r w:rsidR="000524F5" w:rsidRPr="00C0591E">
              <w:rPr>
                <w:rFonts w:cs="Times New Roman"/>
                <w:sz w:val="20"/>
                <w:szCs w:val="20"/>
                <w:lang w:val="en-GB"/>
              </w:rPr>
              <w:t xml:space="preserve">There is no significant moderation – mediator effect on the relationship between </w:t>
            </w:r>
            <w:r w:rsidR="0053714D" w:rsidRPr="0053714D">
              <w:rPr>
                <w:rFonts w:cs="Times New Roman"/>
                <w:sz w:val="20"/>
                <w:szCs w:val="20"/>
                <w:lang w:val="en-GB"/>
              </w:rPr>
              <w:t xml:space="preserve">pillars of </w:t>
            </w:r>
            <w:r w:rsidR="000524F5" w:rsidRPr="00C0591E">
              <w:rPr>
                <w:rFonts w:cs="Times New Roman"/>
                <w:sz w:val="20"/>
                <w:szCs w:val="20"/>
                <w:lang w:val="en-GB"/>
              </w:rPr>
              <w:t>corporate governance and performance of pension fund managers in Kenya</w:t>
            </w:r>
            <w:r w:rsidRPr="00C0591E">
              <w:rPr>
                <w:rFonts w:cs="Times New Roman"/>
                <w:sz w:val="20"/>
                <w:szCs w:val="20"/>
                <w:lang w:val="en-GB"/>
              </w:rPr>
              <w:t>.</w:t>
            </w:r>
          </w:p>
          <w:p w14:paraId="4AA50A00" w14:textId="77777777" w:rsidR="00267BE6" w:rsidRPr="00C0591E" w:rsidRDefault="00267BE6" w:rsidP="00366F53">
            <w:pPr>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p>
        </w:tc>
        <w:tc>
          <w:tcPr>
            <w:tcW w:w="1492" w:type="pct"/>
            <w:shd w:val="clear" w:color="auto" w:fill="FFFFFF" w:themeFill="background1"/>
          </w:tcPr>
          <w:p w14:paraId="2F597119" w14:textId="43275355" w:rsidR="00247076" w:rsidRPr="00C0591E" w:rsidRDefault="00247076" w:rsidP="00247076">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Stepwise regression analysis:</w:t>
            </w:r>
          </w:p>
          <w:p w14:paraId="145A9FA0" w14:textId="50CEF9FE" w:rsidR="00247076" w:rsidRPr="00C0591E" w:rsidRDefault="00247076" w:rsidP="00247076">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P = α + β</w:t>
            </w:r>
            <w:r w:rsidRPr="00C0591E">
              <w:rPr>
                <w:rFonts w:cs="Times New Roman"/>
                <w:sz w:val="20"/>
                <w:szCs w:val="20"/>
                <w:vertAlign w:val="subscript"/>
              </w:rPr>
              <w:t>1</w:t>
            </w:r>
            <w:r w:rsidRPr="00C0591E">
              <w:rPr>
                <w:rFonts w:cs="Times New Roman"/>
                <w:sz w:val="20"/>
                <w:szCs w:val="20"/>
              </w:rPr>
              <w:t>CG + ε</w:t>
            </w:r>
          </w:p>
          <w:p w14:paraId="73AA6D00" w14:textId="77777777" w:rsidR="00247076" w:rsidRPr="00C0591E" w:rsidRDefault="00247076" w:rsidP="00247076">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 xml:space="preserve">P = α+ </w:t>
            </w:r>
            <w:r w:rsidRPr="00C0591E">
              <w:rPr>
                <w:rFonts w:cs="Times New Roman"/>
                <w:i/>
                <w:iCs/>
                <w:sz w:val="20"/>
                <w:szCs w:val="20"/>
              </w:rPr>
              <w:t>β</w:t>
            </w:r>
            <w:r w:rsidRPr="00C0591E">
              <w:rPr>
                <w:rFonts w:cs="Times New Roman"/>
                <w:sz w:val="20"/>
                <w:szCs w:val="20"/>
                <w:vertAlign w:val="subscript"/>
              </w:rPr>
              <w:t>1</w:t>
            </w:r>
            <w:r w:rsidRPr="00C0591E">
              <w:rPr>
                <w:rFonts w:cs="Times New Roman"/>
                <w:sz w:val="20"/>
                <w:szCs w:val="20"/>
              </w:rPr>
              <w:t xml:space="preserve">CG+ </w:t>
            </w:r>
            <w:r w:rsidRPr="00C0591E">
              <w:rPr>
                <w:rFonts w:cs="Times New Roman"/>
                <w:i/>
                <w:iCs/>
                <w:sz w:val="20"/>
                <w:szCs w:val="20"/>
              </w:rPr>
              <w:t>β</w:t>
            </w:r>
            <w:r w:rsidRPr="00C0591E">
              <w:rPr>
                <w:rFonts w:cs="Times New Roman"/>
                <w:sz w:val="20"/>
                <w:szCs w:val="20"/>
                <w:vertAlign w:val="subscript"/>
              </w:rPr>
              <w:t>2</w:t>
            </w:r>
            <w:r w:rsidRPr="00C0591E">
              <w:rPr>
                <w:rFonts w:cs="Times New Roman"/>
                <w:sz w:val="20"/>
                <w:szCs w:val="20"/>
              </w:rPr>
              <w:t xml:space="preserve">GR+ </w:t>
            </w:r>
            <w:r w:rsidRPr="00C0591E">
              <w:rPr>
                <w:rFonts w:cs="Times New Roman"/>
                <w:i/>
                <w:iCs/>
                <w:sz w:val="20"/>
                <w:szCs w:val="20"/>
              </w:rPr>
              <w:t>β</w:t>
            </w:r>
            <w:r w:rsidRPr="00C0591E">
              <w:rPr>
                <w:rFonts w:cs="Times New Roman"/>
                <w:sz w:val="20"/>
                <w:szCs w:val="20"/>
                <w:vertAlign w:val="subscript"/>
              </w:rPr>
              <w:t>3</w:t>
            </w:r>
            <w:r w:rsidRPr="00C0591E">
              <w:rPr>
                <w:rFonts w:cs="Times New Roman"/>
                <w:sz w:val="20"/>
                <w:szCs w:val="20"/>
              </w:rPr>
              <w:t xml:space="preserve">IP + </w:t>
            </w:r>
            <w:r w:rsidRPr="00C0591E">
              <w:rPr>
                <w:rFonts w:cs="Times New Roman"/>
                <w:i/>
                <w:iCs/>
                <w:sz w:val="20"/>
                <w:szCs w:val="20"/>
              </w:rPr>
              <w:t>β</w:t>
            </w:r>
            <w:r w:rsidRPr="00C0591E">
              <w:rPr>
                <w:rFonts w:cs="Times New Roman"/>
                <w:sz w:val="20"/>
                <w:szCs w:val="20"/>
                <w:vertAlign w:val="subscript"/>
              </w:rPr>
              <w:t xml:space="preserve">3 </w:t>
            </w:r>
            <w:r w:rsidRPr="00C0591E">
              <w:rPr>
                <w:rFonts w:cs="Times New Roman"/>
                <w:sz w:val="20"/>
                <w:szCs w:val="20"/>
              </w:rPr>
              <w:t>GR*IP + ε</w:t>
            </w:r>
            <w:r w:rsidRPr="00C0591E" w:rsidDel="00185A71">
              <w:rPr>
                <w:rFonts w:cs="Times New Roman"/>
                <w:sz w:val="20"/>
                <w:szCs w:val="20"/>
              </w:rPr>
              <w:t xml:space="preserve"> </w:t>
            </w:r>
          </w:p>
          <w:p w14:paraId="7694DAE4" w14:textId="77777777"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Where</w:t>
            </w:r>
          </w:p>
          <w:p w14:paraId="479E607A" w14:textId="77777777"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P=Organizational Performance</w:t>
            </w:r>
          </w:p>
          <w:p w14:paraId="21E807B5" w14:textId="7462DEE1" w:rsidR="00267BE6" w:rsidRPr="00C0591E" w:rsidRDefault="00D709F7"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 xml:space="preserve">β </w:t>
            </w:r>
            <w:r w:rsidR="00267BE6" w:rsidRPr="00C0591E">
              <w:rPr>
                <w:rFonts w:cs="Times New Roman"/>
                <w:sz w:val="20"/>
                <w:szCs w:val="20"/>
              </w:rPr>
              <w:t>=Regression Constant</w:t>
            </w:r>
          </w:p>
          <w:p w14:paraId="5D7C66FF" w14:textId="404D88DB"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CG=</w:t>
            </w:r>
            <w:r w:rsidR="0053714D">
              <w:t xml:space="preserve"> </w:t>
            </w:r>
            <w:r w:rsidR="0053714D">
              <w:rPr>
                <w:rFonts w:cs="Times New Roman"/>
                <w:sz w:val="20"/>
                <w:szCs w:val="20"/>
              </w:rPr>
              <w:t>P</w:t>
            </w:r>
            <w:r w:rsidR="0053714D" w:rsidRPr="0053714D">
              <w:rPr>
                <w:rFonts w:cs="Times New Roman"/>
                <w:sz w:val="20"/>
                <w:szCs w:val="20"/>
              </w:rPr>
              <w:t xml:space="preserve">illars of </w:t>
            </w:r>
            <w:r w:rsidRPr="00C0591E">
              <w:rPr>
                <w:rFonts w:cs="Times New Roman"/>
                <w:sz w:val="20"/>
                <w:szCs w:val="20"/>
              </w:rPr>
              <w:t>Corporate Governance</w:t>
            </w:r>
          </w:p>
          <w:p w14:paraId="08881FFA" w14:textId="77777777"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IP= Investment Policies</w:t>
            </w:r>
          </w:p>
          <w:p w14:paraId="693F7D67" w14:textId="7F59C7D1"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GR = Government Regulations</w:t>
            </w:r>
          </w:p>
          <w:p w14:paraId="006DABA0" w14:textId="1C17D228" w:rsidR="00247076" w:rsidRPr="00C0591E" w:rsidRDefault="00247076" w:rsidP="00247076">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 xml:space="preserve">GR*IP= interaction for </w:t>
            </w:r>
          </w:p>
          <w:p w14:paraId="6E52E1C7" w14:textId="77777777" w:rsidR="00247076" w:rsidRPr="00C0591E" w:rsidRDefault="00247076" w:rsidP="00247076">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Government Regulations and Investment Policies</w:t>
            </w:r>
          </w:p>
          <w:p w14:paraId="43BAD27A" w14:textId="77777777" w:rsidR="00267BE6" w:rsidRPr="00C0591E" w:rsidRDefault="00267BE6" w:rsidP="00366F53">
            <w:pPr>
              <w:autoSpaceDE w:val="0"/>
              <w:autoSpaceDN w:val="0"/>
              <w:adjustRightInd w:val="0"/>
              <w:spacing w:before="0" w:after="0"/>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cs="Times New Roman"/>
                <w:sz w:val="20"/>
                <w:szCs w:val="20"/>
              </w:rPr>
              <w:t>Ɛ = Error Term</w:t>
            </w:r>
          </w:p>
        </w:tc>
        <w:tc>
          <w:tcPr>
            <w:tcW w:w="1667" w:type="pct"/>
            <w:shd w:val="clear" w:color="auto" w:fill="FFFFFF" w:themeFill="background1"/>
          </w:tcPr>
          <w:p w14:paraId="62E1A1AF" w14:textId="77777777" w:rsidR="00247076" w:rsidRPr="00C0591E" w:rsidRDefault="00247076" w:rsidP="00E31E45">
            <w:pPr>
              <w:spacing w:before="0" w:after="0" w:line="276" w:lineRule="auto"/>
              <w:jc w:val="left"/>
              <w:cnfStyle w:val="000000000000" w:firstRow="0" w:lastRow="0" w:firstColumn="0" w:lastColumn="0" w:oddVBand="0" w:evenVBand="0" w:oddHBand="0" w:evenHBand="0" w:firstRowFirstColumn="0" w:firstRowLastColumn="0" w:lastRowFirstColumn="0" w:lastRowLastColumn="0"/>
              <w:rPr>
                <w:rFonts w:eastAsia="Calibri" w:cs="Times New Roman"/>
                <w:sz w:val="20"/>
                <w:vertAlign w:val="subscript"/>
                <w:lang w:val="en-GB"/>
              </w:rPr>
            </w:pPr>
            <w:r w:rsidRPr="00C0591E">
              <w:rPr>
                <w:rFonts w:eastAsia="Calibri" w:cs="Times New Roman"/>
                <w:sz w:val="20"/>
                <w:lang w:val="en-GB"/>
              </w:rPr>
              <w:t>R</w:t>
            </w:r>
            <w:r w:rsidRPr="00C0591E">
              <w:rPr>
                <w:rFonts w:eastAsia="Calibri" w:cs="Times New Roman"/>
                <w:sz w:val="20"/>
                <w:vertAlign w:val="superscript"/>
                <w:lang w:val="en-GB"/>
              </w:rPr>
              <w:t>2</w:t>
            </w:r>
            <w:r w:rsidRPr="00C0591E">
              <w:rPr>
                <w:rFonts w:eastAsia="Calibri" w:cs="Times New Roman"/>
                <w:sz w:val="20"/>
                <w:lang w:val="en-GB"/>
              </w:rPr>
              <w:t xml:space="preserve"> Coefficient of 1 indicated a perfect predictability of the model</w:t>
            </w:r>
          </w:p>
          <w:p w14:paraId="0504ABFE" w14:textId="77777777" w:rsidR="00247076" w:rsidRPr="00C0591E" w:rsidRDefault="00247076" w:rsidP="00E31E45">
            <w:pPr>
              <w:spacing w:before="0" w:after="0" w:line="276" w:lineRule="auto"/>
              <w:jc w:val="left"/>
              <w:cnfStyle w:val="000000000000" w:firstRow="0" w:lastRow="0" w:firstColumn="0" w:lastColumn="0" w:oddVBand="0" w:evenVBand="0" w:oddHBand="0" w:evenHBand="0" w:firstRowFirstColumn="0" w:firstRowLastColumn="0" w:lastRowFirstColumn="0" w:lastRowLastColumn="0"/>
              <w:rPr>
                <w:rFonts w:eastAsia="Calibri" w:cs="Times New Roman"/>
                <w:sz w:val="20"/>
                <w:lang w:val="en-GB"/>
              </w:rPr>
            </w:pPr>
            <w:r w:rsidRPr="00C0591E">
              <w:rPr>
                <w:rFonts w:eastAsia="Calibri" w:cs="Times New Roman"/>
                <w:sz w:val="20"/>
                <w:lang w:val="en-GB"/>
              </w:rPr>
              <w:t xml:space="preserve">p-Value </w:t>
            </w:r>
            <w:r w:rsidRPr="00C0591E">
              <w:rPr>
                <w:rFonts w:eastAsia="Times New Roman" w:cs="Times New Roman"/>
                <w:sz w:val="22"/>
                <w:szCs w:val="24"/>
              </w:rPr>
              <w:t xml:space="preserve">≤ </w:t>
            </w:r>
            <w:r w:rsidRPr="00C0591E">
              <w:rPr>
                <w:rFonts w:eastAsia="Calibri" w:cs="Times New Roman"/>
                <w:sz w:val="20"/>
                <w:lang w:val="en-GB"/>
              </w:rPr>
              <w:t>0.05 shows a significant correlation between the variables</w:t>
            </w:r>
          </w:p>
          <w:p w14:paraId="1F46D497" w14:textId="77777777" w:rsidR="00247076" w:rsidRPr="00C0591E" w:rsidRDefault="00247076" w:rsidP="00E31E45">
            <w:pPr>
              <w:spacing w:before="0" w:after="0" w:line="276" w:lineRule="auto"/>
              <w:jc w:val="left"/>
              <w:cnfStyle w:val="000000000000" w:firstRow="0" w:lastRow="0" w:firstColumn="0" w:lastColumn="0" w:oddVBand="0" w:evenVBand="0" w:oddHBand="0" w:evenHBand="0" w:firstRowFirstColumn="0" w:firstRowLastColumn="0" w:lastRowFirstColumn="0" w:lastRowLastColumn="0"/>
              <w:rPr>
                <w:rFonts w:eastAsia="Calibri" w:cs="Times New Roman"/>
                <w:sz w:val="20"/>
                <w:lang w:val="en-GB"/>
              </w:rPr>
            </w:pPr>
            <w:r w:rsidRPr="00C0591E">
              <w:rPr>
                <w:rFonts w:eastAsia="Calibri" w:cs="Times New Roman"/>
                <w:sz w:val="20"/>
                <w:lang w:val="en-GB"/>
              </w:rPr>
              <w:t xml:space="preserve">ANOVA-F-test with a p value </w:t>
            </w:r>
            <w:r w:rsidRPr="00C0591E">
              <w:rPr>
                <w:rFonts w:eastAsia="Calibri" w:cs="Times New Roman"/>
                <w:sz w:val="20"/>
              </w:rPr>
              <w:t>≤</w:t>
            </w:r>
            <w:r w:rsidRPr="00C0591E">
              <w:rPr>
                <w:rFonts w:eastAsia="Calibri" w:cs="Times New Roman"/>
                <w:sz w:val="20"/>
                <w:lang w:val="en-GB"/>
              </w:rPr>
              <w:t>0.05 showed that the model has predictive ability</w:t>
            </w:r>
          </w:p>
          <w:p w14:paraId="44E5051F" w14:textId="7B5669DC" w:rsidR="00267BE6" w:rsidRPr="00C0591E" w:rsidRDefault="00247076" w:rsidP="00E31E45">
            <w:pPr>
              <w:autoSpaceDE w:val="0"/>
              <w:autoSpaceDN w:val="0"/>
              <w:adjustRightInd w:val="0"/>
              <w:spacing w:before="0" w:after="0" w:line="276"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0591E">
              <w:rPr>
                <w:rFonts w:eastAsia="Calibri" w:cs="Times New Roman"/>
                <w:color w:val="auto"/>
                <w:sz w:val="20"/>
                <w:lang w:val="en-GB"/>
              </w:rPr>
              <w:t>Reject H</w:t>
            </w:r>
            <w:r w:rsidRPr="00C0591E">
              <w:rPr>
                <w:rFonts w:eastAsia="Calibri" w:cs="Times New Roman"/>
                <w:color w:val="auto"/>
                <w:sz w:val="20"/>
                <w:vertAlign w:val="subscript"/>
                <w:lang w:val="en-GB"/>
              </w:rPr>
              <w:t>0</w:t>
            </w:r>
            <w:r w:rsidRPr="00C0591E">
              <w:rPr>
                <w:rFonts w:eastAsia="Calibri" w:cs="Times New Roman"/>
                <w:color w:val="auto"/>
                <w:sz w:val="20"/>
                <w:lang w:val="en-GB"/>
              </w:rPr>
              <w:t xml:space="preserve"> if p≥0.05</w:t>
            </w:r>
          </w:p>
        </w:tc>
      </w:tr>
    </w:tbl>
    <w:p w14:paraId="185483DC" w14:textId="77777777" w:rsidR="006F2377" w:rsidRPr="00C0591E" w:rsidRDefault="006F2377" w:rsidP="006F2377"/>
    <w:p w14:paraId="58BCB3DF" w14:textId="77777777" w:rsidR="006F2377" w:rsidRPr="00C0591E" w:rsidRDefault="006F2377" w:rsidP="006F2377"/>
    <w:p w14:paraId="6E55234F" w14:textId="0C4664F8" w:rsidR="00267BE6" w:rsidRPr="00C0591E" w:rsidRDefault="00267BE6" w:rsidP="006F2377">
      <w:pPr>
        <w:pStyle w:val="Heading2"/>
      </w:pPr>
      <w:bookmarkStart w:id="106" w:name="_Toc113125101"/>
      <w:r w:rsidRPr="00C0591E">
        <w:t>3.</w:t>
      </w:r>
      <w:r w:rsidR="00806231" w:rsidRPr="00C0591E">
        <w:t>9</w:t>
      </w:r>
      <w:r w:rsidRPr="00C0591E">
        <w:t xml:space="preserve"> Ethical Considerations</w:t>
      </w:r>
      <w:bookmarkEnd w:id="106"/>
    </w:p>
    <w:p w14:paraId="3078C311" w14:textId="77777777" w:rsidR="00806231" w:rsidRPr="00C0591E" w:rsidRDefault="00806231" w:rsidP="00806231">
      <w:pPr>
        <w:spacing w:before="0"/>
      </w:pPr>
      <w:r w:rsidRPr="00C0591E">
        <w:t>The researcher ensured adherence to ethical standards thus providing assurance about the integrity of the study. Proper referencing was made where the researcher cited and used previous authors’ ideas and concepts to safeguard the issue of plagiarism. In addition, the researcher followed ethical guidelines which involves adherence to informed consent, confidentiality, voluntary engagement of participants and anonymity factors among other ethical issues as explained in this section.</w:t>
      </w:r>
    </w:p>
    <w:p w14:paraId="23E02377" w14:textId="77777777" w:rsidR="00806231" w:rsidRPr="00C0591E" w:rsidRDefault="00806231" w:rsidP="00806231">
      <w:pPr>
        <w:rPr>
          <w:b/>
        </w:rPr>
      </w:pPr>
      <w:r w:rsidRPr="00C0591E">
        <w:rPr>
          <w:b/>
        </w:rPr>
        <w:t>3.11.1. Informed consent of participants</w:t>
      </w:r>
    </w:p>
    <w:p w14:paraId="68BD6039" w14:textId="77777777" w:rsidR="00806231" w:rsidRPr="00C0591E" w:rsidRDefault="00806231" w:rsidP="00806231">
      <w:pPr>
        <w:spacing w:before="0"/>
      </w:pPr>
      <w:r w:rsidRPr="00C0591E">
        <w:t>A letter of authority for the researcher was obtained from the Management University of Africa stating the topic of research and purpose of the same. Secondly, the researcher obtained the requisite permission to conduct research in Kenya from the National Council for Science, Technology and Innovation (NACOSTI). All approvals for the study were availed to the participants. Participants were also made aware about the purpose of the study and their role in the research exercise. The foregoing information enabled participants give consent while having all information necessary. The research team were taken through this procedure before the beginning of the exercise to enhance compliance.</w:t>
      </w:r>
    </w:p>
    <w:p w14:paraId="44215C4C" w14:textId="77777777" w:rsidR="00806231" w:rsidRPr="00C0591E" w:rsidRDefault="00806231" w:rsidP="00806231">
      <w:pPr>
        <w:rPr>
          <w:b/>
        </w:rPr>
      </w:pPr>
      <w:r w:rsidRPr="00C0591E">
        <w:rPr>
          <w:b/>
        </w:rPr>
        <w:t xml:space="preserve">3.11.2. Voluntary engagement of participants </w:t>
      </w:r>
    </w:p>
    <w:p w14:paraId="4EDEB789" w14:textId="77777777" w:rsidR="00806231" w:rsidRPr="00C0591E" w:rsidRDefault="00806231" w:rsidP="00806231">
      <w:pPr>
        <w:spacing w:before="0"/>
      </w:pPr>
      <w:r w:rsidRPr="00C0591E">
        <w:t>The researcher ensured that participants were informed from the onset that their involvement in the research was voluntary and without any persuasion or coercion. The participants were free to withdraw from the exercise. Free participation generates goodwill from the participants and thus helps enhance level of participation and objectivity.</w:t>
      </w:r>
    </w:p>
    <w:p w14:paraId="5133DA23" w14:textId="77777777" w:rsidR="00806231" w:rsidRPr="00C0591E" w:rsidRDefault="00806231" w:rsidP="00806231">
      <w:pPr>
        <w:rPr>
          <w:b/>
        </w:rPr>
      </w:pPr>
      <w:r w:rsidRPr="00C0591E">
        <w:rPr>
          <w:b/>
        </w:rPr>
        <w:t>3.11.3. Confidentiality of participants</w:t>
      </w:r>
    </w:p>
    <w:p w14:paraId="4D44429C" w14:textId="77777777" w:rsidR="00806231" w:rsidRPr="00C0591E" w:rsidRDefault="00806231" w:rsidP="00806231">
      <w:pPr>
        <w:spacing w:before="0"/>
      </w:pPr>
      <w:r w:rsidRPr="00C0591E">
        <w:t xml:space="preserve">Another important issue that was observed during the study was the aspect of confidentiality. In the letter of introduction attached to the questionnaire, it was clearly stated that the information the participants were to provide will remain confidential and will only be used for purposes of research. They were also informed that as a matter of professional ethics, the researcher is personally responsible on the issue of confidentiality. This helped build trust and provide assurance to the participants on confidentiality. </w:t>
      </w:r>
    </w:p>
    <w:p w14:paraId="4EBC48F7" w14:textId="77777777" w:rsidR="00806231" w:rsidRPr="00C0591E" w:rsidRDefault="00806231" w:rsidP="00806231">
      <w:pPr>
        <w:rPr>
          <w:b/>
        </w:rPr>
      </w:pPr>
      <w:r w:rsidRPr="00C0591E">
        <w:rPr>
          <w:b/>
        </w:rPr>
        <w:t>3.11.4. Anonymity of participants</w:t>
      </w:r>
    </w:p>
    <w:p w14:paraId="284813F5" w14:textId="77777777" w:rsidR="00806231" w:rsidRPr="00C0591E" w:rsidRDefault="00806231" w:rsidP="00806231">
      <w:pPr>
        <w:spacing w:before="0"/>
      </w:pPr>
      <w:r w:rsidRPr="00C0591E">
        <w:t>The study entailed administering of questionnaires and thus cannot be considered entirely anonymous. However, to mitigate on any potential risk related to anonymity, the research instruments were developed to ensure that the participants names, telephone numbers and email addresses were not documented. In addition, data collection instruments were coded and only accessible to the researcher. This made it difficult for anyone to identify participants involved in the study thus giving some level of assurance on anonymity to participants who were involved in the research activity.</w:t>
      </w:r>
    </w:p>
    <w:p w14:paraId="5CBDA35A" w14:textId="2623A10E" w:rsidR="00267BE6" w:rsidRPr="00C0591E" w:rsidRDefault="00267BE6" w:rsidP="00DC09D3">
      <w:pPr>
        <w:pStyle w:val="Heading2"/>
        <w:spacing w:before="0"/>
      </w:pPr>
      <w:bookmarkStart w:id="107" w:name="_Toc113125102"/>
      <w:r w:rsidRPr="00C0591E">
        <w:t>3.</w:t>
      </w:r>
      <w:r w:rsidR="00806231" w:rsidRPr="00C0591E">
        <w:t>10</w:t>
      </w:r>
      <w:r w:rsidRPr="00C0591E">
        <w:t xml:space="preserve"> Summary</w:t>
      </w:r>
      <w:bookmarkEnd w:id="104"/>
      <w:bookmarkEnd w:id="107"/>
      <w:r w:rsidRPr="00C0591E">
        <w:t xml:space="preserve"> </w:t>
      </w:r>
    </w:p>
    <w:p w14:paraId="7230A55C" w14:textId="34A857E6" w:rsidR="00267BE6" w:rsidRPr="00C0591E" w:rsidRDefault="00E47492" w:rsidP="00347D67">
      <w:pPr>
        <w:rPr>
          <w:rFonts w:cs="Times New Roman"/>
          <w:szCs w:val="24"/>
        </w:rPr>
      </w:pPr>
      <w:r w:rsidRPr="00C0591E">
        <w:t>This chapter explained</w:t>
      </w:r>
      <w:r w:rsidR="00267BE6" w:rsidRPr="00C0591E">
        <w:t xml:space="preserve"> the research design, target population, instruments, pilot study, data collection and procedure used in the study. The operationalization of the research variables has also been evaluated. In this chapter, reliability and validity of the research instrument </w:t>
      </w:r>
      <w:r w:rsidRPr="00C0591E">
        <w:t>was</w:t>
      </w:r>
      <w:r w:rsidR="00267BE6" w:rsidRPr="00C0591E">
        <w:t xml:space="preserve"> justified. Subsequently, the data analysis of the study has been assessed. </w:t>
      </w:r>
      <w:r w:rsidR="00267BE6" w:rsidRPr="00C0591E">
        <w:rPr>
          <w:rFonts w:cs="Times New Roman"/>
          <w:szCs w:val="24"/>
        </w:rPr>
        <w:t>The chapter also discussed types of data available and data presentation in detail.</w:t>
      </w:r>
    </w:p>
    <w:p w14:paraId="10A7CA80" w14:textId="0EF053F2" w:rsidR="002C1A56" w:rsidRPr="00C0591E" w:rsidRDefault="002C1A56" w:rsidP="00347D67">
      <w:pPr>
        <w:rPr>
          <w:rFonts w:cs="Times New Roman"/>
          <w:szCs w:val="24"/>
        </w:rPr>
      </w:pPr>
    </w:p>
    <w:p w14:paraId="0075D223" w14:textId="77777777" w:rsidR="002C1A56" w:rsidRPr="00C0591E" w:rsidRDefault="002C1A56" w:rsidP="002C1A56">
      <w:pPr>
        <w:pStyle w:val="Heading1"/>
      </w:pPr>
      <w:bookmarkStart w:id="108" w:name="_Toc514851883"/>
      <w:bookmarkStart w:id="109" w:name="_Toc518508228"/>
      <w:bookmarkStart w:id="110" w:name="_Toc1571135"/>
      <w:bookmarkStart w:id="111" w:name="_Toc3214667"/>
      <w:bookmarkStart w:id="112" w:name="_Toc16800918"/>
      <w:bookmarkStart w:id="113" w:name="_Toc46240559"/>
      <w:bookmarkStart w:id="114" w:name="_Toc113125103"/>
      <w:r w:rsidRPr="00C0591E">
        <w:t>CHAPTER FOUR</w:t>
      </w:r>
      <w:bookmarkStart w:id="115" w:name="_Toc514851884"/>
      <w:bookmarkStart w:id="116" w:name="_Toc518508229"/>
      <w:bookmarkStart w:id="117" w:name="_Toc1571136"/>
      <w:bookmarkStart w:id="118" w:name="_Toc3214668"/>
      <w:bookmarkStart w:id="119" w:name="_Toc16800919"/>
      <w:bookmarkEnd w:id="108"/>
      <w:bookmarkEnd w:id="109"/>
      <w:bookmarkEnd w:id="110"/>
      <w:bookmarkEnd w:id="111"/>
      <w:bookmarkEnd w:id="112"/>
      <w:bookmarkEnd w:id="113"/>
      <w:bookmarkEnd w:id="114"/>
    </w:p>
    <w:p w14:paraId="430B3E4A" w14:textId="03ABFB15" w:rsidR="002C1A56" w:rsidRPr="00C0591E" w:rsidRDefault="002C1A56" w:rsidP="004675D6">
      <w:pPr>
        <w:pStyle w:val="Heading1"/>
      </w:pPr>
      <w:bookmarkStart w:id="120" w:name="_Toc46240560"/>
      <w:bookmarkStart w:id="121" w:name="_Toc113125104"/>
      <w:r w:rsidRPr="00C0591E">
        <w:t xml:space="preserve">DATA ANALYSIS AND </w:t>
      </w:r>
      <w:bookmarkEnd w:id="115"/>
      <w:bookmarkEnd w:id="116"/>
      <w:bookmarkEnd w:id="117"/>
      <w:bookmarkEnd w:id="118"/>
      <w:bookmarkEnd w:id="119"/>
      <w:r w:rsidR="004675D6" w:rsidRPr="00C0591E">
        <w:t xml:space="preserve">RESEARCH </w:t>
      </w:r>
      <w:r w:rsidRPr="00C0591E">
        <w:t>RESULTS</w:t>
      </w:r>
      <w:bookmarkEnd w:id="120"/>
      <w:bookmarkEnd w:id="121"/>
    </w:p>
    <w:p w14:paraId="216171DB" w14:textId="77777777" w:rsidR="002C1A56" w:rsidRPr="00C0591E" w:rsidRDefault="002C1A56" w:rsidP="002C1A56">
      <w:pPr>
        <w:pStyle w:val="Heading2"/>
      </w:pPr>
      <w:bookmarkStart w:id="122" w:name="_Toc514851885"/>
      <w:bookmarkStart w:id="123" w:name="_Toc518508230"/>
      <w:bookmarkStart w:id="124" w:name="_Toc1571137"/>
      <w:bookmarkStart w:id="125" w:name="_Toc3214669"/>
      <w:bookmarkStart w:id="126" w:name="_Toc16800920"/>
      <w:bookmarkStart w:id="127" w:name="_Toc46240561"/>
      <w:bookmarkStart w:id="128" w:name="_Toc113125105"/>
      <w:r w:rsidRPr="00C0591E">
        <w:t>4.1 Introduction</w:t>
      </w:r>
      <w:bookmarkEnd w:id="122"/>
      <w:bookmarkEnd w:id="123"/>
      <w:bookmarkEnd w:id="124"/>
      <w:bookmarkEnd w:id="125"/>
      <w:bookmarkEnd w:id="126"/>
      <w:bookmarkEnd w:id="127"/>
      <w:bookmarkEnd w:id="128"/>
      <w:r w:rsidRPr="00C0591E">
        <w:t xml:space="preserve"> </w:t>
      </w:r>
    </w:p>
    <w:p w14:paraId="32599CC0" w14:textId="1DF0530E" w:rsidR="002C1A56" w:rsidRPr="00C0591E" w:rsidRDefault="002C1A56" w:rsidP="002C1A56">
      <w:r w:rsidRPr="00C0591E">
        <w:t xml:space="preserve">The section of the thesis provides research study findings as outlined in the study questionnaires to meet the study objectives. The chapter is sectioned into respondent’s demographic information, responses on study variables and limitations of the study. Data was collected by the researcher from the field and were </w:t>
      </w:r>
      <w:r w:rsidR="00956482" w:rsidRPr="00C0591E">
        <w:t>analyzed</w:t>
      </w:r>
      <w:r w:rsidRPr="00C0591E">
        <w:t xml:space="preserve"> using simple descriptive statistics and SPSS Version 24 and the finding of the tests of the hypothesis. The study used Pearson’s product moments and regression analysis; therefore, this chapter presents results of the research in different sub-sections as provided in study main variables. </w:t>
      </w:r>
    </w:p>
    <w:p w14:paraId="195B79C6" w14:textId="77777777" w:rsidR="002C1A56" w:rsidRPr="00C0591E" w:rsidRDefault="002C1A56" w:rsidP="002C1A56">
      <w:pPr>
        <w:pStyle w:val="Heading2"/>
        <w:rPr>
          <w:color w:val="2E74B5" w:themeColor="accent1" w:themeShade="BF"/>
          <w:sz w:val="28"/>
        </w:rPr>
      </w:pPr>
      <w:bookmarkStart w:id="129" w:name="_Toc36648780"/>
      <w:bookmarkStart w:id="130" w:name="_Toc46240562"/>
      <w:bookmarkStart w:id="131" w:name="_Toc113125106"/>
      <w:r w:rsidRPr="00C0591E">
        <w:t>4.2 Response Rate</w:t>
      </w:r>
      <w:bookmarkEnd w:id="129"/>
      <w:bookmarkEnd w:id="130"/>
      <w:bookmarkEnd w:id="131"/>
      <w:r w:rsidRPr="00C0591E">
        <w:t xml:space="preserve"> </w:t>
      </w:r>
    </w:p>
    <w:p w14:paraId="5A40772C" w14:textId="0E3E369C" w:rsidR="002C1A56" w:rsidRPr="00C0591E" w:rsidRDefault="00F43FD1" w:rsidP="00444170">
      <w:r w:rsidRPr="00C0591E">
        <w:t>The response rate was analyzed to show the representative from the sample size. A response rate is very important to the credibility of the research results. A low response rate may decrease the statistical power of the data collected and undermine the reliability of the results. It may also undermine the ability of the researcher to generalize the results to the larger target audience. This is further complicated by the fact that a low response rate can be indicative of a non -response bias within the sample. A low response rate can give rise to sampling bias if the non -response is unequal among the participants regarding exposure and/or outcome.</w:t>
      </w:r>
    </w:p>
    <w:p w14:paraId="03C1B3E0" w14:textId="60BFD9BA" w:rsidR="00D67D4C" w:rsidRPr="00C0591E" w:rsidRDefault="00D67D4C" w:rsidP="00C16CB1">
      <w:r w:rsidRPr="00C0591E">
        <w:t xml:space="preserve">The sample size was 338 and </w:t>
      </w:r>
      <w:r w:rsidR="00C16CB1" w:rsidRPr="00C0591E">
        <w:t>38 (</w:t>
      </w:r>
      <w:r w:rsidRPr="00C0591E">
        <w:t>10%</w:t>
      </w:r>
      <w:r w:rsidR="00C16CB1" w:rsidRPr="00C0591E">
        <w:t>)</w:t>
      </w:r>
      <w:r w:rsidRPr="00C0591E">
        <w:t xml:space="preserve"> was used </w:t>
      </w:r>
      <w:r w:rsidR="00C16CB1" w:rsidRPr="00C0591E">
        <w:t>for the pilot analysis. 300 questionnaires were administered to the respondents in the fund managers and the r</w:t>
      </w:r>
      <w:r w:rsidR="006753B0" w:rsidRPr="00C0591E">
        <w:t>esults are as shown in Table 4</w:t>
      </w:r>
      <w:r w:rsidR="00C16CB1" w:rsidRPr="00C0591E">
        <w:t>.</w:t>
      </w:r>
    </w:p>
    <w:p w14:paraId="59C15032" w14:textId="34506959" w:rsidR="003838C8" w:rsidRPr="00C0591E" w:rsidRDefault="003838C8" w:rsidP="001633DA">
      <w:pPr>
        <w:pStyle w:val="Heading4"/>
      </w:pPr>
      <w:bookmarkStart w:id="132" w:name="_Toc13905788"/>
      <w:bookmarkStart w:id="133" w:name="_Toc39670010"/>
      <w:bookmarkStart w:id="134" w:name="_Toc46234210"/>
      <w:bookmarkStart w:id="135" w:name="_Toc113125139"/>
      <w:r w:rsidRPr="00C0591E">
        <w:t>Table</w:t>
      </w:r>
      <w:r w:rsidR="006753B0" w:rsidRPr="00C0591E">
        <w:t xml:space="preserve"> 4</w:t>
      </w:r>
      <w:r w:rsidRPr="00C0591E">
        <w:t>: Response Rate</w:t>
      </w:r>
      <w:bookmarkEnd w:id="132"/>
      <w:bookmarkEnd w:id="133"/>
      <w:bookmarkEnd w:id="134"/>
      <w:bookmarkEnd w:id="135"/>
    </w:p>
    <w:tbl>
      <w:tblPr>
        <w:tblW w:w="5000" w:type="pct"/>
        <w:tblLook w:val="04A0" w:firstRow="1" w:lastRow="0" w:firstColumn="1" w:lastColumn="0" w:noHBand="0" w:noVBand="1"/>
      </w:tblPr>
      <w:tblGrid>
        <w:gridCol w:w="3159"/>
        <w:gridCol w:w="3163"/>
        <w:gridCol w:w="2704"/>
      </w:tblGrid>
      <w:tr w:rsidR="003838C8" w:rsidRPr="00C0591E" w14:paraId="73641A41" w14:textId="77777777" w:rsidTr="00074ED1">
        <w:trPr>
          <w:trHeight w:val="315"/>
        </w:trPr>
        <w:tc>
          <w:tcPr>
            <w:tcW w:w="1750" w:type="pct"/>
            <w:tcBorders>
              <w:top w:val="single" w:sz="4" w:space="0" w:color="auto"/>
              <w:left w:val="nil"/>
              <w:bottom w:val="single" w:sz="4" w:space="0" w:color="auto"/>
              <w:right w:val="nil"/>
            </w:tcBorders>
            <w:shd w:val="clear" w:color="auto" w:fill="auto"/>
            <w:noWrap/>
            <w:vAlign w:val="center"/>
            <w:hideMark/>
          </w:tcPr>
          <w:p w14:paraId="0BC329B8" w14:textId="77777777" w:rsidR="003838C8" w:rsidRPr="00C0591E" w:rsidRDefault="003838C8" w:rsidP="003838C8">
            <w:pPr>
              <w:spacing w:after="0"/>
              <w:jc w:val="left"/>
              <w:rPr>
                <w:rFonts w:cs="Times New Roman"/>
                <w:b/>
                <w:bCs/>
                <w:color w:val="000000"/>
                <w:szCs w:val="24"/>
              </w:rPr>
            </w:pPr>
            <w:r w:rsidRPr="00C0591E">
              <w:rPr>
                <w:rFonts w:cs="Times New Roman"/>
                <w:b/>
                <w:bCs/>
                <w:color w:val="000000"/>
                <w:szCs w:val="24"/>
              </w:rPr>
              <w:t>Response</w:t>
            </w:r>
          </w:p>
        </w:tc>
        <w:tc>
          <w:tcPr>
            <w:tcW w:w="1752" w:type="pct"/>
            <w:tcBorders>
              <w:top w:val="single" w:sz="4" w:space="0" w:color="auto"/>
              <w:left w:val="nil"/>
              <w:bottom w:val="single" w:sz="4" w:space="0" w:color="auto"/>
              <w:right w:val="nil"/>
            </w:tcBorders>
            <w:shd w:val="clear" w:color="auto" w:fill="auto"/>
            <w:noWrap/>
            <w:vAlign w:val="center"/>
            <w:hideMark/>
          </w:tcPr>
          <w:p w14:paraId="59242B51" w14:textId="77777777" w:rsidR="003838C8" w:rsidRPr="00C0591E" w:rsidRDefault="003838C8" w:rsidP="003838C8">
            <w:pPr>
              <w:spacing w:after="0"/>
              <w:jc w:val="center"/>
              <w:rPr>
                <w:rFonts w:cs="Times New Roman"/>
                <w:b/>
                <w:bCs/>
                <w:color w:val="000000"/>
                <w:szCs w:val="24"/>
              </w:rPr>
            </w:pPr>
            <w:r w:rsidRPr="00C0591E">
              <w:rPr>
                <w:rFonts w:cs="Times New Roman"/>
                <w:b/>
                <w:bCs/>
                <w:color w:val="000000"/>
                <w:szCs w:val="24"/>
              </w:rPr>
              <w:t>Frequency</w:t>
            </w:r>
          </w:p>
        </w:tc>
        <w:tc>
          <w:tcPr>
            <w:tcW w:w="1498" w:type="pct"/>
            <w:tcBorders>
              <w:top w:val="single" w:sz="4" w:space="0" w:color="auto"/>
              <w:left w:val="nil"/>
              <w:bottom w:val="single" w:sz="4" w:space="0" w:color="auto"/>
              <w:right w:val="nil"/>
            </w:tcBorders>
            <w:shd w:val="clear" w:color="auto" w:fill="auto"/>
            <w:noWrap/>
            <w:vAlign w:val="center"/>
            <w:hideMark/>
          </w:tcPr>
          <w:p w14:paraId="5B9EBA76" w14:textId="77777777" w:rsidR="003838C8" w:rsidRPr="00C0591E" w:rsidRDefault="003838C8" w:rsidP="003838C8">
            <w:pPr>
              <w:spacing w:after="0"/>
              <w:jc w:val="center"/>
              <w:rPr>
                <w:rFonts w:cs="Times New Roman"/>
                <w:b/>
                <w:bCs/>
                <w:color w:val="000000"/>
                <w:szCs w:val="24"/>
              </w:rPr>
            </w:pPr>
            <w:r w:rsidRPr="00C0591E">
              <w:rPr>
                <w:rFonts w:cs="Times New Roman"/>
                <w:b/>
                <w:bCs/>
                <w:color w:val="000000"/>
                <w:szCs w:val="24"/>
              </w:rPr>
              <w:t>Percent</w:t>
            </w:r>
          </w:p>
        </w:tc>
      </w:tr>
      <w:tr w:rsidR="003838C8" w:rsidRPr="00C0591E" w14:paraId="1D27E341" w14:textId="77777777" w:rsidTr="00074ED1">
        <w:trPr>
          <w:trHeight w:val="315"/>
        </w:trPr>
        <w:tc>
          <w:tcPr>
            <w:tcW w:w="1750" w:type="pct"/>
            <w:tcBorders>
              <w:top w:val="nil"/>
              <w:left w:val="nil"/>
              <w:bottom w:val="nil"/>
              <w:right w:val="nil"/>
            </w:tcBorders>
            <w:shd w:val="clear" w:color="auto" w:fill="auto"/>
            <w:noWrap/>
            <w:vAlign w:val="center"/>
            <w:hideMark/>
          </w:tcPr>
          <w:p w14:paraId="62502433" w14:textId="77777777" w:rsidR="003838C8" w:rsidRPr="00C0591E" w:rsidRDefault="003838C8" w:rsidP="003838C8">
            <w:pPr>
              <w:spacing w:after="0"/>
              <w:rPr>
                <w:rFonts w:cs="Times New Roman"/>
                <w:color w:val="000000"/>
                <w:szCs w:val="24"/>
              </w:rPr>
            </w:pPr>
            <w:r w:rsidRPr="00C0591E">
              <w:rPr>
                <w:rFonts w:cs="Times New Roman"/>
                <w:color w:val="000000"/>
                <w:szCs w:val="24"/>
              </w:rPr>
              <w:t>Returned</w:t>
            </w:r>
          </w:p>
        </w:tc>
        <w:tc>
          <w:tcPr>
            <w:tcW w:w="1752" w:type="pct"/>
            <w:tcBorders>
              <w:top w:val="nil"/>
              <w:left w:val="nil"/>
              <w:bottom w:val="nil"/>
              <w:right w:val="nil"/>
            </w:tcBorders>
            <w:shd w:val="clear" w:color="auto" w:fill="auto"/>
            <w:noWrap/>
            <w:vAlign w:val="center"/>
            <w:hideMark/>
          </w:tcPr>
          <w:p w14:paraId="3789AAA5" w14:textId="47CFB552" w:rsidR="003838C8" w:rsidRPr="00C0591E" w:rsidRDefault="003838C8" w:rsidP="003838C8">
            <w:pPr>
              <w:spacing w:after="0"/>
              <w:jc w:val="center"/>
              <w:rPr>
                <w:rFonts w:cs="Times New Roman"/>
                <w:color w:val="000000"/>
                <w:szCs w:val="24"/>
              </w:rPr>
            </w:pPr>
            <w:r w:rsidRPr="00C0591E">
              <w:rPr>
                <w:rFonts w:cs="Times New Roman"/>
                <w:color w:val="000000"/>
                <w:szCs w:val="24"/>
              </w:rPr>
              <w:t>296</w:t>
            </w:r>
          </w:p>
        </w:tc>
        <w:tc>
          <w:tcPr>
            <w:tcW w:w="1498" w:type="pct"/>
            <w:tcBorders>
              <w:top w:val="nil"/>
              <w:left w:val="nil"/>
              <w:bottom w:val="nil"/>
              <w:right w:val="nil"/>
            </w:tcBorders>
            <w:shd w:val="clear" w:color="auto" w:fill="auto"/>
            <w:noWrap/>
            <w:vAlign w:val="center"/>
            <w:hideMark/>
          </w:tcPr>
          <w:p w14:paraId="376447EB" w14:textId="70B503FB" w:rsidR="003838C8" w:rsidRPr="00C0591E" w:rsidRDefault="003838C8" w:rsidP="003838C8">
            <w:pPr>
              <w:spacing w:after="0"/>
              <w:jc w:val="center"/>
              <w:rPr>
                <w:rFonts w:cs="Times New Roman"/>
                <w:color w:val="000000"/>
                <w:szCs w:val="24"/>
              </w:rPr>
            </w:pPr>
            <w:r w:rsidRPr="00C0591E">
              <w:rPr>
                <w:rFonts w:cs="Times New Roman"/>
                <w:color w:val="000000"/>
                <w:szCs w:val="24"/>
              </w:rPr>
              <w:t>98.66%</w:t>
            </w:r>
          </w:p>
        </w:tc>
      </w:tr>
      <w:tr w:rsidR="003838C8" w:rsidRPr="00C0591E" w14:paraId="1847E59F" w14:textId="77777777" w:rsidTr="00074ED1">
        <w:trPr>
          <w:trHeight w:val="333"/>
        </w:trPr>
        <w:tc>
          <w:tcPr>
            <w:tcW w:w="1750" w:type="pct"/>
            <w:tcBorders>
              <w:top w:val="nil"/>
              <w:left w:val="nil"/>
              <w:bottom w:val="nil"/>
              <w:right w:val="nil"/>
            </w:tcBorders>
            <w:shd w:val="clear" w:color="auto" w:fill="auto"/>
            <w:noWrap/>
            <w:vAlign w:val="center"/>
            <w:hideMark/>
          </w:tcPr>
          <w:p w14:paraId="1E460923" w14:textId="77777777" w:rsidR="003838C8" w:rsidRPr="00C0591E" w:rsidRDefault="003838C8" w:rsidP="003838C8">
            <w:pPr>
              <w:spacing w:after="0"/>
              <w:rPr>
                <w:rFonts w:cs="Times New Roman"/>
                <w:color w:val="000000"/>
                <w:szCs w:val="24"/>
              </w:rPr>
            </w:pPr>
            <w:r w:rsidRPr="00C0591E">
              <w:rPr>
                <w:rFonts w:cs="Times New Roman"/>
                <w:color w:val="000000"/>
                <w:szCs w:val="24"/>
              </w:rPr>
              <w:t>Unreturned</w:t>
            </w:r>
          </w:p>
        </w:tc>
        <w:tc>
          <w:tcPr>
            <w:tcW w:w="1752" w:type="pct"/>
            <w:tcBorders>
              <w:top w:val="nil"/>
              <w:left w:val="nil"/>
              <w:bottom w:val="nil"/>
              <w:right w:val="nil"/>
            </w:tcBorders>
            <w:shd w:val="clear" w:color="auto" w:fill="auto"/>
            <w:noWrap/>
            <w:vAlign w:val="center"/>
            <w:hideMark/>
          </w:tcPr>
          <w:p w14:paraId="7FD932FE" w14:textId="5E60E8A6" w:rsidR="003838C8" w:rsidRPr="00C0591E" w:rsidRDefault="003838C8" w:rsidP="003838C8">
            <w:pPr>
              <w:spacing w:after="0"/>
              <w:jc w:val="center"/>
              <w:rPr>
                <w:rFonts w:cs="Times New Roman"/>
                <w:color w:val="000000"/>
                <w:szCs w:val="24"/>
              </w:rPr>
            </w:pPr>
            <w:r w:rsidRPr="00C0591E">
              <w:rPr>
                <w:rFonts w:cs="Times New Roman"/>
                <w:color w:val="000000"/>
                <w:szCs w:val="24"/>
              </w:rPr>
              <w:t>4</w:t>
            </w:r>
          </w:p>
        </w:tc>
        <w:tc>
          <w:tcPr>
            <w:tcW w:w="1498" w:type="pct"/>
            <w:tcBorders>
              <w:top w:val="nil"/>
              <w:left w:val="nil"/>
              <w:bottom w:val="nil"/>
              <w:right w:val="nil"/>
            </w:tcBorders>
            <w:shd w:val="clear" w:color="auto" w:fill="auto"/>
            <w:noWrap/>
            <w:vAlign w:val="center"/>
            <w:hideMark/>
          </w:tcPr>
          <w:p w14:paraId="4A862BB7" w14:textId="0D5ABD23" w:rsidR="003838C8" w:rsidRPr="00C0591E" w:rsidRDefault="003838C8" w:rsidP="003838C8">
            <w:pPr>
              <w:spacing w:after="0"/>
              <w:jc w:val="center"/>
              <w:rPr>
                <w:rFonts w:cs="Times New Roman"/>
                <w:color w:val="000000"/>
                <w:szCs w:val="24"/>
              </w:rPr>
            </w:pPr>
            <w:r w:rsidRPr="00C0591E">
              <w:rPr>
                <w:rFonts w:cs="Times New Roman"/>
                <w:color w:val="000000"/>
                <w:szCs w:val="24"/>
              </w:rPr>
              <w:t>1.34%</w:t>
            </w:r>
          </w:p>
        </w:tc>
      </w:tr>
      <w:tr w:rsidR="003838C8" w:rsidRPr="00C0591E" w14:paraId="7E0DE21E" w14:textId="77777777" w:rsidTr="00074ED1">
        <w:trPr>
          <w:trHeight w:val="315"/>
        </w:trPr>
        <w:tc>
          <w:tcPr>
            <w:tcW w:w="1750" w:type="pct"/>
            <w:tcBorders>
              <w:top w:val="nil"/>
              <w:left w:val="nil"/>
              <w:bottom w:val="single" w:sz="4" w:space="0" w:color="auto"/>
              <w:right w:val="nil"/>
            </w:tcBorders>
            <w:shd w:val="clear" w:color="auto" w:fill="auto"/>
            <w:noWrap/>
            <w:vAlign w:val="center"/>
            <w:hideMark/>
          </w:tcPr>
          <w:p w14:paraId="1940CBF2" w14:textId="77777777" w:rsidR="003838C8" w:rsidRPr="00C0591E" w:rsidRDefault="003838C8" w:rsidP="003838C8">
            <w:pPr>
              <w:spacing w:after="0"/>
              <w:jc w:val="left"/>
              <w:rPr>
                <w:rFonts w:cs="Times New Roman"/>
                <w:b/>
                <w:bCs/>
                <w:color w:val="000000"/>
                <w:szCs w:val="24"/>
              </w:rPr>
            </w:pPr>
            <w:r w:rsidRPr="00C0591E">
              <w:rPr>
                <w:rFonts w:cs="Times New Roman"/>
                <w:b/>
                <w:bCs/>
                <w:color w:val="000000"/>
                <w:szCs w:val="24"/>
              </w:rPr>
              <w:t xml:space="preserve">Total </w:t>
            </w:r>
          </w:p>
        </w:tc>
        <w:tc>
          <w:tcPr>
            <w:tcW w:w="1752" w:type="pct"/>
            <w:tcBorders>
              <w:top w:val="nil"/>
              <w:left w:val="nil"/>
              <w:bottom w:val="single" w:sz="4" w:space="0" w:color="auto"/>
              <w:right w:val="nil"/>
            </w:tcBorders>
            <w:shd w:val="clear" w:color="auto" w:fill="auto"/>
            <w:noWrap/>
            <w:vAlign w:val="center"/>
            <w:hideMark/>
          </w:tcPr>
          <w:p w14:paraId="65DCCBD1" w14:textId="0CF37CB0" w:rsidR="003838C8" w:rsidRPr="00C0591E" w:rsidRDefault="003838C8" w:rsidP="003838C8">
            <w:pPr>
              <w:spacing w:after="0"/>
              <w:jc w:val="center"/>
              <w:rPr>
                <w:rFonts w:cs="Times New Roman"/>
                <w:b/>
                <w:bCs/>
                <w:color w:val="000000"/>
                <w:szCs w:val="24"/>
              </w:rPr>
            </w:pPr>
            <w:r w:rsidRPr="00C0591E">
              <w:rPr>
                <w:rFonts w:cs="Times New Roman"/>
                <w:b/>
                <w:bCs/>
                <w:color w:val="000000"/>
                <w:szCs w:val="24"/>
              </w:rPr>
              <w:t>300</w:t>
            </w:r>
          </w:p>
        </w:tc>
        <w:tc>
          <w:tcPr>
            <w:tcW w:w="1498" w:type="pct"/>
            <w:tcBorders>
              <w:top w:val="nil"/>
              <w:left w:val="nil"/>
              <w:bottom w:val="single" w:sz="4" w:space="0" w:color="auto"/>
              <w:right w:val="nil"/>
            </w:tcBorders>
            <w:shd w:val="clear" w:color="auto" w:fill="auto"/>
            <w:noWrap/>
            <w:vAlign w:val="center"/>
            <w:hideMark/>
          </w:tcPr>
          <w:p w14:paraId="62840703" w14:textId="77777777" w:rsidR="003838C8" w:rsidRPr="00C0591E" w:rsidRDefault="003838C8" w:rsidP="003838C8">
            <w:pPr>
              <w:spacing w:after="0"/>
              <w:jc w:val="center"/>
              <w:rPr>
                <w:rFonts w:cs="Times New Roman"/>
                <w:b/>
                <w:bCs/>
                <w:color w:val="000000"/>
                <w:szCs w:val="24"/>
              </w:rPr>
            </w:pPr>
            <w:r w:rsidRPr="00C0591E">
              <w:rPr>
                <w:rFonts w:cs="Times New Roman"/>
                <w:b/>
                <w:bCs/>
                <w:color w:val="000000"/>
                <w:szCs w:val="24"/>
              </w:rPr>
              <w:t>100%</w:t>
            </w:r>
          </w:p>
        </w:tc>
      </w:tr>
    </w:tbl>
    <w:p w14:paraId="206E8F6F" w14:textId="5BF921D1" w:rsidR="00C16CB1" w:rsidRPr="00C0591E" w:rsidRDefault="00C16CB1" w:rsidP="00C16CB1">
      <w:r w:rsidRPr="00C0591E">
        <w:rPr>
          <w:rFonts w:cs="Times New Roman"/>
          <w:szCs w:val="24"/>
        </w:rPr>
        <w:t>The results indicate that 296 (98.66%)</w:t>
      </w:r>
      <w:r w:rsidRPr="00C0591E">
        <w:t xml:space="preserve"> of the questionnaires were fully filled up while (4) 1.34% were not fully filled, therefore they were not considered for the study analysis. This response rate was favorable according to Kothari (2009) who indicated that 50% response rate is adequate, 60% good and above 70% rated very well. This implies that the response rate was adequate to be used in the analysis.</w:t>
      </w:r>
    </w:p>
    <w:p w14:paraId="5B1B199E" w14:textId="77777777" w:rsidR="00C16CB1" w:rsidRPr="00C0591E" w:rsidRDefault="00C16CB1" w:rsidP="00C16CB1">
      <w:pPr>
        <w:pStyle w:val="Heading2"/>
      </w:pPr>
      <w:bookmarkStart w:id="136" w:name="_Toc46240563"/>
      <w:bookmarkStart w:id="137" w:name="_Toc113125107"/>
      <w:r w:rsidRPr="00C0591E">
        <w:t>4.3 Demographic Characteristics of Respondents</w:t>
      </w:r>
      <w:bookmarkEnd w:id="136"/>
      <w:bookmarkEnd w:id="137"/>
      <w:r w:rsidRPr="00C0591E">
        <w:t xml:space="preserve"> </w:t>
      </w:r>
    </w:p>
    <w:p w14:paraId="39B29E7C" w14:textId="77777777" w:rsidR="00C16CB1" w:rsidRPr="00C0591E" w:rsidRDefault="00C16CB1" w:rsidP="00444170">
      <w:r w:rsidRPr="00C0591E">
        <w:t>Demographics are characteristics of a population. Demographic information provides data regarding research participants and is necessary for the determination of whether the individuals in particular studies are representative sample of the target population for generalization purposes. Demographic analysis was done to study the nature in which the population changes over time, and this is important as it allows us to study how changes to the population. The demographics characteristics included gender, level of education, age bracket and duration of working in this agency. Each of the demographic characteristic is discussed on the subsequent sections.</w:t>
      </w:r>
    </w:p>
    <w:p w14:paraId="508DDAB7" w14:textId="77777777" w:rsidR="00444170" w:rsidRPr="00C0591E" w:rsidRDefault="00444170" w:rsidP="00444170">
      <w:pPr>
        <w:pStyle w:val="Heading3"/>
      </w:pPr>
      <w:bookmarkStart w:id="138" w:name="_Toc20424332"/>
      <w:bookmarkStart w:id="139" w:name="_Toc22319960"/>
      <w:r w:rsidRPr="00C0591E">
        <w:t>4.3.1 Gender of Respondents</w:t>
      </w:r>
      <w:bookmarkEnd w:id="138"/>
      <w:bookmarkEnd w:id="139"/>
    </w:p>
    <w:p w14:paraId="6D0C814F" w14:textId="1A5CEF03" w:rsidR="00444170" w:rsidRPr="00C0591E" w:rsidRDefault="00444170" w:rsidP="00444170">
      <w:r w:rsidRPr="00C0591E">
        <w:t>The study conducted demographics on gender for the respondents to establish the gender diversity. The respondents were asked to indicate their gender. The r</w:t>
      </w:r>
      <w:r w:rsidR="006753B0" w:rsidRPr="00C0591E">
        <w:t>esults are as shown in Table 5</w:t>
      </w:r>
      <w:r w:rsidRPr="00C0591E">
        <w:t xml:space="preserve">. The results show that majority of members were </w:t>
      </w:r>
      <w:r w:rsidR="00074ED1" w:rsidRPr="00C0591E">
        <w:t>male represented by 58.4</w:t>
      </w:r>
      <w:r w:rsidRPr="00C0591E">
        <w:t>% and male at 41</w:t>
      </w:r>
      <w:r w:rsidR="00074ED1" w:rsidRPr="00C0591E">
        <w:t>.6</w:t>
      </w:r>
      <w:r w:rsidRPr="00C0591E">
        <w:t xml:space="preserve">%. </w:t>
      </w:r>
    </w:p>
    <w:p w14:paraId="13C9A3F2" w14:textId="00930748" w:rsidR="00444170" w:rsidRPr="00C0591E" w:rsidRDefault="00444170" w:rsidP="00444170">
      <w:pPr>
        <w:pStyle w:val="Heading4"/>
      </w:pPr>
      <w:bookmarkStart w:id="140" w:name="_Toc7534678"/>
      <w:bookmarkStart w:id="141" w:name="_Toc13905790"/>
      <w:bookmarkStart w:id="142" w:name="_Toc39670011"/>
      <w:bookmarkStart w:id="143" w:name="_Toc46234211"/>
      <w:bookmarkStart w:id="144" w:name="_Toc113125140"/>
      <w:r w:rsidRPr="00C0591E">
        <w:t>Ta</w:t>
      </w:r>
      <w:r w:rsidR="006753B0" w:rsidRPr="00C0591E">
        <w:t>ble 5</w:t>
      </w:r>
      <w:r w:rsidRPr="00C0591E">
        <w:t xml:space="preserve">: Gender </w:t>
      </w:r>
      <w:bookmarkEnd w:id="140"/>
      <w:r w:rsidRPr="00C0591E">
        <w:t>of Respondents</w:t>
      </w:r>
      <w:bookmarkEnd w:id="141"/>
      <w:bookmarkEnd w:id="142"/>
      <w:bookmarkEnd w:id="143"/>
      <w:bookmarkEnd w:id="144"/>
    </w:p>
    <w:tbl>
      <w:tblPr>
        <w:tblW w:w="5000" w:type="pct"/>
        <w:tblLook w:val="04A0" w:firstRow="1" w:lastRow="0" w:firstColumn="1" w:lastColumn="0" w:noHBand="0" w:noVBand="1"/>
      </w:tblPr>
      <w:tblGrid>
        <w:gridCol w:w="4680"/>
        <w:gridCol w:w="2432"/>
        <w:gridCol w:w="1914"/>
      </w:tblGrid>
      <w:tr w:rsidR="0027404A" w:rsidRPr="00C0591E" w14:paraId="207FCA45" w14:textId="77777777" w:rsidTr="0027404A">
        <w:trPr>
          <w:trHeight w:val="288"/>
        </w:trPr>
        <w:tc>
          <w:tcPr>
            <w:tcW w:w="2593" w:type="pct"/>
            <w:tcBorders>
              <w:top w:val="single" w:sz="4" w:space="0" w:color="auto"/>
              <w:left w:val="nil"/>
              <w:bottom w:val="single" w:sz="4" w:space="0" w:color="auto"/>
              <w:right w:val="nil"/>
            </w:tcBorders>
            <w:shd w:val="clear" w:color="auto" w:fill="auto"/>
            <w:noWrap/>
            <w:vAlign w:val="bottom"/>
            <w:hideMark/>
          </w:tcPr>
          <w:p w14:paraId="54755C0F" w14:textId="77777777" w:rsidR="0027404A" w:rsidRPr="00C0591E" w:rsidRDefault="0027404A" w:rsidP="0027404A">
            <w:pPr>
              <w:spacing w:line="276" w:lineRule="auto"/>
              <w:rPr>
                <w:rFonts w:eastAsia="Times New Roman"/>
                <w:b/>
              </w:rPr>
            </w:pPr>
            <w:r w:rsidRPr="00C0591E">
              <w:rPr>
                <w:rFonts w:eastAsia="Times New Roman"/>
                <w:b/>
              </w:rPr>
              <w:t>Gender</w:t>
            </w:r>
          </w:p>
        </w:tc>
        <w:tc>
          <w:tcPr>
            <w:tcW w:w="1347" w:type="pct"/>
            <w:tcBorders>
              <w:top w:val="single" w:sz="4" w:space="0" w:color="auto"/>
              <w:left w:val="nil"/>
              <w:bottom w:val="single" w:sz="4" w:space="0" w:color="auto"/>
              <w:right w:val="nil"/>
            </w:tcBorders>
            <w:shd w:val="clear" w:color="auto" w:fill="auto"/>
            <w:noWrap/>
            <w:vAlign w:val="bottom"/>
            <w:hideMark/>
          </w:tcPr>
          <w:p w14:paraId="35599B05" w14:textId="77777777" w:rsidR="0027404A" w:rsidRPr="00C0591E" w:rsidRDefault="0027404A" w:rsidP="00444170">
            <w:pPr>
              <w:spacing w:line="276" w:lineRule="auto"/>
              <w:jc w:val="center"/>
              <w:rPr>
                <w:rFonts w:eastAsia="Times New Roman"/>
                <w:b/>
              </w:rPr>
            </w:pPr>
            <w:r w:rsidRPr="00C0591E">
              <w:rPr>
                <w:rFonts w:eastAsia="Times New Roman"/>
                <w:b/>
              </w:rPr>
              <w:t>Frequency</w:t>
            </w:r>
          </w:p>
        </w:tc>
        <w:tc>
          <w:tcPr>
            <w:tcW w:w="1060" w:type="pct"/>
            <w:tcBorders>
              <w:top w:val="single" w:sz="4" w:space="0" w:color="auto"/>
              <w:left w:val="nil"/>
              <w:bottom w:val="single" w:sz="4" w:space="0" w:color="auto"/>
              <w:right w:val="nil"/>
            </w:tcBorders>
            <w:shd w:val="clear" w:color="auto" w:fill="auto"/>
            <w:noWrap/>
            <w:vAlign w:val="bottom"/>
            <w:hideMark/>
          </w:tcPr>
          <w:p w14:paraId="499CD40D" w14:textId="0631985A" w:rsidR="0027404A" w:rsidRPr="00C0591E" w:rsidRDefault="0027404A" w:rsidP="00444170">
            <w:pPr>
              <w:spacing w:line="276" w:lineRule="auto"/>
              <w:jc w:val="center"/>
              <w:rPr>
                <w:rFonts w:eastAsia="Times New Roman"/>
                <w:b/>
              </w:rPr>
            </w:pPr>
            <w:r w:rsidRPr="00C0591E">
              <w:rPr>
                <w:rFonts w:eastAsia="Times New Roman"/>
                <w:b/>
              </w:rPr>
              <w:t>Percent</w:t>
            </w:r>
            <w:r w:rsidR="00074ED1" w:rsidRPr="00C0591E">
              <w:rPr>
                <w:rFonts w:eastAsia="Times New Roman"/>
                <w:b/>
              </w:rPr>
              <w:t>age</w:t>
            </w:r>
          </w:p>
        </w:tc>
      </w:tr>
      <w:tr w:rsidR="0027404A" w:rsidRPr="00C0591E" w14:paraId="42D0D944" w14:textId="77777777" w:rsidTr="0027404A">
        <w:trPr>
          <w:trHeight w:val="288"/>
        </w:trPr>
        <w:tc>
          <w:tcPr>
            <w:tcW w:w="2593" w:type="pct"/>
            <w:tcBorders>
              <w:top w:val="nil"/>
              <w:left w:val="nil"/>
              <w:bottom w:val="nil"/>
              <w:right w:val="nil"/>
            </w:tcBorders>
            <w:shd w:val="clear" w:color="auto" w:fill="auto"/>
            <w:noWrap/>
            <w:vAlign w:val="bottom"/>
            <w:hideMark/>
          </w:tcPr>
          <w:p w14:paraId="617F80D9" w14:textId="77777777" w:rsidR="0027404A" w:rsidRPr="00C0591E" w:rsidRDefault="0027404A" w:rsidP="0027404A">
            <w:pPr>
              <w:spacing w:line="276" w:lineRule="auto"/>
              <w:rPr>
                <w:rFonts w:eastAsia="Times New Roman"/>
              </w:rPr>
            </w:pPr>
            <w:r w:rsidRPr="00C0591E">
              <w:rPr>
                <w:rFonts w:eastAsia="Times New Roman"/>
              </w:rPr>
              <w:t>Male</w:t>
            </w:r>
          </w:p>
        </w:tc>
        <w:tc>
          <w:tcPr>
            <w:tcW w:w="1347" w:type="pct"/>
            <w:tcBorders>
              <w:top w:val="nil"/>
              <w:left w:val="nil"/>
              <w:bottom w:val="nil"/>
              <w:right w:val="nil"/>
            </w:tcBorders>
            <w:shd w:val="clear" w:color="auto" w:fill="auto"/>
            <w:noWrap/>
            <w:vAlign w:val="bottom"/>
            <w:hideMark/>
          </w:tcPr>
          <w:p w14:paraId="737EDF1E" w14:textId="77777777" w:rsidR="0027404A" w:rsidRPr="00C0591E" w:rsidRDefault="0027404A" w:rsidP="00444170">
            <w:pPr>
              <w:spacing w:line="276" w:lineRule="auto"/>
              <w:jc w:val="center"/>
              <w:rPr>
                <w:rFonts w:eastAsia="Times New Roman"/>
              </w:rPr>
            </w:pPr>
            <w:r w:rsidRPr="00C0591E">
              <w:rPr>
                <w:rFonts w:eastAsia="Times New Roman"/>
              </w:rPr>
              <w:t>173</w:t>
            </w:r>
          </w:p>
        </w:tc>
        <w:tc>
          <w:tcPr>
            <w:tcW w:w="1060" w:type="pct"/>
            <w:tcBorders>
              <w:top w:val="nil"/>
              <w:left w:val="nil"/>
              <w:bottom w:val="nil"/>
              <w:right w:val="nil"/>
            </w:tcBorders>
            <w:shd w:val="clear" w:color="auto" w:fill="auto"/>
            <w:noWrap/>
            <w:vAlign w:val="bottom"/>
            <w:hideMark/>
          </w:tcPr>
          <w:p w14:paraId="65427D61" w14:textId="7FFC4F3C" w:rsidR="0027404A" w:rsidRPr="00C0591E" w:rsidRDefault="0027404A" w:rsidP="00444170">
            <w:pPr>
              <w:spacing w:line="276" w:lineRule="auto"/>
              <w:jc w:val="center"/>
              <w:rPr>
                <w:rFonts w:eastAsia="Times New Roman"/>
              </w:rPr>
            </w:pPr>
            <w:r w:rsidRPr="00C0591E">
              <w:rPr>
                <w:rFonts w:eastAsia="Times New Roman"/>
              </w:rPr>
              <w:t>58.4</w:t>
            </w:r>
            <w:r w:rsidR="00074ED1" w:rsidRPr="00C0591E">
              <w:rPr>
                <w:rFonts w:eastAsia="Times New Roman"/>
              </w:rPr>
              <w:t>%</w:t>
            </w:r>
          </w:p>
        </w:tc>
      </w:tr>
      <w:tr w:rsidR="0027404A" w:rsidRPr="00C0591E" w14:paraId="29FB07F9" w14:textId="77777777" w:rsidTr="0027404A">
        <w:trPr>
          <w:trHeight w:val="288"/>
        </w:trPr>
        <w:tc>
          <w:tcPr>
            <w:tcW w:w="2593" w:type="pct"/>
            <w:tcBorders>
              <w:top w:val="nil"/>
              <w:left w:val="nil"/>
              <w:bottom w:val="nil"/>
              <w:right w:val="nil"/>
            </w:tcBorders>
            <w:shd w:val="clear" w:color="auto" w:fill="auto"/>
            <w:noWrap/>
            <w:vAlign w:val="bottom"/>
            <w:hideMark/>
          </w:tcPr>
          <w:p w14:paraId="612BD62D" w14:textId="77777777" w:rsidR="0027404A" w:rsidRPr="00C0591E" w:rsidRDefault="0027404A" w:rsidP="0027404A">
            <w:pPr>
              <w:spacing w:line="276" w:lineRule="auto"/>
              <w:rPr>
                <w:rFonts w:eastAsia="Times New Roman"/>
              </w:rPr>
            </w:pPr>
            <w:r w:rsidRPr="00C0591E">
              <w:rPr>
                <w:rFonts w:eastAsia="Times New Roman"/>
              </w:rPr>
              <w:t>Female</w:t>
            </w:r>
          </w:p>
        </w:tc>
        <w:tc>
          <w:tcPr>
            <w:tcW w:w="1347" w:type="pct"/>
            <w:tcBorders>
              <w:top w:val="nil"/>
              <w:left w:val="nil"/>
              <w:bottom w:val="nil"/>
              <w:right w:val="nil"/>
            </w:tcBorders>
            <w:shd w:val="clear" w:color="auto" w:fill="auto"/>
            <w:noWrap/>
            <w:vAlign w:val="bottom"/>
            <w:hideMark/>
          </w:tcPr>
          <w:p w14:paraId="69C45955" w14:textId="77777777" w:rsidR="0027404A" w:rsidRPr="00C0591E" w:rsidRDefault="0027404A" w:rsidP="00444170">
            <w:pPr>
              <w:spacing w:line="276" w:lineRule="auto"/>
              <w:jc w:val="center"/>
              <w:rPr>
                <w:rFonts w:eastAsia="Times New Roman"/>
              </w:rPr>
            </w:pPr>
            <w:r w:rsidRPr="00C0591E">
              <w:rPr>
                <w:rFonts w:eastAsia="Times New Roman"/>
              </w:rPr>
              <w:t>123</w:t>
            </w:r>
          </w:p>
        </w:tc>
        <w:tc>
          <w:tcPr>
            <w:tcW w:w="1060" w:type="pct"/>
            <w:tcBorders>
              <w:top w:val="nil"/>
              <w:left w:val="nil"/>
              <w:bottom w:val="nil"/>
              <w:right w:val="nil"/>
            </w:tcBorders>
            <w:shd w:val="clear" w:color="auto" w:fill="auto"/>
            <w:noWrap/>
            <w:vAlign w:val="bottom"/>
            <w:hideMark/>
          </w:tcPr>
          <w:p w14:paraId="2CA3FBAE" w14:textId="14A2F043" w:rsidR="0027404A" w:rsidRPr="00C0591E" w:rsidRDefault="0027404A" w:rsidP="00444170">
            <w:pPr>
              <w:spacing w:line="276" w:lineRule="auto"/>
              <w:jc w:val="center"/>
              <w:rPr>
                <w:rFonts w:eastAsia="Times New Roman"/>
              </w:rPr>
            </w:pPr>
            <w:r w:rsidRPr="00C0591E">
              <w:rPr>
                <w:rFonts w:eastAsia="Times New Roman"/>
              </w:rPr>
              <w:t>41.6</w:t>
            </w:r>
            <w:r w:rsidR="00074ED1" w:rsidRPr="00C0591E">
              <w:rPr>
                <w:rFonts w:eastAsia="Times New Roman"/>
              </w:rPr>
              <w:t>%</w:t>
            </w:r>
          </w:p>
        </w:tc>
      </w:tr>
      <w:tr w:rsidR="0027404A" w:rsidRPr="00C0591E" w14:paraId="3E5DF96C" w14:textId="77777777" w:rsidTr="0027404A">
        <w:trPr>
          <w:trHeight w:val="288"/>
        </w:trPr>
        <w:tc>
          <w:tcPr>
            <w:tcW w:w="2593" w:type="pct"/>
            <w:tcBorders>
              <w:top w:val="nil"/>
              <w:left w:val="nil"/>
              <w:bottom w:val="single" w:sz="4" w:space="0" w:color="auto"/>
              <w:right w:val="nil"/>
            </w:tcBorders>
            <w:shd w:val="clear" w:color="auto" w:fill="auto"/>
            <w:noWrap/>
            <w:vAlign w:val="bottom"/>
            <w:hideMark/>
          </w:tcPr>
          <w:p w14:paraId="1E6D930E" w14:textId="77777777" w:rsidR="0027404A" w:rsidRPr="00C0591E" w:rsidRDefault="0027404A" w:rsidP="0027404A">
            <w:pPr>
              <w:spacing w:line="276" w:lineRule="auto"/>
              <w:rPr>
                <w:rFonts w:eastAsia="Times New Roman"/>
              </w:rPr>
            </w:pPr>
            <w:r w:rsidRPr="00C0591E">
              <w:rPr>
                <w:rFonts w:eastAsia="Times New Roman"/>
              </w:rPr>
              <w:t>Total</w:t>
            </w:r>
          </w:p>
        </w:tc>
        <w:tc>
          <w:tcPr>
            <w:tcW w:w="1347" w:type="pct"/>
            <w:tcBorders>
              <w:top w:val="nil"/>
              <w:left w:val="nil"/>
              <w:bottom w:val="single" w:sz="4" w:space="0" w:color="auto"/>
              <w:right w:val="nil"/>
            </w:tcBorders>
            <w:shd w:val="clear" w:color="auto" w:fill="auto"/>
            <w:noWrap/>
            <w:vAlign w:val="bottom"/>
            <w:hideMark/>
          </w:tcPr>
          <w:p w14:paraId="6CAF5161" w14:textId="77777777" w:rsidR="0027404A" w:rsidRPr="00C0591E" w:rsidRDefault="0027404A" w:rsidP="00444170">
            <w:pPr>
              <w:spacing w:line="276" w:lineRule="auto"/>
              <w:jc w:val="center"/>
              <w:rPr>
                <w:rFonts w:eastAsia="Times New Roman"/>
              </w:rPr>
            </w:pPr>
            <w:r w:rsidRPr="00C0591E">
              <w:rPr>
                <w:rFonts w:eastAsia="Times New Roman"/>
              </w:rPr>
              <w:t>296</w:t>
            </w:r>
          </w:p>
        </w:tc>
        <w:tc>
          <w:tcPr>
            <w:tcW w:w="1060" w:type="pct"/>
            <w:tcBorders>
              <w:top w:val="nil"/>
              <w:left w:val="nil"/>
              <w:bottom w:val="single" w:sz="4" w:space="0" w:color="auto"/>
              <w:right w:val="nil"/>
            </w:tcBorders>
            <w:shd w:val="clear" w:color="auto" w:fill="auto"/>
            <w:noWrap/>
            <w:vAlign w:val="bottom"/>
            <w:hideMark/>
          </w:tcPr>
          <w:p w14:paraId="1CD1F984" w14:textId="77777777" w:rsidR="0027404A" w:rsidRPr="00C0591E" w:rsidRDefault="0027404A" w:rsidP="00444170">
            <w:pPr>
              <w:spacing w:line="276" w:lineRule="auto"/>
              <w:jc w:val="center"/>
              <w:rPr>
                <w:rFonts w:eastAsia="Times New Roman"/>
              </w:rPr>
            </w:pPr>
            <w:r w:rsidRPr="00C0591E">
              <w:rPr>
                <w:rFonts w:eastAsia="Times New Roman"/>
              </w:rPr>
              <w:t>100</w:t>
            </w:r>
          </w:p>
        </w:tc>
      </w:tr>
    </w:tbl>
    <w:p w14:paraId="0A5FF181" w14:textId="0727B80F" w:rsidR="00074ED1" w:rsidRPr="00C0591E" w:rsidRDefault="00074ED1" w:rsidP="008F6F0F">
      <w:r w:rsidRPr="00C0591E">
        <w:rPr>
          <w:color w:val="000000" w:themeColor="text1"/>
        </w:rPr>
        <w:t xml:space="preserve">This implies that </w:t>
      </w:r>
      <w:r w:rsidRPr="00C0591E">
        <w:t>gender representation was evenly propositional and the views under the study were representative of both genders, nonetheless male respondents were slightly more than their female counterparts with an 8% difference. The findings shows that there is good distribution of genders in pension fund managers in Kenya and the can be interpreted to mean the universities of equal opportunity to all genders.  Kothari (2009) indicates that respondent’s gender is one of the most important characteristics in understanding their views about particular issues. gender shows the level of commitment, technical skills and nature of energy required carry out specific functions.</w:t>
      </w:r>
    </w:p>
    <w:p w14:paraId="6CFEB065" w14:textId="77777777" w:rsidR="00074ED1" w:rsidRPr="00C0591E" w:rsidRDefault="00074ED1" w:rsidP="00074ED1">
      <w:pPr>
        <w:pStyle w:val="Heading3"/>
      </w:pPr>
      <w:bookmarkStart w:id="145" w:name="_Toc20424333"/>
      <w:bookmarkStart w:id="146" w:name="_Toc22319961"/>
      <w:bookmarkStart w:id="147" w:name="_Toc10827045"/>
      <w:r w:rsidRPr="00C0591E">
        <w:t xml:space="preserve">4.3.2 </w:t>
      </w:r>
      <w:bookmarkEnd w:id="145"/>
      <w:bookmarkEnd w:id="146"/>
      <w:bookmarkEnd w:id="147"/>
      <w:r w:rsidRPr="00C0591E">
        <w:t>Age of Respondents</w:t>
      </w:r>
    </w:p>
    <w:p w14:paraId="01C1FE4B" w14:textId="29FB416D" w:rsidR="00074ED1" w:rsidRPr="00C0591E" w:rsidRDefault="00074ED1" w:rsidP="00074ED1">
      <w:r w:rsidRPr="00C0591E">
        <w:t>The respondents were asked to indicate their age brackets. Th</w:t>
      </w:r>
      <w:r w:rsidR="006753B0" w:rsidRPr="00C0591E">
        <w:t>e results are shown in Table 6</w:t>
      </w:r>
      <w:r w:rsidRPr="00C0591E">
        <w:t>.</w:t>
      </w:r>
    </w:p>
    <w:p w14:paraId="2F9D6A7F" w14:textId="6CA109DB" w:rsidR="002C1A56" w:rsidRPr="00C0591E" w:rsidRDefault="006753B0" w:rsidP="00074ED1">
      <w:pPr>
        <w:pStyle w:val="Heading4"/>
        <w:rPr>
          <w:rFonts w:cs="Times New Roman"/>
          <w:szCs w:val="24"/>
        </w:rPr>
      </w:pPr>
      <w:bookmarkStart w:id="148" w:name="_Toc34370508"/>
      <w:bookmarkStart w:id="149" w:name="_Toc35964570"/>
      <w:bookmarkStart w:id="150" w:name="_Toc36648784"/>
      <w:bookmarkStart w:id="151" w:name="_Toc46234212"/>
      <w:bookmarkStart w:id="152" w:name="_Toc113125141"/>
      <w:r w:rsidRPr="00C0591E">
        <w:rPr>
          <w:rFonts w:eastAsia="Calibri"/>
          <w:lang w:bidi="en-US"/>
        </w:rPr>
        <w:t>Table 6:</w:t>
      </w:r>
      <w:r w:rsidR="00074ED1" w:rsidRPr="00C0591E">
        <w:rPr>
          <w:rFonts w:eastAsia="Calibri"/>
          <w:lang w:bidi="en-US"/>
        </w:rPr>
        <w:t xml:space="preserve"> </w:t>
      </w:r>
      <w:r w:rsidR="00074ED1" w:rsidRPr="00C0591E">
        <w:t>Respondents</w:t>
      </w:r>
      <w:r w:rsidR="00074ED1" w:rsidRPr="00C0591E">
        <w:rPr>
          <w:rFonts w:eastAsia="Calibri"/>
          <w:lang w:bidi="en-US"/>
        </w:rPr>
        <w:t xml:space="preserve"> Age Brackets</w:t>
      </w:r>
      <w:bookmarkEnd w:id="148"/>
      <w:bookmarkEnd w:id="149"/>
      <w:bookmarkEnd w:id="150"/>
      <w:bookmarkEnd w:id="151"/>
      <w:bookmarkEnd w:id="152"/>
      <w:r w:rsidR="00074ED1" w:rsidRPr="00C0591E">
        <w:rPr>
          <w:rFonts w:eastAsia="Calibri"/>
          <w:lang w:bidi="en-US"/>
        </w:rPr>
        <w:t xml:space="preserve"> </w:t>
      </w:r>
    </w:p>
    <w:tbl>
      <w:tblPr>
        <w:tblW w:w="5000" w:type="pct"/>
        <w:tblLook w:val="04A0" w:firstRow="1" w:lastRow="0" w:firstColumn="1" w:lastColumn="0" w:noHBand="0" w:noVBand="1"/>
      </w:tblPr>
      <w:tblGrid>
        <w:gridCol w:w="4680"/>
        <w:gridCol w:w="2432"/>
        <w:gridCol w:w="1914"/>
      </w:tblGrid>
      <w:tr w:rsidR="0027404A" w:rsidRPr="00C0591E" w14:paraId="59310969" w14:textId="77777777" w:rsidTr="0027404A">
        <w:trPr>
          <w:trHeight w:val="288"/>
        </w:trPr>
        <w:tc>
          <w:tcPr>
            <w:tcW w:w="2593" w:type="pct"/>
            <w:tcBorders>
              <w:top w:val="single" w:sz="4" w:space="0" w:color="auto"/>
              <w:left w:val="nil"/>
              <w:bottom w:val="single" w:sz="4" w:space="0" w:color="auto"/>
              <w:right w:val="nil"/>
            </w:tcBorders>
            <w:shd w:val="clear" w:color="auto" w:fill="auto"/>
            <w:noWrap/>
            <w:vAlign w:val="bottom"/>
            <w:hideMark/>
          </w:tcPr>
          <w:p w14:paraId="2CB1B397" w14:textId="77777777" w:rsidR="0027404A" w:rsidRPr="00C0591E" w:rsidRDefault="0027404A" w:rsidP="00074ED1">
            <w:pPr>
              <w:spacing w:before="0"/>
              <w:rPr>
                <w:rFonts w:eastAsia="Times New Roman"/>
                <w:b/>
              </w:rPr>
            </w:pPr>
            <w:r w:rsidRPr="00C0591E">
              <w:rPr>
                <w:rFonts w:eastAsia="Times New Roman"/>
                <w:b/>
              </w:rPr>
              <w:t>Age</w:t>
            </w:r>
          </w:p>
        </w:tc>
        <w:tc>
          <w:tcPr>
            <w:tcW w:w="1347" w:type="pct"/>
            <w:tcBorders>
              <w:top w:val="single" w:sz="4" w:space="0" w:color="auto"/>
              <w:left w:val="nil"/>
              <w:bottom w:val="single" w:sz="4" w:space="0" w:color="auto"/>
              <w:right w:val="nil"/>
            </w:tcBorders>
            <w:shd w:val="clear" w:color="auto" w:fill="auto"/>
            <w:noWrap/>
            <w:vAlign w:val="bottom"/>
            <w:hideMark/>
          </w:tcPr>
          <w:p w14:paraId="384360F4" w14:textId="77777777" w:rsidR="0027404A" w:rsidRPr="00C0591E" w:rsidRDefault="0027404A" w:rsidP="00074ED1">
            <w:pPr>
              <w:spacing w:before="0"/>
              <w:jc w:val="center"/>
              <w:rPr>
                <w:rFonts w:eastAsia="Times New Roman"/>
                <w:b/>
              </w:rPr>
            </w:pPr>
            <w:r w:rsidRPr="00C0591E">
              <w:rPr>
                <w:rFonts w:eastAsia="Times New Roman"/>
                <w:b/>
              </w:rPr>
              <w:t>Frequency</w:t>
            </w:r>
          </w:p>
        </w:tc>
        <w:tc>
          <w:tcPr>
            <w:tcW w:w="1060" w:type="pct"/>
            <w:tcBorders>
              <w:top w:val="single" w:sz="4" w:space="0" w:color="auto"/>
              <w:left w:val="nil"/>
              <w:bottom w:val="single" w:sz="4" w:space="0" w:color="auto"/>
              <w:right w:val="nil"/>
            </w:tcBorders>
            <w:shd w:val="clear" w:color="auto" w:fill="auto"/>
            <w:noWrap/>
            <w:vAlign w:val="bottom"/>
            <w:hideMark/>
          </w:tcPr>
          <w:p w14:paraId="0BEB33DB" w14:textId="37FB2195" w:rsidR="0027404A" w:rsidRPr="00C0591E" w:rsidRDefault="0027404A" w:rsidP="00074ED1">
            <w:pPr>
              <w:spacing w:before="0"/>
              <w:jc w:val="center"/>
              <w:rPr>
                <w:rFonts w:eastAsia="Times New Roman"/>
                <w:b/>
              </w:rPr>
            </w:pPr>
            <w:r w:rsidRPr="00C0591E">
              <w:rPr>
                <w:rFonts w:eastAsia="Times New Roman"/>
                <w:b/>
              </w:rPr>
              <w:t>Percent</w:t>
            </w:r>
            <w:r w:rsidR="00074ED1" w:rsidRPr="00C0591E">
              <w:rPr>
                <w:rFonts w:eastAsia="Times New Roman"/>
                <w:b/>
              </w:rPr>
              <w:t>age</w:t>
            </w:r>
          </w:p>
        </w:tc>
      </w:tr>
      <w:tr w:rsidR="0027404A" w:rsidRPr="00C0591E" w14:paraId="22D94F22" w14:textId="77777777" w:rsidTr="0027404A">
        <w:trPr>
          <w:trHeight w:val="288"/>
        </w:trPr>
        <w:tc>
          <w:tcPr>
            <w:tcW w:w="2593" w:type="pct"/>
            <w:tcBorders>
              <w:top w:val="nil"/>
              <w:left w:val="nil"/>
              <w:bottom w:val="nil"/>
              <w:right w:val="nil"/>
            </w:tcBorders>
            <w:shd w:val="clear" w:color="auto" w:fill="auto"/>
            <w:noWrap/>
            <w:vAlign w:val="bottom"/>
            <w:hideMark/>
          </w:tcPr>
          <w:p w14:paraId="4942EB78" w14:textId="77777777" w:rsidR="0027404A" w:rsidRPr="00C0591E" w:rsidRDefault="0027404A" w:rsidP="00074ED1">
            <w:pPr>
              <w:spacing w:before="0"/>
              <w:rPr>
                <w:rFonts w:eastAsia="Times New Roman"/>
              </w:rPr>
            </w:pPr>
            <w:r w:rsidRPr="00C0591E">
              <w:rPr>
                <w:rFonts w:eastAsia="Times New Roman"/>
              </w:rPr>
              <w:t>18-25 Years</w:t>
            </w:r>
          </w:p>
        </w:tc>
        <w:tc>
          <w:tcPr>
            <w:tcW w:w="1347" w:type="pct"/>
            <w:tcBorders>
              <w:top w:val="nil"/>
              <w:left w:val="nil"/>
              <w:bottom w:val="nil"/>
              <w:right w:val="nil"/>
            </w:tcBorders>
            <w:shd w:val="clear" w:color="auto" w:fill="auto"/>
            <w:noWrap/>
            <w:vAlign w:val="bottom"/>
            <w:hideMark/>
          </w:tcPr>
          <w:p w14:paraId="27502AC5" w14:textId="77777777" w:rsidR="0027404A" w:rsidRPr="00C0591E" w:rsidRDefault="0027404A" w:rsidP="00074ED1">
            <w:pPr>
              <w:spacing w:before="0"/>
              <w:jc w:val="center"/>
              <w:rPr>
                <w:rFonts w:eastAsia="Times New Roman"/>
              </w:rPr>
            </w:pPr>
            <w:r w:rsidRPr="00C0591E">
              <w:rPr>
                <w:rFonts w:eastAsia="Times New Roman"/>
              </w:rPr>
              <w:t>25</w:t>
            </w:r>
          </w:p>
        </w:tc>
        <w:tc>
          <w:tcPr>
            <w:tcW w:w="1060" w:type="pct"/>
            <w:tcBorders>
              <w:top w:val="nil"/>
              <w:left w:val="nil"/>
              <w:bottom w:val="nil"/>
              <w:right w:val="nil"/>
            </w:tcBorders>
            <w:shd w:val="clear" w:color="auto" w:fill="auto"/>
            <w:noWrap/>
            <w:vAlign w:val="bottom"/>
            <w:hideMark/>
          </w:tcPr>
          <w:p w14:paraId="498588AE" w14:textId="7DC103EA" w:rsidR="0027404A" w:rsidRPr="00C0591E" w:rsidRDefault="0027404A" w:rsidP="00074ED1">
            <w:pPr>
              <w:spacing w:before="0"/>
              <w:jc w:val="center"/>
              <w:rPr>
                <w:rFonts w:eastAsia="Times New Roman"/>
              </w:rPr>
            </w:pPr>
            <w:r w:rsidRPr="00C0591E">
              <w:rPr>
                <w:rFonts w:eastAsia="Times New Roman"/>
              </w:rPr>
              <w:t>8.4</w:t>
            </w:r>
            <w:r w:rsidR="00074ED1" w:rsidRPr="00C0591E">
              <w:rPr>
                <w:rFonts w:eastAsia="Times New Roman"/>
              </w:rPr>
              <w:t>%</w:t>
            </w:r>
          </w:p>
        </w:tc>
      </w:tr>
      <w:tr w:rsidR="0027404A" w:rsidRPr="00C0591E" w14:paraId="59788329" w14:textId="77777777" w:rsidTr="0027404A">
        <w:trPr>
          <w:trHeight w:val="288"/>
        </w:trPr>
        <w:tc>
          <w:tcPr>
            <w:tcW w:w="2593" w:type="pct"/>
            <w:tcBorders>
              <w:top w:val="nil"/>
              <w:left w:val="nil"/>
              <w:bottom w:val="nil"/>
              <w:right w:val="nil"/>
            </w:tcBorders>
            <w:shd w:val="clear" w:color="auto" w:fill="auto"/>
            <w:noWrap/>
            <w:vAlign w:val="bottom"/>
            <w:hideMark/>
          </w:tcPr>
          <w:p w14:paraId="05BD8F9D" w14:textId="77777777" w:rsidR="0027404A" w:rsidRPr="00C0591E" w:rsidRDefault="0027404A" w:rsidP="00074ED1">
            <w:pPr>
              <w:spacing w:before="0"/>
              <w:rPr>
                <w:rFonts w:eastAsia="Times New Roman"/>
              </w:rPr>
            </w:pPr>
            <w:r w:rsidRPr="00C0591E">
              <w:rPr>
                <w:rFonts w:eastAsia="Times New Roman"/>
              </w:rPr>
              <w:t>26-30 Years</w:t>
            </w:r>
          </w:p>
        </w:tc>
        <w:tc>
          <w:tcPr>
            <w:tcW w:w="1347" w:type="pct"/>
            <w:tcBorders>
              <w:top w:val="nil"/>
              <w:left w:val="nil"/>
              <w:bottom w:val="nil"/>
              <w:right w:val="nil"/>
            </w:tcBorders>
            <w:shd w:val="clear" w:color="auto" w:fill="auto"/>
            <w:noWrap/>
            <w:vAlign w:val="bottom"/>
            <w:hideMark/>
          </w:tcPr>
          <w:p w14:paraId="543B3FB8" w14:textId="77777777" w:rsidR="0027404A" w:rsidRPr="00C0591E" w:rsidRDefault="0027404A" w:rsidP="00074ED1">
            <w:pPr>
              <w:spacing w:before="0"/>
              <w:jc w:val="center"/>
              <w:rPr>
                <w:rFonts w:eastAsia="Times New Roman"/>
              </w:rPr>
            </w:pPr>
            <w:r w:rsidRPr="00C0591E">
              <w:rPr>
                <w:rFonts w:eastAsia="Times New Roman"/>
              </w:rPr>
              <w:t>48</w:t>
            </w:r>
          </w:p>
        </w:tc>
        <w:tc>
          <w:tcPr>
            <w:tcW w:w="1060" w:type="pct"/>
            <w:tcBorders>
              <w:top w:val="nil"/>
              <w:left w:val="nil"/>
              <w:bottom w:val="nil"/>
              <w:right w:val="nil"/>
            </w:tcBorders>
            <w:shd w:val="clear" w:color="auto" w:fill="auto"/>
            <w:noWrap/>
            <w:vAlign w:val="bottom"/>
            <w:hideMark/>
          </w:tcPr>
          <w:p w14:paraId="00084CD7" w14:textId="1E7A759F" w:rsidR="0027404A" w:rsidRPr="00C0591E" w:rsidRDefault="0027404A" w:rsidP="00074ED1">
            <w:pPr>
              <w:spacing w:before="0"/>
              <w:jc w:val="center"/>
              <w:rPr>
                <w:rFonts w:eastAsia="Times New Roman"/>
              </w:rPr>
            </w:pPr>
            <w:r w:rsidRPr="00C0591E">
              <w:rPr>
                <w:rFonts w:eastAsia="Times New Roman"/>
              </w:rPr>
              <w:t>16.2</w:t>
            </w:r>
            <w:r w:rsidR="00074ED1" w:rsidRPr="00C0591E">
              <w:rPr>
                <w:rFonts w:eastAsia="Times New Roman"/>
              </w:rPr>
              <w:t>%</w:t>
            </w:r>
          </w:p>
        </w:tc>
      </w:tr>
      <w:tr w:rsidR="0027404A" w:rsidRPr="00C0591E" w14:paraId="3E6597AC" w14:textId="77777777" w:rsidTr="0027404A">
        <w:trPr>
          <w:trHeight w:val="288"/>
        </w:trPr>
        <w:tc>
          <w:tcPr>
            <w:tcW w:w="2593" w:type="pct"/>
            <w:tcBorders>
              <w:top w:val="nil"/>
              <w:left w:val="nil"/>
              <w:bottom w:val="nil"/>
              <w:right w:val="nil"/>
            </w:tcBorders>
            <w:shd w:val="clear" w:color="auto" w:fill="auto"/>
            <w:noWrap/>
            <w:vAlign w:val="bottom"/>
            <w:hideMark/>
          </w:tcPr>
          <w:p w14:paraId="7F4C986E" w14:textId="77777777" w:rsidR="0027404A" w:rsidRPr="00C0591E" w:rsidRDefault="0027404A" w:rsidP="00074ED1">
            <w:pPr>
              <w:spacing w:before="0"/>
              <w:rPr>
                <w:rFonts w:eastAsia="Times New Roman"/>
              </w:rPr>
            </w:pPr>
            <w:r w:rsidRPr="00C0591E">
              <w:rPr>
                <w:rFonts w:eastAsia="Times New Roman"/>
              </w:rPr>
              <w:t>31-35 Years</w:t>
            </w:r>
          </w:p>
        </w:tc>
        <w:tc>
          <w:tcPr>
            <w:tcW w:w="1347" w:type="pct"/>
            <w:tcBorders>
              <w:top w:val="nil"/>
              <w:left w:val="nil"/>
              <w:bottom w:val="nil"/>
              <w:right w:val="nil"/>
            </w:tcBorders>
            <w:shd w:val="clear" w:color="auto" w:fill="auto"/>
            <w:noWrap/>
            <w:vAlign w:val="bottom"/>
            <w:hideMark/>
          </w:tcPr>
          <w:p w14:paraId="3880A7F3" w14:textId="77777777" w:rsidR="0027404A" w:rsidRPr="00C0591E" w:rsidRDefault="0027404A" w:rsidP="00074ED1">
            <w:pPr>
              <w:spacing w:before="0"/>
              <w:jc w:val="center"/>
              <w:rPr>
                <w:rFonts w:eastAsia="Times New Roman"/>
              </w:rPr>
            </w:pPr>
            <w:r w:rsidRPr="00C0591E">
              <w:rPr>
                <w:rFonts w:eastAsia="Times New Roman"/>
              </w:rPr>
              <w:t>132</w:t>
            </w:r>
          </w:p>
        </w:tc>
        <w:tc>
          <w:tcPr>
            <w:tcW w:w="1060" w:type="pct"/>
            <w:tcBorders>
              <w:top w:val="nil"/>
              <w:left w:val="nil"/>
              <w:bottom w:val="nil"/>
              <w:right w:val="nil"/>
            </w:tcBorders>
            <w:shd w:val="clear" w:color="auto" w:fill="auto"/>
            <w:noWrap/>
            <w:vAlign w:val="bottom"/>
            <w:hideMark/>
          </w:tcPr>
          <w:p w14:paraId="3AB7F603" w14:textId="25A75DF6" w:rsidR="0027404A" w:rsidRPr="00C0591E" w:rsidRDefault="0027404A" w:rsidP="00074ED1">
            <w:pPr>
              <w:spacing w:before="0"/>
              <w:jc w:val="center"/>
              <w:rPr>
                <w:rFonts w:eastAsia="Times New Roman"/>
              </w:rPr>
            </w:pPr>
            <w:r w:rsidRPr="00C0591E">
              <w:rPr>
                <w:rFonts w:eastAsia="Times New Roman"/>
              </w:rPr>
              <w:t>44.6</w:t>
            </w:r>
            <w:r w:rsidR="00074ED1" w:rsidRPr="00C0591E">
              <w:rPr>
                <w:rFonts w:eastAsia="Times New Roman"/>
              </w:rPr>
              <w:t>%</w:t>
            </w:r>
          </w:p>
        </w:tc>
      </w:tr>
      <w:tr w:rsidR="0027404A" w:rsidRPr="00C0591E" w14:paraId="7662672B" w14:textId="77777777" w:rsidTr="0027404A">
        <w:trPr>
          <w:trHeight w:val="288"/>
        </w:trPr>
        <w:tc>
          <w:tcPr>
            <w:tcW w:w="2593" w:type="pct"/>
            <w:tcBorders>
              <w:top w:val="nil"/>
              <w:left w:val="nil"/>
              <w:bottom w:val="nil"/>
              <w:right w:val="nil"/>
            </w:tcBorders>
            <w:shd w:val="clear" w:color="auto" w:fill="auto"/>
            <w:noWrap/>
            <w:vAlign w:val="bottom"/>
            <w:hideMark/>
          </w:tcPr>
          <w:p w14:paraId="5A787F5E" w14:textId="158F325B" w:rsidR="0027404A" w:rsidRPr="00C0591E" w:rsidRDefault="00074ED1" w:rsidP="00074ED1">
            <w:pPr>
              <w:spacing w:before="0"/>
              <w:rPr>
                <w:rFonts w:eastAsia="Times New Roman"/>
              </w:rPr>
            </w:pPr>
            <w:r w:rsidRPr="00C0591E">
              <w:rPr>
                <w:rFonts w:eastAsia="Times New Roman"/>
              </w:rPr>
              <w:t>Above 36</w:t>
            </w:r>
          </w:p>
        </w:tc>
        <w:tc>
          <w:tcPr>
            <w:tcW w:w="1347" w:type="pct"/>
            <w:tcBorders>
              <w:top w:val="nil"/>
              <w:left w:val="nil"/>
              <w:bottom w:val="nil"/>
              <w:right w:val="nil"/>
            </w:tcBorders>
            <w:shd w:val="clear" w:color="auto" w:fill="auto"/>
            <w:noWrap/>
            <w:vAlign w:val="bottom"/>
            <w:hideMark/>
          </w:tcPr>
          <w:p w14:paraId="5BBB29D7" w14:textId="77777777" w:rsidR="0027404A" w:rsidRPr="00C0591E" w:rsidRDefault="0027404A" w:rsidP="00074ED1">
            <w:pPr>
              <w:spacing w:before="0"/>
              <w:jc w:val="center"/>
              <w:rPr>
                <w:rFonts w:eastAsia="Times New Roman"/>
              </w:rPr>
            </w:pPr>
            <w:r w:rsidRPr="00C0591E">
              <w:rPr>
                <w:rFonts w:eastAsia="Times New Roman"/>
              </w:rPr>
              <w:t>91</w:t>
            </w:r>
          </w:p>
        </w:tc>
        <w:tc>
          <w:tcPr>
            <w:tcW w:w="1060" w:type="pct"/>
            <w:tcBorders>
              <w:top w:val="nil"/>
              <w:left w:val="nil"/>
              <w:bottom w:val="nil"/>
              <w:right w:val="nil"/>
            </w:tcBorders>
            <w:shd w:val="clear" w:color="auto" w:fill="auto"/>
            <w:noWrap/>
            <w:vAlign w:val="bottom"/>
            <w:hideMark/>
          </w:tcPr>
          <w:p w14:paraId="3640FE23" w14:textId="2A756FE7" w:rsidR="0027404A" w:rsidRPr="00C0591E" w:rsidRDefault="0027404A" w:rsidP="00074ED1">
            <w:pPr>
              <w:spacing w:before="0"/>
              <w:jc w:val="center"/>
              <w:rPr>
                <w:rFonts w:eastAsia="Times New Roman"/>
              </w:rPr>
            </w:pPr>
            <w:r w:rsidRPr="00C0591E">
              <w:rPr>
                <w:rFonts w:eastAsia="Times New Roman"/>
              </w:rPr>
              <w:t>30.7</w:t>
            </w:r>
            <w:r w:rsidR="00074ED1" w:rsidRPr="00C0591E">
              <w:rPr>
                <w:rFonts w:eastAsia="Times New Roman"/>
              </w:rPr>
              <w:t>5%</w:t>
            </w:r>
          </w:p>
        </w:tc>
      </w:tr>
      <w:tr w:rsidR="0027404A" w:rsidRPr="00C0591E" w14:paraId="2BF5CBF4" w14:textId="77777777" w:rsidTr="0027404A">
        <w:trPr>
          <w:trHeight w:val="288"/>
        </w:trPr>
        <w:tc>
          <w:tcPr>
            <w:tcW w:w="2593" w:type="pct"/>
            <w:tcBorders>
              <w:top w:val="nil"/>
              <w:left w:val="nil"/>
              <w:bottom w:val="single" w:sz="4" w:space="0" w:color="auto"/>
              <w:right w:val="nil"/>
            </w:tcBorders>
            <w:shd w:val="clear" w:color="auto" w:fill="auto"/>
            <w:noWrap/>
            <w:vAlign w:val="bottom"/>
            <w:hideMark/>
          </w:tcPr>
          <w:p w14:paraId="381CD063" w14:textId="77777777" w:rsidR="0027404A" w:rsidRPr="00C0591E" w:rsidRDefault="0027404A" w:rsidP="00074ED1">
            <w:pPr>
              <w:spacing w:before="0"/>
              <w:rPr>
                <w:rFonts w:eastAsia="Times New Roman"/>
              </w:rPr>
            </w:pPr>
            <w:r w:rsidRPr="00C0591E">
              <w:rPr>
                <w:rFonts w:eastAsia="Times New Roman"/>
              </w:rPr>
              <w:t>Total</w:t>
            </w:r>
          </w:p>
        </w:tc>
        <w:tc>
          <w:tcPr>
            <w:tcW w:w="1347" w:type="pct"/>
            <w:tcBorders>
              <w:top w:val="nil"/>
              <w:left w:val="nil"/>
              <w:bottom w:val="single" w:sz="4" w:space="0" w:color="auto"/>
              <w:right w:val="nil"/>
            </w:tcBorders>
            <w:shd w:val="clear" w:color="auto" w:fill="auto"/>
            <w:noWrap/>
            <w:vAlign w:val="bottom"/>
            <w:hideMark/>
          </w:tcPr>
          <w:p w14:paraId="447331DE" w14:textId="77777777" w:rsidR="0027404A" w:rsidRPr="00C0591E" w:rsidRDefault="0027404A" w:rsidP="00074ED1">
            <w:pPr>
              <w:spacing w:before="0"/>
              <w:jc w:val="center"/>
              <w:rPr>
                <w:rFonts w:eastAsia="Times New Roman"/>
              </w:rPr>
            </w:pPr>
            <w:r w:rsidRPr="00C0591E">
              <w:rPr>
                <w:rFonts w:eastAsia="Times New Roman"/>
              </w:rPr>
              <w:t>296</w:t>
            </w:r>
          </w:p>
        </w:tc>
        <w:tc>
          <w:tcPr>
            <w:tcW w:w="1060" w:type="pct"/>
            <w:tcBorders>
              <w:top w:val="nil"/>
              <w:left w:val="nil"/>
              <w:bottom w:val="single" w:sz="4" w:space="0" w:color="auto"/>
              <w:right w:val="nil"/>
            </w:tcBorders>
            <w:shd w:val="clear" w:color="auto" w:fill="auto"/>
            <w:noWrap/>
            <w:vAlign w:val="bottom"/>
            <w:hideMark/>
          </w:tcPr>
          <w:p w14:paraId="124CEB91" w14:textId="77777777" w:rsidR="0027404A" w:rsidRPr="00C0591E" w:rsidRDefault="0027404A" w:rsidP="00074ED1">
            <w:pPr>
              <w:spacing w:before="0"/>
              <w:jc w:val="center"/>
              <w:rPr>
                <w:rFonts w:eastAsia="Times New Roman"/>
              </w:rPr>
            </w:pPr>
            <w:r w:rsidRPr="00C0591E">
              <w:rPr>
                <w:rFonts w:eastAsia="Times New Roman"/>
              </w:rPr>
              <w:t>100</w:t>
            </w:r>
          </w:p>
        </w:tc>
      </w:tr>
    </w:tbl>
    <w:p w14:paraId="3A55210F" w14:textId="1122555D" w:rsidR="002C1A56" w:rsidRPr="00C0591E" w:rsidRDefault="002C1A56" w:rsidP="00347D67">
      <w:pPr>
        <w:rPr>
          <w:rFonts w:cs="Times New Roman"/>
          <w:szCs w:val="24"/>
        </w:rPr>
      </w:pPr>
    </w:p>
    <w:p w14:paraId="79068FEB" w14:textId="040AD3E1" w:rsidR="00074ED1" w:rsidRPr="00C0591E" w:rsidRDefault="00074ED1" w:rsidP="008F6F0F">
      <w:r w:rsidRPr="00C0591E">
        <w:t xml:space="preserve">The results indicated that majority of the respondents were aged 31-35 </w:t>
      </w:r>
      <w:r w:rsidR="002769CC" w:rsidRPr="00C0591E">
        <w:t>y</w:t>
      </w:r>
      <w:r w:rsidRPr="00C0591E">
        <w:t xml:space="preserve">ears </w:t>
      </w:r>
      <w:r w:rsidR="002769CC" w:rsidRPr="00C0591E">
        <w:t>as indicated by</w:t>
      </w:r>
      <w:r w:rsidRPr="00C0591E">
        <w:t xml:space="preserve"> 132 (44.6</w:t>
      </w:r>
      <w:r w:rsidR="002769CC" w:rsidRPr="00C0591E">
        <w:t>%</w:t>
      </w:r>
      <w:r w:rsidRPr="00C0591E">
        <w:t xml:space="preserve">); followed by respondents whose age was </w:t>
      </w:r>
      <w:r w:rsidRPr="00C0591E">
        <w:rPr>
          <w:rFonts w:eastAsia="Times New Roman"/>
        </w:rPr>
        <w:t>above 36</w:t>
      </w:r>
      <w:r w:rsidRPr="00C0591E">
        <w:t xml:space="preserve"> </w:t>
      </w:r>
      <w:r w:rsidR="002769CC" w:rsidRPr="00C0591E">
        <w:t>years as indicated by</w:t>
      </w:r>
      <w:r w:rsidRPr="00C0591E">
        <w:t xml:space="preserve"> 91 (30.75%), respondents aged between 26 and 30 years were 48(16.2%), while the respondents aged between 18 and 25 years were 25(8.4%). The response represents a good dispersion of the respondents in terms of the age bracket. According to Kothari (2009), respondent’s age is one of the most important characteristics in understanding their views about particular issues and </w:t>
      </w:r>
      <w:r w:rsidR="002769CC" w:rsidRPr="00C0591E">
        <w:t>mostly</w:t>
      </w:r>
      <w:r w:rsidRPr="00C0591E">
        <w:t xml:space="preserve"> age indicates the level of maturity of a person in that sense of it becomes important to examine the response.</w:t>
      </w:r>
    </w:p>
    <w:p w14:paraId="32923AF7" w14:textId="77777777" w:rsidR="00EB54A4" w:rsidRPr="00C0591E" w:rsidRDefault="00EB54A4" w:rsidP="00EB54A4">
      <w:pPr>
        <w:pStyle w:val="Heading3"/>
      </w:pPr>
      <w:r w:rsidRPr="00C0591E">
        <w:t xml:space="preserve">4.3.2 Level of Education </w:t>
      </w:r>
    </w:p>
    <w:p w14:paraId="0489FECA" w14:textId="4B997ABF" w:rsidR="008F6F0F" w:rsidRPr="00C0591E" w:rsidRDefault="008F6F0F" w:rsidP="00EB54A4">
      <w:pPr>
        <w:rPr>
          <w:lang w:bidi="he-IL"/>
        </w:rPr>
      </w:pPr>
      <w:r w:rsidRPr="00C0591E">
        <w:t>Education level refers to the academic credentials or degrees an individual has obtained.</w:t>
      </w:r>
      <w:r w:rsidRPr="00C0591E">
        <w:rPr>
          <w:lang w:bidi="he-IL"/>
        </w:rPr>
        <w:t xml:space="preserve"> The variability of education level of the respondents was investigated and data pertaining to their educatio</w:t>
      </w:r>
      <w:r w:rsidR="006753B0" w:rsidRPr="00C0591E">
        <w:rPr>
          <w:lang w:bidi="he-IL"/>
        </w:rPr>
        <w:t>n level is presented in Table 7.</w:t>
      </w:r>
    </w:p>
    <w:p w14:paraId="3D00417B" w14:textId="1737D2BF" w:rsidR="008F6F0F" w:rsidRPr="00C0591E" w:rsidRDefault="006753B0" w:rsidP="00EB54A4">
      <w:pPr>
        <w:pStyle w:val="Heading4"/>
      </w:pPr>
      <w:bookmarkStart w:id="153" w:name="_Toc7534679"/>
      <w:bookmarkStart w:id="154" w:name="_Toc13905791"/>
      <w:bookmarkStart w:id="155" w:name="_Toc39670012"/>
      <w:bookmarkStart w:id="156" w:name="_Toc46234213"/>
      <w:bookmarkStart w:id="157" w:name="_Toc113125142"/>
      <w:r w:rsidRPr="00C0591E">
        <w:t>Table 7</w:t>
      </w:r>
      <w:r w:rsidR="008F6F0F" w:rsidRPr="00C0591E">
        <w:t>: Level of Education</w:t>
      </w:r>
      <w:bookmarkEnd w:id="153"/>
      <w:bookmarkEnd w:id="154"/>
      <w:bookmarkEnd w:id="155"/>
      <w:bookmarkEnd w:id="156"/>
      <w:bookmarkEnd w:id="157"/>
    </w:p>
    <w:tbl>
      <w:tblPr>
        <w:tblW w:w="5000" w:type="pct"/>
        <w:tblLook w:val="04A0" w:firstRow="1" w:lastRow="0" w:firstColumn="1" w:lastColumn="0" w:noHBand="0" w:noVBand="1"/>
      </w:tblPr>
      <w:tblGrid>
        <w:gridCol w:w="4796"/>
        <w:gridCol w:w="2367"/>
        <w:gridCol w:w="1863"/>
      </w:tblGrid>
      <w:tr w:rsidR="0027404A" w:rsidRPr="00C0591E" w14:paraId="358F415D" w14:textId="77777777" w:rsidTr="0027404A">
        <w:trPr>
          <w:trHeight w:val="288"/>
        </w:trPr>
        <w:tc>
          <w:tcPr>
            <w:tcW w:w="2657" w:type="pct"/>
            <w:tcBorders>
              <w:top w:val="single" w:sz="4" w:space="0" w:color="auto"/>
              <w:left w:val="nil"/>
              <w:bottom w:val="single" w:sz="4" w:space="0" w:color="auto"/>
              <w:right w:val="nil"/>
            </w:tcBorders>
            <w:shd w:val="clear" w:color="auto" w:fill="auto"/>
            <w:noWrap/>
            <w:vAlign w:val="bottom"/>
            <w:hideMark/>
          </w:tcPr>
          <w:p w14:paraId="0C758DF9" w14:textId="23843045" w:rsidR="0027404A" w:rsidRPr="00C0591E" w:rsidRDefault="00EA0C87" w:rsidP="008F6F0F">
            <w:pPr>
              <w:spacing w:before="0"/>
              <w:rPr>
                <w:rFonts w:eastAsia="Times New Roman"/>
                <w:b/>
              </w:rPr>
            </w:pPr>
            <w:r w:rsidRPr="00C0591E">
              <w:rPr>
                <w:rFonts w:eastAsia="Times New Roman"/>
                <w:b/>
              </w:rPr>
              <w:t xml:space="preserve">Academic </w:t>
            </w:r>
            <w:r w:rsidR="0027404A" w:rsidRPr="00C0591E">
              <w:rPr>
                <w:rFonts w:eastAsia="Times New Roman"/>
                <w:b/>
              </w:rPr>
              <w:t>Qualification</w:t>
            </w:r>
          </w:p>
        </w:tc>
        <w:tc>
          <w:tcPr>
            <w:tcW w:w="1311" w:type="pct"/>
            <w:tcBorders>
              <w:top w:val="single" w:sz="4" w:space="0" w:color="auto"/>
              <w:left w:val="nil"/>
              <w:bottom w:val="single" w:sz="4" w:space="0" w:color="auto"/>
              <w:right w:val="nil"/>
            </w:tcBorders>
            <w:shd w:val="clear" w:color="auto" w:fill="auto"/>
            <w:noWrap/>
            <w:vAlign w:val="bottom"/>
            <w:hideMark/>
          </w:tcPr>
          <w:p w14:paraId="14D44D7F" w14:textId="77777777" w:rsidR="0027404A" w:rsidRPr="00C0591E" w:rsidRDefault="0027404A" w:rsidP="008F6F0F">
            <w:pPr>
              <w:spacing w:before="0"/>
              <w:jc w:val="center"/>
              <w:rPr>
                <w:rFonts w:eastAsia="Times New Roman"/>
                <w:b/>
              </w:rPr>
            </w:pPr>
            <w:r w:rsidRPr="00C0591E">
              <w:rPr>
                <w:rFonts w:eastAsia="Times New Roman"/>
                <w:b/>
              </w:rPr>
              <w:t>Frequency</w:t>
            </w:r>
          </w:p>
        </w:tc>
        <w:tc>
          <w:tcPr>
            <w:tcW w:w="1032" w:type="pct"/>
            <w:tcBorders>
              <w:top w:val="single" w:sz="4" w:space="0" w:color="auto"/>
              <w:left w:val="nil"/>
              <w:bottom w:val="single" w:sz="4" w:space="0" w:color="auto"/>
              <w:right w:val="nil"/>
            </w:tcBorders>
            <w:shd w:val="clear" w:color="auto" w:fill="auto"/>
            <w:noWrap/>
            <w:vAlign w:val="bottom"/>
            <w:hideMark/>
          </w:tcPr>
          <w:p w14:paraId="2FADB1EB" w14:textId="3C6DA900" w:rsidR="0027404A" w:rsidRPr="00C0591E" w:rsidRDefault="0027404A" w:rsidP="008F6F0F">
            <w:pPr>
              <w:spacing w:before="0"/>
              <w:jc w:val="center"/>
              <w:rPr>
                <w:rFonts w:eastAsia="Times New Roman"/>
                <w:b/>
              </w:rPr>
            </w:pPr>
            <w:r w:rsidRPr="00C0591E">
              <w:rPr>
                <w:rFonts w:eastAsia="Times New Roman"/>
                <w:b/>
              </w:rPr>
              <w:t>Percent</w:t>
            </w:r>
            <w:r w:rsidR="008F6F0F" w:rsidRPr="00C0591E">
              <w:rPr>
                <w:rFonts w:eastAsia="Times New Roman"/>
                <w:b/>
              </w:rPr>
              <w:t>age</w:t>
            </w:r>
          </w:p>
        </w:tc>
      </w:tr>
      <w:tr w:rsidR="0027404A" w:rsidRPr="00C0591E" w14:paraId="03240DB9" w14:textId="77777777" w:rsidTr="0027404A">
        <w:trPr>
          <w:trHeight w:val="288"/>
        </w:trPr>
        <w:tc>
          <w:tcPr>
            <w:tcW w:w="2657" w:type="pct"/>
            <w:tcBorders>
              <w:top w:val="nil"/>
              <w:left w:val="nil"/>
              <w:bottom w:val="nil"/>
              <w:right w:val="nil"/>
            </w:tcBorders>
            <w:shd w:val="clear" w:color="auto" w:fill="auto"/>
            <w:noWrap/>
            <w:vAlign w:val="bottom"/>
            <w:hideMark/>
          </w:tcPr>
          <w:p w14:paraId="53CB6114" w14:textId="77777777" w:rsidR="0027404A" w:rsidRPr="00C0591E" w:rsidRDefault="0027404A" w:rsidP="008F6F0F">
            <w:pPr>
              <w:spacing w:before="0"/>
              <w:rPr>
                <w:rFonts w:eastAsia="Times New Roman"/>
              </w:rPr>
            </w:pPr>
            <w:r w:rsidRPr="00C0591E">
              <w:rPr>
                <w:rFonts w:eastAsia="Times New Roman"/>
              </w:rPr>
              <w:t>Diploma</w:t>
            </w:r>
          </w:p>
        </w:tc>
        <w:tc>
          <w:tcPr>
            <w:tcW w:w="1311" w:type="pct"/>
            <w:tcBorders>
              <w:top w:val="nil"/>
              <w:left w:val="nil"/>
              <w:bottom w:val="nil"/>
              <w:right w:val="nil"/>
            </w:tcBorders>
            <w:shd w:val="clear" w:color="auto" w:fill="auto"/>
            <w:noWrap/>
            <w:vAlign w:val="bottom"/>
            <w:hideMark/>
          </w:tcPr>
          <w:p w14:paraId="3C58235E" w14:textId="77777777" w:rsidR="0027404A" w:rsidRPr="00C0591E" w:rsidRDefault="0027404A" w:rsidP="008F6F0F">
            <w:pPr>
              <w:spacing w:before="0"/>
              <w:jc w:val="center"/>
              <w:rPr>
                <w:rFonts w:eastAsia="Times New Roman"/>
              </w:rPr>
            </w:pPr>
            <w:r w:rsidRPr="00C0591E">
              <w:rPr>
                <w:rFonts w:eastAsia="Times New Roman"/>
              </w:rPr>
              <w:t>35</w:t>
            </w:r>
          </w:p>
        </w:tc>
        <w:tc>
          <w:tcPr>
            <w:tcW w:w="1032" w:type="pct"/>
            <w:tcBorders>
              <w:top w:val="nil"/>
              <w:left w:val="nil"/>
              <w:bottom w:val="nil"/>
              <w:right w:val="nil"/>
            </w:tcBorders>
            <w:shd w:val="clear" w:color="auto" w:fill="auto"/>
            <w:noWrap/>
            <w:vAlign w:val="bottom"/>
            <w:hideMark/>
          </w:tcPr>
          <w:p w14:paraId="1C51A498" w14:textId="28C1F55A" w:rsidR="0027404A" w:rsidRPr="00C0591E" w:rsidRDefault="0027404A" w:rsidP="008F6F0F">
            <w:pPr>
              <w:spacing w:before="0"/>
              <w:jc w:val="center"/>
              <w:rPr>
                <w:rFonts w:eastAsia="Times New Roman"/>
              </w:rPr>
            </w:pPr>
            <w:r w:rsidRPr="00C0591E">
              <w:rPr>
                <w:rFonts w:eastAsia="Times New Roman"/>
              </w:rPr>
              <w:t>11.8</w:t>
            </w:r>
            <w:r w:rsidR="008F6F0F" w:rsidRPr="00C0591E">
              <w:rPr>
                <w:rFonts w:eastAsia="Times New Roman"/>
              </w:rPr>
              <w:t>%</w:t>
            </w:r>
          </w:p>
        </w:tc>
      </w:tr>
      <w:tr w:rsidR="0027404A" w:rsidRPr="00C0591E" w14:paraId="3F357485" w14:textId="77777777" w:rsidTr="0027404A">
        <w:trPr>
          <w:trHeight w:val="288"/>
        </w:trPr>
        <w:tc>
          <w:tcPr>
            <w:tcW w:w="2657" w:type="pct"/>
            <w:tcBorders>
              <w:top w:val="nil"/>
              <w:left w:val="nil"/>
              <w:bottom w:val="nil"/>
              <w:right w:val="nil"/>
            </w:tcBorders>
            <w:shd w:val="clear" w:color="auto" w:fill="auto"/>
            <w:noWrap/>
            <w:vAlign w:val="bottom"/>
            <w:hideMark/>
          </w:tcPr>
          <w:p w14:paraId="192F3605" w14:textId="77777777" w:rsidR="0027404A" w:rsidRPr="00C0591E" w:rsidRDefault="0027404A" w:rsidP="008F6F0F">
            <w:pPr>
              <w:spacing w:before="0"/>
              <w:rPr>
                <w:rFonts w:eastAsia="Times New Roman"/>
              </w:rPr>
            </w:pPr>
            <w:r w:rsidRPr="00C0591E">
              <w:rPr>
                <w:rFonts w:eastAsia="Times New Roman"/>
              </w:rPr>
              <w:t>Undergraduate Degree</w:t>
            </w:r>
          </w:p>
        </w:tc>
        <w:tc>
          <w:tcPr>
            <w:tcW w:w="1311" w:type="pct"/>
            <w:tcBorders>
              <w:top w:val="nil"/>
              <w:left w:val="nil"/>
              <w:bottom w:val="nil"/>
              <w:right w:val="nil"/>
            </w:tcBorders>
            <w:shd w:val="clear" w:color="auto" w:fill="auto"/>
            <w:noWrap/>
            <w:vAlign w:val="bottom"/>
            <w:hideMark/>
          </w:tcPr>
          <w:p w14:paraId="4338200E" w14:textId="77777777" w:rsidR="0027404A" w:rsidRPr="00C0591E" w:rsidRDefault="0027404A" w:rsidP="008F6F0F">
            <w:pPr>
              <w:spacing w:before="0"/>
              <w:jc w:val="center"/>
              <w:rPr>
                <w:rFonts w:eastAsia="Times New Roman"/>
              </w:rPr>
            </w:pPr>
            <w:r w:rsidRPr="00C0591E">
              <w:rPr>
                <w:rFonts w:eastAsia="Times New Roman"/>
              </w:rPr>
              <w:t>92</w:t>
            </w:r>
          </w:p>
        </w:tc>
        <w:tc>
          <w:tcPr>
            <w:tcW w:w="1032" w:type="pct"/>
            <w:tcBorders>
              <w:top w:val="nil"/>
              <w:left w:val="nil"/>
              <w:bottom w:val="nil"/>
              <w:right w:val="nil"/>
            </w:tcBorders>
            <w:shd w:val="clear" w:color="auto" w:fill="auto"/>
            <w:noWrap/>
            <w:vAlign w:val="bottom"/>
            <w:hideMark/>
          </w:tcPr>
          <w:p w14:paraId="5B329971" w14:textId="00D63FF6" w:rsidR="0027404A" w:rsidRPr="00C0591E" w:rsidRDefault="0027404A" w:rsidP="008F6F0F">
            <w:pPr>
              <w:spacing w:before="0"/>
              <w:jc w:val="center"/>
              <w:rPr>
                <w:rFonts w:eastAsia="Times New Roman"/>
              </w:rPr>
            </w:pPr>
            <w:r w:rsidRPr="00C0591E">
              <w:rPr>
                <w:rFonts w:eastAsia="Times New Roman"/>
              </w:rPr>
              <w:t>31.1</w:t>
            </w:r>
            <w:r w:rsidR="008F6F0F" w:rsidRPr="00C0591E">
              <w:rPr>
                <w:rFonts w:eastAsia="Times New Roman"/>
              </w:rPr>
              <w:t>%</w:t>
            </w:r>
          </w:p>
        </w:tc>
      </w:tr>
      <w:tr w:rsidR="0027404A" w:rsidRPr="00C0591E" w14:paraId="13EACED1" w14:textId="77777777" w:rsidTr="0027404A">
        <w:trPr>
          <w:trHeight w:val="288"/>
        </w:trPr>
        <w:tc>
          <w:tcPr>
            <w:tcW w:w="2657" w:type="pct"/>
            <w:tcBorders>
              <w:top w:val="nil"/>
              <w:left w:val="nil"/>
              <w:bottom w:val="nil"/>
              <w:right w:val="nil"/>
            </w:tcBorders>
            <w:shd w:val="clear" w:color="auto" w:fill="auto"/>
            <w:noWrap/>
            <w:vAlign w:val="bottom"/>
            <w:hideMark/>
          </w:tcPr>
          <w:p w14:paraId="00C3DE73" w14:textId="77777777" w:rsidR="0027404A" w:rsidRPr="00C0591E" w:rsidRDefault="0027404A" w:rsidP="008F6F0F">
            <w:pPr>
              <w:spacing w:before="0"/>
              <w:rPr>
                <w:rFonts w:eastAsia="Times New Roman"/>
              </w:rPr>
            </w:pPr>
            <w:r w:rsidRPr="00C0591E">
              <w:rPr>
                <w:rFonts w:eastAsia="Times New Roman"/>
              </w:rPr>
              <w:t>Master’s Degree</w:t>
            </w:r>
          </w:p>
        </w:tc>
        <w:tc>
          <w:tcPr>
            <w:tcW w:w="1311" w:type="pct"/>
            <w:tcBorders>
              <w:top w:val="nil"/>
              <w:left w:val="nil"/>
              <w:bottom w:val="nil"/>
              <w:right w:val="nil"/>
            </w:tcBorders>
            <w:shd w:val="clear" w:color="auto" w:fill="auto"/>
            <w:noWrap/>
            <w:vAlign w:val="bottom"/>
            <w:hideMark/>
          </w:tcPr>
          <w:p w14:paraId="753983DE" w14:textId="77777777" w:rsidR="0027404A" w:rsidRPr="00C0591E" w:rsidRDefault="0027404A" w:rsidP="008F6F0F">
            <w:pPr>
              <w:spacing w:before="0"/>
              <w:jc w:val="center"/>
              <w:rPr>
                <w:rFonts w:eastAsia="Times New Roman"/>
              </w:rPr>
            </w:pPr>
            <w:r w:rsidRPr="00C0591E">
              <w:rPr>
                <w:rFonts w:eastAsia="Times New Roman"/>
              </w:rPr>
              <w:t>111</w:t>
            </w:r>
          </w:p>
        </w:tc>
        <w:tc>
          <w:tcPr>
            <w:tcW w:w="1032" w:type="pct"/>
            <w:tcBorders>
              <w:top w:val="nil"/>
              <w:left w:val="nil"/>
              <w:bottom w:val="nil"/>
              <w:right w:val="nil"/>
            </w:tcBorders>
            <w:shd w:val="clear" w:color="auto" w:fill="auto"/>
            <w:noWrap/>
            <w:vAlign w:val="bottom"/>
            <w:hideMark/>
          </w:tcPr>
          <w:p w14:paraId="3A84CE4A" w14:textId="796093DD" w:rsidR="0027404A" w:rsidRPr="00C0591E" w:rsidRDefault="0027404A" w:rsidP="008F6F0F">
            <w:pPr>
              <w:spacing w:before="0"/>
              <w:jc w:val="center"/>
              <w:rPr>
                <w:rFonts w:eastAsia="Times New Roman"/>
              </w:rPr>
            </w:pPr>
            <w:r w:rsidRPr="00C0591E">
              <w:rPr>
                <w:rFonts w:eastAsia="Times New Roman"/>
              </w:rPr>
              <w:t>37.5</w:t>
            </w:r>
            <w:r w:rsidR="008F6F0F" w:rsidRPr="00C0591E">
              <w:rPr>
                <w:rFonts w:eastAsia="Times New Roman"/>
              </w:rPr>
              <w:t>%</w:t>
            </w:r>
          </w:p>
        </w:tc>
      </w:tr>
      <w:tr w:rsidR="0027404A" w:rsidRPr="00C0591E" w14:paraId="306FD696" w14:textId="77777777" w:rsidTr="0027404A">
        <w:trPr>
          <w:trHeight w:val="288"/>
        </w:trPr>
        <w:tc>
          <w:tcPr>
            <w:tcW w:w="2657" w:type="pct"/>
            <w:tcBorders>
              <w:top w:val="nil"/>
              <w:left w:val="nil"/>
              <w:bottom w:val="nil"/>
              <w:right w:val="nil"/>
            </w:tcBorders>
            <w:shd w:val="clear" w:color="auto" w:fill="auto"/>
            <w:noWrap/>
            <w:vAlign w:val="bottom"/>
            <w:hideMark/>
          </w:tcPr>
          <w:p w14:paraId="320CEAEA" w14:textId="77777777" w:rsidR="0027404A" w:rsidRPr="00C0591E" w:rsidRDefault="0027404A" w:rsidP="008F6F0F">
            <w:pPr>
              <w:spacing w:before="0"/>
              <w:rPr>
                <w:rFonts w:eastAsia="Times New Roman"/>
              </w:rPr>
            </w:pPr>
            <w:r w:rsidRPr="00C0591E">
              <w:rPr>
                <w:rFonts w:eastAsia="Times New Roman"/>
              </w:rPr>
              <w:t>PhD</w:t>
            </w:r>
          </w:p>
        </w:tc>
        <w:tc>
          <w:tcPr>
            <w:tcW w:w="1311" w:type="pct"/>
            <w:tcBorders>
              <w:top w:val="nil"/>
              <w:left w:val="nil"/>
              <w:bottom w:val="nil"/>
              <w:right w:val="nil"/>
            </w:tcBorders>
            <w:shd w:val="clear" w:color="auto" w:fill="auto"/>
            <w:noWrap/>
            <w:vAlign w:val="bottom"/>
            <w:hideMark/>
          </w:tcPr>
          <w:p w14:paraId="349CD552" w14:textId="77777777" w:rsidR="0027404A" w:rsidRPr="00C0591E" w:rsidRDefault="0027404A" w:rsidP="008F6F0F">
            <w:pPr>
              <w:spacing w:before="0"/>
              <w:jc w:val="center"/>
              <w:rPr>
                <w:rFonts w:eastAsia="Times New Roman"/>
              </w:rPr>
            </w:pPr>
            <w:r w:rsidRPr="00C0591E">
              <w:rPr>
                <w:rFonts w:eastAsia="Times New Roman"/>
              </w:rPr>
              <w:t>58</w:t>
            </w:r>
          </w:p>
        </w:tc>
        <w:tc>
          <w:tcPr>
            <w:tcW w:w="1032" w:type="pct"/>
            <w:tcBorders>
              <w:top w:val="nil"/>
              <w:left w:val="nil"/>
              <w:bottom w:val="nil"/>
              <w:right w:val="nil"/>
            </w:tcBorders>
            <w:shd w:val="clear" w:color="auto" w:fill="auto"/>
            <w:noWrap/>
            <w:vAlign w:val="bottom"/>
            <w:hideMark/>
          </w:tcPr>
          <w:p w14:paraId="7FB07B1C" w14:textId="39597D67" w:rsidR="0027404A" w:rsidRPr="00C0591E" w:rsidRDefault="0027404A" w:rsidP="008F6F0F">
            <w:pPr>
              <w:spacing w:before="0"/>
              <w:jc w:val="center"/>
              <w:rPr>
                <w:rFonts w:eastAsia="Times New Roman"/>
              </w:rPr>
            </w:pPr>
            <w:r w:rsidRPr="00C0591E">
              <w:rPr>
                <w:rFonts w:eastAsia="Times New Roman"/>
              </w:rPr>
              <w:t>19.6</w:t>
            </w:r>
            <w:r w:rsidR="008F6F0F" w:rsidRPr="00C0591E">
              <w:rPr>
                <w:rFonts w:eastAsia="Times New Roman"/>
              </w:rPr>
              <w:t>%</w:t>
            </w:r>
          </w:p>
        </w:tc>
      </w:tr>
      <w:tr w:rsidR="0027404A" w:rsidRPr="00C0591E" w14:paraId="542C1937" w14:textId="77777777" w:rsidTr="0027404A">
        <w:trPr>
          <w:trHeight w:val="288"/>
        </w:trPr>
        <w:tc>
          <w:tcPr>
            <w:tcW w:w="2657" w:type="pct"/>
            <w:tcBorders>
              <w:top w:val="nil"/>
              <w:left w:val="nil"/>
              <w:bottom w:val="single" w:sz="4" w:space="0" w:color="auto"/>
              <w:right w:val="nil"/>
            </w:tcBorders>
            <w:shd w:val="clear" w:color="auto" w:fill="auto"/>
            <w:noWrap/>
            <w:vAlign w:val="bottom"/>
            <w:hideMark/>
          </w:tcPr>
          <w:p w14:paraId="4D88043F" w14:textId="77777777" w:rsidR="0027404A" w:rsidRPr="00C0591E" w:rsidRDefault="0027404A" w:rsidP="008F6F0F">
            <w:pPr>
              <w:spacing w:before="0"/>
              <w:rPr>
                <w:rFonts w:eastAsia="Times New Roman"/>
              </w:rPr>
            </w:pPr>
            <w:r w:rsidRPr="00C0591E">
              <w:rPr>
                <w:rFonts w:eastAsia="Times New Roman"/>
              </w:rPr>
              <w:t>Total</w:t>
            </w:r>
          </w:p>
        </w:tc>
        <w:tc>
          <w:tcPr>
            <w:tcW w:w="1311" w:type="pct"/>
            <w:tcBorders>
              <w:top w:val="nil"/>
              <w:left w:val="nil"/>
              <w:bottom w:val="single" w:sz="4" w:space="0" w:color="auto"/>
              <w:right w:val="nil"/>
            </w:tcBorders>
            <w:shd w:val="clear" w:color="auto" w:fill="auto"/>
            <w:noWrap/>
            <w:vAlign w:val="bottom"/>
            <w:hideMark/>
          </w:tcPr>
          <w:p w14:paraId="7617B0DC" w14:textId="77777777" w:rsidR="0027404A" w:rsidRPr="00C0591E" w:rsidRDefault="0027404A" w:rsidP="008F6F0F">
            <w:pPr>
              <w:spacing w:before="0"/>
              <w:jc w:val="center"/>
              <w:rPr>
                <w:rFonts w:eastAsia="Times New Roman"/>
              </w:rPr>
            </w:pPr>
            <w:r w:rsidRPr="00C0591E">
              <w:rPr>
                <w:rFonts w:eastAsia="Times New Roman"/>
              </w:rPr>
              <w:t>296</w:t>
            </w:r>
          </w:p>
        </w:tc>
        <w:tc>
          <w:tcPr>
            <w:tcW w:w="1032" w:type="pct"/>
            <w:tcBorders>
              <w:top w:val="nil"/>
              <w:left w:val="nil"/>
              <w:bottom w:val="single" w:sz="4" w:space="0" w:color="auto"/>
              <w:right w:val="nil"/>
            </w:tcBorders>
            <w:shd w:val="clear" w:color="auto" w:fill="auto"/>
            <w:noWrap/>
            <w:vAlign w:val="bottom"/>
            <w:hideMark/>
          </w:tcPr>
          <w:p w14:paraId="05E8EF2C" w14:textId="77777777" w:rsidR="0027404A" w:rsidRPr="00C0591E" w:rsidRDefault="0027404A" w:rsidP="008F6F0F">
            <w:pPr>
              <w:spacing w:before="0"/>
              <w:jc w:val="center"/>
              <w:rPr>
                <w:rFonts w:eastAsia="Times New Roman"/>
              </w:rPr>
            </w:pPr>
            <w:r w:rsidRPr="00C0591E">
              <w:rPr>
                <w:rFonts w:eastAsia="Times New Roman"/>
              </w:rPr>
              <w:t>100</w:t>
            </w:r>
          </w:p>
        </w:tc>
      </w:tr>
    </w:tbl>
    <w:p w14:paraId="4BEB2A2C" w14:textId="1D39D646" w:rsidR="00EB54A4" w:rsidRPr="00C0591E" w:rsidRDefault="00EB54A4" w:rsidP="00EB54A4">
      <w:pPr>
        <w:rPr>
          <w:lang w:bidi="he-IL"/>
        </w:rPr>
      </w:pPr>
      <w:r w:rsidRPr="00C0591E">
        <w:t xml:space="preserve">The respondents were asked to indicate their level of education. Majority of the respondents had attained master level of education at 111(37.5%), followed by respondents with Undergraduate Degree at 92(31.1%), followed by respondents with PhD at 58(19.6%) while diploma was at 35(11.8%). </w:t>
      </w:r>
      <w:r w:rsidRPr="00C0591E">
        <w:rPr>
          <w:lang w:bidi="he-IL"/>
        </w:rPr>
        <w:t xml:space="preserve">This implies that respondents’ education level was adequate to </w:t>
      </w:r>
      <w:r w:rsidR="002769CC" w:rsidRPr="00C0591E">
        <w:rPr>
          <w:lang w:bidi="he-IL"/>
        </w:rPr>
        <w:t>comprehend</w:t>
      </w:r>
      <w:r w:rsidRPr="00C0591E">
        <w:rPr>
          <w:lang w:bidi="he-IL"/>
        </w:rPr>
        <w:t xml:space="preserve"> the research questions.  As echoed by Kothari (2009), education is one of the most important characteristics that might determine and affect individual attitudes and the way of looking and understanding any particular social phenomenon. In a way, the response of an individual is likely to be determined by one’s educational status and hence it becomes imperative to know the educational background of the respondents.</w:t>
      </w:r>
    </w:p>
    <w:p w14:paraId="58AEE553" w14:textId="77777777" w:rsidR="00EB54A4" w:rsidRPr="00C0591E" w:rsidRDefault="00EB54A4" w:rsidP="00EB54A4">
      <w:pPr>
        <w:pStyle w:val="Heading3"/>
      </w:pPr>
      <w:bookmarkStart w:id="158" w:name="_Toc10827051"/>
      <w:bookmarkStart w:id="159" w:name="_Toc20424335"/>
      <w:bookmarkStart w:id="160" w:name="_Toc22319963"/>
      <w:r w:rsidRPr="00C0591E">
        <w:t xml:space="preserve">4.3.4 </w:t>
      </w:r>
      <w:bookmarkEnd w:id="158"/>
      <w:r w:rsidRPr="00C0591E">
        <w:t xml:space="preserve">Duration </w:t>
      </w:r>
      <w:bookmarkEnd w:id="159"/>
      <w:bookmarkEnd w:id="160"/>
      <w:r w:rsidRPr="00C0591E">
        <w:t>of Service</w:t>
      </w:r>
    </w:p>
    <w:p w14:paraId="48A089FA" w14:textId="3CBBE3A1" w:rsidR="00EB54A4" w:rsidRPr="00C0591E" w:rsidRDefault="00EB54A4" w:rsidP="00EB54A4">
      <w:r w:rsidRPr="00C0591E">
        <w:t xml:space="preserve">The respondents were asked to indicate their duration at </w:t>
      </w:r>
      <w:r w:rsidR="00BC5437" w:rsidRPr="00C0591E">
        <w:t>pension fund managers</w:t>
      </w:r>
      <w:r w:rsidRPr="00C0591E">
        <w:t>. Th</w:t>
      </w:r>
      <w:r w:rsidR="006753B0" w:rsidRPr="00C0591E">
        <w:t>e results are shown in Table 8</w:t>
      </w:r>
      <w:r w:rsidRPr="00C0591E">
        <w:t>.</w:t>
      </w:r>
    </w:p>
    <w:p w14:paraId="415FE35D" w14:textId="602C0E57" w:rsidR="00BC5437" w:rsidRPr="00C0591E" w:rsidRDefault="006753B0" w:rsidP="00C27CD7">
      <w:pPr>
        <w:pStyle w:val="Heading4"/>
        <w:rPr>
          <w:rFonts w:eastAsia="Calibri"/>
          <w:lang w:bidi="en-US"/>
        </w:rPr>
      </w:pPr>
      <w:bookmarkStart w:id="161" w:name="_Toc34370510"/>
      <w:bookmarkStart w:id="162" w:name="_Toc35964572"/>
      <w:bookmarkStart w:id="163" w:name="_Toc36648786"/>
      <w:bookmarkStart w:id="164" w:name="_Toc46234214"/>
      <w:bookmarkStart w:id="165" w:name="_Toc113125143"/>
      <w:r w:rsidRPr="00C0591E">
        <w:rPr>
          <w:rFonts w:eastAsia="Calibri"/>
          <w:lang w:bidi="en-US"/>
        </w:rPr>
        <w:t>Table 8</w:t>
      </w:r>
      <w:r w:rsidR="00BC5437" w:rsidRPr="00C0591E">
        <w:rPr>
          <w:rFonts w:eastAsia="Calibri"/>
          <w:lang w:bidi="en-US"/>
        </w:rPr>
        <w:t xml:space="preserve">: </w:t>
      </w:r>
      <w:r w:rsidR="00BC5437" w:rsidRPr="00C0591E">
        <w:t>Respondents</w:t>
      </w:r>
      <w:r w:rsidR="00BC5437" w:rsidRPr="00C0591E">
        <w:rPr>
          <w:rFonts w:eastAsia="Calibri"/>
          <w:lang w:bidi="en-US"/>
        </w:rPr>
        <w:t xml:space="preserve"> </w:t>
      </w:r>
      <w:r w:rsidR="00494D19" w:rsidRPr="00C0591E">
        <w:t>Years in Service</w:t>
      </w:r>
      <w:bookmarkEnd w:id="161"/>
      <w:bookmarkEnd w:id="162"/>
      <w:bookmarkEnd w:id="163"/>
      <w:bookmarkEnd w:id="164"/>
      <w:bookmarkEnd w:id="165"/>
      <w:r w:rsidR="00494D19" w:rsidRPr="00C0591E">
        <w:t xml:space="preserve"> </w:t>
      </w:r>
    </w:p>
    <w:tbl>
      <w:tblPr>
        <w:tblW w:w="5000" w:type="pct"/>
        <w:tblLook w:val="04A0" w:firstRow="1" w:lastRow="0" w:firstColumn="1" w:lastColumn="0" w:noHBand="0" w:noVBand="1"/>
      </w:tblPr>
      <w:tblGrid>
        <w:gridCol w:w="4680"/>
        <w:gridCol w:w="2432"/>
        <w:gridCol w:w="1914"/>
      </w:tblGrid>
      <w:tr w:rsidR="0027404A" w:rsidRPr="00C0591E" w14:paraId="36CB62EF" w14:textId="77777777" w:rsidTr="0027404A">
        <w:trPr>
          <w:trHeight w:val="288"/>
        </w:trPr>
        <w:tc>
          <w:tcPr>
            <w:tcW w:w="2593" w:type="pct"/>
            <w:tcBorders>
              <w:top w:val="single" w:sz="4" w:space="0" w:color="auto"/>
              <w:left w:val="nil"/>
              <w:bottom w:val="single" w:sz="4" w:space="0" w:color="auto"/>
              <w:right w:val="nil"/>
            </w:tcBorders>
            <w:shd w:val="clear" w:color="auto" w:fill="auto"/>
            <w:noWrap/>
            <w:vAlign w:val="bottom"/>
            <w:hideMark/>
          </w:tcPr>
          <w:p w14:paraId="054B065D" w14:textId="77777777" w:rsidR="0027404A" w:rsidRPr="00C0591E" w:rsidRDefault="0027404A" w:rsidP="0027404A">
            <w:pPr>
              <w:spacing w:line="276" w:lineRule="auto"/>
              <w:rPr>
                <w:rFonts w:eastAsia="Times New Roman"/>
                <w:b/>
              </w:rPr>
            </w:pPr>
            <w:r w:rsidRPr="00C0591E">
              <w:rPr>
                <w:rFonts w:eastAsia="Times New Roman"/>
                <w:b/>
              </w:rPr>
              <w:t>Duration</w:t>
            </w:r>
          </w:p>
        </w:tc>
        <w:tc>
          <w:tcPr>
            <w:tcW w:w="1347" w:type="pct"/>
            <w:tcBorders>
              <w:top w:val="single" w:sz="4" w:space="0" w:color="auto"/>
              <w:left w:val="nil"/>
              <w:bottom w:val="single" w:sz="4" w:space="0" w:color="auto"/>
              <w:right w:val="nil"/>
            </w:tcBorders>
            <w:shd w:val="clear" w:color="auto" w:fill="auto"/>
            <w:noWrap/>
            <w:vAlign w:val="bottom"/>
            <w:hideMark/>
          </w:tcPr>
          <w:p w14:paraId="2A3FD1A3" w14:textId="77777777" w:rsidR="0027404A" w:rsidRPr="00C0591E" w:rsidRDefault="0027404A" w:rsidP="00BC5437">
            <w:pPr>
              <w:spacing w:line="276" w:lineRule="auto"/>
              <w:jc w:val="center"/>
              <w:rPr>
                <w:rFonts w:eastAsia="Times New Roman"/>
                <w:b/>
              </w:rPr>
            </w:pPr>
            <w:r w:rsidRPr="00C0591E">
              <w:rPr>
                <w:rFonts w:eastAsia="Times New Roman"/>
                <w:b/>
              </w:rPr>
              <w:t>Frequency</w:t>
            </w:r>
          </w:p>
        </w:tc>
        <w:tc>
          <w:tcPr>
            <w:tcW w:w="1060" w:type="pct"/>
            <w:tcBorders>
              <w:top w:val="single" w:sz="4" w:space="0" w:color="auto"/>
              <w:left w:val="nil"/>
              <w:bottom w:val="single" w:sz="4" w:space="0" w:color="auto"/>
              <w:right w:val="nil"/>
            </w:tcBorders>
            <w:shd w:val="clear" w:color="auto" w:fill="auto"/>
            <w:noWrap/>
            <w:vAlign w:val="bottom"/>
            <w:hideMark/>
          </w:tcPr>
          <w:p w14:paraId="6D5A285D" w14:textId="77777777" w:rsidR="0027404A" w:rsidRPr="00C0591E" w:rsidRDefault="0027404A" w:rsidP="00BC5437">
            <w:pPr>
              <w:spacing w:line="276" w:lineRule="auto"/>
              <w:jc w:val="center"/>
              <w:rPr>
                <w:rFonts w:eastAsia="Times New Roman"/>
                <w:b/>
              </w:rPr>
            </w:pPr>
            <w:r w:rsidRPr="00C0591E">
              <w:rPr>
                <w:rFonts w:eastAsia="Times New Roman"/>
                <w:b/>
              </w:rPr>
              <w:t>Percent</w:t>
            </w:r>
          </w:p>
        </w:tc>
      </w:tr>
      <w:tr w:rsidR="0027404A" w:rsidRPr="00C0591E" w14:paraId="2FE4490B" w14:textId="77777777" w:rsidTr="0027404A">
        <w:trPr>
          <w:trHeight w:val="288"/>
        </w:trPr>
        <w:tc>
          <w:tcPr>
            <w:tcW w:w="2593" w:type="pct"/>
            <w:tcBorders>
              <w:top w:val="nil"/>
              <w:left w:val="nil"/>
              <w:bottom w:val="nil"/>
              <w:right w:val="nil"/>
            </w:tcBorders>
            <w:shd w:val="clear" w:color="auto" w:fill="auto"/>
            <w:noWrap/>
            <w:vAlign w:val="bottom"/>
            <w:hideMark/>
          </w:tcPr>
          <w:p w14:paraId="339F3B13" w14:textId="77777777" w:rsidR="0027404A" w:rsidRPr="00C0591E" w:rsidRDefault="0027404A" w:rsidP="0027404A">
            <w:pPr>
              <w:spacing w:line="276" w:lineRule="auto"/>
              <w:rPr>
                <w:rFonts w:eastAsia="Times New Roman"/>
              </w:rPr>
            </w:pPr>
            <w:r w:rsidRPr="00C0591E">
              <w:rPr>
                <w:rFonts w:eastAsia="Times New Roman"/>
              </w:rPr>
              <w:t>0– 5 years</w:t>
            </w:r>
          </w:p>
        </w:tc>
        <w:tc>
          <w:tcPr>
            <w:tcW w:w="1347" w:type="pct"/>
            <w:tcBorders>
              <w:top w:val="nil"/>
              <w:left w:val="nil"/>
              <w:bottom w:val="nil"/>
              <w:right w:val="nil"/>
            </w:tcBorders>
            <w:shd w:val="clear" w:color="auto" w:fill="auto"/>
            <w:noWrap/>
            <w:vAlign w:val="bottom"/>
            <w:hideMark/>
          </w:tcPr>
          <w:p w14:paraId="7EAA0FFB" w14:textId="77777777" w:rsidR="0027404A" w:rsidRPr="00C0591E" w:rsidRDefault="0027404A" w:rsidP="00BC5437">
            <w:pPr>
              <w:spacing w:line="276" w:lineRule="auto"/>
              <w:jc w:val="center"/>
              <w:rPr>
                <w:rFonts w:eastAsia="Times New Roman"/>
              </w:rPr>
            </w:pPr>
            <w:r w:rsidRPr="00C0591E">
              <w:rPr>
                <w:rFonts w:eastAsia="Times New Roman"/>
              </w:rPr>
              <w:t>30</w:t>
            </w:r>
          </w:p>
        </w:tc>
        <w:tc>
          <w:tcPr>
            <w:tcW w:w="1060" w:type="pct"/>
            <w:tcBorders>
              <w:top w:val="nil"/>
              <w:left w:val="nil"/>
              <w:bottom w:val="nil"/>
              <w:right w:val="nil"/>
            </w:tcBorders>
            <w:shd w:val="clear" w:color="auto" w:fill="auto"/>
            <w:noWrap/>
            <w:vAlign w:val="bottom"/>
            <w:hideMark/>
          </w:tcPr>
          <w:p w14:paraId="5D340658" w14:textId="26B879DE" w:rsidR="0027404A" w:rsidRPr="00C0591E" w:rsidRDefault="0027404A" w:rsidP="00BC5437">
            <w:pPr>
              <w:spacing w:line="276" w:lineRule="auto"/>
              <w:jc w:val="center"/>
              <w:rPr>
                <w:rFonts w:eastAsia="Times New Roman"/>
              </w:rPr>
            </w:pPr>
            <w:r w:rsidRPr="00C0591E">
              <w:rPr>
                <w:rFonts w:eastAsia="Times New Roman"/>
              </w:rPr>
              <w:t>10.1</w:t>
            </w:r>
            <w:r w:rsidR="00BC5437" w:rsidRPr="00C0591E">
              <w:rPr>
                <w:rFonts w:eastAsia="Times New Roman"/>
              </w:rPr>
              <w:t>%</w:t>
            </w:r>
          </w:p>
        </w:tc>
      </w:tr>
      <w:tr w:rsidR="0027404A" w:rsidRPr="00C0591E" w14:paraId="49FBA690" w14:textId="77777777" w:rsidTr="0027404A">
        <w:trPr>
          <w:trHeight w:val="288"/>
        </w:trPr>
        <w:tc>
          <w:tcPr>
            <w:tcW w:w="2593" w:type="pct"/>
            <w:tcBorders>
              <w:top w:val="nil"/>
              <w:left w:val="nil"/>
              <w:bottom w:val="nil"/>
              <w:right w:val="nil"/>
            </w:tcBorders>
            <w:shd w:val="clear" w:color="auto" w:fill="auto"/>
            <w:noWrap/>
            <w:vAlign w:val="bottom"/>
            <w:hideMark/>
          </w:tcPr>
          <w:p w14:paraId="63D2F420" w14:textId="77777777" w:rsidR="0027404A" w:rsidRPr="00C0591E" w:rsidRDefault="0027404A" w:rsidP="0027404A">
            <w:pPr>
              <w:spacing w:line="276" w:lineRule="auto"/>
              <w:rPr>
                <w:rFonts w:eastAsia="Times New Roman"/>
              </w:rPr>
            </w:pPr>
            <w:r w:rsidRPr="00C0591E">
              <w:rPr>
                <w:rFonts w:eastAsia="Times New Roman"/>
              </w:rPr>
              <w:t>6 – 10years</w:t>
            </w:r>
          </w:p>
        </w:tc>
        <w:tc>
          <w:tcPr>
            <w:tcW w:w="1347" w:type="pct"/>
            <w:tcBorders>
              <w:top w:val="nil"/>
              <w:left w:val="nil"/>
              <w:bottom w:val="nil"/>
              <w:right w:val="nil"/>
            </w:tcBorders>
            <w:shd w:val="clear" w:color="auto" w:fill="auto"/>
            <w:noWrap/>
            <w:vAlign w:val="bottom"/>
            <w:hideMark/>
          </w:tcPr>
          <w:p w14:paraId="2EEC5441" w14:textId="77777777" w:rsidR="0027404A" w:rsidRPr="00C0591E" w:rsidRDefault="0027404A" w:rsidP="00BC5437">
            <w:pPr>
              <w:spacing w:line="276" w:lineRule="auto"/>
              <w:jc w:val="center"/>
              <w:rPr>
                <w:rFonts w:eastAsia="Times New Roman"/>
              </w:rPr>
            </w:pPr>
            <w:r w:rsidRPr="00C0591E">
              <w:rPr>
                <w:rFonts w:eastAsia="Times New Roman"/>
              </w:rPr>
              <w:t>132</w:t>
            </w:r>
          </w:p>
        </w:tc>
        <w:tc>
          <w:tcPr>
            <w:tcW w:w="1060" w:type="pct"/>
            <w:tcBorders>
              <w:top w:val="nil"/>
              <w:left w:val="nil"/>
              <w:bottom w:val="nil"/>
              <w:right w:val="nil"/>
            </w:tcBorders>
            <w:shd w:val="clear" w:color="auto" w:fill="auto"/>
            <w:noWrap/>
            <w:vAlign w:val="bottom"/>
            <w:hideMark/>
          </w:tcPr>
          <w:p w14:paraId="3B691948" w14:textId="67A29BCA" w:rsidR="0027404A" w:rsidRPr="00C0591E" w:rsidRDefault="0027404A" w:rsidP="00BC5437">
            <w:pPr>
              <w:spacing w:line="276" w:lineRule="auto"/>
              <w:jc w:val="center"/>
              <w:rPr>
                <w:rFonts w:eastAsia="Times New Roman"/>
              </w:rPr>
            </w:pPr>
            <w:r w:rsidRPr="00C0591E">
              <w:rPr>
                <w:rFonts w:eastAsia="Times New Roman"/>
              </w:rPr>
              <w:t>44.6</w:t>
            </w:r>
            <w:r w:rsidR="00BC5437" w:rsidRPr="00C0591E">
              <w:rPr>
                <w:rFonts w:eastAsia="Times New Roman"/>
              </w:rPr>
              <w:t>%</w:t>
            </w:r>
          </w:p>
        </w:tc>
      </w:tr>
      <w:tr w:rsidR="0027404A" w:rsidRPr="00C0591E" w14:paraId="7715FB1B" w14:textId="77777777" w:rsidTr="0027404A">
        <w:trPr>
          <w:trHeight w:val="288"/>
        </w:trPr>
        <w:tc>
          <w:tcPr>
            <w:tcW w:w="2593" w:type="pct"/>
            <w:tcBorders>
              <w:top w:val="nil"/>
              <w:left w:val="nil"/>
              <w:bottom w:val="nil"/>
              <w:right w:val="nil"/>
            </w:tcBorders>
            <w:shd w:val="clear" w:color="auto" w:fill="auto"/>
            <w:noWrap/>
            <w:vAlign w:val="bottom"/>
            <w:hideMark/>
          </w:tcPr>
          <w:p w14:paraId="5631C01F" w14:textId="77777777" w:rsidR="0027404A" w:rsidRPr="00C0591E" w:rsidRDefault="0027404A" w:rsidP="0027404A">
            <w:pPr>
              <w:spacing w:line="276" w:lineRule="auto"/>
              <w:rPr>
                <w:rFonts w:eastAsia="Times New Roman"/>
              </w:rPr>
            </w:pPr>
            <w:r w:rsidRPr="00C0591E">
              <w:rPr>
                <w:rFonts w:eastAsia="Times New Roman"/>
              </w:rPr>
              <w:t>11 – 15years</w:t>
            </w:r>
          </w:p>
        </w:tc>
        <w:tc>
          <w:tcPr>
            <w:tcW w:w="1347" w:type="pct"/>
            <w:tcBorders>
              <w:top w:val="nil"/>
              <w:left w:val="nil"/>
              <w:bottom w:val="nil"/>
              <w:right w:val="nil"/>
            </w:tcBorders>
            <w:shd w:val="clear" w:color="auto" w:fill="auto"/>
            <w:noWrap/>
            <w:vAlign w:val="bottom"/>
            <w:hideMark/>
          </w:tcPr>
          <w:p w14:paraId="4DA44EFC" w14:textId="77777777" w:rsidR="0027404A" w:rsidRPr="00C0591E" w:rsidRDefault="0027404A" w:rsidP="00BC5437">
            <w:pPr>
              <w:spacing w:line="276" w:lineRule="auto"/>
              <w:jc w:val="center"/>
              <w:rPr>
                <w:rFonts w:eastAsia="Times New Roman"/>
              </w:rPr>
            </w:pPr>
            <w:r w:rsidRPr="00C0591E">
              <w:rPr>
                <w:rFonts w:eastAsia="Times New Roman"/>
              </w:rPr>
              <w:t>103</w:t>
            </w:r>
          </w:p>
        </w:tc>
        <w:tc>
          <w:tcPr>
            <w:tcW w:w="1060" w:type="pct"/>
            <w:tcBorders>
              <w:top w:val="nil"/>
              <w:left w:val="nil"/>
              <w:bottom w:val="nil"/>
              <w:right w:val="nil"/>
            </w:tcBorders>
            <w:shd w:val="clear" w:color="auto" w:fill="auto"/>
            <w:noWrap/>
            <w:vAlign w:val="bottom"/>
            <w:hideMark/>
          </w:tcPr>
          <w:p w14:paraId="3376FEB3" w14:textId="30D23B92" w:rsidR="0027404A" w:rsidRPr="00C0591E" w:rsidRDefault="0027404A" w:rsidP="00BC5437">
            <w:pPr>
              <w:spacing w:line="276" w:lineRule="auto"/>
              <w:jc w:val="center"/>
              <w:rPr>
                <w:rFonts w:eastAsia="Times New Roman"/>
              </w:rPr>
            </w:pPr>
            <w:r w:rsidRPr="00C0591E">
              <w:rPr>
                <w:rFonts w:eastAsia="Times New Roman"/>
              </w:rPr>
              <w:t>34.8</w:t>
            </w:r>
            <w:r w:rsidR="00BC5437" w:rsidRPr="00C0591E">
              <w:rPr>
                <w:rFonts w:eastAsia="Times New Roman"/>
              </w:rPr>
              <w:t>%</w:t>
            </w:r>
          </w:p>
        </w:tc>
      </w:tr>
      <w:tr w:rsidR="0027404A" w:rsidRPr="00C0591E" w14:paraId="21D372AE" w14:textId="77777777" w:rsidTr="0027404A">
        <w:trPr>
          <w:trHeight w:val="288"/>
        </w:trPr>
        <w:tc>
          <w:tcPr>
            <w:tcW w:w="2593" w:type="pct"/>
            <w:tcBorders>
              <w:top w:val="nil"/>
              <w:left w:val="nil"/>
              <w:bottom w:val="nil"/>
              <w:right w:val="nil"/>
            </w:tcBorders>
            <w:shd w:val="clear" w:color="auto" w:fill="auto"/>
            <w:noWrap/>
            <w:vAlign w:val="bottom"/>
            <w:hideMark/>
          </w:tcPr>
          <w:p w14:paraId="214F3219" w14:textId="77777777" w:rsidR="0027404A" w:rsidRPr="00C0591E" w:rsidRDefault="0027404A" w:rsidP="0027404A">
            <w:pPr>
              <w:spacing w:line="276" w:lineRule="auto"/>
              <w:rPr>
                <w:rFonts w:eastAsia="Times New Roman"/>
              </w:rPr>
            </w:pPr>
            <w:r w:rsidRPr="00C0591E">
              <w:rPr>
                <w:rFonts w:eastAsia="Times New Roman"/>
              </w:rPr>
              <w:t>16 – 20years</w:t>
            </w:r>
          </w:p>
        </w:tc>
        <w:tc>
          <w:tcPr>
            <w:tcW w:w="1347" w:type="pct"/>
            <w:tcBorders>
              <w:top w:val="nil"/>
              <w:left w:val="nil"/>
              <w:bottom w:val="nil"/>
              <w:right w:val="nil"/>
            </w:tcBorders>
            <w:shd w:val="clear" w:color="auto" w:fill="auto"/>
            <w:noWrap/>
            <w:vAlign w:val="bottom"/>
            <w:hideMark/>
          </w:tcPr>
          <w:p w14:paraId="7641A326" w14:textId="77777777" w:rsidR="0027404A" w:rsidRPr="00C0591E" w:rsidRDefault="0027404A" w:rsidP="00BC5437">
            <w:pPr>
              <w:spacing w:line="276" w:lineRule="auto"/>
              <w:jc w:val="center"/>
              <w:rPr>
                <w:rFonts w:eastAsia="Times New Roman"/>
              </w:rPr>
            </w:pPr>
            <w:r w:rsidRPr="00C0591E">
              <w:rPr>
                <w:rFonts w:eastAsia="Times New Roman"/>
              </w:rPr>
              <w:t>31</w:t>
            </w:r>
          </w:p>
        </w:tc>
        <w:tc>
          <w:tcPr>
            <w:tcW w:w="1060" w:type="pct"/>
            <w:tcBorders>
              <w:top w:val="nil"/>
              <w:left w:val="nil"/>
              <w:bottom w:val="nil"/>
              <w:right w:val="nil"/>
            </w:tcBorders>
            <w:shd w:val="clear" w:color="auto" w:fill="auto"/>
            <w:noWrap/>
            <w:vAlign w:val="bottom"/>
            <w:hideMark/>
          </w:tcPr>
          <w:p w14:paraId="4F1CE03D" w14:textId="1C84B32A" w:rsidR="0027404A" w:rsidRPr="00C0591E" w:rsidRDefault="0027404A" w:rsidP="00BC5437">
            <w:pPr>
              <w:spacing w:line="276" w:lineRule="auto"/>
              <w:jc w:val="center"/>
              <w:rPr>
                <w:rFonts w:eastAsia="Times New Roman"/>
              </w:rPr>
            </w:pPr>
            <w:r w:rsidRPr="00C0591E">
              <w:rPr>
                <w:rFonts w:eastAsia="Times New Roman"/>
              </w:rPr>
              <w:t>10.5</w:t>
            </w:r>
            <w:r w:rsidR="00BC5437" w:rsidRPr="00C0591E">
              <w:rPr>
                <w:rFonts w:eastAsia="Times New Roman"/>
              </w:rPr>
              <w:t>%</w:t>
            </w:r>
          </w:p>
        </w:tc>
      </w:tr>
      <w:tr w:rsidR="0027404A" w:rsidRPr="00C0591E" w14:paraId="2E1E3E8B" w14:textId="77777777" w:rsidTr="0027404A">
        <w:trPr>
          <w:trHeight w:val="288"/>
        </w:trPr>
        <w:tc>
          <w:tcPr>
            <w:tcW w:w="2593" w:type="pct"/>
            <w:tcBorders>
              <w:top w:val="nil"/>
              <w:left w:val="nil"/>
              <w:bottom w:val="single" w:sz="4" w:space="0" w:color="auto"/>
              <w:right w:val="nil"/>
            </w:tcBorders>
            <w:shd w:val="clear" w:color="auto" w:fill="auto"/>
            <w:noWrap/>
            <w:vAlign w:val="bottom"/>
            <w:hideMark/>
          </w:tcPr>
          <w:p w14:paraId="47E353FA" w14:textId="77777777" w:rsidR="0027404A" w:rsidRPr="00C0591E" w:rsidRDefault="0027404A" w:rsidP="0027404A">
            <w:pPr>
              <w:spacing w:line="276" w:lineRule="auto"/>
              <w:rPr>
                <w:rFonts w:eastAsia="Times New Roman"/>
              </w:rPr>
            </w:pPr>
            <w:r w:rsidRPr="00C0591E">
              <w:rPr>
                <w:rFonts w:eastAsia="Times New Roman"/>
              </w:rPr>
              <w:t>Total</w:t>
            </w:r>
          </w:p>
        </w:tc>
        <w:tc>
          <w:tcPr>
            <w:tcW w:w="1347" w:type="pct"/>
            <w:tcBorders>
              <w:top w:val="nil"/>
              <w:left w:val="nil"/>
              <w:bottom w:val="single" w:sz="4" w:space="0" w:color="auto"/>
              <w:right w:val="nil"/>
            </w:tcBorders>
            <w:shd w:val="clear" w:color="auto" w:fill="auto"/>
            <w:noWrap/>
            <w:vAlign w:val="bottom"/>
            <w:hideMark/>
          </w:tcPr>
          <w:p w14:paraId="771984B2" w14:textId="77777777" w:rsidR="0027404A" w:rsidRPr="00C0591E" w:rsidRDefault="0027404A" w:rsidP="00BC5437">
            <w:pPr>
              <w:spacing w:line="276" w:lineRule="auto"/>
              <w:jc w:val="center"/>
              <w:rPr>
                <w:rFonts w:eastAsia="Times New Roman"/>
              </w:rPr>
            </w:pPr>
            <w:r w:rsidRPr="00C0591E">
              <w:rPr>
                <w:rFonts w:eastAsia="Times New Roman"/>
              </w:rPr>
              <w:t>296</w:t>
            </w:r>
          </w:p>
        </w:tc>
        <w:tc>
          <w:tcPr>
            <w:tcW w:w="1060" w:type="pct"/>
            <w:tcBorders>
              <w:top w:val="nil"/>
              <w:left w:val="nil"/>
              <w:bottom w:val="single" w:sz="4" w:space="0" w:color="auto"/>
              <w:right w:val="nil"/>
            </w:tcBorders>
            <w:shd w:val="clear" w:color="auto" w:fill="auto"/>
            <w:noWrap/>
            <w:vAlign w:val="bottom"/>
            <w:hideMark/>
          </w:tcPr>
          <w:p w14:paraId="29048991" w14:textId="77777777" w:rsidR="0027404A" w:rsidRPr="00C0591E" w:rsidRDefault="0027404A" w:rsidP="00BC5437">
            <w:pPr>
              <w:spacing w:line="276" w:lineRule="auto"/>
              <w:jc w:val="center"/>
              <w:rPr>
                <w:rFonts w:eastAsia="Times New Roman"/>
              </w:rPr>
            </w:pPr>
            <w:r w:rsidRPr="00C0591E">
              <w:rPr>
                <w:rFonts w:eastAsia="Times New Roman"/>
              </w:rPr>
              <w:t>100</w:t>
            </w:r>
          </w:p>
        </w:tc>
      </w:tr>
    </w:tbl>
    <w:p w14:paraId="11824BC8" w14:textId="77777777" w:rsidR="00B25466" w:rsidRPr="00C0591E" w:rsidRDefault="00B25466" w:rsidP="0027404A">
      <w:pPr>
        <w:rPr>
          <w:lang w:val="en-GB"/>
        </w:rPr>
      </w:pPr>
    </w:p>
    <w:p w14:paraId="6696E522" w14:textId="3BE19960" w:rsidR="0027404A" w:rsidRPr="00C0591E" w:rsidRDefault="00B25466" w:rsidP="00BA3FA1">
      <w:pPr>
        <w:rPr>
          <w:lang w:val="en-GB"/>
        </w:rPr>
      </w:pPr>
      <w:r w:rsidRPr="00C0591E">
        <w:rPr>
          <w:lang w:val="en-GB"/>
        </w:rPr>
        <w:t>The results indicated that the majority had worked for 6 to 10 years at 132(44.6%) in the pension fund manager followed by 11 to 15</w:t>
      </w:r>
      <w:r w:rsidR="00503FBC" w:rsidRPr="00C0591E">
        <w:rPr>
          <w:lang w:val="en-GB"/>
        </w:rPr>
        <w:t xml:space="preserve"> </w:t>
      </w:r>
      <w:r w:rsidRPr="00C0591E">
        <w:rPr>
          <w:lang w:val="en-GB"/>
        </w:rPr>
        <w:t>years at 103 (34.8%). Those who had worked for 16 to 20 years</w:t>
      </w:r>
      <w:r w:rsidR="004734C8" w:rsidRPr="00C0591E">
        <w:rPr>
          <w:lang w:val="en-GB"/>
        </w:rPr>
        <w:t xml:space="preserve"> were at</w:t>
      </w:r>
      <w:r w:rsidRPr="00C0591E">
        <w:rPr>
          <w:lang w:val="en-GB"/>
        </w:rPr>
        <w:t xml:space="preserve"> </w:t>
      </w:r>
      <w:r w:rsidR="004734C8" w:rsidRPr="00C0591E">
        <w:rPr>
          <w:lang w:val="en-GB"/>
        </w:rPr>
        <w:t xml:space="preserve">31(10.5%) and the least was 0– 5 years were 30(10.1%). </w:t>
      </w:r>
      <w:r w:rsidR="00B22B79" w:rsidRPr="00C0591E">
        <w:rPr>
          <w:lang w:val="en-GB"/>
        </w:rPr>
        <w:t xml:space="preserve">The years spent in a particular organization can be used to determine the experience gained over the years. </w:t>
      </w:r>
    </w:p>
    <w:p w14:paraId="4562A1E3" w14:textId="4DFD53E0" w:rsidR="00BC5437" w:rsidRPr="00C0591E" w:rsidRDefault="00BC5437" w:rsidP="00BC5437">
      <w:pPr>
        <w:pStyle w:val="Heading3"/>
        <w:rPr>
          <w:lang w:val="en-GB"/>
        </w:rPr>
      </w:pPr>
      <w:r w:rsidRPr="00C0591E">
        <w:rPr>
          <w:lang w:val="en-GB"/>
        </w:rPr>
        <w:t xml:space="preserve">4.3.5 </w:t>
      </w:r>
      <w:r w:rsidR="002769CC" w:rsidRPr="00C0591E">
        <w:rPr>
          <w:lang w:val="en-GB"/>
        </w:rPr>
        <w:t xml:space="preserve">Employee </w:t>
      </w:r>
      <w:r w:rsidRPr="00C0591E">
        <w:rPr>
          <w:lang w:val="en-GB"/>
        </w:rPr>
        <w:t>Size of Pension Fund</w:t>
      </w:r>
    </w:p>
    <w:p w14:paraId="4B6DC65A" w14:textId="75B5BDAC" w:rsidR="0027404A" w:rsidRPr="00C0591E" w:rsidRDefault="00BC5437" w:rsidP="003422FA">
      <w:pPr>
        <w:rPr>
          <w:lang w:val="en-GB"/>
        </w:rPr>
      </w:pPr>
      <w:r w:rsidRPr="00C0591E">
        <w:rPr>
          <w:lang w:val="en-GB"/>
        </w:rPr>
        <w:t xml:space="preserve">The study sought to determine the </w:t>
      </w:r>
      <w:r w:rsidR="002769CC" w:rsidRPr="00C0591E">
        <w:rPr>
          <w:lang w:val="en-GB"/>
        </w:rPr>
        <w:t>number of employee’s in the</w:t>
      </w:r>
      <w:r w:rsidRPr="00C0591E">
        <w:rPr>
          <w:lang w:val="en-GB"/>
        </w:rPr>
        <w:t xml:space="preserve"> pension fund managers</w:t>
      </w:r>
      <w:r w:rsidR="002769CC" w:rsidRPr="00C0591E">
        <w:rPr>
          <w:lang w:val="en-GB"/>
        </w:rPr>
        <w:t xml:space="preserve"> used in the study</w:t>
      </w:r>
      <w:r w:rsidRPr="00C0591E">
        <w:rPr>
          <w:lang w:val="en-GB"/>
        </w:rPr>
        <w:t>. This was determined using the number of employees in the 31 pension fund managers. Th</w:t>
      </w:r>
      <w:r w:rsidR="006753B0" w:rsidRPr="00C0591E">
        <w:rPr>
          <w:lang w:val="en-GB"/>
        </w:rPr>
        <w:t>e results are shown in Table 9</w:t>
      </w:r>
      <w:r w:rsidRPr="00C0591E">
        <w:rPr>
          <w:lang w:val="en-GB"/>
        </w:rPr>
        <w:t>.</w:t>
      </w:r>
    </w:p>
    <w:p w14:paraId="6CC8374E" w14:textId="15C18727" w:rsidR="00BC5437" w:rsidRPr="00C0591E" w:rsidRDefault="00BC5437" w:rsidP="00BC5437">
      <w:pPr>
        <w:pStyle w:val="Heading4"/>
        <w:rPr>
          <w:lang w:val="en-GB"/>
        </w:rPr>
      </w:pPr>
      <w:bookmarkStart w:id="166" w:name="_Toc113125144"/>
      <w:r w:rsidRPr="00C0591E">
        <w:t>Table</w:t>
      </w:r>
      <w:r w:rsidR="006753B0" w:rsidRPr="00C0591E">
        <w:rPr>
          <w:rFonts w:eastAsia="Calibri"/>
          <w:lang w:bidi="en-US"/>
        </w:rPr>
        <w:t xml:space="preserve"> 9</w:t>
      </w:r>
      <w:r w:rsidRPr="00C0591E">
        <w:rPr>
          <w:rFonts w:eastAsia="Calibri"/>
          <w:lang w:bidi="en-US"/>
        </w:rPr>
        <w:t>: Size of Pension Fund Managers</w:t>
      </w:r>
      <w:bookmarkEnd w:id="166"/>
    </w:p>
    <w:tbl>
      <w:tblPr>
        <w:tblW w:w="5000" w:type="pct"/>
        <w:tblLook w:val="04A0" w:firstRow="1" w:lastRow="0" w:firstColumn="1" w:lastColumn="0" w:noHBand="0" w:noVBand="1"/>
      </w:tblPr>
      <w:tblGrid>
        <w:gridCol w:w="4571"/>
        <w:gridCol w:w="2529"/>
        <w:gridCol w:w="1926"/>
      </w:tblGrid>
      <w:tr w:rsidR="0027404A" w:rsidRPr="00C0591E" w14:paraId="0E17C714" w14:textId="77777777" w:rsidTr="00BC5437">
        <w:trPr>
          <w:trHeight w:val="288"/>
        </w:trPr>
        <w:tc>
          <w:tcPr>
            <w:tcW w:w="2532" w:type="pct"/>
            <w:tcBorders>
              <w:top w:val="single" w:sz="4" w:space="0" w:color="auto"/>
              <w:left w:val="nil"/>
              <w:bottom w:val="single" w:sz="4" w:space="0" w:color="auto"/>
              <w:right w:val="nil"/>
            </w:tcBorders>
            <w:shd w:val="clear" w:color="auto" w:fill="auto"/>
            <w:noWrap/>
            <w:vAlign w:val="bottom"/>
            <w:hideMark/>
          </w:tcPr>
          <w:p w14:paraId="2D74364C" w14:textId="6A82F556" w:rsidR="0027404A" w:rsidRPr="00C0591E" w:rsidRDefault="003E1E26" w:rsidP="00BC5437">
            <w:pPr>
              <w:spacing w:before="0"/>
              <w:rPr>
                <w:rFonts w:eastAsia="Times New Roman"/>
                <w:b/>
              </w:rPr>
            </w:pPr>
            <w:r w:rsidRPr="00C0591E">
              <w:rPr>
                <w:rFonts w:eastAsia="Times New Roman"/>
                <w:b/>
              </w:rPr>
              <w:t>Size of Employees</w:t>
            </w:r>
          </w:p>
        </w:tc>
        <w:tc>
          <w:tcPr>
            <w:tcW w:w="1401" w:type="pct"/>
            <w:tcBorders>
              <w:top w:val="single" w:sz="4" w:space="0" w:color="auto"/>
              <w:left w:val="nil"/>
              <w:bottom w:val="single" w:sz="4" w:space="0" w:color="auto"/>
              <w:right w:val="nil"/>
            </w:tcBorders>
            <w:shd w:val="clear" w:color="auto" w:fill="auto"/>
            <w:noWrap/>
            <w:vAlign w:val="bottom"/>
            <w:hideMark/>
          </w:tcPr>
          <w:p w14:paraId="5E53C019" w14:textId="77777777" w:rsidR="0027404A" w:rsidRPr="00C0591E" w:rsidRDefault="0027404A" w:rsidP="00BC5437">
            <w:pPr>
              <w:spacing w:before="0"/>
              <w:jc w:val="center"/>
              <w:rPr>
                <w:rFonts w:eastAsia="Times New Roman"/>
                <w:b/>
              </w:rPr>
            </w:pPr>
            <w:r w:rsidRPr="00C0591E">
              <w:rPr>
                <w:rFonts w:eastAsia="Times New Roman"/>
                <w:b/>
              </w:rPr>
              <w:t>Frequency</w:t>
            </w:r>
          </w:p>
        </w:tc>
        <w:tc>
          <w:tcPr>
            <w:tcW w:w="1067" w:type="pct"/>
            <w:tcBorders>
              <w:top w:val="single" w:sz="4" w:space="0" w:color="auto"/>
              <w:left w:val="nil"/>
              <w:bottom w:val="single" w:sz="4" w:space="0" w:color="auto"/>
              <w:right w:val="nil"/>
            </w:tcBorders>
            <w:shd w:val="clear" w:color="auto" w:fill="auto"/>
            <w:noWrap/>
            <w:vAlign w:val="bottom"/>
            <w:hideMark/>
          </w:tcPr>
          <w:p w14:paraId="4DFD6BA7" w14:textId="77777777" w:rsidR="0027404A" w:rsidRPr="00C0591E" w:rsidRDefault="0027404A" w:rsidP="00BC5437">
            <w:pPr>
              <w:spacing w:before="0"/>
              <w:jc w:val="center"/>
              <w:rPr>
                <w:rFonts w:eastAsia="Times New Roman"/>
                <w:b/>
              </w:rPr>
            </w:pPr>
            <w:r w:rsidRPr="00C0591E">
              <w:rPr>
                <w:rFonts w:eastAsia="Times New Roman"/>
                <w:b/>
              </w:rPr>
              <w:t>Percent</w:t>
            </w:r>
          </w:p>
        </w:tc>
      </w:tr>
      <w:tr w:rsidR="0027404A" w:rsidRPr="00C0591E" w14:paraId="2E79EE1A" w14:textId="77777777" w:rsidTr="00BC5437">
        <w:trPr>
          <w:trHeight w:val="288"/>
        </w:trPr>
        <w:tc>
          <w:tcPr>
            <w:tcW w:w="2532" w:type="pct"/>
            <w:tcBorders>
              <w:top w:val="nil"/>
              <w:left w:val="nil"/>
              <w:bottom w:val="nil"/>
              <w:right w:val="nil"/>
            </w:tcBorders>
            <w:shd w:val="clear" w:color="auto" w:fill="auto"/>
            <w:noWrap/>
            <w:vAlign w:val="bottom"/>
            <w:hideMark/>
          </w:tcPr>
          <w:p w14:paraId="413D02D6" w14:textId="77777777" w:rsidR="0027404A" w:rsidRPr="00C0591E" w:rsidRDefault="0027404A" w:rsidP="00BC5437">
            <w:pPr>
              <w:spacing w:before="0"/>
              <w:rPr>
                <w:rFonts w:eastAsia="Times New Roman"/>
              </w:rPr>
            </w:pPr>
            <w:r w:rsidRPr="00C0591E">
              <w:rPr>
                <w:rFonts w:eastAsia="Times New Roman"/>
              </w:rPr>
              <w:t>1 -50 employees</w:t>
            </w:r>
          </w:p>
        </w:tc>
        <w:tc>
          <w:tcPr>
            <w:tcW w:w="1401" w:type="pct"/>
            <w:tcBorders>
              <w:top w:val="nil"/>
              <w:left w:val="nil"/>
              <w:bottom w:val="nil"/>
              <w:right w:val="nil"/>
            </w:tcBorders>
            <w:shd w:val="clear" w:color="auto" w:fill="auto"/>
            <w:noWrap/>
            <w:vAlign w:val="bottom"/>
            <w:hideMark/>
          </w:tcPr>
          <w:p w14:paraId="5CA2AAE6" w14:textId="77777777" w:rsidR="0027404A" w:rsidRPr="00C0591E" w:rsidRDefault="0027404A" w:rsidP="00BC5437">
            <w:pPr>
              <w:spacing w:before="0"/>
              <w:jc w:val="center"/>
              <w:rPr>
                <w:rFonts w:eastAsia="Times New Roman"/>
              </w:rPr>
            </w:pPr>
            <w:r w:rsidRPr="00C0591E">
              <w:rPr>
                <w:rFonts w:eastAsia="Times New Roman"/>
              </w:rPr>
              <w:t>110</w:t>
            </w:r>
          </w:p>
        </w:tc>
        <w:tc>
          <w:tcPr>
            <w:tcW w:w="1067" w:type="pct"/>
            <w:tcBorders>
              <w:top w:val="nil"/>
              <w:left w:val="nil"/>
              <w:bottom w:val="nil"/>
              <w:right w:val="nil"/>
            </w:tcBorders>
            <w:shd w:val="clear" w:color="auto" w:fill="auto"/>
            <w:noWrap/>
            <w:vAlign w:val="bottom"/>
            <w:hideMark/>
          </w:tcPr>
          <w:p w14:paraId="67832D9E" w14:textId="06D34222" w:rsidR="0027404A" w:rsidRPr="00C0591E" w:rsidRDefault="0027404A" w:rsidP="00BC5437">
            <w:pPr>
              <w:spacing w:before="0"/>
              <w:jc w:val="center"/>
              <w:rPr>
                <w:rFonts w:eastAsia="Times New Roman"/>
              </w:rPr>
            </w:pPr>
            <w:r w:rsidRPr="00C0591E">
              <w:rPr>
                <w:rFonts w:eastAsia="Times New Roman"/>
              </w:rPr>
              <w:t>37.2</w:t>
            </w:r>
            <w:r w:rsidR="00BC5437" w:rsidRPr="00C0591E">
              <w:rPr>
                <w:rFonts w:eastAsia="Times New Roman"/>
              </w:rPr>
              <w:t>%</w:t>
            </w:r>
          </w:p>
        </w:tc>
      </w:tr>
      <w:tr w:rsidR="0027404A" w:rsidRPr="00C0591E" w14:paraId="43688ED6" w14:textId="77777777" w:rsidTr="00BC5437">
        <w:trPr>
          <w:trHeight w:val="288"/>
        </w:trPr>
        <w:tc>
          <w:tcPr>
            <w:tcW w:w="2532" w:type="pct"/>
            <w:tcBorders>
              <w:top w:val="nil"/>
              <w:left w:val="nil"/>
              <w:bottom w:val="nil"/>
              <w:right w:val="nil"/>
            </w:tcBorders>
            <w:shd w:val="clear" w:color="auto" w:fill="auto"/>
            <w:noWrap/>
            <w:vAlign w:val="bottom"/>
            <w:hideMark/>
          </w:tcPr>
          <w:p w14:paraId="16B01DE9" w14:textId="77777777" w:rsidR="0027404A" w:rsidRPr="00C0591E" w:rsidRDefault="0027404A" w:rsidP="00BC5437">
            <w:pPr>
              <w:spacing w:before="0"/>
              <w:rPr>
                <w:rFonts w:eastAsia="Times New Roman"/>
              </w:rPr>
            </w:pPr>
            <w:r w:rsidRPr="00C0591E">
              <w:rPr>
                <w:rFonts w:eastAsia="Times New Roman"/>
              </w:rPr>
              <w:t>51-100 employees</w:t>
            </w:r>
          </w:p>
        </w:tc>
        <w:tc>
          <w:tcPr>
            <w:tcW w:w="1401" w:type="pct"/>
            <w:tcBorders>
              <w:top w:val="nil"/>
              <w:left w:val="nil"/>
              <w:bottom w:val="nil"/>
              <w:right w:val="nil"/>
            </w:tcBorders>
            <w:shd w:val="clear" w:color="auto" w:fill="auto"/>
            <w:noWrap/>
            <w:vAlign w:val="bottom"/>
            <w:hideMark/>
          </w:tcPr>
          <w:p w14:paraId="7D782B8A" w14:textId="77777777" w:rsidR="0027404A" w:rsidRPr="00C0591E" w:rsidRDefault="0027404A" w:rsidP="00BC5437">
            <w:pPr>
              <w:spacing w:before="0"/>
              <w:jc w:val="center"/>
              <w:rPr>
                <w:rFonts w:eastAsia="Times New Roman"/>
              </w:rPr>
            </w:pPr>
            <w:r w:rsidRPr="00C0591E">
              <w:rPr>
                <w:rFonts w:eastAsia="Times New Roman"/>
              </w:rPr>
              <w:t>150</w:t>
            </w:r>
          </w:p>
        </w:tc>
        <w:tc>
          <w:tcPr>
            <w:tcW w:w="1067" w:type="pct"/>
            <w:tcBorders>
              <w:top w:val="nil"/>
              <w:left w:val="nil"/>
              <w:bottom w:val="nil"/>
              <w:right w:val="nil"/>
            </w:tcBorders>
            <w:shd w:val="clear" w:color="auto" w:fill="auto"/>
            <w:noWrap/>
            <w:vAlign w:val="bottom"/>
            <w:hideMark/>
          </w:tcPr>
          <w:p w14:paraId="062B3A4F" w14:textId="6A8CA9B3" w:rsidR="0027404A" w:rsidRPr="00C0591E" w:rsidRDefault="0027404A" w:rsidP="00BC5437">
            <w:pPr>
              <w:spacing w:before="0"/>
              <w:jc w:val="center"/>
              <w:rPr>
                <w:rFonts w:eastAsia="Times New Roman"/>
              </w:rPr>
            </w:pPr>
            <w:r w:rsidRPr="00C0591E">
              <w:rPr>
                <w:rFonts w:eastAsia="Times New Roman"/>
              </w:rPr>
              <w:t>50.7</w:t>
            </w:r>
            <w:r w:rsidR="00BC5437" w:rsidRPr="00C0591E">
              <w:rPr>
                <w:rFonts w:eastAsia="Times New Roman"/>
              </w:rPr>
              <w:t>%</w:t>
            </w:r>
          </w:p>
        </w:tc>
      </w:tr>
      <w:tr w:rsidR="0027404A" w:rsidRPr="00C0591E" w14:paraId="77DC2AC0" w14:textId="77777777" w:rsidTr="00BC5437">
        <w:trPr>
          <w:trHeight w:val="288"/>
        </w:trPr>
        <w:tc>
          <w:tcPr>
            <w:tcW w:w="2532" w:type="pct"/>
            <w:tcBorders>
              <w:top w:val="nil"/>
              <w:left w:val="nil"/>
              <w:bottom w:val="nil"/>
              <w:right w:val="nil"/>
            </w:tcBorders>
            <w:shd w:val="clear" w:color="auto" w:fill="auto"/>
            <w:noWrap/>
            <w:vAlign w:val="bottom"/>
            <w:hideMark/>
          </w:tcPr>
          <w:p w14:paraId="1D3C930B" w14:textId="77777777" w:rsidR="0027404A" w:rsidRPr="00C0591E" w:rsidRDefault="0027404A" w:rsidP="00BC5437">
            <w:pPr>
              <w:spacing w:before="0"/>
              <w:rPr>
                <w:rFonts w:eastAsia="Times New Roman"/>
              </w:rPr>
            </w:pPr>
            <w:r w:rsidRPr="00C0591E">
              <w:rPr>
                <w:rFonts w:eastAsia="Times New Roman"/>
              </w:rPr>
              <w:t>101-200 employees</w:t>
            </w:r>
          </w:p>
        </w:tc>
        <w:tc>
          <w:tcPr>
            <w:tcW w:w="1401" w:type="pct"/>
            <w:tcBorders>
              <w:top w:val="nil"/>
              <w:left w:val="nil"/>
              <w:bottom w:val="nil"/>
              <w:right w:val="nil"/>
            </w:tcBorders>
            <w:shd w:val="clear" w:color="auto" w:fill="auto"/>
            <w:noWrap/>
            <w:vAlign w:val="bottom"/>
            <w:hideMark/>
          </w:tcPr>
          <w:p w14:paraId="37E1C4AB" w14:textId="77777777" w:rsidR="0027404A" w:rsidRPr="00C0591E" w:rsidRDefault="0027404A" w:rsidP="00BC5437">
            <w:pPr>
              <w:spacing w:before="0"/>
              <w:jc w:val="center"/>
              <w:rPr>
                <w:rFonts w:eastAsia="Times New Roman"/>
              </w:rPr>
            </w:pPr>
            <w:r w:rsidRPr="00C0591E">
              <w:rPr>
                <w:rFonts w:eastAsia="Times New Roman"/>
              </w:rPr>
              <w:t>24</w:t>
            </w:r>
          </w:p>
        </w:tc>
        <w:tc>
          <w:tcPr>
            <w:tcW w:w="1067" w:type="pct"/>
            <w:tcBorders>
              <w:top w:val="nil"/>
              <w:left w:val="nil"/>
              <w:bottom w:val="nil"/>
              <w:right w:val="nil"/>
            </w:tcBorders>
            <w:shd w:val="clear" w:color="auto" w:fill="auto"/>
            <w:noWrap/>
            <w:vAlign w:val="bottom"/>
            <w:hideMark/>
          </w:tcPr>
          <w:p w14:paraId="6B42AC62" w14:textId="123A4C94" w:rsidR="0027404A" w:rsidRPr="00C0591E" w:rsidRDefault="0027404A" w:rsidP="00BC5437">
            <w:pPr>
              <w:spacing w:before="0"/>
              <w:jc w:val="center"/>
              <w:rPr>
                <w:rFonts w:eastAsia="Times New Roman"/>
              </w:rPr>
            </w:pPr>
            <w:r w:rsidRPr="00C0591E">
              <w:rPr>
                <w:rFonts w:eastAsia="Times New Roman"/>
              </w:rPr>
              <w:t>8.1</w:t>
            </w:r>
            <w:r w:rsidR="00BC5437" w:rsidRPr="00C0591E">
              <w:rPr>
                <w:rFonts w:eastAsia="Times New Roman"/>
              </w:rPr>
              <w:t>%</w:t>
            </w:r>
          </w:p>
        </w:tc>
      </w:tr>
      <w:tr w:rsidR="0027404A" w:rsidRPr="00C0591E" w14:paraId="563AE6CE" w14:textId="77777777" w:rsidTr="00BC5437">
        <w:trPr>
          <w:trHeight w:val="288"/>
        </w:trPr>
        <w:tc>
          <w:tcPr>
            <w:tcW w:w="2532" w:type="pct"/>
            <w:tcBorders>
              <w:top w:val="nil"/>
              <w:left w:val="nil"/>
              <w:bottom w:val="nil"/>
              <w:right w:val="nil"/>
            </w:tcBorders>
            <w:shd w:val="clear" w:color="auto" w:fill="auto"/>
            <w:noWrap/>
            <w:vAlign w:val="bottom"/>
            <w:hideMark/>
          </w:tcPr>
          <w:p w14:paraId="54611164" w14:textId="77777777" w:rsidR="0027404A" w:rsidRPr="00C0591E" w:rsidRDefault="0027404A" w:rsidP="00BC5437">
            <w:pPr>
              <w:spacing w:before="0"/>
              <w:rPr>
                <w:rFonts w:eastAsia="Times New Roman"/>
              </w:rPr>
            </w:pPr>
            <w:r w:rsidRPr="00C0591E">
              <w:rPr>
                <w:rFonts w:eastAsia="Times New Roman"/>
              </w:rPr>
              <w:t>Above 200</w:t>
            </w:r>
          </w:p>
        </w:tc>
        <w:tc>
          <w:tcPr>
            <w:tcW w:w="1401" w:type="pct"/>
            <w:tcBorders>
              <w:top w:val="nil"/>
              <w:left w:val="nil"/>
              <w:bottom w:val="nil"/>
              <w:right w:val="nil"/>
            </w:tcBorders>
            <w:shd w:val="clear" w:color="auto" w:fill="auto"/>
            <w:noWrap/>
            <w:vAlign w:val="bottom"/>
            <w:hideMark/>
          </w:tcPr>
          <w:p w14:paraId="2AE51D18" w14:textId="77777777" w:rsidR="0027404A" w:rsidRPr="00C0591E" w:rsidRDefault="0027404A" w:rsidP="00BC5437">
            <w:pPr>
              <w:spacing w:before="0"/>
              <w:jc w:val="center"/>
              <w:rPr>
                <w:rFonts w:eastAsia="Times New Roman"/>
              </w:rPr>
            </w:pPr>
            <w:r w:rsidRPr="00C0591E">
              <w:rPr>
                <w:rFonts w:eastAsia="Times New Roman"/>
              </w:rPr>
              <w:t>12</w:t>
            </w:r>
          </w:p>
        </w:tc>
        <w:tc>
          <w:tcPr>
            <w:tcW w:w="1067" w:type="pct"/>
            <w:tcBorders>
              <w:top w:val="nil"/>
              <w:left w:val="nil"/>
              <w:bottom w:val="nil"/>
              <w:right w:val="nil"/>
            </w:tcBorders>
            <w:shd w:val="clear" w:color="auto" w:fill="auto"/>
            <w:noWrap/>
            <w:vAlign w:val="bottom"/>
            <w:hideMark/>
          </w:tcPr>
          <w:p w14:paraId="3299ED8C" w14:textId="7EC15560" w:rsidR="0027404A" w:rsidRPr="00C0591E" w:rsidRDefault="0027404A" w:rsidP="00BC5437">
            <w:pPr>
              <w:spacing w:before="0"/>
              <w:jc w:val="center"/>
              <w:rPr>
                <w:rFonts w:eastAsia="Times New Roman"/>
              </w:rPr>
            </w:pPr>
            <w:r w:rsidRPr="00C0591E">
              <w:rPr>
                <w:rFonts w:eastAsia="Times New Roman"/>
              </w:rPr>
              <w:t>4.1</w:t>
            </w:r>
            <w:r w:rsidR="00BC5437" w:rsidRPr="00C0591E">
              <w:rPr>
                <w:rFonts w:eastAsia="Times New Roman"/>
              </w:rPr>
              <w:t>%</w:t>
            </w:r>
          </w:p>
        </w:tc>
      </w:tr>
      <w:tr w:rsidR="0027404A" w:rsidRPr="00C0591E" w14:paraId="3225FCE3" w14:textId="77777777" w:rsidTr="00BC5437">
        <w:trPr>
          <w:trHeight w:val="288"/>
        </w:trPr>
        <w:tc>
          <w:tcPr>
            <w:tcW w:w="2532" w:type="pct"/>
            <w:tcBorders>
              <w:top w:val="nil"/>
              <w:left w:val="nil"/>
              <w:bottom w:val="single" w:sz="4" w:space="0" w:color="auto"/>
              <w:right w:val="nil"/>
            </w:tcBorders>
            <w:shd w:val="clear" w:color="auto" w:fill="auto"/>
            <w:noWrap/>
            <w:vAlign w:val="bottom"/>
            <w:hideMark/>
          </w:tcPr>
          <w:p w14:paraId="2CB54999" w14:textId="77777777" w:rsidR="0027404A" w:rsidRPr="00C0591E" w:rsidRDefault="0027404A" w:rsidP="00BC5437">
            <w:pPr>
              <w:spacing w:before="0"/>
              <w:rPr>
                <w:rFonts w:eastAsia="Times New Roman"/>
              </w:rPr>
            </w:pPr>
            <w:r w:rsidRPr="00C0591E">
              <w:rPr>
                <w:rFonts w:eastAsia="Times New Roman"/>
              </w:rPr>
              <w:t>Total</w:t>
            </w:r>
          </w:p>
        </w:tc>
        <w:tc>
          <w:tcPr>
            <w:tcW w:w="1401" w:type="pct"/>
            <w:tcBorders>
              <w:top w:val="nil"/>
              <w:left w:val="nil"/>
              <w:bottom w:val="single" w:sz="4" w:space="0" w:color="auto"/>
              <w:right w:val="nil"/>
            </w:tcBorders>
            <w:shd w:val="clear" w:color="auto" w:fill="auto"/>
            <w:noWrap/>
            <w:vAlign w:val="bottom"/>
            <w:hideMark/>
          </w:tcPr>
          <w:p w14:paraId="41D5477A" w14:textId="77777777" w:rsidR="0027404A" w:rsidRPr="00C0591E" w:rsidRDefault="0027404A" w:rsidP="00BC5437">
            <w:pPr>
              <w:spacing w:before="0"/>
              <w:jc w:val="center"/>
              <w:rPr>
                <w:rFonts w:eastAsia="Times New Roman"/>
              </w:rPr>
            </w:pPr>
            <w:r w:rsidRPr="00C0591E">
              <w:rPr>
                <w:rFonts w:eastAsia="Times New Roman"/>
              </w:rPr>
              <w:t>296</w:t>
            </w:r>
          </w:p>
        </w:tc>
        <w:tc>
          <w:tcPr>
            <w:tcW w:w="1067" w:type="pct"/>
            <w:tcBorders>
              <w:top w:val="nil"/>
              <w:left w:val="nil"/>
              <w:bottom w:val="single" w:sz="4" w:space="0" w:color="auto"/>
              <w:right w:val="nil"/>
            </w:tcBorders>
            <w:shd w:val="clear" w:color="auto" w:fill="auto"/>
            <w:noWrap/>
            <w:vAlign w:val="bottom"/>
            <w:hideMark/>
          </w:tcPr>
          <w:p w14:paraId="2E23E571" w14:textId="77777777" w:rsidR="0027404A" w:rsidRPr="00C0591E" w:rsidRDefault="0027404A" w:rsidP="00BC5437">
            <w:pPr>
              <w:spacing w:before="0"/>
              <w:jc w:val="center"/>
              <w:rPr>
                <w:rFonts w:eastAsia="Times New Roman"/>
              </w:rPr>
            </w:pPr>
            <w:r w:rsidRPr="00C0591E">
              <w:rPr>
                <w:rFonts w:eastAsia="Times New Roman"/>
              </w:rPr>
              <w:t>100</w:t>
            </w:r>
          </w:p>
        </w:tc>
      </w:tr>
    </w:tbl>
    <w:p w14:paraId="1D57B26B" w14:textId="1CECBF2B" w:rsidR="0027404A" w:rsidRPr="00C0591E" w:rsidRDefault="003422FA" w:rsidP="003422FA">
      <w:pPr>
        <w:rPr>
          <w:lang w:val="en-GB"/>
        </w:rPr>
      </w:pPr>
      <w:r w:rsidRPr="00C0591E">
        <w:rPr>
          <w:lang w:val="en-GB"/>
        </w:rPr>
        <w:t xml:space="preserve">The results indicated that majority of pension fund managers had 51 to 100 employees represented by 150 (50.7%) followed by 1 to 50 employees represented by 110(37.2%). The </w:t>
      </w:r>
      <w:r w:rsidRPr="00C0591E">
        <w:t>pension fund managers with 101 to 200 employees were represented by 24 (8.1%). The least was those with more than 200 employees represented by 12 (4.1%).</w:t>
      </w:r>
    </w:p>
    <w:p w14:paraId="2A2CD3F9" w14:textId="77777777" w:rsidR="003422FA" w:rsidRPr="00C0591E" w:rsidRDefault="003422FA" w:rsidP="003422FA">
      <w:pPr>
        <w:pStyle w:val="Heading2"/>
        <w:rPr>
          <w:color w:val="FF0000"/>
        </w:rPr>
      </w:pPr>
      <w:bookmarkStart w:id="167" w:name="_Toc10827053"/>
      <w:bookmarkStart w:id="168" w:name="_Toc20424336"/>
      <w:bookmarkStart w:id="169" w:name="_Toc39669970"/>
      <w:bookmarkStart w:id="170" w:name="_Toc46240564"/>
      <w:bookmarkStart w:id="171" w:name="_Toc113125108"/>
      <w:r w:rsidRPr="00C0591E">
        <w:t xml:space="preserve">4.4 Results of the Pilot </w:t>
      </w:r>
      <w:bookmarkEnd w:id="167"/>
      <w:bookmarkEnd w:id="168"/>
      <w:bookmarkEnd w:id="169"/>
      <w:r w:rsidRPr="00C0591E">
        <w:t>Study</w:t>
      </w:r>
      <w:bookmarkEnd w:id="170"/>
      <w:bookmarkEnd w:id="171"/>
      <w:r w:rsidRPr="00C0591E">
        <w:t xml:space="preserve"> </w:t>
      </w:r>
    </w:p>
    <w:p w14:paraId="14CCB62D" w14:textId="38CB509F" w:rsidR="003422FA" w:rsidRPr="00C0591E" w:rsidRDefault="003422FA" w:rsidP="003422FA">
      <w:r w:rsidRPr="00C0591E">
        <w:t xml:space="preserve">Pilot testing is the initial evaluation of the interview guide to find out its feasibility before embarking on the research project. Pilot testing the research instrument helps provide feedback as to the clarity of the respondents’ understanding of the questions, and indeed also aids in determining whether the instrument responds, as envisaged, to the research questions. The questionnaires for this study were subjected to a pilot test on a sample of </w:t>
      </w:r>
      <w:r w:rsidR="00A227CE" w:rsidRPr="00C0591E">
        <w:t>3</w:t>
      </w:r>
      <w:r w:rsidR="00100E48" w:rsidRPr="00C0591E">
        <w:t>4</w:t>
      </w:r>
      <w:r w:rsidRPr="00C0591E">
        <w:t xml:space="preserve"> respondents that represent 10% of the study population. The pilot tests included validity and reliability tests.</w:t>
      </w:r>
    </w:p>
    <w:p w14:paraId="1EC4CAE3" w14:textId="29ABBBB6" w:rsidR="00A227CE" w:rsidRPr="00C0591E" w:rsidRDefault="00C1099B" w:rsidP="006715BA">
      <w:pPr>
        <w:pStyle w:val="Heading3"/>
        <w:rPr>
          <w:rFonts w:eastAsia="Times New Roman"/>
        </w:rPr>
      </w:pPr>
      <w:bookmarkStart w:id="172" w:name="_Toc534882433"/>
      <w:r w:rsidRPr="00C0591E">
        <w:rPr>
          <w:rFonts w:eastAsia="Times New Roman"/>
        </w:rPr>
        <w:t>4.4.1</w:t>
      </w:r>
      <w:r w:rsidR="00A227CE" w:rsidRPr="00C0591E">
        <w:rPr>
          <w:rFonts w:eastAsia="Times New Roman"/>
        </w:rPr>
        <w:t xml:space="preserve"> </w:t>
      </w:r>
      <w:r w:rsidR="00A227CE" w:rsidRPr="00C0591E">
        <w:t>Reliability</w:t>
      </w:r>
      <w:r w:rsidR="00A227CE" w:rsidRPr="00C0591E">
        <w:rPr>
          <w:rFonts w:eastAsia="Times New Roman"/>
        </w:rPr>
        <w:t xml:space="preserve"> Test</w:t>
      </w:r>
      <w:bookmarkEnd w:id="172"/>
    </w:p>
    <w:p w14:paraId="7EA81DFC" w14:textId="3695BAC3" w:rsidR="00A227CE" w:rsidRPr="00C0591E" w:rsidRDefault="00A227CE" w:rsidP="00C1099B">
      <w:pPr>
        <w:rPr>
          <w:rFonts w:eastAsia="Calibri"/>
          <w:noProof/>
        </w:rPr>
      </w:pPr>
      <w:r w:rsidRPr="00C0591E">
        <w:t>Reliability is broadly defined as the degree to which measures are free from error and therefore yield consistent results (Zikmund, Babin, Carr, &amp; Griffin, 2003).  Reliability is the consistency of responses; the degree to which an instrument measures in the</w:t>
      </w:r>
      <w:r w:rsidRPr="00C0591E">
        <w:rPr>
          <w:rFonts w:eastAsia="TimesNewRomanPSMT"/>
        </w:rPr>
        <w:t xml:space="preserve"> same way each time under the same conditions. Cronbach alpha was calculated for all statements in the questionnaire. Cronbach alpha is a correlation coefficient between two sets of data. </w:t>
      </w:r>
      <w:r w:rsidRPr="00C0591E">
        <w:t xml:space="preserve">Field (2013) posits that scores of between 0.4 and 0.7 are considered to be of normal consistency while scores higher than 0.7 are considered of high consistency. </w:t>
      </w:r>
      <w:r w:rsidRPr="00C0591E">
        <w:rPr>
          <w:rFonts w:eastAsia="Calibri"/>
          <w:noProof/>
        </w:rPr>
        <w:t>For  this study, reliability was calculated using Cronbach‘s alpha formula and results generated with the aid of SPSS.</w:t>
      </w:r>
    </w:p>
    <w:p w14:paraId="292AA069" w14:textId="77777777" w:rsidR="006F2377" w:rsidRPr="00C0591E" w:rsidRDefault="006F2377" w:rsidP="00C1099B">
      <w:pPr>
        <w:rPr>
          <w:rFonts w:eastAsia="Calibri"/>
          <w:noProof/>
        </w:rPr>
      </w:pPr>
    </w:p>
    <w:p w14:paraId="12933D3E" w14:textId="0E163BDF" w:rsidR="00A227CE" w:rsidRPr="00C0591E" w:rsidRDefault="00A227CE" w:rsidP="00C1099B">
      <w:pPr>
        <w:pStyle w:val="Heading4"/>
      </w:pPr>
      <w:bookmarkStart w:id="173" w:name="_Toc113125145"/>
      <w:r w:rsidRPr="00C0591E">
        <w:t xml:space="preserve">Table </w:t>
      </w:r>
      <w:r w:rsidR="006753B0" w:rsidRPr="00C0591E">
        <w:t>10</w:t>
      </w:r>
      <w:r w:rsidRPr="00C0591E">
        <w:t>: Reliability Test</w:t>
      </w:r>
      <w:bookmarkEnd w:id="173"/>
    </w:p>
    <w:tbl>
      <w:tblPr>
        <w:tblW w:w="5000" w:type="pct"/>
        <w:tblLook w:val="04A0" w:firstRow="1" w:lastRow="0" w:firstColumn="1" w:lastColumn="0" w:noHBand="0" w:noVBand="1"/>
      </w:tblPr>
      <w:tblGrid>
        <w:gridCol w:w="663"/>
        <w:gridCol w:w="3675"/>
        <w:gridCol w:w="1305"/>
        <w:gridCol w:w="2116"/>
        <w:gridCol w:w="1267"/>
      </w:tblGrid>
      <w:tr w:rsidR="00A227CE" w:rsidRPr="00C0591E" w14:paraId="048A2707" w14:textId="77777777" w:rsidTr="00E40D44">
        <w:trPr>
          <w:trHeight w:val="276"/>
        </w:trPr>
        <w:tc>
          <w:tcPr>
            <w:tcW w:w="367" w:type="pct"/>
            <w:tcBorders>
              <w:top w:val="single" w:sz="4" w:space="0" w:color="auto"/>
              <w:left w:val="nil"/>
              <w:bottom w:val="single" w:sz="4" w:space="0" w:color="auto"/>
              <w:right w:val="nil"/>
            </w:tcBorders>
            <w:shd w:val="clear" w:color="auto" w:fill="auto"/>
            <w:noWrap/>
            <w:vAlign w:val="bottom"/>
            <w:hideMark/>
          </w:tcPr>
          <w:p w14:paraId="35A12E31" w14:textId="77777777" w:rsidR="00A227CE" w:rsidRPr="00C0591E" w:rsidRDefault="00A227CE" w:rsidP="00E40D44">
            <w:pPr>
              <w:spacing w:before="0" w:after="0"/>
              <w:rPr>
                <w:rFonts w:cs="Times New Roman"/>
                <w:b/>
                <w:szCs w:val="24"/>
              </w:rPr>
            </w:pPr>
            <w:r w:rsidRPr="00C0591E">
              <w:rPr>
                <w:rFonts w:cs="Times New Roman"/>
                <w:b/>
                <w:szCs w:val="24"/>
              </w:rPr>
              <w:t>No</w:t>
            </w:r>
          </w:p>
        </w:tc>
        <w:tc>
          <w:tcPr>
            <w:tcW w:w="2036" w:type="pct"/>
            <w:tcBorders>
              <w:top w:val="single" w:sz="4" w:space="0" w:color="auto"/>
              <w:left w:val="nil"/>
              <w:bottom w:val="single" w:sz="4" w:space="0" w:color="auto"/>
              <w:right w:val="nil"/>
            </w:tcBorders>
            <w:shd w:val="clear" w:color="auto" w:fill="auto"/>
            <w:noWrap/>
            <w:vAlign w:val="bottom"/>
            <w:hideMark/>
          </w:tcPr>
          <w:p w14:paraId="0375F043" w14:textId="77777777" w:rsidR="00A227CE" w:rsidRPr="00C0591E" w:rsidRDefault="00A227CE" w:rsidP="00E40D44">
            <w:pPr>
              <w:spacing w:before="0" w:after="0"/>
              <w:rPr>
                <w:rFonts w:cs="Times New Roman"/>
                <w:b/>
                <w:szCs w:val="24"/>
              </w:rPr>
            </w:pPr>
            <w:r w:rsidRPr="00C0591E">
              <w:rPr>
                <w:rFonts w:cs="Times New Roman"/>
                <w:b/>
                <w:szCs w:val="24"/>
              </w:rPr>
              <w:t> Variables</w:t>
            </w:r>
          </w:p>
        </w:tc>
        <w:tc>
          <w:tcPr>
            <w:tcW w:w="723" w:type="pct"/>
            <w:tcBorders>
              <w:top w:val="single" w:sz="4" w:space="0" w:color="auto"/>
              <w:left w:val="nil"/>
              <w:bottom w:val="single" w:sz="4" w:space="0" w:color="auto"/>
              <w:right w:val="nil"/>
            </w:tcBorders>
            <w:shd w:val="clear" w:color="auto" w:fill="auto"/>
            <w:noWrap/>
            <w:vAlign w:val="bottom"/>
            <w:hideMark/>
          </w:tcPr>
          <w:p w14:paraId="5E8EE160" w14:textId="77777777" w:rsidR="00A227CE" w:rsidRPr="00C0591E" w:rsidRDefault="00A227CE" w:rsidP="00E40D44">
            <w:pPr>
              <w:spacing w:before="0" w:after="0"/>
              <w:jc w:val="center"/>
              <w:rPr>
                <w:rFonts w:cs="Times New Roman"/>
                <w:b/>
                <w:szCs w:val="24"/>
              </w:rPr>
            </w:pPr>
            <w:r w:rsidRPr="00C0591E">
              <w:rPr>
                <w:rFonts w:cs="Times New Roman"/>
                <w:b/>
                <w:szCs w:val="24"/>
              </w:rPr>
              <w:t>Items</w:t>
            </w:r>
          </w:p>
        </w:tc>
        <w:tc>
          <w:tcPr>
            <w:tcW w:w="1172" w:type="pct"/>
            <w:tcBorders>
              <w:top w:val="single" w:sz="4" w:space="0" w:color="auto"/>
              <w:left w:val="nil"/>
              <w:bottom w:val="single" w:sz="4" w:space="0" w:color="auto"/>
              <w:right w:val="nil"/>
            </w:tcBorders>
            <w:shd w:val="clear" w:color="auto" w:fill="auto"/>
            <w:noWrap/>
            <w:vAlign w:val="bottom"/>
            <w:hideMark/>
          </w:tcPr>
          <w:p w14:paraId="2A691211" w14:textId="77777777" w:rsidR="00A227CE" w:rsidRPr="00C0591E" w:rsidRDefault="00A227CE" w:rsidP="00E40D44">
            <w:pPr>
              <w:spacing w:before="0" w:after="0"/>
              <w:jc w:val="center"/>
              <w:rPr>
                <w:rFonts w:cs="Times New Roman"/>
                <w:b/>
                <w:szCs w:val="24"/>
              </w:rPr>
            </w:pPr>
            <w:r w:rsidRPr="00C0591E">
              <w:rPr>
                <w:rFonts w:cs="Times New Roman"/>
                <w:b/>
                <w:szCs w:val="24"/>
              </w:rPr>
              <w:t>Cronbach Alpha</w:t>
            </w:r>
          </w:p>
        </w:tc>
        <w:tc>
          <w:tcPr>
            <w:tcW w:w="702" w:type="pct"/>
            <w:tcBorders>
              <w:top w:val="single" w:sz="4" w:space="0" w:color="auto"/>
              <w:left w:val="nil"/>
              <w:bottom w:val="single" w:sz="4" w:space="0" w:color="auto"/>
              <w:right w:val="nil"/>
            </w:tcBorders>
            <w:shd w:val="clear" w:color="auto" w:fill="auto"/>
            <w:noWrap/>
            <w:vAlign w:val="bottom"/>
            <w:hideMark/>
          </w:tcPr>
          <w:p w14:paraId="1BE6E920" w14:textId="77777777" w:rsidR="00A227CE" w:rsidRPr="00C0591E" w:rsidRDefault="00A227CE" w:rsidP="00E40D44">
            <w:pPr>
              <w:spacing w:before="0" w:after="0"/>
              <w:jc w:val="center"/>
              <w:rPr>
                <w:rFonts w:cs="Times New Roman"/>
                <w:b/>
                <w:szCs w:val="24"/>
              </w:rPr>
            </w:pPr>
            <w:r w:rsidRPr="00C0591E">
              <w:rPr>
                <w:rFonts w:cs="Times New Roman"/>
                <w:b/>
                <w:szCs w:val="24"/>
              </w:rPr>
              <w:t>Remark</w:t>
            </w:r>
          </w:p>
        </w:tc>
      </w:tr>
      <w:tr w:rsidR="00A227CE" w:rsidRPr="00C0591E" w14:paraId="1450F4E3" w14:textId="77777777" w:rsidTr="00E40D44">
        <w:trPr>
          <w:trHeight w:val="276"/>
        </w:trPr>
        <w:tc>
          <w:tcPr>
            <w:tcW w:w="367" w:type="pct"/>
            <w:tcBorders>
              <w:top w:val="single" w:sz="4" w:space="0" w:color="auto"/>
              <w:left w:val="nil"/>
              <w:bottom w:val="nil"/>
              <w:right w:val="nil"/>
            </w:tcBorders>
            <w:shd w:val="clear" w:color="auto" w:fill="auto"/>
            <w:noWrap/>
            <w:vAlign w:val="bottom"/>
            <w:hideMark/>
          </w:tcPr>
          <w:p w14:paraId="4307E613" w14:textId="77777777" w:rsidR="00A227CE" w:rsidRPr="00C0591E" w:rsidRDefault="00A227CE" w:rsidP="00E40D44">
            <w:pPr>
              <w:spacing w:before="0" w:after="0"/>
              <w:rPr>
                <w:rFonts w:cs="Times New Roman"/>
                <w:szCs w:val="24"/>
              </w:rPr>
            </w:pPr>
          </w:p>
        </w:tc>
        <w:tc>
          <w:tcPr>
            <w:tcW w:w="2036" w:type="pct"/>
            <w:tcBorders>
              <w:top w:val="single" w:sz="4" w:space="0" w:color="auto"/>
              <w:left w:val="nil"/>
              <w:bottom w:val="nil"/>
              <w:right w:val="nil"/>
            </w:tcBorders>
            <w:shd w:val="clear" w:color="auto" w:fill="auto"/>
            <w:noWrap/>
            <w:vAlign w:val="bottom"/>
            <w:hideMark/>
          </w:tcPr>
          <w:p w14:paraId="21123907" w14:textId="77777777" w:rsidR="00A227CE" w:rsidRPr="00C0591E" w:rsidRDefault="00A227CE" w:rsidP="00E40D44">
            <w:pPr>
              <w:spacing w:before="0" w:after="0"/>
              <w:rPr>
                <w:rFonts w:cs="Times New Roman"/>
                <w:b/>
                <w:szCs w:val="24"/>
              </w:rPr>
            </w:pPr>
            <w:r w:rsidRPr="00C0591E">
              <w:rPr>
                <w:rFonts w:cs="Times New Roman"/>
                <w:b/>
                <w:szCs w:val="24"/>
              </w:rPr>
              <w:t>Export Strategy</w:t>
            </w:r>
          </w:p>
        </w:tc>
        <w:tc>
          <w:tcPr>
            <w:tcW w:w="723" w:type="pct"/>
            <w:tcBorders>
              <w:top w:val="single" w:sz="4" w:space="0" w:color="auto"/>
              <w:left w:val="nil"/>
              <w:bottom w:val="nil"/>
              <w:right w:val="nil"/>
            </w:tcBorders>
            <w:shd w:val="clear" w:color="auto" w:fill="auto"/>
            <w:noWrap/>
            <w:vAlign w:val="bottom"/>
            <w:hideMark/>
          </w:tcPr>
          <w:p w14:paraId="53227804" w14:textId="77777777" w:rsidR="00A227CE" w:rsidRPr="00C0591E" w:rsidRDefault="00A227CE" w:rsidP="00E40D44">
            <w:pPr>
              <w:spacing w:before="0" w:after="0"/>
              <w:jc w:val="center"/>
              <w:rPr>
                <w:rFonts w:cs="Times New Roman"/>
                <w:szCs w:val="24"/>
              </w:rPr>
            </w:pPr>
          </w:p>
        </w:tc>
        <w:tc>
          <w:tcPr>
            <w:tcW w:w="1172" w:type="pct"/>
            <w:tcBorders>
              <w:top w:val="single" w:sz="4" w:space="0" w:color="auto"/>
              <w:left w:val="nil"/>
              <w:bottom w:val="nil"/>
              <w:right w:val="nil"/>
            </w:tcBorders>
            <w:shd w:val="clear" w:color="auto" w:fill="auto"/>
            <w:noWrap/>
            <w:vAlign w:val="bottom"/>
            <w:hideMark/>
          </w:tcPr>
          <w:p w14:paraId="6C630D50" w14:textId="77777777" w:rsidR="00A227CE" w:rsidRPr="00C0591E" w:rsidRDefault="00A227CE" w:rsidP="00E40D44">
            <w:pPr>
              <w:spacing w:before="0" w:after="0"/>
              <w:jc w:val="center"/>
              <w:rPr>
                <w:rFonts w:cs="Times New Roman"/>
                <w:szCs w:val="24"/>
              </w:rPr>
            </w:pPr>
          </w:p>
        </w:tc>
        <w:tc>
          <w:tcPr>
            <w:tcW w:w="702" w:type="pct"/>
            <w:tcBorders>
              <w:top w:val="single" w:sz="4" w:space="0" w:color="auto"/>
              <w:left w:val="nil"/>
              <w:bottom w:val="nil"/>
              <w:right w:val="nil"/>
            </w:tcBorders>
            <w:shd w:val="clear" w:color="auto" w:fill="auto"/>
            <w:noWrap/>
            <w:vAlign w:val="bottom"/>
            <w:hideMark/>
          </w:tcPr>
          <w:p w14:paraId="2F02AA6D" w14:textId="77777777" w:rsidR="00A227CE" w:rsidRPr="00C0591E" w:rsidRDefault="00A227CE" w:rsidP="00E40D44">
            <w:pPr>
              <w:spacing w:before="0" w:after="0"/>
              <w:jc w:val="center"/>
              <w:rPr>
                <w:rFonts w:cs="Times New Roman"/>
                <w:szCs w:val="24"/>
              </w:rPr>
            </w:pPr>
          </w:p>
        </w:tc>
      </w:tr>
      <w:tr w:rsidR="00A227CE" w:rsidRPr="00C0591E" w14:paraId="580A1170" w14:textId="77777777" w:rsidTr="00E40D44">
        <w:trPr>
          <w:trHeight w:val="276"/>
        </w:trPr>
        <w:tc>
          <w:tcPr>
            <w:tcW w:w="367" w:type="pct"/>
            <w:tcBorders>
              <w:top w:val="nil"/>
              <w:left w:val="nil"/>
              <w:bottom w:val="nil"/>
              <w:right w:val="nil"/>
            </w:tcBorders>
            <w:shd w:val="clear" w:color="auto" w:fill="auto"/>
            <w:noWrap/>
            <w:vAlign w:val="bottom"/>
            <w:hideMark/>
          </w:tcPr>
          <w:p w14:paraId="00CF616A" w14:textId="77777777" w:rsidR="00A227CE" w:rsidRPr="00C0591E" w:rsidRDefault="00A227CE" w:rsidP="00E40D44">
            <w:pPr>
              <w:spacing w:before="0" w:after="0"/>
              <w:rPr>
                <w:rFonts w:cs="Times New Roman"/>
                <w:szCs w:val="24"/>
              </w:rPr>
            </w:pPr>
            <w:r w:rsidRPr="00C0591E">
              <w:rPr>
                <w:rFonts w:cs="Times New Roman"/>
                <w:szCs w:val="24"/>
              </w:rPr>
              <w:t>1</w:t>
            </w:r>
          </w:p>
        </w:tc>
        <w:tc>
          <w:tcPr>
            <w:tcW w:w="2036" w:type="pct"/>
            <w:tcBorders>
              <w:top w:val="nil"/>
              <w:left w:val="nil"/>
              <w:bottom w:val="nil"/>
              <w:right w:val="nil"/>
            </w:tcBorders>
            <w:shd w:val="clear" w:color="auto" w:fill="auto"/>
            <w:noWrap/>
            <w:vAlign w:val="bottom"/>
            <w:hideMark/>
          </w:tcPr>
          <w:p w14:paraId="2ED8D4C9" w14:textId="2F5B1106" w:rsidR="00A227CE" w:rsidRPr="00C0591E" w:rsidRDefault="00173C67" w:rsidP="00E40D44">
            <w:pPr>
              <w:spacing w:before="0" w:after="0"/>
              <w:rPr>
                <w:rFonts w:cs="Times New Roman"/>
                <w:szCs w:val="24"/>
              </w:rPr>
            </w:pPr>
            <w:r>
              <w:rPr>
                <w:rFonts w:cs="Times New Roman"/>
                <w:szCs w:val="24"/>
              </w:rPr>
              <w:t>P</w:t>
            </w:r>
            <w:r w:rsidRPr="00173C67">
              <w:rPr>
                <w:rFonts w:cs="Times New Roman"/>
                <w:szCs w:val="24"/>
              </w:rPr>
              <w:t xml:space="preserve">illars of </w:t>
            </w:r>
            <w:r w:rsidR="00A227CE" w:rsidRPr="00C0591E">
              <w:rPr>
                <w:rFonts w:cs="Times New Roman"/>
                <w:szCs w:val="24"/>
              </w:rPr>
              <w:t>Corporate governance</w:t>
            </w:r>
          </w:p>
        </w:tc>
        <w:tc>
          <w:tcPr>
            <w:tcW w:w="723" w:type="pct"/>
            <w:tcBorders>
              <w:top w:val="nil"/>
              <w:left w:val="nil"/>
              <w:bottom w:val="nil"/>
              <w:right w:val="nil"/>
            </w:tcBorders>
            <w:shd w:val="clear" w:color="auto" w:fill="auto"/>
            <w:noWrap/>
            <w:vAlign w:val="bottom"/>
            <w:hideMark/>
          </w:tcPr>
          <w:p w14:paraId="4F67DC1E" w14:textId="77777777" w:rsidR="00A227CE" w:rsidRPr="00C0591E" w:rsidRDefault="00A227CE" w:rsidP="00E40D44">
            <w:pPr>
              <w:spacing w:before="0" w:after="0"/>
              <w:jc w:val="center"/>
              <w:rPr>
                <w:rFonts w:cs="Times New Roman"/>
                <w:szCs w:val="24"/>
              </w:rPr>
            </w:pPr>
            <w:r w:rsidRPr="00C0591E">
              <w:rPr>
                <w:rFonts w:cs="Times New Roman"/>
                <w:szCs w:val="24"/>
              </w:rPr>
              <w:t>32</w:t>
            </w:r>
          </w:p>
        </w:tc>
        <w:tc>
          <w:tcPr>
            <w:tcW w:w="1172" w:type="pct"/>
            <w:tcBorders>
              <w:top w:val="nil"/>
              <w:left w:val="nil"/>
              <w:bottom w:val="nil"/>
              <w:right w:val="nil"/>
            </w:tcBorders>
            <w:shd w:val="clear" w:color="auto" w:fill="auto"/>
            <w:noWrap/>
            <w:vAlign w:val="bottom"/>
            <w:hideMark/>
          </w:tcPr>
          <w:p w14:paraId="5E74399C" w14:textId="77777777" w:rsidR="00A227CE" w:rsidRPr="00C0591E" w:rsidRDefault="00A227CE" w:rsidP="00E40D44">
            <w:pPr>
              <w:spacing w:before="0" w:after="0"/>
              <w:jc w:val="center"/>
              <w:rPr>
                <w:rFonts w:cs="Times New Roman"/>
                <w:szCs w:val="24"/>
              </w:rPr>
            </w:pPr>
            <w:r w:rsidRPr="00C0591E">
              <w:rPr>
                <w:rFonts w:cs="Times New Roman"/>
                <w:szCs w:val="24"/>
              </w:rPr>
              <w:t>0.890</w:t>
            </w:r>
          </w:p>
        </w:tc>
        <w:tc>
          <w:tcPr>
            <w:tcW w:w="702" w:type="pct"/>
            <w:tcBorders>
              <w:top w:val="nil"/>
              <w:left w:val="nil"/>
              <w:bottom w:val="nil"/>
              <w:right w:val="nil"/>
            </w:tcBorders>
            <w:shd w:val="clear" w:color="auto" w:fill="auto"/>
            <w:noWrap/>
            <w:vAlign w:val="bottom"/>
            <w:hideMark/>
          </w:tcPr>
          <w:p w14:paraId="2BD2FB93" w14:textId="77777777" w:rsidR="00A227CE" w:rsidRPr="00C0591E" w:rsidRDefault="00A227CE" w:rsidP="00E40D44">
            <w:pPr>
              <w:spacing w:before="0" w:after="0"/>
              <w:jc w:val="center"/>
              <w:rPr>
                <w:rFonts w:cs="Times New Roman"/>
                <w:szCs w:val="24"/>
              </w:rPr>
            </w:pPr>
            <w:r w:rsidRPr="00C0591E">
              <w:rPr>
                <w:rFonts w:cs="Times New Roman"/>
                <w:szCs w:val="24"/>
              </w:rPr>
              <w:t>Reliable</w:t>
            </w:r>
          </w:p>
        </w:tc>
      </w:tr>
      <w:tr w:rsidR="00A227CE" w:rsidRPr="00C0591E" w14:paraId="7B85E0B7" w14:textId="77777777" w:rsidTr="00E40D44">
        <w:trPr>
          <w:trHeight w:val="276"/>
        </w:trPr>
        <w:tc>
          <w:tcPr>
            <w:tcW w:w="367" w:type="pct"/>
            <w:tcBorders>
              <w:top w:val="nil"/>
              <w:left w:val="nil"/>
              <w:bottom w:val="nil"/>
              <w:right w:val="nil"/>
            </w:tcBorders>
            <w:shd w:val="clear" w:color="auto" w:fill="auto"/>
            <w:noWrap/>
            <w:vAlign w:val="bottom"/>
            <w:hideMark/>
          </w:tcPr>
          <w:p w14:paraId="154BEA21" w14:textId="77777777" w:rsidR="00A227CE" w:rsidRPr="00C0591E" w:rsidRDefault="00A227CE" w:rsidP="00E40D44">
            <w:pPr>
              <w:spacing w:before="0" w:after="0"/>
              <w:rPr>
                <w:rFonts w:cs="Times New Roman"/>
                <w:szCs w:val="24"/>
              </w:rPr>
            </w:pPr>
            <w:r w:rsidRPr="00C0591E">
              <w:rPr>
                <w:rFonts w:cs="Times New Roman"/>
                <w:szCs w:val="24"/>
              </w:rPr>
              <w:t>2</w:t>
            </w:r>
          </w:p>
        </w:tc>
        <w:tc>
          <w:tcPr>
            <w:tcW w:w="2036" w:type="pct"/>
            <w:tcBorders>
              <w:top w:val="nil"/>
              <w:left w:val="nil"/>
              <w:bottom w:val="nil"/>
              <w:right w:val="nil"/>
            </w:tcBorders>
            <w:shd w:val="clear" w:color="auto" w:fill="auto"/>
            <w:noWrap/>
            <w:vAlign w:val="bottom"/>
            <w:hideMark/>
          </w:tcPr>
          <w:p w14:paraId="1C61B1CE" w14:textId="77777777" w:rsidR="00A227CE" w:rsidRPr="00C0591E" w:rsidRDefault="00A227CE" w:rsidP="00E40D44">
            <w:pPr>
              <w:spacing w:before="0" w:after="0"/>
              <w:rPr>
                <w:rFonts w:cs="Times New Roman"/>
                <w:szCs w:val="24"/>
              </w:rPr>
            </w:pPr>
            <w:r w:rsidRPr="00C0591E">
              <w:rPr>
                <w:rFonts w:cs="Times New Roman"/>
                <w:szCs w:val="24"/>
              </w:rPr>
              <w:t>Investment policies</w:t>
            </w:r>
          </w:p>
        </w:tc>
        <w:tc>
          <w:tcPr>
            <w:tcW w:w="723" w:type="pct"/>
            <w:tcBorders>
              <w:top w:val="nil"/>
              <w:left w:val="nil"/>
              <w:bottom w:val="nil"/>
              <w:right w:val="nil"/>
            </w:tcBorders>
            <w:shd w:val="clear" w:color="auto" w:fill="auto"/>
            <w:noWrap/>
            <w:vAlign w:val="bottom"/>
            <w:hideMark/>
          </w:tcPr>
          <w:p w14:paraId="6AEF000E" w14:textId="77777777" w:rsidR="00A227CE" w:rsidRPr="00C0591E" w:rsidRDefault="00A227CE" w:rsidP="00E40D44">
            <w:pPr>
              <w:spacing w:before="0" w:after="0"/>
              <w:jc w:val="center"/>
              <w:rPr>
                <w:rFonts w:cs="Times New Roman"/>
                <w:szCs w:val="24"/>
              </w:rPr>
            </w:pPr>
            <w:r w:rsidRPr="00C0591E">
              <w:rPr>
                <w:rFonts w:cs="Times New Roman"/>
                <w:szCs w:val="24"/>
              </w:rPr>
              <w:t>26</w:t>
            </w:r>
          </w:p>
        </w:tc>
        <w:tc>
          <w:tcPr>
            <w:tcW w:w="1172" w:type="pct"/>
            <w:tcBorders>
              <w:top w:val="nil"/>
              <w:left w:val="nil"/>
              <w:bottom w:val="nil"/>
              <w:right w:val="nil"/>
            </w:tcBorders>
            <w:shd w:val="clear" w:color="auto" w:fill="auto"/>
            <w:noWrap/>
            <w:vAlign w:val="bottom"/>
            <w:hideMark/>
          </w:tcPr>
          <w:p w14:paraId="6DE1F937" w14:textId="77777777" w:rsidR="00A227CE" w:rsidRPr="00C0591E" w:rsidRDefault="00A227CE" w:rsidP="00E40D44">
            <w:pPr>
              <w:spacing w:before="0" w:after="0"/>
              <w:jc w:val="center"/>
              <w:rPr>
                <w:rFonts w:cs="Times New Roman"/>
                <w:szCs w:val="24"/>
              </w:rPr>
            </w:pPr>
            <w:r w:rsidRPr="00C0591E">
              <w:rPr>
                <w:rFonts w:cs="Times New Roman"/>
                <w:szCs w:val="24"/>
              </w:rPr>
              <w:t>0.955</w:t>
            </w:r>
          </w:p>
        </w:tc>
        <w:tc>
          <w:tcPr>
            <w:tcW w:w="702" w:type="pct"/>
            <w:tcBorders>
              <w:top w:val="nil"/>
              <w:left w:val="nil"/>
              <w:bottom w:val="nil"/>
              <w:right w:val="nil"/>
            </w:tcBorders>
            <w:shd w:val="clear" w:color="auto" w:fill="auto"/>
            <w:noWrap/>
            <w:vAlign w:val="bottom"/>
            <w:hideMark/>
          </w:tcPr>
          <w:p w14:paraId="1122B4FC" w14:textId="77777777" w:rsidR="00A227CE" w:rsidRPr="00C0591E" w:rsidRDefault="00A227CE" w:rsidP="00E40D44">
            <w:pPr>
              <w:spacing w:before="0" w:after="0"/>
              <w:jc w:val="center"/>
              <w:rPr>
                <w:rFonts w:cs="Times New Roman"/>
                <w:szCs w:val="24"/>
              </w:rPr>
            </w:pPr>
            <w:r w:rsidRPr="00C0591E">
              <w:rPr>
                <w:rFonts w:cs="Times New Roman"/>
                <w:szCs w:val="24"/>
              </w:rPr>
              <w:t>Reliable</w:t>
            </w:r>
          </w:p>
        </w:tc>
      </w:tr>
      <w:tr w:rsidR="00A227CE" w:rsidRPr="00C0591E" w14:paraId="2763064F" w14:textId="77777777" w:rsidTr="00E40D44">
        <w:trPr>
          <w:trHeight w:val="276"/>
        </w:trPr>
        <w:tc>
          <w:tcPr>
            <w:tcW w:w="367" w:type="pct"/>
            <w:tcBorders>
              <w:top w:val="nil"/>
              <w:left w:val="nil"/>
              <w:bottom w:val="nil"/>
              <w:right w:val="nil"/>
            </w:tcBorders>
            <w:shd w:val="clear" w:color="auto" w:fill="auto"/>
            <w:noWrap/>
            <w:vAlign w:val="bottom"/>
            <w:hideMark/>
          </w:tcPr>
          <w:p w14:paraId="5A0ABD06" w14:textId="77777777" w:rsidR="00A227CE" w:rsidRPr="00C0591E" w:rsidRDefault="00A227CE" w:rsidP="00E40D44">
            <w:pPr>
              <w:spacing w:before="0" w:after="0"/>
              <w:rPr>
                <w:rFonts w:cs="Times New Roman"/>
                <w:szCs w:val="24"/>
              </w:rPr>
            </w:pPr>
            <w:r w:rsidRPr="00C0591E">
              <w:rPr>
                <w:rFonts w:cs="Times New Roman"/>
                <w:szCs w:val="24"/>
              </w:rPr>
              <w:t>3</w:t>
            </w:r>
          </w:p>
        </w:tc>
        <w:tc>
          <w:tcPr>
            <w:tcW w:w="2036" w:type="pct"/>
            <w:tcBorders>
              <w:top w:val="nil"/>
              <w:left w:val="nil"/>
              <w:bottom w:val="nil"/>
              <w:right w:val="nil"/>
            </w:tcBorders>
            <w:shd w:val="clear" w:color="auto" w:fill="auto"/>
            <w:noWrap/>
            <w:vAlign w:val="bottom"/>
            <w:hideMark/>
          </w:tcPr>
          <w:p w14:paraId="6902626C" w14:textId="77777777" w:rsidR="00A227CE" w:rsidRPr="00C0591E" w:rsidRDefault="00A227CE" w:rsidP="00E40D44">
            <w:pPr>
              <w:spacing w:before="0" w:after="0"/>
              <w:rPr>
                <w:rFonts w:cs="Times New Roman"/>
                <w:szCs w:val="24"/>
              </w:rPr>
            </w:pPr>
            <w:r w:rsidRPr="00C0591E">
              <w:rPr>
                <w:rFonts w:cs="Times New Roman"/>
                <w:szCs w:val="24"/>
              </w:rPr>
              <w:t>Government regulations</w:t>
            </w:r>
          </w:p>
        </w:tc>
        <w:tc>
          <w:tcPr>
            <w:tcW w:w="723" w:type="pct"/>
            <w:tcBorders>
              <w:top w:val="nil"/>
              <w:left w:val="nil"/>
              <w:bottom w:val="nil"/>
              <w:right w:val="nil"/>
            </w:tcBorders>
            <w:shd w:val="clear" w:color="auto" w:fill="auto"/>
            <w:noWrap/>
            <w:vAlign w:val="bottom"/>
            <w:hideMark/>
          </w:tcPr>
          <w:p w14:paraId="1B86C1DF" w14:textId="77777777" w:rsidR="00A227CE" w:rsidRPr="00C0591E" w:rsidRDefault="00A227CE" w:rsidP="00E40D44">
            <w:pPr>
              <w:spacing w:before="0" w:after="0"/>
              <w:jc w:val="center"/>
              <w:rPr>
                <w:rFonts w:cs="Times New Roman"/>
                <w:szCs w:val="24"/>
              </w:rPr>
            </w:pPr>
            <w:r w:rsidRPr="00C0591E">
              <w:rPr>
                <w:rFonts w:cs="Times New Roman"/>
                <w:szCs w:val="24"/>
              </w:rPr>
              <w:t>12</w:t>
            </w:r>
          </w:p>
        </w:tc>
        <w:tc>
          <w:tcPr>
            <w:tcW w:w="1172" w:type="pct"/>
            <w:tcBorders>
              <w:top w:val="nil"/>
              <w:left w:val="nil"/>
              <w:bottom w:val="nil"/>
              <w:right w:val="nil"/>
            </w:tcBorders>
            <w:shd w:val="clear" w:color="auto" w:fill="auto"/>
            <w:noWrap/>
            <w:vAlign w:val="bottom"/>
            <w:hideMark/>
          </w:tcPr>
          <w:p w14:paraId="1BC84C6C" w14:textId="77777777" w:rsidR="00A227CE" w:rsidRPr="00C0591E" w:rsidRDefault="00A227CE" w:rsidP="00E40D44">
            <w:pPr>
              <w:spacing w:before="0" w:after="0"/>
              <w:jc w:val="center"/>
              <w:rPr>
                <w:rFonts w:cs="Times New Roman"/>
                <w:szCs w:val="24"/>
              </w:rPr>
            </w:pPr>
            <w:r w:rsidRPr="00C0591E">
              <w:rPr>
                <w:rFonts w:cs="Times New Roman"/>
                <w:szCs w:val="24"/>
              </w:rPr>
              <w:t>0.741</w:t>
            </w:r>
          </w:p>
        </w:tc>
        <w:tc>
          <w:tcPr>
            <w:tcW w:w="702" w:type="pct"/>
            <w:tcBorders>
              <w:top w:val="nil"/>
              <w:left w:val="nil"/>
              <w:bottom w:val="nil"/>
              <w:right w:val="nil"/>
            </w:tcBorders>
            <w:shd w:val="clear" w:color="auto" w:fill="auto"/>
            <w:noWrap/>
            <w:vAlign w:val="bottom"/>
            <w:hideMark/>
          </w:tcPr>
          <w:p w14:paraId="6E289EDA" w14:textId="77777777" w:rsidR="00A227CE" w:rsidRPr="00C0591E" w:rsidRDefault="00A227CE" w:rsidP="00E40D44">
            <w:pPr>
              <w:spacing w:before="0" w:after="0"/>
              <w:jc w:val="center"/>
              <w:rPr>
                <w:rFonts w:cs="Times New Roman"/>
                <w:szCs w:val="24"/>
              </w:rPr>
            </w:pPr>
            <w:r w:rsidRPr="00C0591E">
              <w:rPr>
                <w:rFonts w:cs="Times New Roman"/>
                <w:szCs w:val="24"/>
              </w:rPr>
              <w:t>Reliable</w:t>
            </w:r>
          </w:p>
        </w:tc>
      </w:tr>
      <w:tr w:rsidR="00A227CE" w:rsidRPr="00C0591E" w14:paraId="7507C740" w14:textId="77777777" w:rsidTr="00E40D44">
        <w:trPr>
          <w:trHeight w:val="276"/>
        </w:trPr>
        <w:tc>
          <w:tcPr>
            <w:tcW w:w="367" w:type="pct"/>
            <w:tcBorders>
              <w:top w:val="nil"/>
              <w:left w:val="nil"/>
              <w:bottom w:val="single" w:sz="4" w:space="0" w:color="auto"/>
              <w:right w:val="nil"/>
            </w:tcBorders>
            <w:shd w:val="clear" w:color="auto" w:fill="auto"/>
            <w:noWrap/>
            <w:vAlign w:val="bottom"/>
          </w:tcPr>
          <w:p w14:paraId="1CF5DAF2" w14:textId="77777777" w:rsidR="00A227CE" w:rsidRPr="00C0591E" w:rsidRDefault="00A227CE" w:rsidP="00E40D44">
            <w:pPr>
              <w:spacing w:before="0" w:after="0"/>
              <w:rPr>
                <w:rFonts w:cs="Times New Roman"/>
                <w:szCs w:val="24"/>
              </w:rPr>
            </w:pPr>
            <w:r w:rsidRPr="00C0591E">
              <w:rPr>
                <w:rFonts w:cs="Times New Roman"/>
                <w:szCs w:val="24"/>
              </w:rPr>
              <w:t>4</w:t>
            </w:r>
          </w:p>
        </w:tc>
        <w:tc>
          <w:tcPr>
            <w:tcW w:w="2036" w:type="pct"/>
            <w:tcBorders>
              <w:top w:val="nil"/>
              <w:left w:val="nil"/>
              <w:bottom w:val="single" w:sz="4" w:space="0" w:color="auto"/>
              <w:right w:val="nil"/>
            </w:tcBorders>
            <w:shd w:val="clear" w:color="auto" w:fill="auto"/>
            <w:noWrap/>
            <w:vAlign w:val="bottom"/>
          </w:tcPr>
          <w:p w14:paraId="1EDD2C04" w14:textId="77777777" w:rsidR="00A227CE" w:rsidRPr="00C0591E" w:rsidRDefault="00A227CE" w:rsidP="00E40D44">
            <w:pPr>
              <w:spacing w:before="0" w:after="0"/>
              <w:rPr>
                <w:rFonts w:cs="Times New Roman"/>
                <w:szCs w:val="24"/>
              </w:rPr>
            </w:pPr>
            <w:r w:rsidRPr="00C0591E">
              <w:rPr>
                <w:rFonts w:cs="Times New Roman"/>
                <w:szCs w:val="24"/>
              </w:rPr>
              <w:t>Performance</w:t>
            </w:r>
          </w:p>
        </w:tc>
        <w:tc>
          <w:tcPr>
            <w:tcW w:w="723" w:type="pct"/>
            <w:tcBorders>
              <w:top w:val="nil"/>
              <w:left w:val="nil"/>
              <w:bottom w:val="single" w:sz="4" w:space="0" w:color="auto"/>
              <w:right w:val="nil"/>
            </w:tcBorders>
            <w:shd w:val="clear" w:color="auto" w:fill="auto"/>
            <w:noWrap/>
            <w:vAlign w:val="bottom"/>
          </w:tcPr>
          <w:p w14:paraId="25EE4E7A" w14:textId="77777777" w:rsidR="00A227CE" w:rsidRPr="00C0591E" w:rsidRDefault="00A227CE" w:rsidP="00E40D44">
            <w:pPr>
              <w:spacing w:before="0" w:after="0"/>
              <w:jc w:val="center"/>
              <w:rPr>
                <w:rFonts w:cs="Times New Roman"/>
                <w:szCs w:val="24"/>
              </w:rPr>
            </w:pPr>
            <w:r w:rsidRPr="00C0591E">
              <w:rPr>
                <w:rFonts w:cs="Times New Roman"/>
                <w:szCs w:val="24"/>
              </w:rPr>
              <w:t>27</w:t>
            </w:r>
          </w:p>
        </w:tc>
        <w:tc>
          <w:tcPr>
            <w:tcW w:w="1172" w:type="pct"/>
            <w:tcBorders>
              <w:top w:val="nil"/>
              <w:left w:val="nil"/>
              <w:bottom w:val="single" w:sz="4" w:space="0" w:color="auto"/>
              <w:right w:val="nil"/>
            </w:tcBorders>
            <w:shd w:val="clear" w:color="auto" w:fill="auto"/>
            <w:noWrap/>
            <w:vAlign w:val="bottom"/>
          </w:tcPr>
          <w:p w14:paraId="42455A90" w14:textId="77777777" w:rsidR="00A227CE" w:rsidRPr="00C0591E" w:rsidRDefault="00A227CE" w:rsidP="00E40D44">
            <w:pPr>
              <w:spacing w:before="0" w:after="0"/>
              <w:jc w:val="center"/>
              <w:rPr>
                <w:rFonts w:cs="Times New Roman"/>
                <w:szCs w:val="24"/>
              </w:rPr>
            </w:pPr>
            <w:r w:rsidRPr="00C0591E">
              <w:rPr>
                <w:rFonts w:cs="Times New Roman"/>
                <w:szCs w:val="24"/>
              </w:rPr>
              <w:t>0.877</w:t>
            </w:r>
          </w:p>
        </w:tc>
        <w:tc>
          <w:tcPr>
            <w:tcW w:w="702" w:type="pct"/>
            <w:tcBorders>
              <w:top w:val="nil"/>
              <w:left w:val="nil"/>
              <w:bottom w:val="single" w:sz="4" w:space="0" w:color="auto"/>
              <w:right w:val="nil"/>
            </w:tcBorders>
            <w:shd w:val="clear" w:color="auto" w:fill="auto"/>
            <w:noWrap/>
            <w:vAlign w:val="bottom"/>
          </w:tcPr>
          <w:p w14:paraId="79B021A6" w14:textId="77777777" w:rsidR="00A227CE" w:rsidRPr="00C0591E" w:rsidRDefault="00A227CE" w:rsidP="00E40D44">
            <w:pPr>
              <w:spacing w:before="0" w:after="0"/>
              <w:jc w:val="center"/>
              <w:rPr>
                <w:rFonts w:cs="Times New Roman"/>
                <w:szCs w:val="24"/>
              </w:rPr>
            </w:pPr>
            <w:r w:rsidRPr="00C0591E">
              <w:rPr>
                <w:rFonts w:cs="Times New Roman"/>
                <w:szCs w:val="24"/>
              </w:rPr>
              <w:t>Reliable</w:t>
            </w:r>
          </w:p>
        </w:tc>
      </w:tr>
    </w:tbl>
    <w:p w14:paraId="4673DC75" w14:textId="0863581C" w:rsidR="00A227CE" w:rsidRPr="00C0591E" w:rsidRDefault="00A227CE" w:rsidP="00A227CE">
      <w:pPr>
        <w:rPr>
          <w:rFonts w:cs="Times New Roman"/>
          <w:b/>
          <w:szCs w:val="24"/>
        </w:rPr>
      </w:pPr>
      <w:r w:rsidRPr="00C0591E">
        <w:rPr>
          <w:noProof/>
        </w:rPr>
        <w:t xml:space="preserve">The findings in Table </w:t>
      </w:r>
      <w:r w:rsidR="006753B0" w:rsidRPr="00C0591E">
        <w:rPr>
          <w:noProof/>
        </w:rPr>
        <w:t>10</w:t>
      </w:r>
      <w:r w:rsidRPr="00C0591E">
        <w:rPr>
          <w:noProof/>
        </w:rPr>
        <w:t xml:space="preserve"> show that cronbach’s alpha for all the items were all above 0.7 indicating that the instrument was adequately reliable for measurement and therefore were acceptable. Since all the variables measured had a cronbach’s alpha above 0.7, they were all reliable and thus accepted</w:t>
      </w:r>
    </w:p>
    <w:p w14:paraId="65DD583B" w14:textId="1D9B2E79" w:rsidR="00A227CE" w:rsidRPr="00C0591E" w:rsidRDefault="00C1099B" w:rsidP="00C1099B">
      <w:pPr>
        <w:pStyle w:val="Heading3"/>
        <w:rPr>
          <w:rFonts w:eastAsia="Times New Roman"/>
        </w:rPr>
      </w:pPr>
      <w:bookmarkStart w:id="174" w:name="_Toc534882434"/>
      <w:r w:rsidRPr="00C0591E">
        <w:rPr>
          <w:rFonts w:eastAsia="Times New Roman"/>
        </w:rPr>
        <w:t>4.4.2</w:t>
      </w:r>
      <w:r w:rsidR="00A227CE" w:rsidRPr="00C0591E">
        <w:rPr>
          <w:rFonts w:eastAsia="Times New Roman"/>
        </w:rPr>
        <w:t xml:space="preserve"> Validity </w:t>
      </w:r>
      <w:r w:rsidR="00A227CE" w:rsidRPr="00C0591E">
        <w:t>Testing</w:t>
      </w:r>
      <w:r w:rsidR="00A227CE" w:rsidRPr="00C0591E">
        <w:rPr>
          <w:rFonts w:eastAsia="Times New Roman"/>
        </w:rPr>
        <w:t xml:space="preserve"> Using Factor Analysis</w:t>
      </w:r>
      <w:bookmarkEnd w:id="174"/>
    </w:p>
    <w:p w14:paraId="778EC691" w14:textId="77777777" w:rsidR="00A227CE" w:rsidRPr="00C0591E" w:rsidRDefault="00A227CE" w:rsidP="00A227CE">
      <w:r w:rsidRPr="00C0591E">
        <w:t>According to Comrey and lee (2013), factor analysis is a term that represents a large number of different mathematical procedures for analyzing the interrelationships among a set of variables and for explaining these relationships in terms of a reduced number of variables, called factors. In this case factor analysis was conducted on all items for each of the study variables.</w:t>
      </w:r>
    </w:p>
    <w:p w14:paraId="3B64A189" w14:textId="22D9C961" w:rsidR="00A227CE" w:rsidRPr="00C0591E" w:rsidRDefault="00A227CE" w:rsidP="00C1099B">
      <w:pPr>
        <w:rPr>
          <w:lang w:eastAsia="ar-SA"/>
        </w:rPr>
      </w:pPr>
      <w:r w:rsidRPr="00C0591E">
        <w:t>Cooper and Schindler (2011) suggest that variables with factor loading 0.7 are acceptable. However a minimum of 0.4 value of factor loading is allowed as suggested by other researchers. Similarly, Tabachinick</w:t>
      </w:r>
      <w:r w:rsidRPr="00C0591E">
        <w:rPr>
          <w:lang w:eastAsia="ar-SA"/>
        </w:rPr>
        <w:t xml:space="preserve"> and Fidell (2007) described factor loading as follows 0.32 (poor), 0.45 (fair), 0.55 (good), 0.63 (very good) or 0.7 (excellent). Factor analysis for the study was carried out in order to </w:t>
      </w:r>
      <w:r w:rsidRPr="00C0591E">
        <w:t>check for any correlated variables for redundancy in data to be reduced.</w:t>
      </w:r>
      <w:r w:rsidRPr="00C0591E">
        <w:rPr>
          <w:lang w:eastAsia="ar-SA"/>
        </w:rPr>
        <w:t xml:space="preserve"> It also helps to analyze the</w:t>
      </w:r>
      <w:r w:rsidR="004C68CD" w:rsidRPr="00C0591E">
        <w:rPr>
          <w:lang w:eastAsia="ar-SA"/>
        </w:rPr>
        <w:t xml:space="preserve"> ownership</w:t>
      </w:r>
      <w:r w:rsidRPr="00C0591E">
        <w:rPr>
          <w:lang w:eastAsia="ar-SA"/>
        </w:rPr>
        <w:t xml:space="preserve"> structure of the interrelationships by defining the factors.</w:t>
      </w:r>
      <w:r w:rsidR="00300C23" w:rsidRPr="00C0591E">
        <w:rPr>
          <w:lang w:eastAsia="ar-SA"/>
        </w:rPr>
        <w:t xml:space="preserve"> The study used a factor loading value of 0.5.</w:t>
      </w:r>
    </w:p>
    <w:p w14:paraId="1E95DE29" w14:textId="18724694" w:rsidR="00A227CE" w:rsidRPr="00C0591E" w:rsidRDefault="00C1099B" w:rsidP="00A227CE">
      <w:pPr>
        <w:pStyle w:val="Heading3"/>
        <w:rPr>
          <w:lang w:val="en-GB"/>
        </w:rPr>
      </w:pPr>
      <w:r w:rsidRPr="00C0591E">
        <w:t>4.4.2.</w:t>
      </w:r>
      <w:r w:rsidR="00A227CE" w:rsidRPr="00C0591E">
        <w:t xml:space="preserve">1 Factor Analysis for </w:t>
      </w:r>
      <w:r w:rsidR="00173C67">
        <w:t>Pillars of corporate governance</w:t>
      </w:r>
    </w:p>
    <w:p w14:paraId="7678991E" w14:textId="122BECCA" w:rsidR="00A227CE" w:rsidRPr="00C0591E" w:rsidRDefault="00A227CE" w:rsidP="00A227CE">
      <w:pPr>
        <w:rPr>
          <w:lang w:val="en-GB"/>
        </w:rPr>
      </w:pPr>
      <w:r w:rsidRPr="00C0591E">
        <w:rPr>
          <w:lang w:val="en-GB"/>
        </w:rPr>
        <w:t xml:space="preserve">Factor analysis was carried out on the statements of </w:t>
      </w:r>
      <w:r w:rsidR="00173C67">
        <w:t>pillars of corporate governance</w:t>
      </w:r>
      <w:r w:rsidRPr="00C0591E">
        <w:rPr>
          <w:lang w:val="en-GB"/>
        </w:rPr>
        <w:t xml:space="preserve">. </w:t>
      </w:r>
      <w:r w:rsidR="00173C67">
        <w:rPr>
          <w:lang w:val="en-GB"/>
        </w:rPr>
        <w:t>Pillars of corporate governance</w:t>
      </w:r>
      <w:r w:rsidRPr="00C0591E">
        <w:rPr>
          <w:lang w:val="en-GB"/>
        </w:rPr>
        <w:t xml:space="preserve"> was categorized into transparency, </w:t>
      </w:r>
      <w:r w:rsidR="004C68CD" w:rsidRPr="00C0591E">
        <w:rPr>
          <w:lang w:eastAsia="ar-SA"/>
        </w:rPr>
        <w:t xml:space="preserve">ownership </w:t>
      </w:r>
      <w:r w:rsidRPr="00C0591E">
        <w:rPr>
          <w:lang w:val="en-GB"/>
        </w:rPr>
        <w:t xml:space="preserve">structure, accountability and participation. Factor analysis was done by subjecting the statement to dimension reduction in SPSS where any sub variable with a value less than 0.5 was removed. Table </w:t>
      </w:r>
      <w:r w:rsidR="006753B0" w:rsidRPr="00C0591E">
        <w:rPr>
          <w:lang w:val="en-GB"/>
        </w:rPr>
        <w:t>11</w:t>
      </w:r>
      <w:r w:rsidRPr="00C0591E">
        <w:rPr>
          <w:lang w:val="en-GB"/>
        </w:rPr>
        <w:t xml:space="preserve"> shows the set of sub variables under the </w:t>
      </w:r>
      <w:r w:rsidR="00173C67">
        <w:t>pillars of corporate governance</w:t>
      </w:r>
      <w:r w:rsidRPr="00C0591E">
        <w:rPr>
          <w:lang w:val="en-GB"/>
        </w:rPr>
        <w:t>.</w:t>
      </w:r>
    </w:p>
    <w:p w14:paraId="0B970605" w14:textId="4ABCB6A2" w:rsidR="00A227CE" w:rsidRPr="00C0591E" w:rsidRDefault="00A227CE" w:rsidP="00A227CE">
      <w:pPr>
        <w:pStyle w:val="Heading4"/>
      </w:pPr>
      <w:bookmarkStart w:id="175" w:name="_Toc113125146"/>
      <w:r w:rsidRPr="00C0591E">
        <w:t>Table</w:t>
      </w:r>
      <w:r w:rsidR="006753B0" w:rsidRPr="00C0591E">
        <w:t xml:space="preserve"> 11</w:t>
      </w:r>
      <w:r w:rsidRPr="00C0591E">
        <w:t xml:space="preserve">: Factor Loading for </w:t>
      </w:r>
      <w:r w:rsidR="00173C67">
        <w:t>Pillars of corporate governance</w:t>
      </w:r>
      <w:bookmarkEnd w:id="175"/>
    </w:p>
    <w:tbl>
      <w:tblPr>
        <w:tblW w:w="0" w:type="auto"/>
        <w:tblInd w:w="-180" w:type="dxa"/>
        <w:tblLayout w:type="fixed"/>
        <w:tblLook w:val="04A0" w:firstRow="1" w:lastRow="0" w:firstColumn="1" w:lastColumn="0" w:noHBand="0" w:noVBand="1"/>
      </w:tblPr>
      <w:tblGrid>
        <w:gridCol w:w="630"/>
        <w:gridCol w:w="6930"/>
        <w:gridCol w:w="1982"/>
      </w:tblGrid>
      <w:tr w:rsidR="00A227CE" w:rsidRPr="00C0591E" w14:paraId="053054D6" w14:textId="77777777" w:rsidTr="00E40D44">
        <w:trPr>
          <w:trHeight w:val="288"/>
        </w:trPr>
        <w:tc>
          <w:tcPr>
            <w:tcW w:w="630" w:type="dxa"/>
            <w:tcBorders>
              <w:top w:val="single" w:sz="4" w:space="0" w:color="auto"/>
              <w:left w:val="nil"/>
              <w:bottom w:val="single" w:sz="4" w:space="0" w:color="auto"/>
              <w:right w:val="nil"/>
            </w:tcBorders>
            <w:shd w:val="clear" w:color="auto" w:fill="auto"/>
            <w:noWrap/>
            <w:vAlign w:val="bottom"/>
            <w:hideMark/>
          </w:tcPr>
          <w:p w14:paraId="3BCE9382" w14:textId="77777777" w:rsidR="00A227CE" w:rsidRPr="00C0591E" w:rsidRDefault="00A227CE" w:rsidP="00E40D44">
            <w:pPr>
              <w:spacing w:before="0" w:line="240" w:lineRule="auto"/>
              <w:rPr>
                <w:b/>
              </w:rPr>
            </w:pPr>
            <w:r w:rsidRPr="00C0591E">
              <w:rPr>
                <w:b/>
              </w:rPr>
              <w:t> No.</w:t>
            </w:r>
          </w:p>
        </w:tc>
        <w:tc>
          <w:tcPr>
            <w:tcW w:w="6930" w:type="dxa"/>
            <w:tcBorders>
              <w:top w:val="single" w:sz="4" w:space="0" w:color="auto"/>
              <w:left w:val="nil"/>
              <w:bottom w:val="single" w:sz="4" w:space="0" w:color="auto"/>
              <w:right w:val="nil"/>
            </w:tcBorders>
            <w:shd w:val="clear" w:color="auto" w:fill="auto"/>
            <w:vAlign w:val="bottom"/>
            <w:hideMark/>
          </w:tcPr>
          <w:p w14:paraId="7EFDA3B6" w14:textId="77777777" w:rsidR="00A227CE" w:rsidRPr="00C0591E" w:rsidRDefault="00A227CE" w:rsidP="00E40D44">
            <w:pPr>
              <w:spacing w:before="0" w:line="240" w:lineRule="auto"/>
              <w:rPr>
                <w:b/>
              </w:rPr>
            </w:pPr>
            <w:r w:rsidRPr="00C0591E">
              <w:rPr>
                <w:b/>
              </w:rPr>
              <w:t>Transparency</w:t>
            </w:r>
          </w:p>
        </w:tc>
        <w:tc>
          <w:tcPr>
            <w:tcW w:w="1982" w:type="dxa"/>
            <w:tcBorders>
              <w:top w:val="single" w:sz="4" w:space="0" w:color="auto"/>
              <w:left w:val="nil"/>
              <w:bottom w:val="single" w:sz="4" w:space="0" w:color="auto"/>
              <w:right w:val="nil"/>
            </w:tcBorders>
            <w:shd w:val="clear" w:color="auto" w:fill="auto"/>
            <w:noWrap/>
            <w:vAlign w:val="bottom"/>
            <w:hideMark/>
          </w:tcPr>
          <w:p w14:paraId="637E73E0" w14:textId="77777777" w:rsidR="00A227CE" w:rsidRPr="00C0591E" w:rsidRDefault="00A227CE" w:rsidP="00E40D44">
            <w:pPr>
              <w:spacing w:before="0" w:line="240" w:lineRule="auto"/>
              <w:jc w:val="center"/>
              <w:rPr>
                <w:b/>
              </w:rPr>
            </w:pPr>
            <w:r w:rsidRPr="00C0591E">
              <w:rPr>
                <w:b/>
              </w:rPr>
              <w:t>Factor Loading</w:t>
            </w:r>
          </w:p>
        </w:tc>
      </w:tr>
      <w:tr w:rsidR="00A227CE" w:rsidRPr="00C0591E" w14:paraId="41861B14" w14:textId="77777777" w:rsidTr="00E40D44">
        <w:trPr>
          <w:trHeight w:val="288"/>
        </w:trPr>
        <w:tc>
          <w:tcPr>
            <w:tcW w:w="630" w:type="dxa"/>
            <w:tcBorders>
              <w:top w:val="nil"/>
              <w:left w:val="nil"/>
              <w:bottom w:val="nil"/>
              <w:right w:val="nil"/>
            </w:tcBorders>
            <w:shd w:val="clear" w:color="auto" w:fill="auto"/>
            <w:noWrap/>
            <w:vAlign w:val="bottom"/>
            <w:hideMark/>
          </w:tcPr>
          <w:p w14:paraId="2A333DE8" w14:textId="77777777" w:rsidR="00A227CE" w:rsidRPr="00C0591E" w:rsidRDefault="00A227CE" w:rsidP="00E40D44">
            <w:pPr>
              <w:spacing w:before="0" w:line="240" w:lineRule="auto"/>
            </w:pPr>
            <w:r w:rsidRPr="00C0591E">
              <w:t>1</w:t>
            </w:r>
          </w:p>
        </w:tc>
        <w:tc>
          <w:tcPr>
            <w:tcW w:w="6930" w:type="dxa"/>
            <w:tcBorders>
              <w:top w:val="nil"/>
              <w:left w:val="nil"/>
              <w:bottom w:val="nil"/>
              <w:right w:val="nil"/>
            </w:tcBorders>
            <w:shd w:val="clear" w:color="auto" w:fill="auto"/>
            <w:vAlign w:val="bottom"/>
            <w:hideMark/>
          </w:tcPr>
          <w:p w14:paraId="0ADAAE8C" w14:textId="77777777" w:rsidR="00A227CE" w:rsidRPr="00C0591E" w:rsidRDefault="00A227CE" w:rsidP="00E40D44">
            <w:pPr>
              <w:spacing w:before="0" w:line="240" w:lineRule="auto"/>
            </w:pPr>
            <w:r w:rsidRPr="00C0591E">
              <w:t>The board discloses the corporation’s independent auditors</w:t>
            </w:r>
          </w:p>
        </w:tc>
        <w:tc>
          <w:tcPr>
            <w:tcW w:w="1982" w:type="dxa"/>
            <w:tcBorders>
              <w:top w:val="nil"/>
              <w:left w:val="nil"/>
              <w:bottom w:val="nil"/>
              <w:right w:val="nil"/>
            </w:tcBorders>
            <w:shd w:val="clear" w:color="auto" w:fill="auto"/>
            <w:noWrap/>
            <w:vAlign w:val="bottom"/>
            <w:hideMark/>
          </w:tcPr>
          <w:p w14:paraId="0266EC5B" w14:textId="77777777" w:rsidR="00A227CE" w:rsidRPr="00C0591E" w:rsidRDefault="00A227CE" w:rsidP="00E40D44">
            <w:pPr>
              <w:spacing w:before="0" w:line="240" w:lineRule="auto"/>
              <w:jc w:val="center"/>
            </w:pPr>
            <w:r w:rsidRPr="00C0591E">
              <w:t>0.850</w:t>
            </w:r>
          </w:p>
        </w:tc>
      </w:tr>
      <w:tr w:rsidR="00A227CE" w:rsidRPr="00C0591E" w14:paraId="2FEF740C" w14:textId="77777777" w:rsidTr="00E40D44">
        <w:trPr>
          <w:trHeight w:val="288"/>
        </w:trPr>
        <w:tc>
          <w:tcPr>
            <w:tcW w:w="630" w:type="dxa"/>
            <w:tcBorders>
              <w:top w:val="nil"/>
              <w:left w:val="nil"/>
              <w:bottom w:val="nil"/>
              <w:right w:val="nil"/>
            </w:tcBorders>
            <w:shd w:val="clear" w:color="auto" w:fill="auto"/>
            <w:noWrap/>
            <w:vAlign w:val="bottom"/>
            <w:hideMark/>
          </w:tcPr>
          <w:p w14:paraId="50C994B3" w14:textId="77777777" w:rsidR="00A227CE" w:rsidRPr="00C0591E" w:rsidRDefault="00A227CE" w:rsidP="00E40D44">
            <w:pPr>
              <w:spacing w:before="0" w:line="240" w:lineRule="auto"/>
            </w:pPr>
            <w:r w:rsidRPr="00C0591E">
              <w:t>2</w:t>
            </w:r>
          </w:p>
        </w:tc>
        <w:tc>
          <w:tcPr>
            <w:tcW w:w="6930" w:type="dxa"/>
            <w:tcBorders>
              <w:top w:val="nil"/>
              <w:left w:val="nil"/>
              <w:bottom w:val="nil"/>
              <w:right w:val="nil"/>
            </w:tcBorders>
            <w:shd w:val="clear" w:color="auto" w:fill="auto"/>
            <w:vAlign w:val="bottom"/>
            <w:hideMark/>
          </w:tcPr>
          <w:p w14:paraId="605A7DFA" w14:textId="77777777" w:rsidR="00A227CE" w:rsidRPr="00C0591E" w:rsidRDefault="00A227CE" w:rsidP="00E40D44">
            <w:pPr>
              <w:spacing w:before="0" w:line="240" w:lineRule="auto"/>
            </w:pPr>
            <w:r w:rsidRPr="00C0591E">
              <w:t>There is equal access to information for all stakeholders</w:t>
            </w:r>
          </w:p>
        </w:tc>
        <w:tc>
          <w:tcPr>
            <w:tcW w:w="1982" w:type="dxa"/>
            <w:tcBorders>
              <w:top w:val="nil"/>
              <w:left w:val="nil"/>
              <w:bottom w:val="nil"/>
              <w:right w:val="nil"/>
            </w:tcBorders>
            <w:shd w:val="clear" w:color="auto" w:fill="auto"/>
            <w:noWrap/>
            <w:vAlign w:val="bottom"/>
            <w:hideMark/>
          </w:tcPr>
          <w:p w14:paraId="0A9FCFB1" w14:textId="77777777" w:rsidR="00A227CE" w:rsidRPr="00C0591E" w:rsidRDefault="00A227CE" w:rsidP="00E40D44">
            <w:pPr>
              <w:spacing w:before="0" w:line="240" w:lineRule="auto"/>
              <w:jc w:val="center"/>
            </w:pPr>
            <w:r w:rsidRPr="00C0591E">
              <w:t>0.848</w:t>
            </w:r>
          </w:p>
        </w:tc>
      </w:tr>
      <w:tr w:rsidR="00A227CE" w:rsidRPr="00C0591E" w14:paraId="3EE1C8F5" w14:textId="77777777" w:rsidTr="00E40D44">
        <w:trPr>
          <w:trHeight w:val="312"/>
        </w:trPr>
        <w:tc>
          <w:tcPr>
            <w:tcW w:w="630" w:type="dxa"/>
            <w:tcBorders>
              <w:top w:val="nil"/>
              <w:left w:val="nil"/>
              <w:bottom w:val="nil"/>
              <w:right w:val="nil"/>
            </w:tcBorders>
            <w:shd w:val="clear" w:color="auto" w:fill="auto"/>
            <w:noWrap/>
            <w:vAlign w:val="bottom"/>
            <w:hideMark/>
          </w:tcPr>
          <w:p w14:paraId="1043B36C" w14:textId="77777777" w:rsidR="00A227CE" w:rsidRPr="00C0591E" w:rsidRDefault="00A227CE" w:rsidP="00E40D44">
            <w:pPr>
              <w:spacing w:before="0" w:line="240" w:lineRule="auto"/>
            </w:pPr>
            <w:r w:rsidRPr="00C0591E">
              <w:t>3</w:t>
            </w:r>
          </w:p>
        </w:tc>
        <w:tc>
          <w:tcPr>
            <w:tcW w:w="6930" w:type="dxa"/>
            <w:tcBorders>
              <w:top w:val="nil"/>
              <w:left w:val="nil"/>
              <w:bottom w:val="nil"/>
              <w:right w:val="nil"/>
            </w:tcBorders>
            <w:shd w:val="clear" w:color="auto" w:fill="auto"/>
            <w:noWrap/>
            <w:vAlign w:val="bottom"/>
            <w:hideMark/>
          </w:tcPr>
          <w:p w14:paraId="1046FF84" w14:textId="77777777" w:rsidR="00A227CE" w:rsidRPr="00C0591E" w:rsidRDefault="00A227CE" w:rsidP="00E40D44">
            <w:pPr>
              <w:spacing w:before="0" w:line="240" w:lineRule="auto"/>
              <w:rPr>
                <w:rFonts w:cs="Times New Roman"/>
                <w:szCs w:val="24"/>
              </w:rPr>
            </w:pPr>
            <w:r w:rsidRPr="00C0591E">
              <w:rPr>
                <w:rFonts w:cs="Times New Roman"/>
                <w:szCs w:val="24"/>
              </w:rPr>
              <w:t>The board discloses managerial ownership and compensation</w:t>
            </w:r>
          </w:p>
        </w:tc>
        <w:tc>
          <w:tcPr>
            <w:tcW w:w="1982" w:type="dxa"/>
            <w:tcBorders>
              <w:top w:val="nil"/>
              <w:left w:val="nil"/>
              <w:bottom w:val="nil"/>
              <w:right w:val="nil"/>
            </w:tcBorders>
            <w:shd w:val="clear" w:color="auto" w:fill="auto"/>
            <w:noWrap/>
            <w:vAlign w:val="bottom"/>
            <w:hideMark/>
          </w:tcPr>
          <w:p w14:paraId="0EC53729" w14:textId="77777777" w:rsidR="00A227CE" w:rsidRPr="00C0591E" w:rsidRDefault="00A227CE" w:rsidP="00E40D44">
            <w:pPr>
              <w:spacing w:before="0" w:line="240" w:lineRule="auto"/>
              <w:jc w:val="center"/>
            </w:pPr>
            <w:r w:rsidRPr="00C0591E">
              <w:t>0.628</w:t>
            </w:r>
          </w:p>
        </w:tc>
      </w:tr>
      <w:tr w:rsidR="00A227CE" w:rsidRPr="00C0591E" w14:paraId="3CCDE7B5" w14:textId="77777777" w:rsidTr="00E40D44">
        <w:trPr>
          <w:trHeight w:val="576"/>
        </w:trPr>
        <w:tc>
          <w:tcPr>
            <w:tcW w:w="630" w:type="dxa"/>
            <w:tcBorders>
              <w:top w:val="nil"/>
              <w:left w:val="nil"/>
              <w:bottom w:val="nil"/>
              <w:right w:val="nil"/>
            </w:tcBorders>
            <w:shd w:val="clear" w:color="auto" w:fill="auto"/>
            <w:noWrap/>
            <w:vAlign w:val="bottom"/>
            <w:hideMark/>
          </w:tcPr>
          <w:p w14:paraId="76E72728" w14:textId="77777777" w:rsidR="00A227CE" w:rsidRPr="00C0591E" w:rsidRDefault="00A227CE" w:rsidP="00E40D44">
            <w:pPr>
              <w:spacing w:before="0" w:line="240" w:lineRule="auto"/>
            </w:pPr>
            <w:r w:rsidRPr="00C0591E">
              <w:t>4</w:t>
            </w:r>
          </w:p>
        </w:tc>
        <w:tc>
          <w:tcPr>
            <w:tcW w:w="6930" w:type="dxa"/>
            <w:tcBorders>
              <w:top w:val="nil"/>
              <w:left w:val="nil"/>
              <w:bottom w:val="nil"/>
              <w:right w:val="nil"/>
            </w:tcBorders>
            <w:shd w:val="clear" w:color="auto" w:fill="auto"/>
            <w:vAlign w:val="bottom"/>
            <w:hideMark/>
          </w:tcPr>
          <w:p w14:paraId="1CD626AA" w14:textId="77777777" w:rsidR="00A227CE" w:rsidRPr="00C0591E" w:rsidRDefault="00A227CE" w:rsidP="00E40D44">
            <w:pPr>
              <w:spacing w:before="0" w:line="240" w:lineRule="auto"/>
            </w:pPr>
            <w:r w:rsidRPr="00C0591E">
              <w:t>Board guidelines on Corporate Governance are published in the firm proxy statement</w:t>
            </w:r>
          </w:p>
        </w:tc>
        <w:tc>
          <w:tcPr>
            <w:tcW w:w="1982" w:type="dxa"/>
            <w:tcBorders>
              <w:top w:val="nil"/>
              <w:left w:val="nil"/>
              <w:bottom w:val="nil"/>
              <w:right w:val="nil"/>
            </w:tcBorders>
            <w:shd w:val="clear" w:color="auto" w:fill="auto"/>
            <w:noWrap/>
            <w:vAlign w:val="bottom"/>
            <w:hideMark/>
          </w:tcPr>
          <w:p w14:paraId="5E96086B" w14:textId="77777777" w:rsidR="00A227CE" w:rsidRPr="00C0591E" w:rsidRDefault="00A227CE" w:rsidP="00E40D44">
            <w:pPr>
              <w:spacing w:before="0" w:line="240" w:lineRule="auto"/>
              <w:jc w:val="center"/>
            </w:pPr>
            <w:r w:rsidRPr="00C0591E">
              <w:t>0.609</w:t>
            </w:r>
          </w:p>
        </w:tc>
      </w:tr>
      <w:tr w:rsidR="00A227CE" w:rsidRPr="00C0591E" w14:paraId="57CB9B16" w14:textId="77777777" w:rsidTr="00E40D44">
        <w:trPr>
          <w:trHeight w:val="576"/>
        </w:trPr>
        <w:tc>
          <w:tcPr>
            <w:tcW w:w="630" w:type="dxa"/>
            <w:tcBorders>
              <w:top w:val="nil"/>
              <w:left w:val="nil"/>
              <w:bottom w:val="nil"/>
              <w:right w:val="nil"/>
            </w:tcBorders>
            <w:shd w:val="clear" w:color="auto" w:fill="auto"/>
            <w:noWrap/>
            <w:vAlign w:val="bottom"/>
            <w:hideMark/>
          </w:tcPr>
          <w:p w14:paraId="423EE7BD" w14:textId="77777777" w:rsidR="00A227CE" w:rsidRPr="00C0591E" w:rsidRDefault="00A227CE" w:rsidP="00E40D44">
            <w:pPr>
              <w:spacing w:before="0" w:line="240" w:lineRule="auto"/>
            </w:pPr>
            <w:r w:rsidRPr="00C0591E">
              <w:t>5</w:t>
            </w:r>
          </w:p>
        </w:tc>
        <w:tc>
          <w:tcPr>
            <w:tcW w:w="6930" w:type="dxa"/>
            <w:tcBorders>
              <w:top w:val="nil"/>
              <w:left w:val="nil"/>
              <w:bottom w:val="nil"/>
              <w:right w:val="nil"/>
            </w:tcBorders>
            <w:shd w:val="clear" w:color="auto" w:fill="auto"/>
            <w:vAlign w:val="bottom"/>
            <w:hideMark/>
          </w:tcPr>
          <w:p w14:paraId="024D2777" w14:textId="77777777" w:rsidR="00A227CE" w:rsidRPr="00C0591E" w:rsidRDefault="00A227CE" w:rsidP="00E40D44">
            <w:pPr>
              <w:spacing w:before="0" w:line="240" w:lineRule="auto"/>
            </w:pPr>
            <w:r w:rsidRPr="00C0591E">
              <w:t>Board guidelines on the code of ethics and conduct are published in the firm’s proxy statement</w:t>
            </w:r>
          </w:p>
        </w:tc>
        <w:tc>
          <w:tcPr>
            <w:tcW w:w="1982" w:type="dxa"/>
            <w:tcBorders>
              <w:top w:val="nil"/>
              <w:left w:val="nil"/>
              <w:bottom w:val="nil"/>
              <w:right w:val="nil"/>
            </w:tcBorders>
            <w:shd w:val="clear" w:color="auto" w:fill="auto"/>
            <w:noWrap/>
            <w:vAlign w:val="bottom"/>
            <w:hideMark/>
          </w:tcPr>
          <w:p w14:paraId="64EF9FA0" w14:textId="77777777" w:rsidR="00A227CE" w:rsidRPr="00C0591E" w:rsidRDefault="00A227CE" w:rsidP="00E40D44">
            <w:pPr>
              <w:spacing w:before="0" w:line="240" w:lineRule="auto"/>
              <w:jc w:val="center"/>
            </w:pPr>
            <w:r w:rsidRPr="00C0591E">
              <w:t>0.692</w:t>
            </w:r>
          </w:p>
        </w:tc>
      </w:tr>
      <w:tr w:rsidR="00A227CE" w:rsidRPr="00C0591E" w14:paraId="1ABA62E6" w14:textId="77777777" w:rsidTr="00E40D44">
        <w:trPr>
          <w:trHeight w:val="576"/>
        </w:trPr>
        <w:tc>
          <w:tcPr>
            <w:tcW w:w="630" w:type="dxa"/>
            <w:tcBorders>
              <w:top w:val="nil"/>
              <w:left w:val="nil"/>
              <w:bottom w:val="single" w:sz="4" w:space="0" w:color="auto"/>
              <w:right w:val="nil"/>
            </w:tcBorders>
            <w:shd w:val="clear" w:color="auto" w:fill="auto"/>
            <w:noWrap/>
            <w:vAlign w:val="bottom"/>
            <w:hideMark/>
          </w:tcPr>
          <w:p w14:paraId="3909834B" w14:textId="77777777" w:rsidR="00A227CE" w:rsidRPr="00C0591E" w:rsidRDefault="00A227CE" w:rsidP="00E40D44">
            <w:pPr>
              <w:spacing w:before="0" w:line="240" w:lineRule="auto"/>
            </w:pPr>
            <w:r w:rsidRPr="00C0591E">
              <w:t>6</w:t>
            </w:r>
          </w:p>
        </w:tc>
        <w:tc>
          <w:tcPr>
            <w:tcW w:w="6930" w:type="dxa"/>
            <w:tcBorders>
              <w:top w:val="nil"/>
              <w:left w:val="nil"/>
              <w:bottom w:val="single" w:sz="4" w:space="0" w:color="auto"/>
              <w:right w:val="nil"/>
            </w:tcBorders>
            <w:shd w:val="clear" w:color="auto" w:fill="auto"/>
            <w:vAlign w:val="bottom"/>
            <w:hideMark/>
          </w:tcPr>
          <w:p w14:paraId="3CFEA817" w14:textId="77777777" w:rsidR="00A227CE" w:rsidRPr="00C0591E" w:rsidRDefault="00A227CE" w:rsidP="00E40D44">
            <w:pPr>
              <w:spacing w:before="0" w:line="240" w:lineRule="auto"/>
            </w:pPr>
            <w:r w:rsidRPr="00C0591E">
              <w:t>The Fund manager prepares audited financial statements and makes them available to members</w:t>
            </w:r>
          </w:p>
        </w:tc>
        <w:tc>
          <w:tcPr>
            <w:tcW w:w="1982" w:type="dxa"/>
            <w:tcBorders>
              <w:top w:val="nil"/>
              <w:left w:val="nil"/>
              <w:bottom w:val="single" w:sz="4" w:space="0" w:color="auto"/>
              <w:right w:val="nil"/>
            </w:tcBorders>
            <w:shd w:val="clear" w:color="auto" w:fill="auto"/>
            <w:noWrap/>
            <w:vAlign w:val="bottom"/>
            <w:hideMark/>
          </w:tcPr>
          <w:p w14:paraId="10835E03" w14:textId="77777777" w:rsidR="00A227CE" w:rsidRPr="00C0591E" w:rsidRDefault="00A227CE" w:rsidP="00E40D44">
            <w:pPr>
              <w:spacing w:before="0" w:line="240" w:lineRule="auto"/>
              <w:jc w:val="center"/>
            </w:pPr>
            <w:r w:rsidRPr="00C0591E">
              <w:t>0.813</w:t>
            </w:r>
          </w:p>
        </w:tc>
      </w:tr>
      <w:tr w:rsidR="00A227CE" w:rsidRPr="00C0591E" w14:paraId="1118BBE9" w14:textId="77777777" w:rsidTr="00E40D44">
        <w:trPr>
          <w:trHeight w:val="288"/>
        </w:trPr>
        <w:tc>
          <w:tcPr>
            <w:tcW w:w="630" w:type="dxa"/>
            <w:tcBorders>
              <w:top w:val="nil"/>
              <w:left w:val="nil"/>
              <w:bottom w:val="nil"/>
              <w:right w:val="nil"/>
            </w:tcBorders>
            <w:shd w:val="clear" w:color="auto" w:fill="auto"/>
            <w:noWrap/>
            <w:vAlign w:val="bottom"/>
            <w:hideMark/>
          </w:tcPr>
          <w:p w14:paraId="7B70C1CE" w14:textId="77777777" w:rsidR="00A227CE" w:rsidRPr="00C0591E" w:rsidRDefault="00A227CE" w:rsidP="00E40D44">
            <w:pPr>
              <w:spacing w:before="0" w:line="240" w:lineRule="auto"/>
              <w:rPr>
                <w:b/>
              </w:rPr>
            </w:pPr>
            <w:r w:rsidRPr="00C0591E">
              <w:rPr>
                <w:b/>
              </w:rPr>
              <w:t> </w:t>
            </w:r>
          </w:p>
        </w:tc>
        <w:tc>
          <w:tcPr>
            <w:tcW w:w="6930" w:type="dxa"/>
            <w:tcBorders>
              <w:top w:val="nil"/>
              <w:left w:val="nil"/>
              <w:bottom w:val="nil"/>
              <w:right w:val="nil"/>
            </w:tcBorders>
            <w:shd w:val="clear" w:color="auto" w:fill="auto"/>
            <w:vAlign w:val="bottom"/>
            <w:hideMark/>
          </w:tcPr>
          <w:p w14:paraId="2FC7FB24" w14:textId="09891DC9" w:rsidR="00A227CE" w:rsidRPr="00C0591E" w:rsidRDefault="00A227CE" w:rsidP="00E40D44">
            <w:pPr>
              <w:spacing w:before="0" w:line="240" w:lineRule="auto"/>
              <w:rPr>
                <w:b/>
              </w:rPr>
            </w:pPr>
            <w:r w:rsidRPr="00C0591E">
              <w:rPr>
                <w:b/>
              </w:rPr>
              <w:t xml:space="preserve"> </w:t>
            </w:r>
            <w:r w:rsidR="004C68CD" w:rsidRPr="00C0591E">
              <w:rPr>
                <w:b/>
                <w:lang w:eastAsia="ar-SA"/>
              </w:rPr>
              <w:t>Ownership</w:t>
            </w:r>
            <w:r w:rsidR="004C68CD" w:rsidRPr="00C0591E">
              <w:rPr>
                <w:lang w:eastAsia="ar-SA"/>
              </w:rPr>
              <w:t xml:space="preserve"> </w:t>
            </w:r>
            <w:r w:rsidRPr="00C0591E">
              <w:rPr>
                <w:b/>
              </w:rPr>
              <w:t>Structure</w:t>
            </w:r>
          </w:p>
        </w:tc>
        <w:tc>
          <w:tcPr>
            <w:tcW w:w="1982" w:type="dxa"/>
            <w:tcBorders>
              <w:top w:val="nil"/>
              <w:left w:val="nil"/>
              <w:bottom w:val="nil"/>
              <w:right w:val="nil"/>
            </w:tcBorders>
            <w:shd w:val="clear" w:color="auto" w:fill="auto"/>
            <w:noWrap/>
            <w:vAlign w:val="bottom"/>
            <w:hideMark/>
          </w:tcPr>
          <w:p w14:paraId="25FA5EEF" w14:textId="77777777" w:rsidR="00A227CE" w:rsidRPr="00C0591E" w:rsidRDefault="00A227CE" w:rsidP="00E40D44">
            <w:pPr>
              <w:spacing w:before="0" w:line="240" w:lineRule="auto"/>
              <w:jc w:val="center"/>
            </w:pPr>
          </w:p>
        </w:tc>
      </w:tr>
      <w:tr w:rsidR="00A227CE" w:rsidRPr="00C0591E" w14:paraId="3FC20647" w14:textId="77777777" w:rsidTr="00E40D44">
        <w:trPr>
          <w:trHeight w:val="288"/>
        </w:trPr>
        <w:tc>
          <w:tcPr>
            <w:tcW w:w="630" w:type="dxa"/>
            <w:tcBorders>
              <w:top w:val="nil"/>
              <w:left w:val="nil"/>
              <w:bottom w:val="nil"/>
              <w:right w:val="nil"/>
            </w:tcBorders>
            <w:shd w:val="clear" w:color="auto" w:fill="auto"/>
            <w:noWrap/>
            <w:vAlign w:val="bottom"/>
            <w:hideMark/>
          </w:tcPr>
          <w:p w14:paraId="7CED9F40" w14:textId="77777777" w:rsidR="00A227CE" w:rsidRPr="00C0591E" w:rsidRDefault="00A227CE" w:rsidP="00E40D44">
            <w:pPr>
              <w:spacing w:before="0" w:line="240" w:lineRule="auto"/>
            </w:pPr>
            <w:r w:rsidRPr="00C0591E">
              <w:t>7</w:t>
            </w:r>
          </w:p>
        </w:tc>
        <w:tc>
          <w:tcPr>
            <w:tcW w:w="6930" w:type="dxa"/>
            <w:tcBorders>
              <w:top w:val="nil"/>
              <w:left w:val="nil"/>
              <w:bottom w:val="nil"/>
              <w:right w:val="nil"/>
            </w:tcBorders>
            <w:shd w:val="clear" w:color="auto" w:fill="auto"/>
            <w:vAlign w:val="bottom"/>
            <w:hideMark/>
          </w:tcPr>
          <w:p w14:paraId="430350A3" w14:textId="77777777" w:rsidR="00A227CE" w:rsidRPr="00C0591E" w:rsidRDefault="00A227CE" w:rsidP="00E40D44">
            <w:pPr>
              <w:spacing w:before="0" w:line="240" w:lineRule="auto"/>
            </w:pPr>
            <w:r w:rsidRPr="00C0591E">
              <w:t>There is an established audit committee in my organization</w:t>
            </w:r>
          </w:p>
        </w:tc>
        <w:tc>
          <w:tcPr>
            <w:tcW w:w="1982" w:type="dxa"/>
            <w:tcBorders>
              <w:top w:val="nil"/>
              <w:left w:val="nil"/>
              <w:bottom w:val="nil"/>
              <w:right w:val="nil"/>
            </w:tcBorders>
            <w:shd w:val="clear" w:color="auto" w:fill="auto"/>
            <w:noWrap/>
            <w:vAlign w:val="bottom"/>
            <w:hideMark/>
          </w:tcPr>
          <w:p w14:paraId="713956C0" w14:textId="77777777" w:rsidR="00A227CE" w:rsidRPr="00C0591E" w:rsidRDefault="00A227CE" w:rsidP="00E40D44">
            <w:pPr>
              <w:spacing w:before="0" w:line="240" w:lineRule="auto"/>
              <w:jc w:val="center"/>
            </w:pPr>
            <w:r w:rsidRPr="00C0591E">
              <w:t>0.883</w:t>
            </w:r>
          </w:p>
        </w:tc>
      </w:tr>
      <w:tr w:rsidR="00A227CE" w:rsidRPr="00C0591E" w14:paraId="69E369BE" w14:textId="77777777" w:rsidTr="00E40D44">
        <w:trPr>
          <w:trHeight w:val="576"/>
        </w:trPr>
        <w:tc>
          <w:tcPr>
            <w:tcW w:w="630" w:type="dxa"/>
            <w:tcBorders>
              <w:top w:val="nil"/>
              <w:left w:val="nil"/>
              <w:bottom w:val="nil"/>
              <w:right w:val="nil"/>
            </w:tcBorders>
            <w:shd w:val="clear" w:color="auto" w:fill="auto"/>
            <w:noWrap/>
            <w:vAlign w:val="bottom"/>
            <w:hideMark/>
          </w:tcPr>
          <w:p w14:paraId="11779575" w14:textId="77777777" w:rsidR="00A227CE" w:rsidRPr="00C0591E" w:rsidRDefault="00A227CE" w:rsidP="00E40D44">
            <w:pPr>
              <w:spacing w:before="0" w:line="240" w:lineRule="auto"/>
            </w:pPr>
            <w:r w:rsidRPr="00C0591E">
              <w:t>8</w:t>
            </w:r>
          </w:p>
        </w:tc>
        <w:tc>
          <w:tcPr>
            <w:tcW w:w="6930" w:type="dxa"/>
            <w:tcBorders>
              <w:top w:val="nil"/>
              <w:left w:val="nil"/>
              <w:bottom w:val="nil"/>
              <w:right w:val="nil"/>
            </w:tcBorders>
            <w:shd w:val="clear" w:color="auto" w:fill="auto"/>
            <w:vAlign w:val="bottom"/>
            <w:hideMark/>
          </w:tcPr>
          <w:p w14:paraId="33AD5DCE" w14:textId="77777777" w:rsidR="00A227CE" w:rsidRPr="00C0591E" w:rsidRDefault="00A227CE" w:rsidP="00E40D44">
            <w:pPr>
              <w:spacing w:before="0" w:line="240" w:lineRule="auto"/>
            </w:pPr>
            <w:r w:rsidRPr="00C0591E">
              <w:t>The Audit Committee is composed of only nonexecutive directors who are independent of the company</w:t>
            </w:r>
          </w:p>
        </w:tc>
        <w:tc>
          <w:tcPr>
            <w:tcW w:w="1982" w:type="dxa"/>
            <w:tcBorders>
              <w:top w:val="nil"/>
              <w:left w:val="nil"/>
              <w:bottom w:val="nil"/>
              <w:right w:val="nil"/>
            </w:tcBorders>
            <w:shd w:val="clear" w:color="auto" w:fill="auto"/>
            <w:noWrap/>
            <w:vAlign w:val="bottom"/>
            <w:hideMark/>
          </w:tcPr>
          <w:p w14:paraId="1CF4796F" w14:textId="77777777" w:rsidR="00A227CE" w:rsidRPr="00C0591E" w:rsidRDefault="00A227CE" w:rsidP="00E40D44">
            <w:pPr>
              <w:spacing w:before="0" w:line="240" w:lineRule="auto"/>
              <w:jc w:val="center"/>
            </w:pPr>
            <w:r w:rsidRPr="00C0591E">
              <w:t>0.972</w:t>
            </w:r>
          </w:p>
        </w:tc>
      </w:tr>
      <w:tr w:rsidR="00A227CE" w:rsidRPr="00C0591E" w14:paraId="2F984E88" w14:textId="77777777" w:rsidTr="00E40D44">
        <w:trPr>
          <w:trHeight w:val="576"/>
        </w:trPr>
        <w:tc>
          <w:tcPr>
            <w:tcW w:w="630" w:type="dxa"/>
            <w:tcBorders>
              <w:top w:val="nil"/>
              <w:left w:val="nil"/>
              <w:bottom w:val="nil"/>
              <w:right w:val="nil"/>
            </w:tcBorders>
            <w:shd w:val="clear" w:color="auto" w:fill="auto"/>
            <w:noWrap/>
            <w:vAlign w:val="bottom"/>
            <w:hideMark/>
          </w:tcPr>
          <w:p w14:paraId="545C96BB" w14:textId="77777777" w:rsidR="00A227CE" w:rsidRPr="00C0591E" w:rsidRDefault="00A227CE" w:rsidP="00E40D44">
            <w:pPr>
              <w:spacing w:before="0" w:line="240" w:lineRule="auto"/>
            </w:pPr>
            <w:r w:rsidRPr="00C0591E">
              <w:t>9</w:t>
            </w:r>
          </w:p>
        </w:tc>
        <w:tc>
          <w:tcPr>
            <w:tcW w:w="6930" w:type="dxa"/>
            <w:tcBorders>
              <w:top w:val="nil"/>
              <w:left w:val="nil"/>
              <w:bottom w:val="nil"/>
              <w:right w:val="nil"/>
            </w:tcBorders>
            <w:shd w:val="clear" w:color="auto" w:fill="auto"/>
            <w:vAlign w:val="bottom"/>
            <w:hideMark/>
          </w:tcPr>
          <w:p w14:paraId="7F0F75AC" w14:textId="77777777" w:rsidR="00A227CE" w:rsidRPr="00C0591E" w:rsidRDefault="00A227CE" w:rsidP="00E40D44">
            <w:pPr>
              <w:spacing w:before="0" w:line="240" w:lineRule="auto"/>
            </w:pPr>
            <w:r w:rsidRPr="00C0591E">
              <w:t>Members of the Audit committee possess certain level of financial competency</w:t>
            </w:r>
          </w:p>
        </w:tc>
        <w:tc>
          <w:tcPr>
            <w:tcW w:w="1982" w:type="dxa"/>
            <w:tcBorders>
              <w:top w:val="nil"/>
              <w:left w:val="nil"/>
              <w:bottom w:val="nil"/>
              <w:right w:val="nil"/>
            </w:tcBorders>
            <w:shd w:val="clear" w:color="auto" w:fill="auto"/>
            <w:noWrap/>
            <w:vAlign w:val="bottom"/>
            <w:hideMark/>
          </w:tcPr>
          <w:p w14:paraId="0F223D5A" w14:textId="77777777" w:rsidR="00A227CE" w:rsidRPr="00C0591E" w:rsidRDefault="00A227CE" w:rsidP="00E40D44">
            <w:pPr>
              <w:spacing w:before="0" w:line="240" w:lineRule="auto"/>
              <w:jc w:val="center"/>
            </w:pPr>
            <w:r w:rsidRPr="00C0591E">
              <w:t>0.942</w:t>
            </w:r>
          </w:p>
        </w:tc>
      </w:tr>
      <w:tr w:rsidR="00A227CE" w:rsidRPr="00C0591E" w14:paraId="75DE64AF" w14:textId="77777777" w:rsidTr="00E40D44">
        <w:trPr>
          <w:trHeight w:val="288"/>
        </w:trPr>
        <w:tc>
          <w:tcPr>
            <w:tcW w:w="630" w:type="dxa"/>
            <w:tcBorders>
              <w:top w:val="nil"/>
              <w:left w:val="nil"/>
              <w:bottom w:val="nil"/>
              <w:right w:val="nil"/>
            </w:tcBorders>
            <w:shd w:val="clear" w:color="auto" w:fill="auto"/>
            <w:noWrap/>
            <w:vAlign w:val="bottom"/>
            <w:hideMark/>
          </w:tcPr>
          <w:p w14:paraId="01099106" w14:textId="77777777" w:rsidR="00A227CE" w:rsidRPr="00C0591E" w:rsidRDefault="00A227CE" w:rsidP="00E40D44">
            <w:pPr>
              <w:spacing w:before="0" w:line="240" w:lineRule="auto"/>
            </w:pPr>
            <w:r w:rsidRPr="00C0591E">
              <w:t>10</w:t>
            </w:r>
          </w:p>
        </w:tc>
        <w:tc>
          <w:tcPr>
            <w:tcW w:w="6930" w:type="dxa"/>
            <w:tcBorders>
              <w:top w:val="nil"/>
              <w:left w:val="nil"/>
              <w:bottom w:val="nil"/>
              <w:right w:val="nil"/>
            </w:tcBorders>
            <w:shd w:val="clear" w:color="auto" w:fill="auto"/>
            <w:noWrap/>
            <w:vAlign w:val="bottom"/>
            <w:hideMark/>
          </w:tcPr>
          <w:p w14:paraId="670D4FF2" w14:textId="77777777" w:rsidR="00A227CE" w:rsidRPr="00C0591E" w:rsidRDefault="00A227CE" w:rsidP="00E40D44">
            <w:pPr>
              <w:spacing w:before="0" w:line="240" w:lineRule="auto"/>
            </w:pPr>
            <w:r w:rsidRPr="00C0591E">
              <w:t>There is a procedure to assesses the performance of the audit committee chair</w:t>
            </w:r>
          </w:p>
        </w:tc>
        <w:tc>
          <w:tcPr>
            <w:tcW w:w="1982" w:type="dxa"/>
            <w:tcBorders>
              <w:top w:val="nil"/>
              <w:left w:val="nil"/>
              <w:bottom w:val="nil"/>
              <w:right w:val="nil"/>
            </w:tcBorders>
            <w:shd w:val="clear" w:color="auto" w:fill="auto"/>
            <w:noWrap/>
            <w:vAlign w:val="bottom"/>
            <w:hideMark/>
          </w:tcPr>
          <w:p w14:paraId="04C0DCAC" w14:textId="77777777" w:rsidR="00A227CE" w:rsidRPr="00C0591E" w:rsidRDefault="00A227CE" w:rsidP="00E40D44">
            <w:pPr>
              <w:spacing w:before="0" w:line="240" w:lineRule="auto"/>
              <w:jc w:val="center"/>
            </w:pPr>
            <w:r w:rsidRPr="00C0591E">
              <w:t>0.845</w:t>
            </w:r>
          </w:p>
        </w:tc>
      </w:tr>
      <w:tr w:rsidR="00A227CE" w:rsidRPr="00C0591E" w14:paraId="1D468306" w14:textId="77777777" w:rsidTr="00E40D44">
        <w:trPr>
          <w:trHeight w:val="576"/>
        </w:trPr>
        <w:tc>
          <w:tcPr>
            <w:tcW w:w="630" w:type="dxa"/>
            <w:tcBorders>
              <w:top w:val="nil"/>
              <w:left w:val="nil"/>
              <w:bottom w:val="nil"/>
              <w:right w:val="nil"/>
            </w:tcBorders>
            <w:shd w:val="clear" w:color="auto" w:fill="auto"/>
            <w:noWrap/>
            <w:vAlign w:val="bottom"/>
            <w:hideMark/>
          </w:tcPr>
          <w:p w14:paraId="6FC9823C" w14:textId="77777777" w:rsidR="00A227CE" w:rsidRPr="00C0591E" w:rsidRDefault="00A227CE" w:rsidP="00E40D44">
            <w:pPr>
              <w:spacing w:before="0" w:line="240" w:lineRule="auto"/>
            </w:pPr>
            <w:r w:rsidRPr="00C0591E">
              <w:t>11</w:t>
            </w:r>
          </w:p>
        </w:tc>
        <w:tc>
          <w:tcPr>
            <w:tcW w:w="6930" w:type="dxa"/>
            <w:tcBorders>
              <w:top w:val="nil"/>
              <w:left w:val="nil"/>
              <w:bottom w:val="nil"/>
              <w:right w:val="nil"/>
            </w:tcBorders>
            <w:shd w:val="clear" w:color="auto" w:fill="auto"/>
            <w:vAlign w:val="bottom"/>
            <w:hideMark/>
          </w:tcPr>
          <w:p w14:paraId="209630F5" w14:textId="77777777" w:rsidR="00A227CE" w:rsidRPr="00C0591E" w:rsidRDefault="00A227CE" w:rsidP="00E40D44">
            <w:pPr>
              <w:spacing w:before="0" w:line="240" w:lineRule="auto"/>
            </w:pPr>
            <w:r w:rsidRPr="00C0591E">
              <w:t>The audit committee has effective working relationships with senior management</w:t>
            </w:r>
          </w:p>
        </w:tc>
        <w:tc>
          <w:tcPr>
            <w:tcW w:w="1982" w:type="dxa"/>
            <w:tcBorders>
              <w:top w:val="nil"/>
              <w:left w:val="nil"/>
              <w:bottom w:val="nil"/>
              <w:right w:val="nil"/>
            </w:tcBorders>
            <w:shd w:val="clear" w:color="auto" w:fill="auto"/>
            <w:noWrap/>
            <w:vAlign w:val="bottom"/>
            <w:hideMark/>
          </w:tcPr>
          <w:p w14:paraId="3CE0F5E7" w14:textId="77777777" w:rsidR="00A227CE" w:rsidRPr="00C0591E" w:rsidRDefault="00A227CE" w:rsidP="00E40D44">
            <w:pPr>
              <w:spacing w:before="0" w:line="240" w:lineRule="auto"/>
              <w:jc w:val="center"/>
            </w:pPr>
            <w:r w:rsidRPr="00C0591E">
              <w:t>0.950</w:t>
            </w:r>
          </w:p>
        </w:tc>
      </w:tr>
      <w:tr w:rsidR="00A227CE" w:rsidRPr="00C0591E" w14:paraId="16C634A3" w14:textId="77777777" w:rsidTr="00E40D44">
        <w:trPr>
          <w:trHeight w:val="288"/>
        </w:trPr>
        <w:tc>
          <w:tcPr>
            <w:tcW w:w="630" w:type="dxa"/>
            <w:tcBorders>
              <w:top w:val="nil"/>
              <w:left w:val="nil"/>
              <w:bottom w:val="nil"/>
              <w:right w:val="nil"/>
            </w:tcBorders>
            <w:shd w:val="clear" w:color="auto" w:fill="auto"/>
            <w:noWrap/>
            <w:vAlign w:val="bottom"/>
            <w:hideMark/>
          </w:tcPr>
          <w:p w14:paraId="351D4A6F" w14:textId="77777777" w:rsidR="00A227CE" w:rsidRPr="00C0591E" w:rsidRDefault="00A227CE" w:rsidP="00E40D44">
            <w:pPr>
              <w:spacing w:before="0" w:line="240" w:lineRule="auto"/>
            </w:pPr>
            <w:r w:rsidRPr="00C0591E">
              <w:t>12</w:t>
            </w:r>
          </w:p>
        </w:tc>
        <w:tc>
          <w:tcPr>
            <w:tcW w:w="6930" w:type="dxa"/>
            <w:tcBorders>
              <w:top w:val="nil"/>
              <w:left w:val="nil"/>
              <w:bottom w:val="nil"/>
              <w:right w:val="nil"/>
            </w:tcBorders>
            <w:shd w:val="clear" w:color="auto" w:fill="auto"/>
            <w:vAlign w:val="bottom"/>
            <w:hideMark/>
          </w:tcPr>
          <w:p w14:paraId="3FBD4237" w14:textId="77777777" w:rsidR="00A227CE" w:rsidRPr="00C0591E" w:rsidRDefault="00A227CE" w:rsidP="00E40D44">
            <w:pPr>
              <w:spacing w:before="0" w:line="240" w:lineRule="auto"/>
            </w:pPr>
            <w:r w:rsidRPr="00C0591E">
              <w:t>The Audit Committee meets at least 3 times in a year</w:t>
            </w:r>
          </w:p>
        </w:tc>
        <w:tc>
          <w:tcPr>
            <w:tcW w:w="1982" w:type="dxa"/>
            <w:tcBorders>
              <w:top w:val="nil"/>
              <w:left w:val="nil"/>
              <w:bottom w:val="nil"/>
              <w:right w:val="nil"/>
            </w:tcBorders>
            <w:shd w:val="clear" w:color="auto" w:fill="auto"/>
            <w:noWrap/>
            <w:vAlign w:val="bottom"/>
            <w:hideMark/>
          </w:tcPr>
          <w:p w14:paraId="5AA2132B" w14:textId="77777777" w:rsidR="00A227CE" w:rsidRPr="00C0591E" w:rsidRDefault="00A227CE" w:rsidP="00E40D44">
            <w:pPr>
              <w:spacing w:before="0" w:line="240" w:lineRule="auto"/>
              <w:jc w:val="center"/>
            </w:pPr>
            <w:r w:rsidRPr="00C0591E">
              <w:t>0.815</w:t>
            </w:r>
          </w:p>
        </w:tc>
      </w:tr>
      <w:tr w:rsidR="00A227CE" w:rsidRPr="00C0591E" w14:paraId="506960CF" w14:textId="77777777" w:rsidTr="00E40D44">
        <w:trPr>
          <w:trHeight w:val="288"/>
        </w:trPr>
        <w:tc>
          <w:tcPr>
            <w:tcW w:w="630" w:type="dxa"/>
            <w:tcBorders>
              <w:top w:val="nil"/>
              <w:left w:val="nil"/>
              <w:bottom w:val="nil"/>
              <w:right w:val="nil"/>
            </w:tcBorders>
            <w:shd w:val="clear" w:color="auto" w:fill="auto"/>
            <w:noWrap/>
            <w:vAlign w:val="bottom"/>
            <w:hideMark/>
          </w:tcPr>
          <w:p w14:paraId="4CDE06CA" w14:textId="77777777" w:rsidR="00A227CE" w:rsidRPr="00C0591E" w:rsidRDefault="00A227CE" w:rsidP="00E40D44">
            <w:pPr>
              <w:spacing w:before="0" w:line="240" w:lineRule="auto"/>
            </w:pPr>
            <w:r w:rsidRPr="00C0591E">
              <w:t>13</w:t>
            </w:r>
          </w:p>
        </w:tc>
        <w:tc>
          <w:tcPr>
            <w:tcW w:w="6930" w:type="dxa"/>
            <w:tcBorders>
              <w:top w:val="nil"/>
              <w:left w:val="nil"/>
              <w:bottom w:val="nil"/>
              <w:right w:val="nil"/>
            </w:tcBorders>
            <w:shd w:val="clear" w:color="auto" w:fill="auto"/>
            <w:vAlign w:val="bottom"/>
            <w:hideMark/>
          </w:tcPr>
          <w:p w14:paraId="7CB74859" w14:textId="77777777" w:rsidR="00A227CE" w:rsidRPr="00C0591E" w:rsidRDefault="00A227CE" w:rsidP="00E40D44">
            <w:pPr>
              <w:spacing w:before="0" w:line="240" w:lineRule="auto"/>
            </w:pPr>
            <w:r w:rsidRPr="00C0591E">
              <w:t>The Fund conducts AGM’s for its members annually</w:t>
            </w:r>
          </w:p>
        </w:tc>
        <w:tc>
          <w:tcPr>
            <w:tcW w:w="1982" w:type="dxa"/>
            <w:tcBorders>
              <w:top w:val="nil"/>
              <w:left w:val="nil"/>
              <w:bottom w:val="nil"/>
              <w:right w:val="nil"/>
            </w:tcBorders>
            <w:shd w:val="clear" w:color="auto" w:fill="auto"/>
            <w:noWrap/>
            <w:vAlign w:val="bottom"/>
            <w:hideMark/>
          </w:tcPr>
          <w:p w14:paraId="1E5F7DCA" w14:textId="77777777" w:rsidR="00A227CE" w:rsidRPr="00C0591E" w:rsidRDefault="00A227CE" w:rsidP="00E40D44">
            <w:pPr>
              <w:spacing w:before="0" w:line="240" w:lineRule="auto"/>
              <w:jc w:val="center"/>
            </w:pPr>
            <w:r w:rsidRPr="00C0591E">
              <w:t>0.972</w:t>
            </w:r>
          </w:p>
        </w:tc>
      </w:tr>
      <w:tr w:rsidR="00A227CE" w:rsidRPr="00C0591E" w14:paraId="1973D004" w14:textId="77777777" w:rsidTr="00E40D44">
        <w:trPr>
          <w:trHeight w:val="288"/>
        </w:trPr>
        <w:tc>
          <w:tcPr>
            <w:tcW w:w="630" w:type="dxa"/>
            <w:tcBorders>
              <w:top w:val="nil"/>
              <w:left w:val="nil"/>
              <w:bottom w:val="nil"/>
              <w:right w:val="nil"/>
            </w:tcBorders>
            <w:shd w:val="clear" w:color="auto" w:fill="auto"/>
            <w:noWrap/>
            <w:vAlign w:val="bottom"/>
            <w:hideMark/>
          </w:tcPr>
          <w:p w14:paraId="75B3C867" w14:textId="77777777" w:rsidR="00A227CE" w:rsidRPr="00C0591E" w:rsidRDefault="00A227CE" w:rsidP="00E40D44">
            <w:pPr>
              <w:spacing w:before="0" w:line="240" w:lineRule="auto"/>
            </w:pPr>
            <w:r w:rsidRPr="00C0591E">
              <w:t>14</w:t>
            </w:r>
          </w:p>
        </w:tc>
        <w:tc>
          <w:tcPr>
            <w:tcW w:w="6930" w:type="dxa"/>
            <w:tcBorders>
              <w:top w:val="nil"/>
              <w:left w:val="nil"/>
              <w:bottom w:val="nil"/>
              <w:right w:val="nil"/>
            </w:tcBorders>
            <w:shd w:val="clear" w:color="auto" w:fill="auto"/>
            <w:vAlign w:val="bottom"/>
            <w:hideMark/>
          </w:tcPr>
          <w:p w14:paraId="0D1C0424" w14:textId="77777777" w:rsidR="00A227CE" w:rsidRPr="00C0591E" w:rsidRDefault="00A227CE" w:rsidP="00E40D44">
            <w:pPr>
              <w:spacing w:before="0" w:line="240" w:lineRule="auto"/>
            </w:pPr>
            <w:r w:rsidRPr="00C0591E">
              <w:t>There is clear remuneration package for the Directors</w:t>
            </w:r>
          </w:p>
        </w:tc>
        <w:tc>
          <w:tcPr>
            <w:tcW w:w="1982" w:type="dxa"/>
            <w:tcBorders>
              <w:top w:val="nil"/>
              <w:left w:val="nil"/>
              <w:bottom w:val="nil"/>
              <w:right w:val="nil"/>
            </w:tcBorders>
            <w:shd w:val="clear" w:color="auto" w:fill="auto"/>
            <w:noWrap/>
            <w:vAlign w:val="bottom"/>
            <w:hideMark/>
          </w:tcPr>
          <w:p w14:paraId="06D7A223" w14:textId="77777777" w:rsidR="00A227CE" w:rsidRPr="00C0591E" w:rsidRDefault="00A227CE" w:rsidP="00E40D44">
            <w:pPr>
              <w:spacing w:before="0" w:line="240" w:lineRule="auto"/>
              <w:jc w:val="center"/>
            </w:pPr>
            <w:r w:rsidRPr="00C0591E">
              <w:t>0.942</w:t>
            </w:r>
          </w:p>
        </w:tc>
      </w:tr>
      <w:tr w:rsidR="00A227CE" w:rsidRPr="00C0591E" w14:paraId="07B0A186" w14:textId="77777777" w:rsidTr="00E40D44">
        <w:trPr>
          <w:trHeight w:val="288"/>
        </w:trPr>
        <w:tc>
          <w:tcPr>
            <w:tcW w:w="630" w:type="dxa"/>
            <w:tcBorders>
              <w:top w:val="nil"/>
              <w:left w:val="nil"/>
              <w:bottom w:val="nil"/>
              <w:right w:val="nil"/>
            </w:tcBorders>
            <w:shd w:val="clear" w:color="auto" w:fill="auto"/>
            <w:noWrap/>
            <w:vAlign w:val="bottom"/>
            <w:hideMark/>
          </w:tcPr>
          <w:p w14:paraId="0AFFDEE1" w14:textId="77777777" w:rsidR="00A227CE" w:rsidRPr="00C0591E" w:rsidRDefault="00A227CE" w:rsidP="00E40D44">
            <w:pPr>
              <w:spacing w:before="0" w:line="240" w:lineRule="auto"/>
            </w:pPr>
            <w:r w:rsidRPr="00C0591E">
              <w:t>15</w:t>
            </w:r>
          </w:p>
        </w:tc>
        <w:tc>
          <w:tcPr>
            <w:tcW w:w="6930" w:type="dxa"/>
            <w:tcBorders>
              <w:top w:val="nil"/>
              <w:left w:val="nil"/>
              <w:bottom w:val="nil"/>
              <w:right w:val="nil"/>
            </w:tcBorders>
            <w:shd w:val="clear" w:color="auto" w:fill="auto"/>
            <w:vAlign w:val="bottom"/>
            <w:hideMark/>
          </w:tcPr>
          <w:p w14:paraId="151624C6" w14:textId="77777777" w:rsidR="00A227CE" w:rsidRPr="00C0591E" w:rsidRDefault="00A227CE" w:rsidP="00E40D44">
            <w:pPr>
              <w:spacing w:before="0" w:line="240" w:lineRule="auto"/>
            </w:pPr>
            <w:r w:rsidRPr="00C0591E">
              <w:t>The remuneration committee is composed solely of independent directors</w:t>
            </w:r>
          </w:p>
        </w:tc>
        <w:tc>
          <w:tcPr>
            <w:tcW w:w="1982" w:type="dxa"/>
            <w:tcBorders>
              <w:top w:val="nil"/>
              <w:left w:val="nil"/>
              <w:bottom w:val="nil"/>
              <w:right w:val="nil"/>
            </w:tcBorders>
            <w:shd w:val="clear" w:color="auto" w:fill="auto"/>
            <w:noWrap/>
            <w:vAlign w:val="bottom"/>
            <w:hideMark/>
          </w:tcPr>
          <w:p w14:paraId="0D8D7AE7" w14:textId="77777777" w:rsidR="00A227CE" w:rsidRPr="00C0591E" w:rsidRDefault="00A227CE" w:rsidP="00E40D44">
            <w:pPr>
              <w:spacing w:before="0" w:line="240" w:lineRule="auto"/>
              <w:jc w:val="center"/>
            </w:pPr>
            <w:r w:rsidRPr="00C0591E">
              <w:t>0.911</w:t>
            </w:r>
          </w:p>
        </w:tc>
      </w:tr>
      <w:tr w:rsidR="00A227CE" w:rsidRPr="00C0591E" w14:paraId="6AB24EED" w14:textId="77777777" w:rsidTr="00E40D44">
        <w:trPr>
          <w:trHeight w:val="288"/>
        </w:trPr>
        <w:tc>
          <w:tcPr>
            <w:tcW w:w="630" w:type="dxa"/>
            <w:tcBorders>
              <w:top w:val="nil"/>
              <w:left w:val="nil"/>
              <w:bottom w:val="nil"/>
              <w:right w:val="nil"/>
            </w:tcBorders>
            <w:shd w:val="clear" w:color="auto" w:fill="auto"/>
            <w:noWrap/>
            <w:vAlign w:val="bottom"/>
            <w:hideMark/>
          </w:tcPr>
          <w:p w14:paraId="1E314E99" w14:textId="77777777" w:rsidR="00A227CE" w:rsidRPr="00C0591E" w:rsidRDefault="00A227CE" w:rsidP="00E40D44">
            <w:pPr>
              <w:spacing w:before="0" w:line="240" w:lineRule="auto"/>
            </w:pPr>
            <w:r w:rsidRPr="00C0591E">
              <w:t>16</w:t>
            </w:r>
          </w:p>
        </w:tc>
        <w:tc>
          <w:tcPr>
            <w:tcW w:w="6930" w:type="dxa"/>
            <w:tcBorders>
              <w:top w:val="nil"/>
              <w:left w:val="nil"/>
              <w:bottom w:val="nil"/>
              <w:right w:val="nil"/>
            </w:tcBorders>
            <w:shd w:val="clear" w:color="auto" w:fill="auto"/>
            <w:vAlign w:val="bottom"/>
            <w:hideMark/>
          </w:tcPr>
          <w:p w14:paraId="64A110E8" w14:textId="77777777" w:rsidR="00A227CE" w:rsidRPr="00C0591E" w:rsidRDefault="00A227CE" w:rsidP="00E40D44">
            <w:pPr>
              <w:spacing w:before="0" w:line="240" w:lineRule="auto"/>
            </w:pPr>
            <w:r w:rsidRPr="00C0591E">
              <w:t>Non-employees do not participate in the company pension plans</w:t>
            </w:r>
          </w:p>
        </w:tc>
        <w:tc>
          <w:tcPr>
            <w:tcW w:w="1982" w:type="dxa"/>
            <w:tcBorders>
              <w:top w:val="nil"/>
              <w:left w:val="nil"/>
              <w:bottom w:val="nil"/>
              <w:right w:val="nil"/>
            </w:tcBorders>
            <w:shd w:val="clear" w:color="auto" w:fill="auto"/>
            <w:noWrap/>
            <w:vAlign w:val="bottom"/>
            <w:hideMark/>
          </w:tcPr>
          <w:p w14:paraId="12127F82" w14:textId="77777777" w:rsidR="00A227CE" w:rsidRPr="00C0591E" w:rsidRDefault="00A227CE" w:rsidP="00E40D44">
            <w:pPr>
              <w:spacing w:before="0" w:line="240" w:lineRule="auto"/>
              <w:jc w:val="center"/>
            </w:pPr>
            <w:r w:rsidRPr="00C0591E">
              <w:t>0.937</w:t>
            </w:r>
          </w:p>
        </w:tc>
      </w:tr>
      <w:tr w:rsidR="00A227CE" w:rsidRPr="00C0591E" w14:paraId="76094DFF" w14:textId="77777777" w:rsidTr="00E40D44">
        <w:trPr>
          <w:trHeight w:val="576"/>
        </w:trPr>
        <w:tc>
          <w:tcPr>
            <w:tcW w:w="630" w:type="dxa"/>
            <w:tcBorders>
              <w:top w:val="nil"/>
              <w:left w:val="nil"/>
              <w:bottom w:val="nil"/>
              <w:right w:val="nil"/>
            </w:tcBorders>
            <w:shd w:val="clear" w:color="auto" w:fill="auto"/>
            <w:noWrap/>
            <w:vAlign w:val="bottom"/>
            <w:hideMark/>
          </w:tcPr>
          <w:p w14:paraId="558ADCD9" w14:textId="77777777" w:rsidR="00A227CE" w:rsidRPr="00C0591E" w:rsidRDefault="00A227CE" w:rsidP="00E40D44">
            <w:pPr>
              <w:spacing w:before="0" w:line="240" w:lineRule="auto"/>
            </w:pPr>
            <w:r w:rsidRPr="00C0591E">
              <w:t>17</w:t>
            </w:r>
          </w:p>
        </w:tc>
        <w:tc>
          <w:tcPr>
            <w:tcW w:w="6930" w:type="dxa"/>
            <w:tcBorders>
              <w:top w:val="nil"/>
              <w:left w:val="nil"/>
              <w:bottom w:val="nil"/>
              <w:right w:val="nil"/>
            </w:tcBorders>
            <w:shd w:val="clear" w:color="auto" w:fill="auto"/>
            <w:vAlign w:val="bottom"/>
            <w:hideMark/>
          </w:tcPr>
          <w:p w14:paraId="4B47493F" w14:textId="77777777" w:rsidR="00A227CE" w:rsidRPr="00C0591E" w:rsidRDefault="00A227CE" w:rsidP="00E40D44">
            <w:pPr>
              <w:spacing w:before="0" w:line="240" w:lineRule="auto"/>
            </w:pPr>
            <w:r w:rsidRPr="00C0591E">
              <w:t>In the organization Incentive plans are used to improve Directors monitoring of performance</w:t>
            </w:r>
          </w:p>
        </w:tc>
        <w:tc>
          <w:tcPr>
            <w:tcW w:w="1982" w:type="dxa"/>
            <w:tcBorders>
              <w:top w:val="nil"/>
              <w:left w:val="nil"/>
              <w:bottom w:val="nil"/>
              <w:right w:val="nil"/>
            </w:tcBorders>
            <w:shd w:val="clear" w:color="auto" w:fill="auto"/>
            <w:noWrap/>
            <w:vAlign w:val="bottom"/>
            <w:hideMark/>
          </w:tcPr>
          <w:p w14:paraId="08D1DC9E" w14:textId="77777777" w:rsidR="00A227CE" w:rsidRPr="00C0591E" w:rsidRDefault="00A227CE" w:rsidP="00E40D44">
            <w:pPr>
              <w:spacing w:before="0" w:line="240" w:lineRule="auto"/>
              <w:jc w:val="center"/>
            </w:pPr>
            <w:r w:rsidRPr="00C0591E">
              <w:t>0.948</w:t>
            </w:r>
          </w:p>
        </w:tc>
      </w:tr>
      <w:tr w:rsidR="00A227CE" w:rsidRPr="00C0591E" w14:paraId="198D3A00" w14:textId="77777777" w:rsidTr="00E40D44">
        <w:trPr>
          <w:trHeight w:val="288"/>
        </w:trPr>
        <w:tc>
          <w:tcPr>
            <w:tcW w:w="630" w:type="dxa"/>
            <w:tcBorders>
              <w:top w:val="nil"/>
              <w:left w:val="nil"/>
              <w:bottom w:val="nil"/>
              <w:right w:val="nil"/>
            </w:tcBorders>
            <w:shd w:val="clear" w:color="auto" w:fill="auto"/>
            <w:noWrap/>
            <w:vAlign w:val="bottom"/>
            <w:hideMark/>
          </w:tcPr>
          <w:p w14:paraId="5E021D1B" w14:textId="77777777" w:rsidR="00A227CE" w:rsidRPr="00C0591E" w:rsidRDefault="00A227CE" w:rsidP="00E40D44">
            <w:pPr>
              <w:spacing w:before="0" w:line="240" w:lineRule="auto"/>
            </w:pPr>
            <w:r w:rsidRPr="00C0591E">
              <w:t>18</w:t>
            </w:r>
          </w:p>
        </w:tc>
        <w:tc>
          <w:tcPr>
            <w:tcW w:w="6930" w:type="dxa"/>
            <w:tcBorders>
              <w:top w:val="nil"/>
              <w:left w:val="nil"/>
              <w:bottom w:val="nil"/>
              <w:right w:val="nil"/>
            </w:tcBorders>
            <w:shd w:val="clear" w:color="auto" w:fill="auto"/>
            <w:vAlign w:val="bottom"/>
            <w:hideMark/>
          </w:tcPr>
          <w:p w14:paraId="12237D30" w14:textId="77777777" w:rsidR="00A227CE" w:rsidRPr="00C0591E" w:rsidRDefault="00A227CE" w:rsidP="00E40D44">
            <w:pPr>
              <w:spacing w:before="0" w:line="240" w:lineRule="auto"/>
            </w:pPr>
            <w:r w:rsidRPr="00C0591E">
              <w:t>Directors receive all or a portion of their fees in Bonuses</w:t>
            </w:r>
          </w:p>
        </w:tc>
        <w:tc>
          <w:tcPr>
            <w:tcW w:w="1982" w:type="dxa"/>
            <w:tcBorders>
              <w:top w:val="nil"/>
              <w:left w:val="nil"/>
              <w:bottom w:val="nil"/>
              <w:right w:val="nil"/>
            </w:tcBorders>
            <w:shd w:val="clear" w:color="auto" w:fill="auto"/>
            <w:noWrap/>
            <w:vAlign w:val="bottom"/>
            <w:hideMark/>
          </w:tcPr>
          <w:p w14:paraId="76864EE2" w14:textId="77777777" w:rsidR="00A227CE" w:rsidRPr="00C0591E" w:rsidRDefault="00A227CE" w:rsidP="00E40D44">
            <w:pPr>
              <w:spacing w:before="0" w:line="240" w:lineRule="auto"/>
              <w:jc w:val="center"/>
            </w:pPr>
            <w:r w:rsidRPr="00C0591E">
              <w:t>0.930</w:t>
            </w:r>
          </w:p>
        </w:tc>
      </w:tr>
      <w:tr w:rsidR="00A227CE" w:rsidRPr="00C0591E" w14:paraId="4873A4B3" w14:textId="77777777" w:rsidTr="00E40D44">
        <w:trPr>
          <w:trHeight w:val="576"/>
        </w:trPr>
        <w:tc>
          <w:tcPr>
            <w:tcW w:w="630" w:type="dxa"/>
            <w:tcBorders>
              <w:top w:val="nil"/>
              <w:left w:val="nil"/>
              <w:bottom w:val="single" w:sz="4" w:space="0" w:color="auto"/>
              <w:right w:val="nil"/>
            </w:tcBorders>
            <w:shd w:val="clear" w:color="auto" w:fill="auto"/>
            <w:noWrap/>
            <w:vAlign w:val="bottom"/>
            <w:hideMark/>
          </w:tcPr>
          <w:p w14:paraId="59F6DC41" w14:textId="77777777" w:rsidR="00A227CE" w:rsidRPr="00C0591E" w:rsidRDefault="00A227CE" w:rsidP="00E40D44">
            <w:pPr>
              <w:spacing w:before="0" w:line="240" w:lineRule="auto"/>
            </w:pPr>
            <w:r w:rsidRPr="00C0591E">
              <w:t>19</w:t>
            </w:r>
          </w:p>
        </w:tc>
        <w:tc>
          <w:tcPr>
            <w:tcW w:w="6930" w:type="dxa"/>
            <w:tcBorders>
              <w:top w:val="nil"/>
              <w:left w:val="nil"/>
              <w:bottom w:val="single" w:sz="4" w:space="0" w:color="auto"/>
              <w:right w:val="nil"/>
            </w:tcBorders>
            <w:shd w:val="clear" w:color="auto" w:fill="auto"/>
            <w:vAlign w:val="bottom"/>
            <w:hideMark/>
          </w:tcPr>
          <w:p w14:paraId="6E6C83AD" w14:textId="77777777" w:rsidR="00A227CE" w:rsidRPr="00C0591E" w:rsidRDefault="00A227CE" w:rsidP="00E40D44">
            <w:pPr>
              <w:spacing w:before="0" w:line="240" w:lineRule="auto"/>
            </w:pPr>
            <w:r w:rsidRPr="00C0591E">
              <w:t>The Company does not provide any loans to executives for exercising options</w:t>
            </w:r>
          </w:p>
        </w:tc>
        <w:tc>
          <w:tcPr>
            <w:tcW w:w="1982" w:type="dxa"/>
            <w:tcBorders>
              <w:top w:val="nil"/>
              <w:left w:val="nil"/>
              <w:bottom w:val="single" w:sz="4" w:space="0" w:color="auto"/>
              <w:right w:val="nil"/>
            </w:tcBorders>
            <w:shd w:val="clear" w:color="auto" w:fill="auto"/>
            <w:noWrap/>
            <w:vAlign w:val="bottom"/>
            <w:hideMark/>
          </w:tcPr>
          <w:p w14:paraId="54046A6C" w14:textId="77777777" w:rsidR="00A227CE" w:rsidRPr="00C0591E" w:rsidRDefault="00A227CE" w:rsidP="00E40D44">
            <w:pPr>
              <w:spacing w:before="0" w:line="240" w:lineRule="auto"/>
              <w:jc w:val="center"/>
            </w:pPr>
            <w:r w:rsidRPr="00C0591E">
              <w:t>0.915</w:t>
            </w:r>
          </w:p>
        </w:tc>
      </w:tr>
      <w:tr w:rsidR="00A227CE" w:rsidRPr="00C0591E" w14:paraId="525D368E" w14:textId="77777777" w:rsidTr="00E40D44">
        <w:trPr>
          <w:trHeight w:val="288"/>
        </w:trPr>
        <w:tc>
          <w:tcPr>
            <w:tcW w:w="630" w:type="dxa"/>
            <w:tcBorders>
              <w:top w:val="nil"/>
              <w:left w:val="nil"/>
              <w:bottom w:val="nil"/>
              <w:right w:val="nil"/>
            </w:tcBorders>
            <w:shd w:val="clear" w:color="auto" w:fill="auto"/>
            <w:noWrap/>
            <w:vAlign w:val="bottom"/>
            <w:hideMark/>
          </w:tcPr>
          <w:p w14:paraId="17823D59" w14:textId="77777777" w:rsidR="00A227CE" w:rsidRPr="00C0591E" w:rsidRDefault="00A227CE" w:rsidP="00E40D44">
            <w:pPr>
              <w:spacing w:before="0" w:line="240" w:lineRule="auto"/>
            </w:pPr>
            <w:r w:rsidRPr="00C0591E">
              <w:t> </w:t>
            </w:r>
          </w:p>
        </w:tc>
        <w:tc>
          <w:tcPr>
            <w:tcW w:w="6930" w:type="dxa"/>
            <w:tcBorders>
              <w:top w:val="nil"/>
              <w:left w:val="nil"/>
              <w:bottom w:val="nil"/>
              <w:right w:val="nil"/>
            </w:tcBorders>
            <w:shd w:val="clear" w:color="auto" w:fill="auto"/>
            <w:noWrap/>
            <w:vAlign w:val="bottom"/>
            <w:hideMark/>
          </w:tcPr>
          <w:p w14:paraId="7A783C65" w14:textId="77777777" w:rsidR="00A227CE" w:rsidRPr="00C0591E" w:rsidRDefault="00A227CE" w:rsidP="00E40D44">
            <w:pPr>
              <w:spacing w:before="0" w:line="240" w:lineRule="auto"/>
              <w:rPr>
                <w:b/>
              </w:rPr>
            </w:pPr>
            <w:r w:rsidRPr="00C0591E">
              <w:rPr>
                <w:b/>
              </w:rPr>
              <w:t>Accountability</w:t>
            </w:r>
          </w:p>
        </w:tc>
        <w:tc>
          <w:tcPr>
            <w:tcW w:w="1982" w:type="dxa"/>
            <w:tcBorders>
              <w:top w:val="nil"/>
              <w:left w:val="nil"/>
              <w:bottom w:val="nil"/>
              <w:right w:val="nil"/>
            </w:tcBorders>
            <w:shd w:val="clear" w:color="auto" w:fill="auto"/>
            <w:noWrap/>
            <w:vAlign w:val="bottom"/>
            <w:hideMark/>
          </w:tcPr>
          <w:p w14:paraId="71B1F051" w14:textId="77777777" w:rsidR="00A227CE" w:rsidRPr="00C0591E" w:rsidRDefault="00A227CE" w:rsidP="00E40D44">
            <w:pPr>
              <w:spacing w:before="0" w:line="240" w:lineRule="auto"/>
              <w:jc w:val="center"/>
            </w:pPr>
          </w:p>
        </w:tc>
      </w:tr>
      <w:tr w:rsidR="00A227CE" w:rsidRPr="00C0591E" w14:paraId="3F51412C" w14:textId="77777777" w:rsidTr="00E40D44">
        <w:trPr>
          <w:trHeight w:val="576"/>
        </w:trPr>
        <w:tc>
          <w:tcPr>
            <w:tcW w:w="630" w:type="dxa"/>
            <w:tcBorders>
              <w:top w:val="nil"/>
              <w:left w:val="nil"/>
              <w:bottom w:val="nil"/>
              <w:right w:val="nil"/>
            </w:tcBorders>
            <w:shd w:val="clear" w:color="auto" w:fill="auto"/>
            <w:noWrap/>
            <w:vAlign w:val="bottom"/>
            <w:hideMark/>
          </w:tcPr>
          <w:p w14:paraId="5D02CB69" w14:textId="77777777" w:rsidR="00A227CE" w:rsidRPr="00C0591E" w:rsidRDefault="00A227CE" w:rsidP="00E40D44">
            <w:pPr>
              <w:spacing w:before="0" w:line="240" w:lineRule="auto"/>
            </w:pPr>
            <w:r w:rsidRPr="00C0591E">
              <w:t>20</w:t>
            </w:r>
          </w:p>
        </w:tc>
        <w:tc>
          <w:tcPr>
            <w:tcW w:w="6930" w:type="dxa"/>
            <w:tcBorders>
              <w:top w:val="nil"/>
              <w:left w:val="nil"/>
              <w:bottom w:val="nil"/>
              <w:right w:val="nil"/>
            </w:tcBorders>
            <w:shd w:val="clear" w:color="auto" w:fill="auto"/>
            <w:vAlign w:val="bottom"/>
            <w:hideMark/>
          </w:tcPr>
          <w:p w14:paraId="4F427594" w14:textId="77777777" w:rsidR="00A227CE" w:rsidRPr="00C0591E" w:rsidRDefault="00A227CE" w:rsidP="00E40D44">
            <w:pPr>
              <w:spacing w:before="0" w:line="240" w:lineRule="auto"/>
            </w:pPr>
            <w:r w:rsidRPr="00C0591E">
              <w:t>The Fund manager has developed and adopted a code of corporate governance practices</w:t>
            </w:r>
          </w:p>
        </w:tc>
        <w:tc>
          <w:tcPr>
            <w:tcW w:w="1982" w:type="dxa"/>
            <w:tcBorders>
              <w:top w:val="nil"/>
              <w:left w:val="nil"/>
              <w:bottom w:val="nil"/>
              <w:right w:val="nil"/>
            </w:tcBorders>
            <w:shd w:val="clear" w:color="auto" w:fill="auto"/>
            <w:noWrap/>
            <w:vAlign w:val="bottom"/>
            <w:hideMark/>
          </w:tcPr>
          <w:p w14:paraId="43A580F6" w14:textId="77777777" w:rsidR="00A227CE" w:rsidRPr="00C0591E" w:rsidRDefault="00A227CE" w:rsidP="00E40D44">
            <w:pPr>
              <w:spacing w:before="0" w:line="240" w:lineRule="auto"/>
              <w:jc w:val="center"/>
            </w:pPr>
            <w:r w:rsidRPr="00C0591E">
              <w:t>0.941</w:t>
            </w:r>
          </w:p>
        </w:tc>
      </w:tr>
      <w:tr w:rsidR="00A227CE" w:rsidRPr="00C0591E" w14:paraId="6988980B" w14:textId="77777777" w:rsidTr="00E40D44">
        <w:trPr>
          <w:trHeight w:val="576"/>
        </w:trPr>
        <w:tc>
          <w:tcPr>
            <w:tcW w:w="630" w:type="dxa"/>
            <w:tcBorders>
              <w:top w:val="nil"/>
              <w:left w:val="nil"/>
              <w:bottom w:val="nil"/>
              <w:right w:val="nil"/>
            </w:tcBorders>
            <w:shd w:val="clear" w:color="auto" w:fill="auto"/>
            <w:noWrap/>
            <w:vAlign w:val="bottom"/>
            <w:hideMark/>
          </w:tcPr>
          <w:p w14:paraId="2B3E0CBA" w14:textId="77777777" w:rsidR="00A227CE" w:rsidRPr="00C0591E" w:rsidRDefault="00A227CE" w:rsidP="00E40D44">
            <w:pPr>
              <w:spacing w:before="0" w:line="240" w:lineRule="auto"/>
            </w:pPr>
            <w:r w:rsidRPr="00C0591E">
              <w:t>21</w:t>
            </w:r>
          </w:p>
        </w:tc>
        <w:tc>
          <w:tcPr>
            <w:tcW w:w="6930" w:type="dxa"/>
            <w:tcBorders>
              <w:top w:val="nil"/>
              <w:left w:val="nil"/>
              <w:bottom w:val="nil"/>
              <w:right w:val="nil"/>
            </w:tcBorders>
            <w:shd w:val="clear" w:color="auto" w:fill="auto"/>
            <w:vAlign w:val="bottom"/>
            <w:hideMark/>
          </w:tcPr>
          <w:p w14:paraId="067B09F3" w14:textId="77777777" w:rsidR="00A227CE" w:rsidRPr="00C0591E" w:rsidRDefault="00A227CE" w:rsidP="00E40D44">
            <w:pPr>
              <w:spacing w:before="0" w:line="240" w:lineRule="auto"/>
            </w:pPr>
            <w:r w:rsidRPr="00C0591E">
              <w:t>The Fund manager has formed board committees to deal with specialized matters such as audit, investments, governance, staff and administration.</w:t>
            </w:r>
          </w:p>
        </w:tc>
        <w:tc>
          <w:tcPr>
            <w:tcW w:w="1982" w:type="dxa"/>
            <w:tcBorders>
              <w:top w:val="nil"/>
              <w:left w:val="nil"/>
              <w:bottom w:val="nil"/>
              <w:right w:val="nil"/>
            </w:tcBorders>
            <w:shd w:val="clear" w:color="auto" w:fill="auto"/>
            <w:noWrap/>
            <w:vAlign w:val="bottom"/>
            <w:hideMark/>
          </w:tcPr>
          <w:p w14:paraId="3939629B" w14:textId="77777777" w:rsidR="00A227CE" w:rsidRPr="00C0591E" w:rsidRDefault="00A227CE" w:rsidP="00E40D44">
            <w:pPr>
              <w:spacing w:before="0" w:line="240" w:lineRule="auto"/>
              <w:jc w:val="center"/>
            </w:pPr>
            <w:r w:rsidRPr="00C0591E">
              <w:t>0.934</w:t>
            </w:r>
          </w:p>
        </w:tc>
      </w:tr>
      <w:tr w:rsidR="00A227CE" w:rsidRPr="00C0591E" w14:paraId="0B6397DF" w14:textId="77777777" w:rsidTr="00E40D44">
        <w:trPr>
          <w:trHeight w:val="576"/>
        </w:trPr>
        <w:tc>
          <w:tcPr>
            <w:tcW w:w="630" w:type="dxa"/>
            <w:tcBorders>
              <w:top w:val="nil"/>
              <w:left w:val="nil"/>
              <w:bottom w:val="nil"/>
              <w:right w:val="nil"/>
            </w:tcBorders>
            <w:shd w:val="clear" w:color="auto" w:fill="auto"/>
            <w:noWrap/>
            <w:vAlign w:val="bottom"/>
            <w:hideMark/>
          </w:tcPr>
          <w:p w14:paraId="383DBFA1" w14:textId="77777777" w:rsidR="00A227CE" w:rsidRPr="00C0591E" w:rsidRDefault="00A227CE" w:rsidP="00E40D44">
            <w:pPr>
              <w:spacing w:before="0" w:line="240" w:lineRule="auto"/>
            </w:pPr>
            <w:r w:rsidRPr="00C0591E">
              <w:t>22</w:t>
            </w:r>
          </w:p>
        </w:tc>
        <w:tc>
          <w:tcPr>
            <w:tcW w:w="6930" w:type="dxa"/>
            <w:tcBorders>
              <w:top w:val="nil"/>
              <w:left w:val="nil"/>
              <w:bottom w:val="nil"/>
              <w:right w:val="nil"/>
            </w:tcBorders>
            <w:shd w:val="clear" w:color="auto" w:fill="auto"/>
            <w:vAlign w:val="bottom"/>
            <w:hideMark/>
          </w:tcPr>
          <w:p w14:paraId="33ED50F7" w14:textId="77777777" w:rsidR="00A227CE" w:rsidRPr="00C0591E" w:rsidRDefault="00A227CE" w:rsidP="00E40D44">
            <w:pPr>
              <w:spacing w:before="0" w:line="240" w:lineRule="auto"/>
            </w:pPr>
            <w:r w:rsidRPr="00C0591E">
              <w:t>The Fund manager has appointed an organisation and/or persons to carry out internal audits</w:t>
            </w:r>
          </w:p>
        </w:tc>
        <w:tc>
          <w:tcPr>
            <w:tcW w:w="1982" w:type="dxa"/>
            <w:tcBorders>
              <w:top w:val="nil"/>
              <w:left w:val="nil"/>
              <w:bottom w:val="nil"/>
              <w:right w:val="nil"/>
            </w:tcBorders>
            <w:shd w:val="clear" w:color="auto" w:fill="auto"/>
            <w:noWrap/>
            <w:vAlign w:val="bottom"/>
            <w:hideMark/>
          </w:tcPr>
          <w:p w14:paraId="3247E687" w14:textId="77777777" w:rsidR="00A227CE" w:rsidRPr="00C0591E" w:rsidRDefault="00A227CE" w:rsidP="00E40D44">
            <w:pPr>
              <w:spacing w:before="0" w:line="240" w:lineRule="auto"/>
              <w:jc w:val="center"/>
            </w:pPr>
            <w:r w:rsidRPr="00C0591E">
              <w:t>0.933</w:t>
            </w:r>
          </w:p>
        </w:tc>
      </w:tr>
      <w:tr w:rsidR="00A227CE" w:rsidRPr="00C0591E" w14:paraId="32198C0A" w14:textId="77777777" w:rsidTr="00E40D44">
        <w:trPr>
          <w:trHeight w:val="576"/>
        </w:trPr>
        <w:tc>
          <w:tcPr>
            <w:tcW w:w="630" w:type="dxa"/>
            <w:tcBorders>
              <w:top w:val="nil"/>
              <w:left w:val="nil"/>
              <w:bottom w:val="nil"/>
              <w:right w:val="nil"/>
            </w:tcBorders>
            <w:shd w:val="clear" w:color="auto" w:fill="auto"/>
            <w:noWrap/>
            <w:vAlign w:val="bottom"/>
            <w:hideMark/>
          </w:tcPr>
          <w:p w14:paraId="06C5FCCA" w14:textId="77777777" w:rsidR="00A227CE" w:rsidRPr="00C0591E" w:rsidRDefault="00A227CE" w:rsidP="00E40D44">
            <w:pPr>
              <w:spacing w:before="0" w:line="240" w:lineRule="auto"/>
            </w:pPr>
            <w:r w:rsidRPr="00C0591E">
              <w:t>23</w:t>
            </w:r>
          </w:p>
        </w:tc>
        <w:tc>
          <w:tcPr>
            <w:tcW w:w="6930" w:type="dxa"/>
            <w:tcBorders>
              <w:top w:val="nil"/>
              <w:left w:val="nil"/>
              <w:bottom w:val="nil"/>
              <w:right w:val="nil"/>
            </w:tcBorders>
            <w:shd w:val="clear" w:color="auto" w:fill="auto"/>
            <w:vAlign w:val="bottom"/>
            <w:hideMark/>
          </w:tcPr>
          <w:p w14:paraId="747F7C64" w14:textId="77777777" w:rsidR="00A227CE" w:rsidRPr="00C0591E" w:rsidRDefault="00A227CE" w:rsidP="00E40D44">
            <w:pPr>
              <w:spacing w:before="0" w:line="240" w:lineRule="auto"/>
            </w:pPr>
            <w:r w:rsidRPr="00C0591E">
              <w:t>The Fund manager publicly announces the biodata and qualifications of the Trustees</w:t>
            </w:r>
          </w:p>
        </w:tc>
        <w:tc>
          <w:tcPr>
            <w:tcW w:w="1982" w:type="dxa"/>
            <w:tcBorders>
              <w:top w:val="nil"/>
              <w:left w:val="nil"/>
              <w:bottom w:val="nil"/>
              <w:right w:val="nil"/>
            </w:tcBorders>
            <w:shd w:val="clear" w:color="auto" w:fill="auto"/>
            <w:noWrap/>
            <w:vAlign w:val="bottom"/>
            <w:hideMark/>
          </w:tcPr>
          <w:p w14:paraId="59D3EC35" w14:textId="77777777" w:rsidR="00A227CE" w:rsidRPr="00C0591E" w:rsidRDefault="00A227CE" w:rsidP="00E40D44">
            <w:pPr>
              <w:spacing w:before="0" w:line="240" w:lineRule="auto"/>
              <w:jc w:val="center"/>
            </w:pPr>
            <w:r w:rsidRPr="00C0591E">
              <w:t>0.907</w:t>
            </w:r>
          </w:p>
        </w:tc>
      </w:tr>
      <w:tr w:rsidR="00A227CE" w:rsidRPr="00C0591E" w14:paraId="30FDC7A6" w14:textId="77777777" w:rsidTr="00E40D44">
        <w:trPr>
          <w:trHeight w:val="288"/>
        </w:trPr>
        <w:tc>
          <w:tcPr>
            <w:tcW w:w="630" w:type="dxa"/>
            <w:tcBorders>
              <w:top w:val="nil"/>
              <w:left w:val="nil"/>
              <w:bottom w:val="nil"/>
              <w:right w:val="nil"/>
            </w:tcBorders>
            <w:shd w:val="clear" w:color="auto" w:fill="auto"/>
            <w:noWrap/>
            <w:vAlign w:val="bottom"/>
            <w:hideMark/>
          </w:tcPr>
          <w:p w14:paraId="191E2CDC" w14:textId="77777777" w:rsidR="00A227CE" w:rsidRPr="00C0591E" w:rsidRDefault="00A227CE" w:rsidP="00E40D44">
            <w:pPr>
              <w:spacing w:before="0" w:line="240" w:lineRule="auto"/>
            </w:pPr>
            <w:r w:rsidRPr="00C0591E">
              <w:t>24</w:t>
            </w:r>
          </w:p>
        </w:tc>
        <w:tc>
          <w:tcPr>
            <w:tcW w:w="6930" w:type="dxa"/>
            <w:tcBorders>
              <w:top w:val="nil"/>
              <w:left w:val="nil"/>
              <w:bottom w:val="nil"/>
              <w:right w:val="nil"/>
            </w:tcBorders>
            <w:shd w:val="clear" w:color="auto" w:fill="auto"/>
            <w:vAlign w:val="bottom"/>
            <w:hideMark/>
          </w:tcPr>
          <w:p w14:paraId="35ABA381" w14:textId="77777777" w:rsidR="00A227CE" w:rsidRPr="00C0591E" w:rsidRDefault="00A227CE" w:rsidP="00E40D44">
            <w:pPr>
              <w:spacing w:before="0" w:line="240" w:lineRule="auto"/>
            </w:pPr>
            <w:r w:rsidRPr="00C0591E">
              <w:t>Audit committee members are carefully recruited and retired</w:t>
            </w:r>
          </w:p>
        </w:tc>
        <w:tc>
          <w:tcPr>
            <w:tcW w:w="1982" w:type="dxa"/>
            <w:tcBorders>
              <w:top w:val="nil"/>
              <w:left w:val="nil"/>
              <w:bottom w:val="nil"/>
              <w:right w:val="nil"/>
            </w:tcBorders>
            <w:shd w:val="clear" w:color="auto" w:fill="auto"/>
            <w:noWrap/>
            <w:vAlign w:val="bottom"/>
            <w:hideMark/>
          </w:tcPr>
          <w:p w14:paraId="14AC4C74" w14:textId="77777777" w:rsidR="00A227CE" w:rsidRPr="00C0591E" w:rsidRDefault="00A227CE" w:rsidP="00E40D44">
            <w:pPr>
              <w:spacing w:before="0" w:line="240" w:lineRule="auto"/>
              <w:jc w:val="center"/>
            </w:pPr>
            <w:r w:rsidRPr="00C0591E">
              <w:t>0.937</w:t>
            </w:r>
          </w:p>
        </w:tc>
      </w:tr>
      <w:tr w:rsidR="00A227CE" w:rsidRPr="00C0591E" w14:paraId="2160392D" w14:textId="77777777" w:rsidTr="00E40D44">
        <w:trPr>
          <w:trHeight w:val="288"/>
        </w:trPr>
        <w:tc>
          <w:tcPr>
            <w:tcW w:w="630" w:type="dxa"/>
            <w:tcBorders>
              <w:top w:val="nil"/>
              <w:left w:val="nil"/>
              <w:bottom w:val="single" w:sz="4" w:space="0" w:color="auto"/>
              <w:right w:val="nil"/>
            </w:tcBorders>
            <w:shd w:val="clear" w:color="auto" w:fill="auto"/>
            <w:noWrap/>
            <w:vAlign w:val="bottom"/>
            <w:hideMark/>
          </w:tcPr>
          <w:p w14:paraId="12E0E60D" w14:textId="77777777" w:rsidR="00A227CE" w:rsidRPr="00C0591E" w:rsidRDefault="00A227CE" w:rsidP="00E40D44">
            <w:pPr>
              <w:spacing w:before="0" w:line="240" w:lineRule="auto"/>
            </w:pPr>
            <w:r w:rsidRPr="00C0591E">
              <w:t>25</w:t>
            </w:r>
          </w:p>
        </w:tc>
        <w:tc>
          <w:tcPr>
            <w:tcW w:w="6930" w:type="dxa"/>
            <w:tcBorders>
              <w:top w:val="nil"/>
              <w:left w:val="nil"/>
              <w:bottom w:val="single" w:sz="4" w:space="0" w:color="auto"/>
              <w:right w:val="nil"/>
            </w:tcBorders>
            <w:shd w:val="clear" w:color="auto" w:fill="auto"/>
            <w:vAlign w:val="bottom"/>
            <w:hideMark/>
          </w:tcPr>
          <w:p w14:paraId="58E643C8" w14:textId="77777777" w:rsidR="00A227CE" w:rsidRPr="00C0591E" w:rsidRDefault="00A227CE" w:rsidP="00E40D44">
            <w:pPr>
              <w:spacing w:before="0" w:line="240" w:lineRule="auto"/>
            </w:pPr>
            <w:r w:rsidRPr="00C0591E">
              <w:t>The independence of the audit committee is real as well as perceived</w:t>
            </w:r>
          </w:p>
        </w:tc>
        <w:tc>
          <w:tcPr>
            <w:tcW w:w="1982" w:type="dxa"/>
            <w:tcBorders>
              <w:top w:val="nil"/>
              <w:left w:val="nil"/>
              <w:bottom w:val="single" w:sz="4" w:space="0" w:color="auto"/>
              <w:right w:val="nil"/>
            </w:tcBorders>
            <w:shd w:val="clear" w:color="auto" w:fill="auto"/>
            <w:noWrap/>
            <w:vAlign w:val="bottom"/>
            <w:hideMark/>
          </w:tcPr>
          <w:p w14:paraId="14C33F4D" w14:textId="77777777" w:rsidR="00A227CE" w:rsidRPr="00C0591E" w:rsidRDefault="00A227CE" w:rsidP="00E40D44">
            <w:pPr>
              <w:spacing w:before="0" w:line="240" w:lineRule="auto"/>
              <w:jc w:val="center"/>
            </w:pPr>
            <w:r w:rsidRPr="00C0591E">
              <w:t>0.948</w:t>
            </w:r>
          </w:p>
        </w:tc>
      </w:tr>
      <w:tr w:rsidR="00A227CE" w:rsidRPr="00C0591E" w14:paraId="2812B15B" w14:textId="77777777" w:rsidTr="00E40D44">
        <w:trPr>
          <w:trHeight w:val="288"/>
        </w:trPr>
        <w:tc>
          <w:tcPr>
            <w:tcW w:w="630" w:type="dxa"/>
            <w:tcBorders>
              <w:top w:val="nil"/>
              <w:left w:val="nil"/>
              <w:bottom w:val="nil"/>
              <w:right w:val="nil"/>
            </w:tcBorders>
            <w:shd w:val="clear" w:color="auto" w:fill="auto"/>
            <w:noWrap/>
            <w:vAlign w:val="bottom"/>
            <w:hideMark/>
          </w:tcPr>
          <w:p w14:paraId="037E42C7" w14:textId="77777777" w:rsidR="00A227CE" w:rsidRPr="00C0591E" w:rsidRDefault="00A227CE" w:rsidP="00E40D44">
            <w:pPr>
              <w:spacing w:before="0" w:line="240" w:lineRule="auto"/>
              <w:rPr>
                <w:b/>
              </w:rPr>
            </w:pPr>
          </w:p>
        </w:tc>
        <w:tc>
          <w:tcPr>
            <w:tcW w:w="6930" w:type="dxa"/>
            <w:tcBorders>
              <w:top w:val="nil"/>
              <w:left w:val="nil"/>
              <w:bottom w:val="nil"/>
              <w:right w:val="nil"/>
            </w:tcBorders>
            <w:shd w:val="clear" w:color="auto" w:fill="auto"/>
            <w:noWrap/>
            <w:vAlign w:val="bottom"/>
            <w:hideMark/>
          </w:tcPr>
          <w:p w14:paraId="1DD46E17" w14:textId="77777777" w:rsidR="00A227CE" w:rsidRPr="00C0591E" w:rsidRDefault="00A227CE" w:rsidP="00E40D44">
            <w:pPr>
              <w:spacing w:before="0" w:line="240" w:lineRule="auto"/>
              <w:rPr>
                <w:b/>
              </w:rPr>
            </w:pPr>
            <w:r w:rsidRPr="00C0591E">
              <w:rPr>
                <w:b/>
              </w:rPr>
              <w:t>Participation</w:t>
            </w:r>
          </w:p>
        </w:tc>
        <w:tc>
          <w:tcPr>
            <w:tcW w:w="1982" w:type="dxa"/>
            <w:tcBorders>
              <w:top w:val="nil"/>
              <w:left w:val="nil"/>
              <w:bottom w:val="nil"/>
              <w:right w:val="nil"/>
            </w:tcBorders>
            <w:shd w:val="clear" w:color="auto" w:fill="auto"/>
            <w:noWrap/>
            <w:vAlign w:val="bottom"/>
            <w:hideMark/>
          </w:tcPr>
          <w:p w14:paraId="799018C2" w14:textId="77777777" w:rsidR="00A227CE" w:rsidRPr="00C0591E" w:rsidRDefault="00A227CE" w:rsidP="00E40D44">
            <w:pPr>
              <w:spacing w:before="0" w:line="240" w:lineRule="auto"/>
              <w:jc w:val="center"/>
              <w:rPr>
                <w:b/>
              </w:rPr>
            </w:pPr>
          </w:p>
        </w:tc>
      </w:tr>
      <w:tr w:rsidR="00A227CE" w:rsidRPr="00C0591E" w14:paraId="26E7BE3D" w14:textId="77777777" w:rsidTr="00E40D44">
        <w:trPr>
          <w:trHeight w:val="288"/>
        </w:trPr>
        <w:tc>
          <w:tcPr>
            <w:tcW w:w="630" w:type="dxa"/>
            <w:tcBorders>
              <w:top w:val="nil"/>
              <w:left w:val="nil"/>
              <w:bottom w:val="nil"/>
              <w:right w:val="nil"/>
            </w:tcBorders>
            <w:shd w:val="clear" w:color="auto" w:fill="auto"/>
            <w:noWrap/>
            <w:vAlign w:val="bottom"/>
            <w:hideMark/>
          </w:tcPr>
          <w:p w14:paraId="702AB2AB" w14:textId="77777777" w:rsidR="00A227CE" w:rsidRPr="00C0591E" w:rsidRDefault="00A227CE" w:rsidP="00E40D44">
            <w:pPr>
              <w:spacing w:before="0" w:line="240" w:lineRule="auto"/>
            </w:pPr>
            <w:r w:rsidRPr="00C0591E">
              <w:t>26</w:t>
            </w:r>
          </w:p>
        </w:tc>
        <w:tc>
          <w:tcPr>
            <w:tcW w:w="6930" w:type="dxa"/>
            <w:tcBorders>
              <w:top w:val="nil"/>
              <w:left w:val="nil"/>
              <w:bottom w:val="nil"/>
              <w:right w:val="nil"/>
            </w:tcBorders>
            <w:shd w:val="clear" w:color="auto" w:fill="auto"/>
            <w:vAlign w:val="bottom"/>
            <w:hideMark/>
          </w:tcPr>
          <w:p w14:paraId="31153652" w14:textId="77777777" w:rsidR="00A227CE" w:rsidRPr="00C0591E" w:rsidRDefault="00A227CE" w:rsidP="00E40D44">
            <w:pPr>
              <w:spacing w:before="0" w:line="240" w:lineRule="auto"/>
            </w:pPr>
            <w:r w:rsidRPr="00C0591E">
              <w:t>The Fund manager has a set quota for meetings of Trustees</w:t>
            </w:r>
          </w:p>
        </w:tc>
        <w:tc>
          <w:tcPr>
            <w:tcW w:w="1982" w:type="dxa"/>
            <w:tcBorders>
              <w:top w:val="nil"/>
              <w:left w:val="nil"/>
              <w:bottom w:val="nil"/>
              <w:right w:val="nil"/>
            </w:tcBorders>
            <w:shd w:val="clear" w:color="auto" w:fill="auto"/>
            <w:noWrap/>
            <w:vAlign w:val="bottom"/>
            <w:hideMark/>
          </w:tcPr>
          <w:p w14:paraId="15D1A65B" w14:textId="77777777" w:rsidR="00A227CE" w:rsidRPr="00C0591E" w:rsidRDefault="00A227CE" w:rsidP="00E40D44">
            <w:pPr>
              <w:spacing w:before="0" w:line="240" w:lineRule="auto"/>
              <w:jc w:val="center"/>
            </w:pPr>
            <w:r w:rsidRPr="00C0591E">
              <w:t>0.930</w:t>
            </w:r>
          </w:p>
        </w:tc>
      </w:tr>
      <w:tr w:rsidR="00A227CE" w:rsidRPr="00C0591E" w14:paraId="25C5511D" w14:textId="77777777" w:rsidTr="00E40D44">
        <w:trPr>
          <w:trHeight w:val="288"/>
        </w:trPr>
        <w:tc>
          <w:tcPr>
            <w:tcW w:w="630" w:type="dxa"/>
            <w:tcBorders>
              <w:top w:val="nil"/>
              <w:left w:val="nil"/>
              <w:bottom w:val="nil"/>
              <w:right w:val="nil"/>
            </w:tcBorders>
            <w:shd w:val="clear" w:color="auto" w:fill="auto"/>
            <w:noWrap/>
            <w:vAlign w:val="bottom"/>
            <w:hideMark/>
          </w:tcPr>
          <w:p w14:paraId="2379E116" w14:textId="77777777" w:rsidR="00A227CE" w:rsidRPr="00C0591E" w:rsidRDefault="00A227CE" w:rsidP="00E40D44">
            <w:pPr>
              <w:spacing w:before="0" w:line="240" w:lineRule="auto"/>
            </w:pPr>
            <w:r w:rsidRPr="00C0591E">
              <w:t>27</w:t>
            </w:r>
          </w:p>
        </w:tc>
        <w:tc>
          <w:tcPr>
            <w:tcW w:w="6930" w:type="dxa"/>
            <w:tcBorders>
              <w:top w:val="nil"/>
              <w:left w:val="nil"/>
              <w:bottom w:val="nil"/>
              <w:right w:val="nil"/>
            </w:tcBorders>
            <w:shd w:val="clear" w:color="auto" w:fill="auto"/>
            <w:vAlign w:val="bottom"/>
            <w:hideMark/>
          </w:tcPr>
          <w:p w14:paraId="15BCC1F1" w14:textId="77777777" w:rsidR="00A227CE" w:rsidRPr="00C0591E" w:rsidRDefault="00A227CE" w:rsidP="00E40D44">
            <w:pPr>
              <w:spacing w:before="0" w:line="240" w:lineRule="auto"/>
            </w:pPr>
            <w:r w:rsidRPr="00C0591E">
              <w:t>The Fund manager has the conflict management process</w:t>
            </w:r>
          </w:p>
        </w:tc>
        <w:tc>
          <w:tcPr>
            <w:tcW w:w="1982" w:type="dxa"/>
            <w:tcBorders>
              <w:top w:val="nil"/>
              <w:left w:val="nil"/>
              <w:bottom w:val="nil"/>
              <w:right w:val="nil"/>
            </w:tcBorders>
            <w:shd w:val="clear" w:color="auto" w:fill="auto"/>
            <w:noWrap/>
            <w:vAlign w:val="bottom"/>
            <w:hideMark/>
          </w:tcPr>
          <w:p w14:paraId="0568EFD4" w14:textId="77777777" w:rsidR="00A227CE" w:rsidRPr="00C0591E" w:rsidRDefault="00A227CE" w:rsidP="00E40D44">
            <w:pPr>
              <w:spacing w:before="0" w:line="240" w:lineRule="auto"/>
              <w:jc w:val="center"/>
            </w:pPr>
            <w:r w:rsidRPr="00C0591E">
              <w:t>0.915</w:t>
            </w:r>
          </w:p>
        </w:tc>
      </w:tr>
      <w:tr w:rsidR="00A227CE" w:rsidRPr="00C0591E" w14:paraId="47A5BB3D" w14:textId="77777777" w:rsidTr="00E40D44">
        <w:trPr>
          <w:trHeight w:val="288"/>
        </w:trPr>
        <w:tc>
          <w:tcPr>
            <w:tcW w:w="630" w:type="dxa"/>
            <w:tcBorders>
              <w:top w:val="nil"/>
              <w:left w:val="nil"/>
              <w:bottom w:val="nil"/>
              <w:right w:val="nil"/>
            </w:tcBorders>
            <w:shd w:val="clear" w:color="auto" w:fill="auto"/>
            <w:noWrap/>
            <w:vAlign w:val="bottom"/>
            <w:hideMark/>
          </w:tcPr>
          <w:p w14:paraId="1DC588C0" w14:textId="77777777" w:rsidR="00A227CE" w:rsidRPr="00C0591E" w:rsidRDefault="00A227CE" w:rsidP="00E40D44">
            <w:pPr>
              <w:spacing w:before="0" w:line="240" w:lineRule="auto"/>
            </w:pPr>
            <w:r w:rsidRPr="00C0591E">
              <w:t>28</w:t>
            </w:r>
          </w:p>
        </w:tc>
        <w:tc>
          <w:tcPr>
            <w:tcW w:w="6930" w:type="dxa"/>
            <w:tcBorders>
              <w:top w:val="nil"/>
              <w:left w:val="nil"/>
              <w:bottom w:val="nil"/>
              <w:right w:val="nil"/>
            </w:tcBorders>
            <w:shd w:val="clear" w:color="auto" w:fill="auto"/>
            <w:vAlign w:val="bottom"/>
            <w:hideMark/>
          </w:tcPr>
          <w:p w14:paraId="3E1BDE9B" w14:textId="77777777" w:rsidR="00A227CE" w:rsidRPr="00C0591E" w:rsidRDefault="00A227CE" w:rsidP="00E40D44">
            <w:pPr>
              <w:spacing w:before="0" w:line="240" w:lineRule="auto"/>
            </w:pPr>
            <w:r w:rsidRPr="00C0591E">
              <w:t>The board has an effective remuneration committee.</w:t>
            </w:r>
          </w:p>
        </w:tc>
        <w:tc>
          <w:tcPr>
            <w:tcW w:w="1982" w:type="dxa"/>
            <w:tcBorders>
              <w:top w:val="nil"/>
              <w:left w:val="nil"/>
              <w:bottom w:val="nil"/>
              <w:right w:val="nil"/>
            </w:tcBorders>
            <w:shd w:val="clear" w:color="auto" w:fill="auto"/>
            <w:noWrap/>
            <w:vAlign w:val="bottom"/>
            <w:hideMark/>
          </w:tcPr>
          <w:p w14:paraId="4E37A445" w14:textId="77777777" w:rsidR="00A227CE" w:rsidRPr="00C0591E" w:rsidRDefault="00A227CE" w:rsidP="00E40D44">
            <w:pPr>
              <w:spacing w:before="0" w:line="240" w:lineRule="auto"/>
              <w:jc w:val="center"/>
            </w:pPr>
            <w:r w:rsidRPr="00C0591E">
              <w:t>0.941</w:t>
            </w:r>
          </w:p>
        </w:tc>
      </w:tr>
      <w:tr w:rsidR="00A227CE" w:rsidRPr="00C0591E" w14:paraId="4AD6E181" w14:textId="77777777" w:rsidTr="00E40D44">
        <w:trPr>
          <w:trHeight w:val="288"/>
        </w:trPr>
        <w:tc>
          <w:tcPr>
            <w:tcW w:w="630" w:type="dxa"/>
            <w:tcBorders>
              <w:top w:val="nil"/>
              <w:left w:val="nil"/>
              <w:bottom w:val="nil"/>
              <w:right w:val="nil"/>
            </w:tcBorders>
            <w:shd w:val="clear" w:color="auto" w:fill="auto"/>
            <w:noWrap/>
            <w:vAlign w:val="bottom"/>
            <w:hideMark/>
          </w:tcPr>
          <w:p w14:paraId="3C0CFAA3" w14:textId="77777777" w:rsidR="00A227CE" w:rsidRPr="00C0591E" w:rsidRDefault="00A227CE" w:rsidP="00E40D44">
            <w:pPr>
              <w:spacing w:before="0" w:line="240" w:lineRule="auto"/>
            </w:pPr>
            <w:r w:rsidRPr="00C0591E">
              <w:t>29</w:t>
            </w:r>
          </w:p>
        </w:tc>
        <w:tc>
          <w:tcPr>
            <w:tcW w:w="6930" w:type="dxa"/>
            <w:tcBorders>
              <w:top w:val="nil"/>
              <w:left w:val="nil"/>
              <w:bottom w:val="nil"/>
              <w:right w:val="nil"/>
            </w:tcBorders>
            <w:shd w:val="clear" w:color="auto" w:fill="auto"/>
            <w:vAlign w:val="bottom"/>
            <w:hideMark/>
          </w:tcPr>
          <w:p w14:paraId="58F81322" w14:textId="77777777" w:rsidR="00A227CE" w:rsidRPr="00C0591E" w:rsidRDefault="00A227CE" w:rsidP="00E40D44">
            <w:pPr>
              <w:spacing w:before="0" w:line="240" w:lineRule="auto"/>
            </w:pPr>
            <w:r w:rsidRPr="00C0591E">
              <w:t>There is an elaborate policy on executive remuneration.</w:t>
            </w:r>
          </w:p>
        </w:tc>
        <w:tc>
          <w:tcPr>
            <w:tcW w:w="1982" w:type="dxa"/>
            <w:tcBorders>
              <w:top w:val="nil"/>
              <w:left w:val="nil"/>
              <w:bottom w:val="nil"/>
              <w:right w:val="nil"/>
            </w:tcBorders>
            <w:shd w:val="clear" w:color="auto" w:fill="auto"/>
            <w:noWrap/>
            <w:vAlign w:val="bottom"/>
            <w:hideMark/>
          </w:tcPr>
          <w:p w14:paraId="4002E9FA" w14:textId="77777777" w:rsidR="00A227CE" w:rsidRPr="00C0591E" w:rsidRDefault="00A227CE" w:rsidP="00E40D44">
            <w:pPr>
              <w:spacing w:before="0" w:line="240" w:lineRule="auto"/>
              <w:jc w:val="center"/>
            </w:pPr>
            <w:r w:rsidRPr="00C0591E">
              <w:t>0.934</w:t>
            </w:r>
          </w:p>
        </w:tc>
      </w:tr>
      <w:tr w:rsidR="00A227CE" w:rsidRPr="00C0591E" w14:paraId="21478E6A" w14:textId="77777777" w:rsidTr="00E40D44">
        <w:trPr>
          <w:trHeight w:val="288"/>
        </w:trPr>
        <w:tc>
          <w:tcPr>
            <w:tcW w:w="630" w:type="dxa"/>
            <w:tcBorders>
              <w:top w:val="nil"/>
              <w:left w:val="nil"/>
              <w:bottom w:val="nil"/>
              <w:right w:val="nil"/>
            </w:tcBorders>
            <w:shd w:val="clear" w:color="auto" w:fill="auto"/>
            <w:noWrap/>
            <w:vAlign w:val="bottom"/>
            <w:hideMark/>
          </w:tcPr>
          <w:p w14:paraId="3095E8DB" w14:textId="77777777" w:rsidR="00A227CE" w:rsidRPr="00C0591E" w:rsidRDefault="00A227CE" w:rsidP="00E40D44">
            <w:pPr>
              <w:spacing w:before="0" w:line="240" w:lineRule="auto"/>
            </w:pPr>
            <w:r w:rsidRPr="00C0591E">
              <w:t>30</w:t>
            </w:r>
          </w:p>
        </w:tc>
        <w:tc>
          <w:tcPr>
            <w:tcW w:w="6930" w:type="dxa"/>
            <w:tcBorders>
              <w:top w:val="nil"/>
              <w:left w:val="nil"/>
              <w:bottom w:val="nil"/>
              <w:right w:val="nil"/>
            </w:tcBorders>
            <w:shd w:val="clear" w:color="auto" w:fill="auto"/>
            <w:vAlign w:val="bottom"/>
            <w:hideMark/>
          </w:tcPr>
          <w:p w14:paraId="0212EEFB" w14:textId="77777777" w:rsidR="00A227CE" w:rsidRPr="00C0591E" w:rsidRDefault="00A227CE" w:rsidP="00E40D44">
            <w:pPr>
              <w:spacing w:before="0" w:line="240" w:lineRule="auto"/>
            </w:pPr>
            <w:r w:rsidRPr="00C0591E">
              <w:t>Executives are subject to annual appraisals</w:t>
            </w:r>
          </w:p>
        </w:tc>
        <w:tc>
          <w:tcPr>
            <w:tcW w:w="1982" w:type="dxa"/>
            <w:tcBorders>
              <w:top w:val="nil"/>
              <w:left w:val="nil"/>
              <w:bottom w:val="nil"/>
              <w:right w:val="nil"/>
            </w:tcBorders>
            <w:shd w:val="clear" w:color="auto" w:fill="auto"/>
            <w:noWrap/>
            <w:vAlign w:val="bottom"/>
            <w:hideMark/>
          </w:tcPr>
          <w:p w14:paraId="2B66C95C" w14:textId="77777777" w:rsidR="00A227CE" w:rsidRPr="00C0591E" w:rsidRDefault="00A227CE" w:rsidP="00E40D44">
            <w:pPr>
              <w:spacing w:before="0" w:line="240" w:lineRule="auto"/>
              <w:jc w:val="center"/>
            </w:pPr>
            <w:r w:rsidRPr="00C0591E">
              <w:t>0.863</w:t>
            </w:r>
          </w:p>
        </w:tc>
      </w:tr>
      <w:tr w:rsidR="00A227CE" w:rsidRPr="00C0591E" w14:paraId="18299258" w14:textId="77777777" w:rsidTr="00E40D44">
        <w:trPr>
          <w:trHeight w:val="288"/>
        </w:trPr>
        <w:tc>
          <w:tcPr>
            <w:tcW w:w="630" w:type="dxa"/>
            <w:tcBorders>
              <w:top w:val="nil"/>
              <w:left w:val="nil"/>
              <w:bottom w:val="nil"/>
              <w:right w:val="nil"/>
            </w:tcBorders>
            <w:shd w:val="clear" w:color="auto" w:fill="auto"/>
            <w:noWrap/>
            <w:vAlign w:val="bottom"/>
            <w:hideMark/>
          </w:tcPr>
          <w:p w14:paraId="512F47A2" w14:textId="77777777" w:rsidR="00A227CE" w:rsidRPr="00C0591E" w:rsidRDefault="00A227CE" w:rsidP="00E40D44">
            <w:pPr>
              <w:spacing w:before="0" w:line="240" w:lineRule="auto"/>
            </w:pPr>
            <w:r w:rsidRPr="00C0591E">
              <w:t>31</w:t>
            </w:r>
          </w:p>
        </w:tc>
        <w:tc>
          <w:tcPr>
            <w:tcW w:w="6930" w:type="dxa"/>
            <w:tcBorders>
              <w:top w:val="nil"/>
              <w:left w:val="nil"/>
              <w:bottom w:val="nil"/>
              <w:right w:val="nil"/>
            </w:tcBorders>
            <w:shd w:val="clear" w:color="auto" w:fill="auto"/>
            <w:vAlign w:val="bottom"/>
            <w:hideMark/>
          </w:tcPr>
          <w:p w14:paraId="1DDBE480" w14:textId="77777777" w:rsidR="00A227CE" w:rsidRPr="00C0591E" w:rsidRDefault="00A227CE" w:rsidP="00E40D44">
            <w:pPr>
              <w:spacing w:before="0" w:line="240" w:lineRule="auto"/>
            </w:pPr>
            <w:r w:rsidRPr="00C0591E">
              <w:t>Directors are subject to annual appraisals</w:t>
            </w:r>
          </w:p>
        </w:tc>
        <w:tc>
          <w:tcPr>
            <w:tcW w:w="1982" w:type="dxa"/>
            <w:tcBorders>
              <w:top w:val="nil"/>
              <w:left w:val="nil"/>
              <w:bottom w:val="nil"/>
              <w:right w:val="nil"/>
            </w:tcBorders>
            <w:shd w:val="clear" w:color="auto" w:fill="auto"/>
            <w:noWrap/>
            <w:vAlign w:val="bottom"/>
            <w:hideMark/>
          </w:tcPr>
          <w:p w14:paraId="17D9C364" w14:textId="77777777" w:rsidR="00A227CE" w:rsidRPr="00C0591E" w:rsidRDefault="00A227CE" w:rsidP="00E40D44">
            <w:pPr>
              <w:spacing w:before="0" w:line="240" w:lineRule="auto"/>
              <w:jc w:val="center"/>
            </w:pPr>
            <w:r w:rsidRPr="00C0591E">
              <w:t>0.927</w:t>
            </w:r>
          </w:p>
        </w:tc>
      </w:tr>
      <w:tr w:rsidR="00A227CE" w:rsidRPr="00C0591E" w14:paraId="1CF9CDB5" w14:textId="77777777" w:rsidTr="00E40D44">
        <w:trPr>
          <w:trHeight w:val="576"/>
        </w:trPr>
        <w:tc>
          <w:tcPr>
            <w:tcW w:w="630" w:type="dxa"/>
            <w:tcBorders>
              <w:top w:val="nil"/>
              <w:left w:val="nil"/>
              <w:bottom w:val="single" w:sz="4" w:space="0" w:color="auto"/>
              <w:right w:val="nil"/>
            </w:tcBorders>
            <w:shd w:val="clear" w:color="auto" w:fill="auto"/>
            <w:noWrap/>
            <w:vAlign w:val="bottom"/>
            <w:hideMark/>
          </w:tcPr>
          <w:p w14:paraId="0DE00A98" w14:textId="77777777" w:rsidR="00A227CE" w:rsidRPr="00C0591E" w:rsidRDefault="00A227CE" w:rsidP="00E40D44">
            <w:pPr>
              <w:spacing w:before="0" w:line="240" w:lineRule="auto"/>
            </w:pPr>
            <w:r w:rsidRPr="00C0591E">
              <w:t>32</w:t>
            </w:r>
          </w:p>
        </w:tc>
        <w:tc>
          <w:tcPr>
            <w:tcW w:w="6930" w:type="dxa"/>
            <w:tcBorders>
              <w:top w:val="nil"/>
              <w:left w:val="nil"/>
              <w:bottom w:val="single" w:sz="4" w:space="0" w:color="auto"/>
              <w:right w:val="nil"/>
            </w:tcBorders>
            <w:shd w:val="clear" w:color="auto" w:fill="auto"/>
            <w:vAlign w:val="bottom"/>
            <w:hideMark/>
          </w:tcPr>
          <w:p w14:paraId="67032DC7" w14:textId="77777777" w:rsidR="00A227CE" w:rsidRPr="00C0591E" w:rsidRDefault="00A227CE" w:rsidP="00E40D44">
            <w:pPr>
              <w:spacing w:before="0" w:line="240" w:lineRule="auto"/>
            </w:pPr>
            <w:r w:rsidRPr="00C0591E">
              <w:t>Executive and Directors long term compensation is tied to shareholder returns</w:t>
            </w:r>
          </w:p>
        </w:tc>
        <w:tc>
          <w:tcPr>
            <w:tcW w:w="1982" w:type="dxa"/>
            <w:tcBorders>
              <w:top w:val="nil"/>
              <w:left w:val="nil"/>
              <w:bottom w:val="single" w:sz="4" w:space="0" w:color="auto"/>
              <w:right w:val="nil"/>
            </w:tcBorders>
            <w:shd w:val="clear" w:color="auto" w:fill="auto"/>
            <w:noWrap/>
            <w:vAlign w:val="bottom"/>
            <w:hideMark/>
          </w:tcPr>
          <w:p w14:paraId="00000CDB" w14:textId="77777777" w:rsidR="00A227CE" w:rsidRPr="00C0591E" w:rsidRDefault="00A227CE" w:rsidP="00E40D44">
            <w:pPr>
              <w:spacing w:before="0" w:line="240" w:lineRule="auto"/>
              <w:jc w:val="center"/>
            </w:pPr>
            <w:r w:rsidRPr="00C0591E">
              <w:t>0.946</w:t>
            </w:r>
          </w:p>
        </w:tc>
      </w:tr>
    </w:tbl>
    <w:p w14:paraId="3655494F" w14:textId="3E510A18" w:rsidR="00A227CE" w:rsidRPr="00C0591E" w:rsidRDefault="00C1099B" w:rsidP="00A227CE">
      <w:r w:rsidRPr="00C0591E">
        <w:t xml:space="preserve">Results on Table </w:t>
      </w:r>
      <w:r w:rsidR="006753B0" w:rsidRPr="00C0591E">
        <w:t>11</w:t>
      </w:r>
      <w:r w:rsidR="00191F36" w:rsidRPr="00C0591E">
        <w:t xml:space="preserve"> </w:t>
      </w:r>
      <w:r w:rsidR="00A227CE" w:rsidRPr="00C0591E">
        <w:t>show that all the statements on transparency, structure, accountability and participation had factor loading values greater than 0.5 and therefore they were accepted and thus no sub variable was dropped.</w:t>
      </w:r>
    </w:p>
    <w:p w14:paraId="00EA37F1" w14:textId="2D1DE320" w:rsidR="00A227CE" w:rsidRPr="00C0591E" w:rsidRDefault="00C1099B" w:rsidP="00A227CE">
      <w:pPr>
        <w:pStyle w:val="Heading3"/>
      </w:pPr>
      <w:r w:rsidRPr="00C0591E">
        <w:t>4.4.2.2</w:t>
      </w:r>
      <w:r w:rsidR="00A227CE" w:rsidRPr="00C0591E">
        <w:t xml:space="preserve"> Factor Analysis for Investment Policies</w:t>
      </w:r>
    </w:p>
    <w:p w14:paraId="3470BCAB" w14:textId="5C76C508" w:rsidR="00A227CE" w:rsidRPr="00C0591E" w:rsidRDefault="00A227CE" w:rsidP="00A227CE">
      <w:pPr>
        <w:rPr>
          <w:lang w:val="en-GB"/>
        </w:rPr>
      </w:pPr>
      <w:r w:rsidRPr="00C0591E">
        <w:rPr>
          <w:lang w:val="en-GB"/>
        </w:rPr>
        <w:t xml:space="preserve">Factor analysis was conducted on the statements on </w:t>
      </w:r>
      <w:r w:rsidRPr="00C0591E">
        <w:t>investment policies</w:t>
      </w:r>
      <w:r w:rsidRPr="00C0591E">
        <w:rPr>
          <w:lang w:val="en-GB"/>
        </w:rPr>
        <w:t xml:space="preserve">. This was done by subjecting the statement to dimension reduction in SPSS where any sub variable with a value less than 0.5 was removed. Table </w:t>
      </w:r>
      <w:r w:rsidR="00C1099B" w:rsidRPr="00C0591E">
        <w:rPr>
          <w:lang w:val="en-GB"/>
        </w:rPr>
        <w:t>4.9</w:t>
      </w:r>
      <w:r w:rsidRPr="00C0591E">
        <w:rPr>
          <w:lang w:val="en-GB"/>
        </w:rPr>
        <w:t xml:space="preserve"> shows the set of sub variables under the </w:t>
      </w:r>
      <w:r w:rsidRPr="00C0591E">
        <w:t>investment policies</w:t>
      </w:r>
      <w:r w:rsidRPr="00C0591E">
        <w:rPr>
          <w:lang w:val="en-GB"/>
        </w:rPr>
        <w:t>.</w:t>
      </w:r>
    </w:p>
    <w:p w14:paraId="5371B892" w14:textId="4D67D04A" w:rsidR="006F2377" w:rsidRPr="00C0591E" w:rsidRDefault="006F2377" w:rsidP="00A227CE">
      <w:pPr>
        <w:rPr>
          <w:lang w:val="en-GB"/>
        </w:rPr>
      </w:pPr>
    </w:p>
    <w:p w14:paraId="22AE7E54" w14:textId="59E10997" w:rsidR="006F2377" w:rsidRPr="00C0591E" w:rsidRDefault="006F2377" w:rsidP="00A227CE">
      <w:pPr>
        <w:rPr>
          <w:lang w:val="en-GB"/>
        </w:rPr>
      </w:pPr>
    </w:p>
    <w:p w14:paraId="2939C611" w14:textId="1B8A3899" w:rsidR="006F2377" w:rsidRPr="00C0591E" w:rsidRDefault="006F2377" w:rsidP="00A227CE">
      <w:pPr>
        <w:rPr>
          <w:lang w:val="en-GB"/>
        </w:rPr>
      </w:pPr>
    </w:p>
    <w:p w14:paraId="20AA1588" w14:textId="7F10272E" w:rsidR="006F2377" w:rsidRPr="00C0591E" w:rsidRDefault="006F2377" w:rsidP="00A227CE">
      <w:pPr>
        <w:rPr>
          <w:lang w:val="en-GB"/>
        </w:rPr>
      </w:pPr>
    </w:p>
    <w:p w14:paraId="29BBFE15" w14:textId="7F6F980C" w:rsidR="006F2377" w:rsidRPr="00C0591E" w:rsidRDefault="006F2377" w:rsidP="00A227CE">
      <w:pPr>
        <w:rPr>
          <w:lang w:val="en-GB"/>
        </w:rPr>
      </w:pPr>
    </w:p>
    <w:p w14:paraId="7728F93F" w14:textId="4FB1267E" w:rsidR="006F2377" w:rsidRPr="00C0591E" w:rsidRDefault="006F2377" w:rsidP="00A227CE">
      <w:pPr>
        <w:rPr>
          <w:lang w:val="en-GB"/>
        </w:rPr>
      </w:pPr>
    </w:p>
    <w:p w14:paraId="5A1E905B" w14:textId="77777777" w:rsidR="006F2377" w:rsidRPr="00C0591E" w:rsidRDefault="006F2377" w:rsidP="00A227CE"/>
    <w:p w14:paraId="6402B4BA" w14:textId="4F9DECA8" w:rsidR="00A227CE" w:rsidRPr="00C0591E" w:rsidRDefault="00A227CE" w:rsidP="00A227CE">
      <w:pPr>
        <w:pStyle w:val="Heading4"/>
      </w:pPr>
      <w:bookmarkStart w:id="176" w:name="_Toc113125147"/>
      <w:r w:rsidRPr="00C0591E">
        <w:t xml:space="preserve">Table </w:t>
      </w:r>
      <w:r w:rsidR="00191F36" w:rsidRPr="00C0591E">
        <w:t>12</w:t>
      </w:r>
      <w:r w:rsidRPr="00C0591E">
        <w:t>: Factor Loading for Investment Policies</w:t>
      </w:r>
      <w:bookmarkEnd w:id="176"/>
    </w:p>
    <w:tbl>
      <w:tblPr>
        <w:tblW w:w="5000" w:type="pct"/>
        <w:tblLook w:val="04A0" w:firstRow="1" w:lastRow="0" w:firstColumn="1" w:lastColumn="0" w:noHBand="0" w:noVBand="1"/>
      </w:tblPr>
      <w:tblGrid>
        <w:gridCol w:w="630"/>
        <w:gridCol w:w="6586"/>
        <w:gridCol w:w="1810"/>
      </w:tblGrid>
      <w:tr w:rsidR="00A227CE" w:rsidRPr="00C0591E" w14:paraId="3C9B49D8" w14:textId="77777777" w:rsidTr="00E40D44">
        <w:trPr>
          <w:trHeight w:val="288"/>
        </w:trPr>
        <w:tc>
          <w:tcPr>
            <w:tcW w:w="288" w:type="pct"/>
            <w:tcBorders>
              <w:top w:val="single" w:sz="4" w:space="0" w:color="auto"/>
              <w:left w:val="nil"/>
              <w:bottom w:val="single" w:sz="4" w:space="0" w:color="auto"/>
              <w:right w:val="nil"/>
            </w:tcBorders>
            <w:shd w:val="clear" w:color="auto" w:fill="auto"/>
            <w:noWrap/>
            <w:vAlign w:val="bottom"/>
            <w:hideMark/>
          </w:tcPr>
          <w:p w14:paraId="56DC2949" w14:textId="77777777" w:rsidR="00A227CE" w:rsidRPr="00C0591E" w:rsidRDefault="00A227CE" w:rsidP="00E40D44">
            <w:pPr>
              <w:spacing w:before="0" w:line="240" w:lineRule="auto"/>
              <w:rPr>
                <w:b/>
              </w:rPr>
            </w:pPr>
            <w:r w:rsidRPr="00C0591E">
              <w:rPr>
                <w:b/>
              </w:rPr>
              <w:t> No.</w:t>
            </w:r>
          </w:p>
        </w:tc>
        <w:tc>
          <w:tcPr>
            <w:tcW w:w="3745" w:type="pct"/>
            <w:tcBorders>
              <w:top w:val="single" w:sz="4" w:space="0" w:color="auto"/>
              <w:left w:val="nil"/>
              <w:bottom w:val="single" w:sz="4" w:space="0" w:color="auto"/>
              <w:right w:val="nil"/>
            </w:tcBorders>
            <w:shd w:val="clear" w:color="auto" w:fill="auto"/>
            <w:vAlign w:val="bottom"/>
            <w:hideMark/>
          </w:tcPr>
          <w:p w14:paraId="5728B248" w14:textId="77777777" w:rsidR="00A227CE" w:rsidRPr="00C0591E" w:rsidRDefault="00A227CE" w:rsidP="00E40D44">
            <w:pPr>
              <w:spacing w:before="0" w:line="240" w:lineRule="auto"/>
              <w:jc w:val="left"/>
              <w:rPr>
                <w:b/>
              </w:rPr>
            </w:pPr>
            <w:r w:rsidRPr="00C0591E">
              <w:rPr>
                <w:b/>
              </w:rPr>
              <w:t>Statements</w:t>
            </w:r>
          </w:p>
        </w:tc>
        <w:tc>
          <w:tcPr>
            <w:tcW w:w="967" w:type="pct"/>
            <w:tcBorders>
              <w:top w:val="single" w:sz="4" w:space="0" w:color="auto"/>
              <w:left w:val="nil"/>
              <w:bottom w:val="single" w:sz="4" w:space="0" w:color="auto"/>
              <w:right w:val="nil"/>
            </w:tcBorders>
            <w:shd w:val="clear" w:color="auto" w:fill="auto"/>
            <w:noWrap/>
            <w:vAlign w:val="bottom"/>
            <w:hideMark/>
          </w:tcPr>
          <w:p w14:paraId="4F4C490D" w14:textId="77777777" w:rsidR="00A227CE" w:rsidRPr="00C0591E" w:rsidRDefault="00A227CE" w:rsidP="00E40D44">
            <w:pPr>
              <w:spacing w:before="0" w:line="240" w:lineRule="auto"/>
              <w:jc w:val="center"/>
              <w:rPr>
                <w:b/>
                <w:bCs/>
              </w:rPr>
            </w:pPr>
            <w:r w:rsidRPr="00C0591E">
              <w:rPr>
                <w:b/>
                <w:bCs/>
              </w:rPr>
              <w:t>Factor Loading</w:t>
            </w:r>
          </w:p>
        </w:tc>
      </w:tr>
      <w:tr w:rsidR="00A227CE" w:rsidRPr="00C0591E" w14:paraId="683C2E40" w14:textId="77777777" w:rsidTr="00E40D44">
        <w:trPr>
          <w:trHeight w:val="288"/>
        </w:trPr>
        <w:tc>
          <w:tcPr>
            <w:tcW w:w="288" w:type="pct"/>
            <w:tcBorders>
              <w:top w:val="nil"/>
              <w:left w:val="nil"/>
              <w:bottom w:val="nil"/>
              <w:right w:val="nil"/>
            </w:tcBorders>
            <w:shd w:val="clear" w:color="auto" w:fill="auto"/>
            <w:noWrap/>
            <w:vAlign w:val="bottom"/>
            <w:hideMark/>
          </w:tcPr>
          <w:p w14:paraId="2C6CC04E" w14:textId="77777777" w:rsidR="00A227CE" w:rsidRPr="00C0591E" w:rsidRDefault="00A227CE" w:rsidP="00E40D44">
            <w:pPr>
              <w:spacing w:before="0" w:line="240" w:lineRule="auto"/>
            </w:pPr>
            <w:r w:rsidRPr="00C0591E">
              <w:t>1</w:t>
            </w:r>
          </w:p>
        </w:tc>
        <w:tc>
          <w:tcPr>
            <w:tcW w:w="3745" w:type="pct"/>
            <w:tcBorders>
              <w:top w:val="nil"/>
              <w:left w:val="nil"/>
              <w:bottom w:val="nil"/>
              <w:right w:val="nil"/>
            </w:tcBorders>
            <w:shd w:val="clear" w:color="auto" w:fill="auto"/>
            <w:vAlign w:val="bottom"/>
            <w:hideMark/>
          </w:tcPr>
          <w:p w14:paraId="631A4C32" w14:textId="77777777" w:rsidR="00A227CE" w:rsidRPr="00C0591E" w:rsidRDefault="00A227CE" w:rsidP="00E40D44">
            <w:pPr>
              <w:spacing w:before="0" w:line="240" w:lineRule="auto"/>
              <w:jc w:val="left"/>
            </w:pPr>
            <w:r w:rsidRPr="00C0591E">
              <w:t>Our pension plan rules do not restrict investments in any company</w:t>
            </w:r>
          </w:p>
        </w:tc>
        <w:tc>
          <w:tcPr>
            <w:tcW w:w="967" w:type="pct"/>
            <w:tcBorders>
              <w:top w:val="nil"/>
              <w:left w:val="nil"/>
              <w:bottom w:val="nil"/>
              <w:right w:val="nil"/>
            </w:tcBorders>
            <w:shd w:val="clear" w:color="auto" w:fill="auto"/>
            <w:noWrap/>
            <w:vAlign w:val="bottom"/>
            <w:hideMark/>
          </w:tcPr>
          <w:p w14:paraId="02EA0E88" w14:textId="77777777" w:rsidR="00A227CE" w:rsidRPr="00C0591E" w:rsidRDefault="00A227CE" w:rsidP="00E40D44">
            <w:pPr>
              <w:spacing w:before="0" w:line="240" w:lineRule="auto"/>
              <w:jc w:val="center"/>
            </w:pPr>
            <w:r w:rsidRPr="00C0591E">
              <w:t>0.931</w:t>
            </w:r>
          </w:p>
        </w:tc>
      </w:tr>
      <w:tr w:rsidR="00A227CE" w:rsidRPr="00C0591E" w14:paraId="54AB173E" w14:textId="77777777" w:rsidTr="00E40D44">
        <w:trPr>
          <w:trHeight w:val="576"/>
        </w:trPr>
        <w:tc>
          <w:tcPr>
            <w:tcW w:w="288" w:type="pct"/>
            <w:tcBorders>
              <w:top w:val="nil"/>
              <w:left w:val="nil"/>
              <w:bottom w:val="nil"/>
              <w:right w:val="nil"/>
            </w:tcBorders>
            <w:shd w:val="clear" w:color="auto" w:fill="auto"/>
            <w:noWrap/>
            <w:vAlign w:val="bottom"/>
            <w:hideMark/>
          </w:tcPr>
          <w:p w14:paraId="67C74BF4" w14:textId="77777777" w:rsidR="00A227CE" w:rsidRPr="00C0591E" w:rsidRDefault="00A227CE" w:rsidP="00E40D44">
            <w:pPr>
              <w:spacing w:before="0" w:line="240" w:lineRule="auto"/>
            </w:pPr>
            <w:r w:rsidRPr="00C0591E">
              <w:t>2</w:t>
            </w:r>
          </w:p>
        </w:tc>
        <w:tc>
          <w:tcPr>
            <w:tcW w:w="3745" w:type="pct"/>
            <w:tcBorders>
              <w:top w:val="nil"/>
              <w:left w:val="nil"/>
              <w:bottom w:val="nil"/>
              <w:right w:val="nil"/>
            </w:tcBorders>
            <w:shd w:val="clear" w:color="auto" w:fill="auto"/>
            <w:vAlign w:val="bottom"/>
            <w:hideMark/>
          </w:tcPr>
          <w:p w14:paraId="63B9C666" w14:textId="77777777" w:rsidR="00A227CE" w:rsidRPr="00C0591E" w:rsidRDefault="00A227CE" w:rsidP="00E40D44">
            <w:pPr>
              <w:spacing w:before="0" w:line="240" w:lineRule="auto"/>
              <w:jc w:val="left"/>
            </w:pPr>
            <w:r w:rsidRPr="00C0591E">
              <w:t>We have a pension investment committee that makes investment decisions</w:t>
            </w:r>
          </w:p>
        </w:tc>
        <w:tc>
          <w:tcPr>
            <w:tcW w:w="967" w:type="pct"/>
            <w:tcBorders>
              <w:top w:val="nil"/>
              <w:left w:val="nil"/>
              <w:bottom w:val="nil"/>
              <w:right w:val="nil"/>
            </w:tcBorders>
            <w:shd w:val="clear" w:color="auto" w:fill="auto"/>
            <w:noWrap/>
            <w:vAlign w:val="bottom"/>
            <w:hideMark/>
          </w:tcPr>
          <w:p w14:paraId="68FD336F" w14:textId="77777777" w:rsidR="00A227CE" w:rsidRPr="00C0591E" w:rsidRDefault="00A227CE" w:rsidP="00E40D44">
            <w:pPr>
              <w:spacing w:before="0" w:line="240" w:lineRule="auto"/>
              <w:jc w:val="center"/>
            </w:pPr>
            <w:r w:rsidRPr="00C0591E">
              <w:t>0.898</w:t>
            </w:r>
          </w:p>
        </w:tc>
      </w:tr>
      <w:tr w:rsidR="00A227CE" w:rsidRPr="00C0591E" w14:paraId="68D940E0" w14:textId="77777777" w:rsidTr="00E40D44">
        <w:trPr>
          <w:trHeight w:val="288"/>
        </w:trPr>
        <w:tc>
          <w:tcPr>
            <w:tcW w:w="288" w:type="pct"/>
            <w:tcBorders>
              <w:top w:val="nil"/>
              <w:left w:val="nil"/>
              <w:bottom w:val="nil"/>
              <w:right w:val="nil"/>
            </w:tcBorders>
            <w:shd w:val="clear" w:color="auto" w:fill="auto"/>
            <w:noWrap/>
            <w:vAlign w:val="bottom"/>
            <w:hideMark/>
          </w:tcPr>
          <w:p w14:paraId="42A79145" w14:textId="77777777" w:rsidR="00A227CE" w:rsidRPr="00C0591E" w:rsidRDefault="00A227CE" w:rsidP="00E40D44">
            <w:pPr>
              <w:spacing w:before="0" w:line="240" w:lineRule="auto"/>
            </w:pPr>
            <w:r w:rsidRPr="00C0591E">
              <w:t>3</w:t>
            </w:r>
          </w:p>
        </w:tc>
        <w:tc>
          <w:tcPr>
            <w:tcW w:w="3745" w:type="pct"/>
            <w:tcBorders>
              <w:top w:val="nil"/>
              <w:left w:val="nil"/>
              <w:bottom w:val="nil"/>
              <w:right w:val="nil"/>
            </w:tcBorders>
            <w:shd w:val="clear" w:color="auto" w:fill="auto"/>
            <w:vAlign w:val="bottom"/>
            <w:hideMark/>
          </w:tcPr>
          <w:p w14:paraId="317CE58D" w14:textId="77777777" w:rsidR="00A227CE" w:rsidRPr="00C0591E" w:rsidRDefault="00A227CE" w:rsidP="00E40D44">
            <w:pPr>
              <w:spacing w:before="0" w:line="240" w:lineRule="auto"/>
              <w:jc w:val="left"/>
            </w:pPr>
            <w:r w:rsidRPr="00C0591E">
              <w:t>Trustees are covered by liability insurance</w:t>
            </w:r>
          </w:p>
        </w:tc>
        <w:tc>
          <w:tcPr>
            <w:tcW w:w="967" w:type="pct"/>
            <w:tcBorders>
              <w:top w:val="nil"/>
              <w:left w:val="nil"/>
              <w:bottom w:val="nil"/>
              <w:right w:val="nil"/>
            </w:tcBorders>
            <w:shd w:val="clear" w:color="auto" w:fill="auto"/>
            <w:noWrap/>
            <w:vAlign w:val="bottom"/>
            <w:hideMark/>
          </w:tcPr>
          <w:p w14:paraId="1F7F11C4" w14:textId="77777777" w:rsidR="00A227CE" w:rsidRPr="00C0591E" w:rsidRDefault="00A227CE" w:rsidP="00E40D44">
            <w:pPr>
              <w:spacing w:before="0" w:line="240" w:lineRule="auto"/>
              <w:jc w:val="center"/>
            </w:pPr>
            <w:r w:rsidRPr="00C0591E">
              <w:t>0.868</w:t>
            </w:r>
          </w:p>
        </w:tc>
      </w:tr>
      <w:tr w:rsidR="00A227CE" w:rsidRPr="00C0591E" w14:paraId="2920A387" w14:textId="77777777" w:rsidTr="00E40D44">
        <w:trPr>
          <w:trHeight w:val="576"/>
        </w:trPr>
        <w:tc>
          <w:tcPr>
            <w:tcW w:w="288" w:type="pct"/>
            <w:tcBorders>
              <w:top w:val="nil"/>
              <w:left w:val="nil"/>
              <w:bottom w:val="nil"/>
              <w:right w:val="nil"/>
            </w:tcBorders>
            <w:shd w:val="clear" w:color="auto" w:fill="auto"/>
            <w:noWrap/>
            <w:vAlign w:val="bottom"/>
            <w:hideMark/>
          </w:tcPr>
          <w:p w14:paraId="719AC5D0" w14:textId="77777777" w:rsidR="00A227CE" w:rsidRPr="00C0591E" w:rsidRDefault="00A227CE" w:rsidP="00E40D44">
            <w:pPr>
              <w:spacing w:before="0" w:line="240" w:lineRule="auto"/>
            </w:pPr>
            <w:r w:rsidRPr="00C0591E">
              <w:t>4</w:t>
            </w:r>
          </w:p>
        </w:tc>
        <w:tc>
          <w:tcPr>
            <w:tcW w:w="3745" w:type="pct"/>
            <w:tcBorders>
              <w:top w:val="nil"/>
              <w:left w:val="nil"/>
              <w:bottom w:val="nil"/>
              <w:right w:val="nil"/>
            </w:tcBorders>
            <w:shd w:val="clear" w:color="auto" w:fill="auto"/>
            <w:vAlign w:val="bottom"/>
            <w:hideMark/>
          </w:tcPr>
          <w:p w14:paraId="59A3A0BE" w14:textId="77777777" w:rsidR="00A227CE" w:rsidRPr="00C0591E" w:rsidRDefault="00A227CE" w:rsidP="00E40D44">
            <w:pPr>
              <w:spacing w:before="0" w:line="240" w:lineRule="auto"/>
              <w:jc w:val="left"/>
            </w:pPr>
            <w:r w:rsidRPr="00C0591E">
              <w:t>We have invested  more in fixed interest investments (bonds and Treasury bills) over the past two years</w:t>
            </w:r>
          </w:p>
        </w:tc>
        <w:tc>
          <w:tcPr>
            <w:tcW w:w="967" w:type="pct"/>
            <w:tcBorders>
              <w:top w:val="nil"/>
              <w:left w:val="nil"/>
              <w:bottom w:val="nil"/>
              <w:right w:val="nil"/>
            </w:tcBorders>
            <w:shd w:val="clear" w:color="auto" w:fill="auto"/>
            <w:noWrap/>
            <w:vAlign w:val="bottom"/>
            <w:hideMark/>
          </w:tcPr>
          <w:p w14:paraId="755A6D51" w14:textId="77777777" w:rsidR="00A227CE" w:rsidRPr="00C0591E" w:rsidRDefault="00A227CE" w:rsidP="00E40D44">
            <w:pPr>
              <w:spacing w:before="0" w:line="240" w:lineRule="auto"/>
              <w:jc w:val="center"/>
            </w:pPr>
            <w:r w:rsidRPr="00C0591E">
              <w:t>0.922</w:t>
            </w:r>
          </w:p>
        </w:tc>
      </w:tr>
      <w:tr w:rsidR="00A227CE" w:rsidRPr="00C0591E" w14:paraId="30194087" w14:textId="77777777" w:rsidTr="00E40D44">
        <w:trPr>
          <w:trHeight w:val="576"/>
        </w:trPr>
        <w:tc>
          <w:tcPr>
            <w:tcW w:w="288" w:type="pct"/>
            <w:tcBorders>
              <w:top w:val="nil"/>
              <w:left w:val="nil"/>
              <w:bottom w:val="nil"/>
              <w:right w:val="nil"/>
            </w:tcBorders>
            <w:shd w:val="clear" w:color="auto" w:fill="auto"/>
            <w:noWrap/>
            <w:vAlign w:val="bottom"/>
            <w:hideMark/>
          </w:tcPr>
          <w:p w14:paraId="642E497B" w14:textId="77777777" w:rsidR="00A227CE" w:rsidRPr="00C0591E" w:rsidRDefault="00A227CE" w:rsidP="00E40D44">
            <w:pPr>
              <w:spacing w:before="0" w:line="240" w:lineRule="auto"/>
            </w:pPr>
            <w:r w:rsidRPr="00C0591E">
              <w:t>5</w:t>
            </w:r>
          </w:p>
        </w:tc>
        <w:tc>
          <w:tcPr>
            <w:tcW w:w="3745" w:type="pct"/>
            <w:tcBorders>
              <w:top w:val="nil"/>
              <w:left w:val="nil"/>
              <w:bottom w:val="nil"/>
              <w:right w:val="nil"/>
            </w:tcBorders>
            <w:shd w:val="clear" w:color="auto" w:fill="auto"/>
            <w:vAlign w:val="bottom"/>
            <w:hideMark/>
          </w:tcPr>
          <w:p w14:paraId="5EC5F2E9" w14:textId="77777777" w:rsidR="00A227CE" w:rsidRPr="00C0591E" w:rsidRDefault="00A227CE" w:rsidP="00E40D44">
            <w:pPr>
              <w:spacing w:before="0" w:line="240" w:lineRule="auto"/>
              <w:jc w:val="left"/>
            </w:pPr>
            <w:r w:rsidRPr="00C0591E">
              <w:t>RBA rules on investment restrictions have a negative impact on our investment decisions</w:t>
            </w:r>
          </w:p>
        </w:tc>
        <w:tc>
          <w:tcPr>
            <w:tcW w:w="967" w:type="pct"/>
            <w:tcBorders>
              <w:top w:val="nil"/>
              <w:left w:val="nil"/>
              <w:bottom w:val="nil"/>
              <w:right w:val="nil"/>
            </w:tcBorders>
            <w:shd w:val="clear" w:color="auto" w:fill="auto"/>
            <w:noWrap/>
            <w:vAlign w:val="bottom"/>
            <w:hideMark/>
          </w:tcPr>
          <w:p w14:paraId="6B04BED1" w14:textId="77777777" w:rsidR="00A227CE" w:rsidRPr="00C0591E" w:rsidRDefault="00A227CE" w:rsidP="00E40D44">
            <w:pPr>
              <w:spacing w:before="0" w:line="240" w:lineRule="auto"/>
              <w:jc w:val="center"/>
            </w:pPr>
            <w:r w:rsidRPr="00C0591E">
              <w:t>0.970</w:t>
            </w:r>
          </w:p>
        </w:tc>
      </w:tr>
      <w:tr w:rsidR="00A227CE" w:rsidRPr="00C0591E" w14:paraId="1C318768" w14:textId="77777777" w:rsidTr="00E40D44">
        <w:trPr>
          <w:trHeight w:val="576"/>
        </w:trPr>
        <w:tc>
          <w:tcPr>
            <w:tcW w:w="288" w:type="pct"/>
            <w:tcBorders>
              <w:top w:val="nil"/>
              <w:left w:val="nil"/>
              <w:bottom w:val="nil"/>
              <w:right w:val="nil"/>
            </w:tcBorders>
            <w:shd w:val="clear" w:color="auto" w:fill="auto"/>
            <w:noWrap/>
            <w:vAlign w:val="bottom"/>
            <w:hideMark/>
          </w:tcPr>
          <w:p w14:paraId="53CD4466" w14:textId="77777777" w:rsidR="00A227CE" w:rsidRPr="00C0591E" w:rsidRDefault="00A227CE" w:rsidP="00E40D44">
            <w:pPr>
              <w:spacing w:before="0" w:line="240" w:lineRule="auto"/>
            </w:pPr>
            <w:r w:rsidRPr="00C0591E">
              <w:t>6</w:t>
            </w:r>
          </w:p>
        </w:tc>
        <w:tc>
          <w:tcPr>
            <w:tcW w:w="3745" w:type="pct"/>
            <w:tcBorders>
              <w:top w:val="nil"/>
              <w:left w:val="nil"/>
              <w:bottom w:val="nil"/>
              <w:right w:val="nil"/>
            </w:tcBorders>
            <w:shd w:val="clear" w:color="auto" w:fill="auto"/>
            <w:vAlign w:val="bottom"/>
            <w:hideMark/>
          </w:tcPr>
          <w:p w14:paraId="04C5D03B" w14:textId="77777777" w:rsidR="00A227CE" w:rsidRPr="00C0591E" w:rsidRDefault="00A227CE" w:rsidP="00E40D44">
            <w:pPr>
              <w:spacing w:before="0" w:line="240" w:lineRule="auto"/>
              <w:jc w:val="left"/>
            </w:pPr>
            <w:r w:rsidRPr="00C0591E">
              <w:t>We conduct independent evaluations of our pension fund performance to confirm the rates given by the fund administrators</w:t>
            </w:r>
          </w:p>
        </w:tc>
        <w:tc>
          <w:tcPr>
            <w:tcW w:w="967" w:type="pct"/>
            <w:tcBorders>
              <w:top w:val="nil"/>
              <w:left w:val="nil"/>
              <w:bottom w:val="nil"/>
              <w:right w:val="nil"/>
            </w:tcBorders>
            <w:shd w:val="clear" w:color="auto" w:fill="auto"/>
            <w:noWrap/>
            <w:vAlign w:val="bottom"/>
            <w:hideMark/>
          </w:tcPr>
          <w:p w14:paraId="33D20C60" w14:textId="77777777" w:rsidR="00A227CE" w:rsidRPr="00C0591E" w:rsidRDefault="00A227CE" w:rsidP="00E40D44">
            <w:pPr>
              <w:spacing w:before="0" w:line="240" w:lineRule="auto"/>
              <w:jc w:val="center"/>
            </w:pPr>
            <w:r w:rsidRPr="00C0591E">
              <w:t>0.966</w:t>
            </w:r>
          </w:p>
        </w:tc>
      </w:tr>
      <w:tr w:rsidR="00A227CE" w:rsidRPr="00C0591E" w14:paraId="388146DD" w14:textId="77777777" w:rsidTr="00E40D44">
        <w:trPr>
          <w:trHeight w:val="288"/>
        </w:trPr>
        <w:tc>
          <w:tcPr>
            <w:tcW w:w="288" w:type="pct"/>
            <w:tcBorders>
              <w:top w:val="nil"/>
              <w:left w:val="nil"/>
              <w:bottom w:val="nil"/>
              <w:right w:val="nil"/>
            </w:tcBorders>
            <w:shd w:val="clear" w:color="auto" w:fill="auto"/>
            <w:noWrap/>
            <w:vAlign w:val="bottom"/>
            <w:hideMark/>
          </w:tcPr>
          <w:p w14:paraId="33247407" w14:textId="77777777" w:rsidR="00A227CE" w:rsidRPr="00C0591E" w:rsidRDefault="00A227CE" w:rsidP="00E40D44">
            <w:pPr>
              <w:spacing w:before="0" w:line="240" w:lineRule="auto"/>
            </w:pPr>
            <w:r w:rsidRPr="00C0591E">
              <w:t>7</w:t>
            </w:r>
          </w:p>
        </w:tc>
        <w:tc>
          <w:tcPr>
            <w:tcW w:w="3745" w:type="pct"/>
            <w:tcBorders>
              <w:top w:val="nil"/>
              <w:left w:val="nil"/>
              <w:bottom w:val="nil"/>
              <w:right w:val="nil"/>
            </w:tcBorders>
            <w:shd w:val="clear" w:color="auto" w:fill="auto"/>
            <w:vAlign w:val="bottom"/>
            <w:hideMark/>
          </w:tcPr>
          <w:p w14:paraId="188402D1" w14:textId="77777777" w:rsidR="00A227CE" w:rsidRPr="00C0591E" w:rsidRDefault="00A227CE" w:rsidP="00E40D44">
            <w:pPr>
              <w:spacing w:before="0" w:line="240" w:lineRule="auto"/>
              <w:jc w:val="left"/>
            </w:pPr>
            <w:r w:rsidRPr="00C0591E">
              <w:t>We have a clear investment policy that is strictly implemented</w:t>
            </w:r>
          </w:p>
        </w:tc>
        <w:tc>
          <w:tcPr>
            <w:tcW w:w="967" w:type="pct"/>
            <w:tcBorders>
              <w:top w:val="nil"/>
              <w:left w:val="nil"/>
              <w:bottom w:val="nil"/>
              <w:right w:val="nil"/>
            </w:tcBorders>
            <w:shd w:val="clear" w:color="auto" w:fill="auto"/>
            <w:noWrap/>
            <w:vAlign w:val="bottom"/>
            <w:hideMark/>
          </w:tcPr>
          <w:p w14:paraId="1B6CD056" w14:textId="77777777" w:rsidR="00A227CE" w:rsidRPr="00C0591E" w:rsidRDefault="00A227CE" w:rsidP="00E40D44">
            <w:pPr>
              <w:spacing w:before="0" w:line="240" w:lineRule="auto"/>
              <w:jc w:val="center"/>
            </w:pPr>
            <w:r w:rsidRPr="00C0591E">
              <w:t>0.881</w:t>
            </w:r>
          </w:p>
        </w:tc>
      </w:tr>
      <w:tr w:rsidR="00A227CE" w:rsidRPr="00C0591E" w14:paraId="46E1DC37" w14:textId="77777777" w:rsidTr="00E40D44">
        <w:trPr>
          <w:trHeight w:val="288"/>
        </w:trPr>
        <w:tc>
          <w:tcPr>
            <w:tcW w:w="288" w:type="pct"/>
            <w:tcBorders>
              <w:top w:val="nil"/>
              <w:left w:val="nil"/>
              <w:bottom w:val="nil"/>
              <w:right w:val="nil"/>
            </w:tcBorders>
            <w:shd w:val="clear" w:color="auto" w:fill="auto"/>
            <w:noWrap/>
            <w:vAlign w:val="bottom"/>
            <w:hideMark/>
          </w:tcPr>
          <w:p w14:paraId="52885B09" w14:textId="77777777" w:rsidR="00A227CE" w:rsidRPr="00C0591E" w:rsidRDefault="00A227CE" w:rsidP="00E40D44">
            <w:pPr>
              <w:spacing w:before="0" w:line="240" w:lineRule="auto"/>
            </w:pPr>
            <w:r w:rsidRPr="00C0591E">
              <w:t>8</w:t>
            </w:r>
          </w:p>
        </w:tc>
        <w:tc>
          <w:tcPr>
            <w:tcW w:w="3745" w:type="pct"/>
            <w:tcBorders>
              <w:top w:val="nil"/>
              <w:left w:val="nil"/>
              <w:bottom w:val="nil"/>
              <w:right w:val="nil"/>
            </w:tcBorders>
            <w:shd w:val="clear" w:color="auto" w:fill="auto"/>
            <w:vAlign w:val="bottom"/>
            <w:hideMark/>
          </w:tcPr>
          <w:p w14:paraId="54193E70" w14:textId="77777777" w:rsidR="00A227CE" w:rsidRPr="00C0591E" w:rsidRDefault="00A227CE" w:rsidP="00E40D44">
            <w:pPr>
              <w:spacing w:before="0" w:line="240" w:lineRule="auto"/>
              <w:jc w:val="left"/>
            </w:pPr>
            <w:r w:rsidRPr="00C0591E">
              <w:t>Trustees give total investment discretion to the fund managers</w:t>
            </w:r>
          </w:p>
        </w:tc>
        <w:tc>
          <w:tcPr>
            <w:tcW w:w="967" w:type="pct"/>
            <w:tcBorders>
              <w:top w:val="nil"/>
              <w:left w:val="nil"/>
              <w:bottom w:val="nil"/>
              <w:right w:val="nil"/>
            </w:tcBorders>
            <w:shd w:val="clear" w:color="auto" w:fill="auto"/>
            <w:noWrap/>
            <w:vAlign w:val="bottom"/>
            <w:hideMark/>
          </w:tcPr>
          <w:p w14:paraId="677D242E" w14:textId="77777777" w:rsidR="00A227CE" w:rsidRPr="00C0591E" w:rsidRDefault="00A227CE" w:rsidP="00E40D44">
            <w:pPr>
              <w:spacing w:before="0" w:line="240" w:lineRule="auto"/>
              <w:jc w:val="center"/>
            </w:pPr>
            <w:r w:rsidRPr="00C0591E">
              <w:t>0.601</w:t>
            </w:r>
          </w:p>
        </w:tc>
      </w:tr>
      <w:tr w:rsidR="00A227CE" w:rsidRPr="00C0591E" w14:paraId="0194756A" w14:textId="77777777" w:rsidTr="00E40D44">
        <w:trPr>
          <w:trHeight w:val="288"/>
        </w:trPr>
        <w:tc>
          <w:tcPr>
            <w:tcW w:w="288" w:type="pct"/>
            <w:tcBorders>
              <w:top w:val="nil"/>
              <w:left w:val="nil"/>
              <w:bottom w:val="nil"/>
              <w:right w:val="nil"/>
            </w:tcBorders>
            <w:shd w:val="clear" w:color="auto" w:fill="auto"/>
            <w:noWrap/>
            <w:vAlign w:val="bottom"/>
            <w:hideMark/>
          </w:tcPr>
          <w:p w14:paraId="61CA0C36" w14:textId="77777777" w:rsidR="00A227CE" w:rsidRPr="00C0591E" w:rsidRDefault="00A227CE" w:rsidP="00E40D44">
            <w:pPr>
              <w:spacing w:before="0" w:line="240" w:lineRule="auto"/>
            </w:pPr>
            <w:r w:rsidRPr="00C0591E">
              <w:t>9</w:t>
            </w:r>
          </w:p>
        </w:tc>
        <w:tc>
          <w:tcPr>
            <w:tcW w:w="3745" w:type="pct"/>
            <w:tcBorders>
              <w:top w:val="nil"/>
              <w:left w:val="nil"/>
              <w:bottom w:val="nil"/>
              <w:right w:val="nil"/>
            </w:tcBorders>
            <w:shd w:val="clear" w:color="auto" w:fill="auto"/>
            <w:vAlign w:val="bottom"/>
            <w:hideMark/>
          </w:tcPr>
          <w:p w14:paraId="1F43527B" w14:textId="77777777" w:rsidR="00A227CE" w:rsidRPr="00C0591E" w:rsidRDefault="00A227CE" w:rsidP="00E40D44">
            <w:pPr>
              <w:spacing w:before="0" w:line="240" w:lineRule="auto"/>
              <w:jc w:val="left"/>
            </w:pPr>
            <w:r w:rsidRPr="00C0591E">
              <w:t>We have an investment risk management policy for our pension plan</w:t>
            </w:r>
          </w:p>
        </w:tc>
        <w:tc>
          <w:tcPr>
            <w:tcW w:w="967" w:type="pct"/>
            <w:tcBorders>
              <w:top w:val="nil"/>
              <w:left w:val="nil"/>
              <w:bottom w:val="nil"/>
              <w:right w:val="nil"/>
            </w:tcBorders>
            <w:shd w:val="clear" w:color="auto" w:fill="auto"/>
            <w:noWrap/>
            <w:vAlign w:val="bottom"/>
            <w:hideMark/>
          </w:tcPr>
          <w:p w14:paraId="74BFEA82" w14:textId="77777777" w:rsidR="00A227CE" w:rsidRPr="00C0591E" w:rsidRDefault="00A227CE" w:rsidP="00E40D44">
            <w:pPr>
              <w:spacing w:before="0" w:line="240" w:lineRule="auto"/>
              <w:jc w:val="center"/>
            </w:pPr>
            <w:r w:rsidRPr="00C0591E">
              <w:t>0.762</w:t>
            </w:r>
          </w:p>
        </w:tc>
      </w:tr>
      <w:tr w:rsidR="00A227CE" w:rsidRPr="00C0591E" w14:paraId="1A43BF3C" w14:textId="77777777" w:rsidTr="00E40D44">
        <w:trPr>
          <w:trHeight w:val="576"/>
        </w:trPr>
        <w:tc>
          <w:tcPr>
            <w:tcW w:w="288" w:type="pct"/>
            <w:tcBorders>
              <w:top w:val="nil"/>
              <w:left w:val="nil"/>
              <w:bottom w:val="nil"/>
              <w:right w:val="nil"/>
            </w:tcBorders>
            <w:shd w:val="clear" w:color="auto" w:fill="auto"/>
            <w:noWrap/>
            <w:vAlign w:val="bottom"/>
            <w:hideMark/>
          </w:tcPr>
          <w:p w14:paraId="37692479" w14:textId="77777777" w:rsidR="00A227CE" w:rsidRPr="00C0591E" w:rsidRDefault="00A227CE" w:rsidP="00E40D44">
            <w:pPr>
              <w:spacing w:before="0" w:line="240" w:lineRule="auto"/>
            </w:pPr>
            <w:r w:rsidRPr="00C0591E">
              <w:t>10</w:t>
            </w:r>
          </w:p>
        </w:tc>
        <w:tc>
          <w:tcPr>
            <w:tcW w:w="3745" w:type="pct"/>
            <w:tcBorders>
              <w:top w:val="nil"/>
              <w:left w:val="nil"/>
              <w:bottom w:val="nil"/>
              <w:right w:val="nil"/>
            </w:tcBorders>
            <w:shd w:val="clear" w:color="auto" w:fill="auto"/>
            <w:vAlign w:val="bottom"/>
            <w:hideMark/>
          </w:tcPr>
          <w:p w14:paraId="57A8FBF1" w14:textId="77777777" w:rsidR="00A227CE" w:rsidRPr="00C0591E" w:rsidRDefault="00A227CE" w:rsidP="00E40D44">
            <w:pPr>
              <w:spacing w:before="0" w:line="240" w:lineRule="auto"/>
              <w:jc w:val="left"/>
            </w:pPr>
            <w:r w:rsidRPr="00C0591E">
              <w:t>Our investment strategies are based on findings of market research conducted by fund managers</w:t>
            </w:r>
          </w:p>
        </w:tc>
        <w:tc>
          <w:tcPr>
            <w:tcW w:w="967" w:type="pct"/>
            <w:tcBorders>
              <w:top w:val="nil"/>
              <w:left w:val="nil"/>
              <w:bottom w:val="nil"/>
              <w:right w:val="nil"/>
            </w:tcBorders>
            <w:shd w:val="clear" w:color="auto" w:fill="auto"/>
            <w:noWrap/>
            <w:vAlign w:val="bottom"/>
            <w:hideMark/>
          </w:tcPr>
          <w:p w14:paraId="08D62485" w14:textId="77777777" w:rsidR="00A227CE" w:rsidRPr="00C0591E" w:rsidRDefault="00A227CE" w:rsidP="00E40D44">
            <w:pPr>
              <w:spacing w:before="0" w:line="240" w:lineRule="auto"/>
              <w:jc w:val="center"/>
            </w:pPr>
            <w:r w:rsidRPr="00C0591E">
              <w:t>0.931</w:t>
            </w:r>
          </w:p>
        </w:tc>
      </w:tr>
      <w:tr w:rsidR="00A227CE" w:rsidRPr="00C0591E" w14:paraId="39CA66EC" w14:textId="77777777" w:rsidTr="00E40D44">
        <w:trPr>
          <w:trHeight w:val="576"/>
        </w:trPr>
        <w:tc>
          <w:tcPr>
            <w:tcW w:w="288" w:type="pct"/>
            <w:tcBorders>
              <w:top w:val="nil"/>
              <w:left w:val="nil"/>
              <w:bottom w:val="nil"/>
              <w:right w:val="nil"/>
            </w:tcBorders>
            <w:shd w:val="clear" w:color="auto" w:fill="auto"/>
            <w:noWrap/>
            <w:vAlign w:val="bottom"/>
            <w:hideMark/>
          </w:tcPr>
          <w:p w14:paraId="340C2E20" w14:textId="77777777" w:rsidR="00A227CE" w:rsidRPr="00C0591E" w:rsidRDefault="00A227CE" w:rsidP="00E40D44">
            <w:pPr>
              <w:spacing w:before="0" w:line="240" w:lineRule="auto"/>
            </w:pPr>
            <w:r w:rsidRPr="00C0591E">
              <w:t>11</w:t>
            </w:r>
          </w:p>
        </w:tc>
        <w:tc>
          <w:tcPr>
            <w:tcW w:w="3745" w:type="pct"/>
            <w:tcBorders>
              <w:top w:val="nil"/>
              <w:left w:val="nil"/>
              <w:bottom w:val="nil"/>
              <w:right w:val="nil"/>
            </w:tcBorders>
            <w:shd w:val="clear" w:color="auto" w:fill="auto"/>
            <w:vAlign w:val="bottom"/>
            <w:hideMark/>
          </w:tcPr>
          <w:p w14:paraId="5252467C" w14:textId="77777777" w:rsidR="00A227CE" w:rsidRPr="00C0591E" w:rsidRDefault="00A227CE" w:rsidP="00E40D44">
            <w:pPr>
              <w:spacing w:before="0" w:line="240" w:lineRule="auto"/>
              <w:jc w:val="left"/>
            </w:pPr>
            <w:r w:rsidRPr="00C0591E">
              <w:t>We set quarterly targets on investment returns and strategize to achieve them</w:t>
            </w:r>
          </w:p>
        </w:tc>
        <w:tc>
          <w:tcPr>
            <w:tcW w:w="967" w:type="pct"/>
            <w:tcBorders>
              <w:top w:val="nil"/>
              <w:left w:val="nil"/>
              <w:bottom w:val="nil"/>
              <w:right w:val="nil"/>
            </w:tcBorders>
            <w:shd w:val="clear" w:color="auto" w:fill="auto"/>
            <w:noWrap/>
            <w:vAlign w:val="bottom"/>
            <w:hideMark/>
          </w:tcPr>
          <w:p w14:paraId="3966DA1D" w14:textId="77777777" w:rsidR="00A227CE" w:rsidRPr="00C0591E" w:rsidRDefault="00A227CE" w:rsidP="00E40D44">
            <w:pPr>
              <w:spacing w:before="0" w:line="240" w:lineRule="auto"/>
              <w:jc w:val="center"/>
            </w:pPr>
            <w:r w:rsidRPr="00C0591E">
              <w:t>0.898</w:t>
            </w:r>
          </w:p>
        </w:tc>
      </w:tr>
      <w:tr w:rsidR="00A227CE" w:rsidRPr="00C0591E" w14:paraId="5A4F7B9E" w14:textId="77777777" w:rsidTr="00E40D44">
        <w:trPr>
          <w:trHeight w:val="576"/>
        </w:trPr>
        <w:tc>
          <w:tcPr>
            <w:tcW w:w="288" w:type="pct"/>
            <w:tcBorders>
              <w:top w:val="nil"/>
              <w:left w:val="nil"/>
              <w:bottom w:val="nil"/>
              <w:right w:val="nil"/>
            </w:tcBorders>
            <w:shd w:val="clear" w:color="auto" w:fill="auto"/>
            <w:noWrap/>
            <w:vAlign w:val="bottom"/>
            <w:hideMark/>
          </w:tcPr>
          <w:p w14:paraId="24DB4427" w14:textId="77777777" w:rsidR="00A227CE" w:rsidRPr="00C0591E" w:rsidRDefault="00A227CE" w:rsidP="00E40D44">
            <w:pPr>
              <w:spacing w:before="0" w:line="240" w:lineRule="auto"/>
            </w:pPr>
            <w:r w:rsidRPr="00C0591E">
              <w:t>12</w:t>
            </w:r>
          </w:p>
        </w:tc>
        <w:tc>
          <w:tcPr>
            <w:tcW w:w="3745" w:type="pct"/>
            <w:tcBorders>
              <w:top w:val="nil"/>
              <w:left w:val="nil"/>
              <w:bottom w:val="nil"/>
              <w:right w:val="nil"/>
            </w:tcBorders>
            <w:shd w:val="clear" w:color="auto" w:fill="auto"/>
            <w:vAlign w:val="bottom"/>
            <w:hideMark/>
          </w:tcPr>
          <w:p w14:paraId="0AD24C89" w14:textId="77777777" w:rsidR="00A227CE" w:rsidRPr="00C0591E" w:rsidRDefault="00A227CE" w:rsidP="00E40D44">
            <w:pPr>
              <w:spacing w:before="0" w:line="240" w:lineRule="auto"/>
              <w:jc w:val="left"/>
            </w:pPr>
            <w:r w:rsidRPr="00C0591E">
              <w:t>Fund manager has increased its reliance on relevant professional advisors in making investment policies.</w:t>
            </w:r>
          </w:p>
        </w:tc>
        <w:tc>
          <w:tcPr>
            <w:tcW w:w="967" w:type="pct"/>
            <w:tcBorders>
              <w:top w:val="nil"/>
              <w:left w:val="nil"/>
              <w:bottom w:val="nil"/>
              <w:right w:val="nil"/>
            </w:tcBorders>
            <w:shd w:val="clear" w:color="auto" w:fill="auto"/>
            <w:noWrap/>
            <w:vAlign w:val="bottom"/>
            <w:hideMark/>
          </w:tcPr>
          <w:p w14:paraId="40CED85F" w14:textId="77777777" w:rsidR="00A227CE" w:rsidRPr="00C0591E" w:rsidRDefault="00A227CE" w:rsidP="00E40D44">
            <w:pPr>
              <w:spacing w:before="0" w:line="240" w:lineRule="auto"/>
              <w:jc w:val="center"/>
            </w:pPr>
            <w:r w:rsidRPr="00C0591E">
              <w:t>0.868</w:t>
            </w:r>
          </w:p>
        </w:tc>
      </w:tr>
      <w:tr w:rsidR="00A227CE" w:rsidRPr="00C0591E" w14:paraId="4CBB69ED" w14:textId="77777777" w:rsidTr="00E40D44">
        <w:trPr>
          <w:trHeight w:val="576"/>
        </w:trPr>
        <w:tc>
          <w:tcPr>
            <w:tcW w:w="288" w:type="pct"/>
            <w:tcBorders>
              <w:top w:val="nil"/>
              <w:left w:val="nil"/>
              <w:bottom w:val="nil"/>
              <w:right w:val="nil"/>
            </w:tcBorders>
            <w:shd w:val="clear" w:color="auto" w:fill="auto"/>
            <w:noWrap/>
            <w:vAlign w:val="bottom"/>
            <w:hideMark/>
          </w:tcPr>
          <w:p w14:paraId="364644B3" w14:textId="77777777" w:rsidR="00A227CE" w:rsidRPr="00C0591E" w:rsidRDefault="00A227CE" w:rsidP="00E40D44">
            <w:pPr>
              <w:spacing w:before="0" w:line="240" w:lineRule="auto"/>
            </w:pPr>
            <w:r w:rsidRPr="00C0591E">
              <w:t>13</w:t>
            </w:r>
          </w:p>
        </w:tc>
        <w:tc>
          <w:tcPr>
            <w:tcW w:w="3745" w:type="pct"/>
            <w:tcBorders>
              <w:top w:val="nil"/>
              <w:left w:val="nil"/>
              <w:bottom w:val="nil"/>
              <w:right w:val="nil"/>
            </w:tcBorders>
            <w:shd w:val="clear" w:color="auto" w:fill="auto"/>
            <w:vAlign w:val="bottom"/>
            <w:hideMark/>
          </w:tcPr>
          <w:p w14:paraId="40C65ADF" w14:textId="77777777" w:rsidR="00A227CE" w:rsidRPr="00C0591E" w:rsidRDefault="00A227CE" w:rsidP="00E40D44">
            <w:pPr>
              <w:spacing w:before="0" w:line="240" w:lineRule="auto"/>
              <w:jc w:val="left"/>
            </w:pPr>
            <w:r w:rsidRPr="00C0591E">
              <w:t>Fund manager’s assets are more diversified in different asset classes as compared to the past</w:t>
            </w:r>
          </w:p>
        </w:tc>
        <w:tc>
          <w:tcPr>
            <w:tcW w:w="967" w:type="pct"/>
            <w:tcBorders>
              <w:top w:val="nil"/>
              <w:left w:val="nil"/>
              <w:bottom w:val="nil"/>
              <w:right w:val="nil"/>
            </w:tcBorders>
            <w:shd w:val="clear" w:color="auto" w:fill="auto"/>
            <w:noWrap/>
            <w:vAlign w:val="bottom"/>
            <w:hideMark/>
          </w:tcPr>
          <w:p w14:paraId="149900AB" w14:textId="77777777" w:rsidR="00A227CE" w:rsidRPr="00C0591E" w:rsidRDefault="00A227CE" w:rsidP="00E40D44">
            <w:pPr>
              <w:spacing w:before="0" w:line="240" w:lineRule="auto"/>
              <w:jc w:val="center"/>
            </w:pPr>
            <w:r w:rsidRPr="00C0591E">
              <w:t>0.922</w:t>
            </w:r>
          </w:p>
        </w:tc>
      </w:tr>
      <w:tr w:rsidR="00A227CE" w:rsidRPr="00C0591E" w14:paraId="72C0D191" w14:textId="77777777" w:rsidTr="00E40D44">
        <w:trPr>
          <w:trHeight w:val="576"/>
        </w:trPr>
        <w:tc>
          <w:tcPr>
            <w:tcW w:w="288" w:type="pct"/>
            <w:tcBorders>
              <w:top w:val="nil"/>
              <w:left w:val="nil"/>
              <w:bottom w:val="nil"/>
              <w:right w:val="nil"/>
            </w:tcBorders>
            <w:shd w:val="clear" w:color="auto" w:fill="auto"/>
            <w:noWrap/>
            <w:vAlign w:val="bottom"/>
            <w:hideMark/>
          </w:tcPr>
          <w:p w14:paraId="4CDB7FB7" w14:textId="77777777" w:rsidR="00A227CE" w:rsidRPr="00C0591E" w:rsidRDefault="00A227CE" w:rsidP="00E40D44">
            <w:pPr>
              <w:spacing w:before="0" w:line="240" w:lineRule="auto"/>
            </w:pPr>
            <w:r w:rsidRPr="00C0591E">
              <w:t>14</w:t>
            </w:r>
          </w:p>
        </w:tc>
        <w:tc>
          <w:tcPr>
            <w:tcW w:w="3745" w:type="pct"/>
            <w:tcBorders>
              <w:top w:val="nil"/>
              <w:left w:val="nil"/>
              <w:bottom w:val="nil"/>
              <w:right w:val="nil"/>
            </w:tcBorders>
            <w:shd w:val="clear" w:color="auto" w:fill="auto"/>
            <w:vAlign w:val="bottom"/>
            <w:hideMark/>
          </w:tcPr>
          <w:p w14:paraId="1BBF686C" w14:textId="77777777" w:rsidR="00A227CE" w:rsidRPr="00C0591E" w:rsidRDefault="00A227CE" w:rsidP="00E40D44">
            <w:pPr>
              <w:spacing w:before="0" w:line="240" w:lineRule="auto"/>
              <w:jc w:val="left"/>
            </w:pPr>
            <w:r w:rsidRPr="00C0591E">
              <w:t>members receive satisfactory responses to queries regarding investment performance of the Scheme</w:t>
            </w:r>
          </w:p>
        </w:tc>
        <w:tc>
          <w:tcPr>
            <w:tcW w:w="967" w:type="pct"/>
            <w:tcBorders>
              <w:top w:val="nil"/>
              <w:left w:val="nil"/>
              <w:bottom w:val="nil"/>
              <w:right w:val="nil"/>
            </w:tcBorders>
            <w:shd w:val="clear" w:color="auto" w:fill="auto"/>
            <w:noWrap/>
            <w:vAlign w:val="bottom"/>
            <w:hideMark/>
          </w:tcPr>
          <w:p w14:paraId="1915C204" w14:textId="77777777" w:rsidR="00A227CE" w:rsidRPr="00C0591E" w:rsidRDefault="00A227CE" w:rsidP="00E40D44">
            <w:pPr>
              <w:spacing w:before="0" w:line="240" w:lineRule="auto"/>
              <w:jc w:val="center"/>
            </w:pPr>
            <w:r w:rsidRPr="00C0591E">
              <w:t>0.970</w:t>
            </w:r>
          </w:p>
        </w:tc>
      </w:tr>
      <w:tr w:rsidR="00A227CE" w:rsidRPr="00C0591E" w14:paraId="31B7EF8D" w14:textId="77777777" w:rsidTr="00E40D44">
        <w:trPr>
          <w:trHeight w:val="288"/>
        </w:trPr>
        <w:tc>
          <w:tcPr>
            <w:tcW w:w="288" w:type="pct"/>
            <w:tcBorders>
              <w:top w:val="nil"/>
              <w:left w:val="nil"/>
              <w:bottom w:val="nil"/>
              <w:right w:val="nil"/>
            </w:tcBorders>
            <w:shd w:val="clear" w:color="auto" w:fill="auto"/>
            <w:noWrap/>
            <w:vAlign w:val="bottom"/>
            <w:hideMark/>
          </w:tcPr>
          <w:p w14:paraId="6A3497C4" w14:textId="77777777" w:rsidR="00A227CE" w:rsidRPr="00C0591E" w:rsidRDefault="00A227CE" w:rsidP="00E40D44">
            <w:pPr>
              <w:spacing w:before="0" w:line="240" w:lineRule="auto"/>
            </w:pPr>
            <w:r w:rsidRPr="00C0591E">
              <w:t>15</w:t>
            </w:r>
          </w:p>
        </w:tc>
        <w:tc>
          <w:tcPr>
            <w:tcW w:w="3745" w:type="pct"/>
            <w:tcBorders>
              <w:top w:val="nil"/>
              <w:left w:val="nil"/>
              <w:bottom w:val="nil"/>
              <w:right w:val="nil"/>
            </w:tcBorders>
            <w:shd w:val="clear" w:color="auto" w:fill="auto"/>
            <w:vAlign w:val="bottom"/>
            <w:hideMark/>
          </w:tcPr>
          <w:p w14:paraId="7EAF3036" w14:textId="77777777" w:rsidR="00A227CE" w:rsidRPr="00C0591E" w:rsidRDefault="00A227CE" w:rsidP="00E40D44">
            <w:pPr>
              <w:spacing w:before="0" w:line="240" w:lineRule="auto"/>
              <w:jc w:val="left"/>
            </w:pPr>
            <w:r w:rsidRPr="00C0591E">
              <w:t>Fund manager has improved on reporting on the status of investments</w:t>
            </w:r>
          </w:p>
        </w:tc>
        <w:tc>
          <w:tcPr>
            <w:tcW w:w="967" w:type="pct"/>
            <w:tcBorders>
              <w:top w:val="nil"/>
              <w:left w:val="nil"/>
              <w:bottom w:val="nil"/>
              <w:right w:val="nil"/>
            </w:tcBorders>
            <w:shd w:val="clear" w:color="auto" w:fill="auto"/>
            <w:noWrap/>
            <w:vAlign w:val="bottom"/>
            <w:hideMark/>
          </w:tcPr>
          <w:p w14:paraId="21D98B0B" w14:textId="77777777" w:rsidR="00A227CE" w:rsidRPr="00C0591E" w:rsidRDefault="00A227CE" w:rsidP="00E40D44">
            <w:pPr>
              <w:spacing w:before="0" w:line="240" w:lineRule="auto"/>
              <w:jc w:val="center"/>
            </w:pPr>
            <w:r w:rsidRPr="00C0591E">
              <w:t>0.966</w:t>
            </w:r>
          </w:p>
        </w:tc>
      </w:tr>
      <w:tr w:rsidR="00A227CE" w:rsidRPr="00C0591E" w14:paraId="4CAAB601" w14:textId="77777777" w:rsidTr="00E40D44">
        <w:trPr>
          <w:trHeight w:val="288"/>
        </w:trPr>
        <w:tc>
          <w:tcPr>
            <w:tcW w:w="288" w:type="pct"/>
            <w:tcBorders>
              <w:top w:val="nil"/>
              <w:left w:val="nil"/>
              <w:bottom w:val="nil"/>
              <w:right w:val="nil"/>
            </w:tcBorders>
            <w:shd w:val="clear" w:color="auto" w:fill="auto"/>
            <w:noWrap/>
            <w:vAlign w:val="bottom"/>
            <w:hideMark/>
          </w:tcPr>
          <w:p w14:paraId="786DC3CB" w14:textId="77777777" w:rsidR="00A227CE" w:rsidRPr="00C0591E" w:rsidRDefault="00A227CE" w:rsidP="00E40D44">
            <w:pPr>
              <w:spacing w:before="0" w:line="240" w:lineRule="auto"/>
            </w:pPr>
            <w:r w:rsidRPr="00C0591E">
              <w:t>16</w:t>
            </w:r>
          </w:p>
        </w:tc>
        <w:tc>
          <w:tcPr>
            <w:tcW w:w="3745" w:type="pct"/>
            <w:tcBorders>
              <w:top w:val="nil"/>
              <w:left w:val="nil"/>
              <w:bottom w:val="nil"/>
              <w:right w:val="nil"/>
            </w:tcBorders>
            <w:shd w:val="clear" w:color="auto" w:fill="auto"/>
            <w:vAlign w:val="bottom"/>
            <w:hideMark/>
          </w:tcPr>
          <w:p w14:paraId="25FD3F34" w14:textId="77777777" w:rsidR="00A227CE" w:rsidRPr="00C0591E" w:rsidRDefault="00A227CE" w:rsidP="00E40D44">
            <w:pPr>
              <w:spacing w:before="0" w:line="240" w:lineRule="auto"/>
              <w:jc w:val="left"/>
            </w:pPr>
            <w:r w:rsidRPr="00C0591E">
              <w:t>Pension benefits paid by the fund have improved over the years</w:t>
            </w:r>
          </w:p>
        </w:tc>
        <w:tc>
          <w:tcPr>
            <w:tcW w:w="967" w:type="pct"/>
            <w:tcBorders>
              <w:top w:val="nil"/>
              <w:left w:val="nil"/>
              <w:bottom w:val="nil"/>
              <w:right w:val="nil"/>
            </w:tcBorders>
            <w:shd w:val="clear" w:color="auto" w:fill="auto"/>
            <w:noWrap/>
            <w:vAlign w:val="bottom"/>
            <w:hideMark/>
          </w:tcPr>
          <w:p w14:paraId="7F6E7C7D" w14:textId="77777777" w:rsidR="00A227CE" w:rsidRPr="00C0591E" w:rsidRDefault="00A227CE" w:rsidP="00E40D44">
            <w:pPr>
              <w:spacing w:before="0" w:line="240" w:lineRule="auto"/>
              <w:jc w:val="center"/>
            </w:pPr>
            <w:r w:rsidRPr="00C0591E">
              <w:t>0.880</w:t>
            </w:r>
          </w:p>
        </w:tc>
      </w:tr>
      <w:tr w:rsidR="00A227CE" w:rsidRPr="00C0591E" w14:paraId="528BBD29" w14:textId="77777777" w:rsidTr="00E40D44">
        <w:trPr>
          <w:trHeight w:val="576"/>
        </w:trPr>
        <w:tc>
          <w:tcPr>
            <w:tcW w:w="288" w:type="pct"/>
            <w:tcBorders>
              <w:top w:val="nil"/>
              <w:left w:val="nil"/>
              <w:bottom w:val="nil"/>
              <w:right w:val="nil"/>
            </w:tcBorders>
            <w:shd w:val="clear" w:color="auto" w:fill="auto"/>
            <w:noWrap/>
            <w:vAlign w:val="bottom"/>
            <w:hideMark/>
          </w:tcPr>
          <w:p w14:paraId="4C152219" w14:textId="77777777" w:rsidR="00A227CE" w:rsidRPr="00C0591E" w:rsidRDefault="00A227CE" w:rsidP="00E40D44">
            <w:pPr>
              <w:spacing w:before="0" w:line="240" w:lineRule="auto"/>
            </w:pPr>
            <w:r w:rsidRPr="00C0591E">
              <w:t>17</w:t>
            </w:r>
          </w:p>
        </w:tc>
        <w:tc>
          <w:tcPr>
            <w:tcW w:w="3745" w:type="pct"/>
            <w:tcBorders>
              <w:top w:val="nil"/>
              <w:left w:val="nil"/>
              <w:bottom w:val="nil"/>
              <w:right w:val="nil"/>
            </w:tcBorders>
            <w:shd w:val="clear" w:color="auto" w:fill="auto"/>
            <w:vAlign w:val="bottom"/>
            <w:hideMark/>
          </w:tcPr>
          <w:p w14:paraId="61C9FBD6" w14:textId="77777777" w:rsidR="00A227CE" w:rsidRPr="00C0591E" w:rsidRDefault="00A227CE" w:rsidP="00E40D44">
            <w:pPr>
              <w:spacing w:before="0" w:line="240" w:lineRule="auto"/>
              <w:jc w:val="left"/>
            </w:pPr>
            <w:r w:rsidRPr="00C0591E">
              <w:t>The level of pension benefits paid by the fund are better than those paid by other pension schemes</w:t>
            </w:r>
          </w:p>
        </w:tc>
        <w:tc>
          <w:tcPr>
            <w:tcW w:w="967" w:type="pct"/>
            <w:tcBorders>
              <w:top w:val="nil"/>
              <w:left w:val="nil"/>
              <w:bottom w:val="nil"/>
              <w:right w:val="nil"/>
            </w:tcBorders>
            <w:shd w:val="clear" w:color="auto" w:fill="auto"/>
            <w:noWrap/>
            <w:vAlign w:val="bottom"/>
            <w:hideMark/>
          </w:tcPr>
          <w:p w14:paraId="1CCF2A05" w14:textId="77777777" w:rsidR="00A227CE" w:rsidRPr="00C0591E" w:rsidRDefault="00A227CE" w:rsidP="00E40D44">
            <w:pPr>
              <w:spacing w:before="0" w:line="240" w:lineRule="auto"/>
              <w:jc w:val="center"/>
            </w:pPr>
            <w:r w:rsidRPr="00C0591E">
              <w:t>0.887</w:t>
            </w:r>
          </w:p>
        </w:tc>
      </w:tr>
      <w:tr w:rsidR="00A227CE" w:rsidRPr="00C0591E" w14:paraId="492CD3AC" w14:textId="77777777" w:rsidTr="00E40D44">
        <w:trPr>
          <w:trHeight w:val="576"/>
        </w:trPr>
        <w:tc>
          <w:tcPr>
            <w:tcW w:w="288" w:type="pct"/>
            <w:tcBorders>
              <w:top w:val="nil"/>
              <w:left w:val="nil"/>
              <w:bottom w:val="nil"/>
              <w:right w:val="nil"/>
            </w:tcBorders>
            <w:shd w:val="clear" w:color="auto" w:fill="auto"/>
            <w:noWrap/>
            <w:vAlign w:val="bottom"/>
            <w:hideMark/>
          </w:tcPr>
          <w:p w14:paraId="55E4A256" w14:textId="77777777" w:rsidR="00A227CE" w:rsidRPr="00C0591E" w:rsidRDefault="00A227CE" w:rsidP="00E40D44">
            <w:pPr>
              <w:spacing w:before="0" w:line="240" w:lineRule="auto"/>
            </w:pPr>
            <w:r w:rsidRPr="00C0591E">
              <w:t>18</w:t>
            </w:r>
          </w:p>
        </w:tc>
        <w:tc>
          <w:tcPr>
            <w:tcW w:w="3745" w:type="pct"/>
            <w:tcBorders>
              <w:top w:val="nil"/>
              <w:left w:val="nil"/>
              <w:bottom w:val="nil"/>
              <w:right w:val="nil"/>
            </w:tcBorders>
            <w:shd w:val="clear" w:color="auto" w:fill="auto"/>
            <w:vAlign w:val="bottom"/>
            <w:hideMark/>
          </w:tcPr>
          <w:p w14:paraId="3F34B248" w14:textId="77777777" w:rsidR="00A227CE" w:rsidRPr="00C0591E" w:rsidRDefault="00A227CE" w:rsidP="00E40D44">
            <w:pPr>
              <w:spacing w:before="0" w:line="240" w:lineRule="auto"/>
              <w:jc w:val="left"/>
            </w:pPr>
            <w:r w:rsidRPr="00C0591E">
              <w:t>The investment returns reported by the fund have improved over the years</w:t>
            </w:r>
          </w:p>
        </w:tc>
        <w:tc>
          <w:tcPr>
            <w:tcW w:w="967" w:type="pct"/>
            <w:tcBorders>
              <w:top w:val="nil"/>
              <w:left w:val="nil"/>
              <w:bottom w:val="nil"/>
              <w:right w:val="nil"/>
            </w:tcBorders>
            <w:shd w:val="clear" w:color="auto" w:fill="auto"/>
            <w:noWrap/>
            <w:vAlign w:val="bottom"/>
            <w:hideMark/>
          </w:tcPr>
          <w:p w14:paraId="63A8435B" w14:textId="77777777" w:rsidR="00A227CE" w:rsidRPr="00C0591E" w:rsidRDefault="00A227CE" w:rsidP="00E40D44">
            <w:pPr>
              <w:spacing w:before="0" w:line="240" w:lineRule="auto"/>
              <w:jc w:val="center"/>
            </w:pPr>
            <w:r w:rsidRPr="00C0591E">
              <w:t>0.919</w:t>
            </w:r>
          </w:p>
        </w:tc>
      </w:tr>
      <w:tr w:rsidR="00A227CE" w:rsidRPr="00C0591E" w14:paraId="530C515D" w14:textId="77777777" w:rsidTr="00E40D44">
        <w:trPr>
          <w:trHeight w:val="576"/>
        </w:trPr>
        <w:tc>
          <w:tcPr>
            <w:tcW w:w="288" w:type="pct"/>
            <w:tcBorders>
              <w:top w:val="nil"/>
              <w:left w:val="nil"/>
              <w:bottom w:val="nil"/>
              <w:right w:val="nil"/>
            </w:tcBorders>
            <w:shd w:val="clear" w:color="auto" w:fill="auto"/>
            <w:noWrap/>
            <w:vAlign w:val="bottom"/>
            <w:hideMark/>
          </w:tcPr>
          <w:p w14:paraId="57C1509D" w14:textId="77777777" w:rsidR="00A227CE" w:rsidRPr="00C0591E" w:rsidRDefault="00A227CE" w:rsidP="00E40D44">
            <w:pPr>
              <w:spacing w:before="0" w:line="240" w:lineRule="auto"/>
            </w:pPr>
            <w:r w:rsidRPr="00C0591E">
              <w:t>19</w:t>
            </w:r>
          </w:p>
        </w:tc>
        <w:tc>
          <w:tcPr>
            <w:tcW w:w="3745" w:type="pct"/>
            <w:tcBorders>
              <w:top w:val="nil"/>
              <w:left w:val="nil"/>
              <w:bottom w:val="nil"/>
              <w:right w:val="nil"/>
            </w:tcBorders>
            <w:shd w:val="clear" w:color="auto" w:fill="auto"/>
            <w:vAlign w:val="bottom"/>
            <w:hideMark/>
          </w:tcPr>
          <w:p w14:paraId="2E3E7CCA" w14:textId="24176660" w:rsidR="00A227CE" w:rsidRPr="00C0591E" w:rsidRDefault="00A227CE" w:rsidP="00E40D44">
            <w:pPr>
              <w:spacing w:before="0" w:line="240" w:lineRule="auto"/>
              <w:jc w:val="left"/>
            </w:pPr>
            <w:r w:rsidRPr="00C0591E">
              <w:t xml:space="preserve">The fund’s AGM’s are </w:t>
            </w:r>
            <w:r w:rsidR="00C1099B" w:rsidRPr="00C0591E">
              <w:t>characterized</w:t>
            </w:r>
            <w:r w:rsidRPr="00C0591E">
              <w:t xml:space="preserve"> with positive feedback from members regarding investment returns</w:t>
            </w:r>
          </w:p>
        </w:tc>
        <w:tc>
          <w:tcPr>
            <w:tcW w:w="967" w:type="pct"/>
            <w:tcBorders>
              <w:top w:val="nil"/>
              <w:left w:val="nil"/>
              <w:bottom w:val="nil"/>
              <w:right w:val="nil"/>
            </w:tcBorders>
            <w:shd w:val="clear" w:color="auto" w:fill="auto"/>
            <w:noWrap/>
            <w:vAlign w:val="bottom"/>
            <w:hideMark/>
          </w:tcPr>
          <w:p w14:paraId="2E461E7C" w14:textId="77777777" w:rsidR="00A227CE" w:rsidRPr="00C0591E" w:rsidRDefault="00A227CE" w:rsidP="00E40D44">
            <w:pPr>
              <w:spacing w:before="0" w:line="240" w:lineRule="auto"/>
              <w:jc w:val="center"/>
            </w:pPr>
            <w:r w:rsidRPr="00C0591E">
              <w:t>0.813</w:t>
            </w:r>
          </w:p>
        </w:tc>
      </w:tr>
      <w:tr w:rsidR="00A227CE" w:rsidRPr="00C0591E" w14:paraId="01E566AF" w14:textId="77777777" w:rsidTr="00E40D44">
        <w:trPr>
          <w:trHeight w:val="288"/>
        </w:trPr>
        <w:tc>
          <w:tcPr>
            <w:tcW w:w="288" w:type="pct"/>
            <w:tcBorders>
              <w:top w:val="nil"/>
              <w:left w:val="nil"/>
              <w:bottom w:val="nil"/>
              <w:right w:val="nil"/>
            </w:tcBorders>
            <w:shd w:val="clear" w:color="auto" w:fill="auto"/>
            <w:noWrap/>
            <w:vAlign w:val="bottom"/>
            <w:hideMark/>
          </w:tcPr>
          <w:p w14:paraId="1A9A4038" w14:textId="77777777" w:rsidR="00A227CE" w:rsidRPr="00C0591E" w:rsidRDefault="00A227CE" w:rsidP="00E40D44">
            <w:pPr>
              <w:spacing w:before="0" w:line="240" w:lineRule="auto"/>
            </w:pPr>
            <w:r w:rsidRPr="00C0591E">
              <w:t>20</w:t>
            </w:r>
          </w:p>
        </w:tc>
        <w:tc>
          <w:tcPr>
            <w:tcW w:w="3745" w:type="pct"/>
            <w:tcBorders>
              <w:top w:val="nil"/>
              <w:left w:val="nil"/>
              <w:bottom w:val="nil"/>
              <w:right w:val="nil"/>
            </w:tcBorders>
            <w:shd w:val="clear" w:color="auto" w:fill="auto"/>
            <w:vAlign w:val="bottom"/>
            <w:hideMark/>
          </w:tcPr>
          <w:p w14:paraId="2A9E593F" w14:textId="77777777" w:rsidR="00A227CE" w:rsidRPr="00C0591E" w:rsidRDefault="00A227CE" w:rsidP="00E40D44">
            <w:pPr>
              <w:spacing w:before="0" w:line="240" w:lineRule="auto"/>
              <w:jc w:val="left"/>
            </w:pPr>
            <w:r w:rsidRPr="00C0591E">
              <w:t>Rules and procedures for transactions are in place</w:t>
            </w:r>
          </w:p>
        </w:tc>
        <w:tc>
          <w:tcPr>
            <w:tcW w:w="967" w:type="pct"/>
            <w:tcBorders>
              <w:top w:val="nil"/>
              <w:left w:val="nil"/>
              <w:bottom w:val="nil"/>
              <w:right w:val="nil"/>
            </w:tcBorders>
            <w:shd w:val="clear" w:color="auto" w:fill="auto"/>
            <w:noWrap/>
            <w:vAlign w:val="bottom"/>
            <w:hideMark/>
          </w:tcPr>
          <w:p w14:paraId="17D28282" w14:textId="77777777" w:rsidR="00A227CE" w:rsidRPr="00C0591E" w:rsidRDefault="00A227CE" w:rsidP="00E40D44">
            <w:pPr>
              <w:spacing w:before="0" w:line="240" w:lineRule="auto"/>
              <w:jc w:val="center"/>
            </w:pPr>
            <w:r w:rsidRPr="00C0591E">
              <w:t>0.630</w:t>
            </w:r>
          </w:p>
        </w:tc>
      </w:tr>
      <w:tr w:rsidR="00A227CE" w:rsidRPr="00C0591E" w14:paraId="1ABAF6FD" w14:textId="77777777" w:rsidTr="00E40D44">
        <w:trPr>
          <w:trHeight w:val="288"/>
        </w:trPr>
        <w:tc>
          <w:tcPr>
            <w:tcW w:w="288" w:type="pct"/>
            <w:tcBorders>
              <w:top w:val="nil"/>
              <w:left w:val="nil"/>
              <w:bottom w:val="nil"/>
              <w:right w:val="nil"/>
            </w:tcBorders>
            <w:shd w:val="clear" w:color="auto" w:fill="auto"/>
            <w:noWrap/>
            <w:vAlign w:val="bottom"/>
            <w:hideMark/>
          </w:tcPr>
          <w:p w14:paraId="58A0F68E" w14:textId="77777777" w:rsidR="00A227CE" w:rsidRPr="00C0591E" w:rsidRDefault="00A227CE" w:rsidP="00E40D44">
            <w:pPr>
              <w:spacing w:before="0" w:line="240" w:lineRule="auto"/>
            </w:pPr>
            <w:r w:rsidRPr="00C0591E">
              <w:t>21</w:t>
            </w:r>
          </w:p>
        </w:tc>
        <w:tc>
          <w:tcPr>
            <w:tcW w:w="3745" w:type="pct"/>
            <w:tcBorders>
              <w:top w:val="nil"/>
              <w:left w:val="nil"/>
              <w:bottom w:val="nil"/>
              <w:right w:val="nil"/>
            </w:tcBorders>
            <w:shd w:val="clear" w:color="auto" w:fill="auto"/>
            <w:vAlign w:val="bottom"/>
            <w:hideMark/>
          </w:tcPr>
          <w:p w14:paraId="321F7B28" w14:textId="77777777" w:rsidR="00A227CE" w:rsidRPr="00C0591E" w:rsidRDefault="00A227CE" w:rsidP="00E40D44">
            <w:pPr>
              <w:spacing w:before="0" w:line="240" w:lineRule="auto"/>
              <w:jc w:val="left"/>
            </w:pPr>
            <w:r w:rsidRPr="00C0591E">
              <w:t>Commercial laws, rules and regulations are in place</w:t>
            </w:r>
          </w:p>
        </w:tc>
        <w:tc>
          <w:tcPr>
            <w:tcW w:w="967" w:type="pct"/>
            <w:tcBorders>
              <w:top w:val="nil"/>
              <w:left w:val="nil"/>
              <w:bottom w:val="nil"/>
              <w:right w:val="nil"/>
            </w:tcBorders>
            <w:shd w:val="clear" w:color="auto" w:fill="auto"/>
            <w:noWrap/>
            <w:vAlign w:val="bottom"/>
            <w:hideMark/>
          </w:tcPr>
          <w:p w14:paraId="7CC488A4" w14:textId="77777777" w:rsidR="00A227CE" w:rsidRPr="00C0591E" w:rsidRDefault="00A227CE" w:rsidP="00E40D44">
            <w:pPr>
              <w:spacing w:before="0" w:line="240" w:lineRule="auto"/>
              <w:jc w:val="center"/>
            </w:pPr>
            <w:r w:rsidRPr="00C0591E">
              <w:t>0.922</w:t>
            </w:r>
          </w:p>
        </w:tc>
      </w:tr>
      <w:tr w:rsidR="00A227CE" w:rsidRPr="00C0591E" w14:paraId="265FCD91" w14:textId="77777777" w:rsidTr="00E40D44">
        <w:trPr>
          <w:trHeight w:val="288"/>
        </w:trPr>
        <w:tc>
          <w:tcPr>
            <w:tcW w:w="288" w:type="pct"/>
            <w:tcBorders>
              <w:top w:val="nil"/>
              <w:left w:val="nil"/>
              <w:bottom w:val="nil"/>
              <w:right w:val="nil"/>
            </w:tcBorders>
            <w:shd w:val="clear" w:color="auto" w:fill="auto"/>
            <w:noWrap/>
            <w:vAlign w:val="bottom"/>
            <w:hideMark/>
          </w:tcPr>
          <w:p w14:paraId="11A201AF" w14:textId="77777777" w:rsidR="00A227CE" w:rsidRPr="00C0591E" w:rsidRDefault="00A227CE" w:rsidP="00E40D44">
            <w:pPr>
              <w:spacing w:before="0" w:line="240" w:lineRule="auto"/>
            </w:pPr>
            <w:r w:rsidRPr="00C0591E">
              <w:t>22</w:t>
            </w:r>
          </w:p>
        </w:tc>
        <w:tc>
          <w:tcPr>
            <w:tcW w:w="3745" w:type="pct"/>
            <w:tcBorders>
              <w:top w:val="nil"/>
              <w:left w:val="nil"/>
              <w:bottom w:val="nil"/>
              <w:right w:val="nil"/>
            </w:tcBorders>
            <w:shd w:val="clear" w:color="auto" w:fill="auto"/>
            <w:vAlign w:val="bottom"/>
            <w:hideMark/>
          </w:tcPr>
          <w:p w14:paraId="0F274BC7" w14:textId="77777777" w:rsidR="00A227CE" w:rsidRPr="00C0591E" w:rsidRDefault="00A227CE" w:rsidP="00E40D44">
            <w:pPr>
              <w:spacing w:before="0" w:line="240" w:lineRule="auto"/>
              <w:jc w:val="left"/>
            </w:pPr>
            <w:r w:rsidRPr="00C0591E">
              <w:t>Laws and rules for appointing and removing auditors are in place</w:t>
            </w:r>
          </w:p>
        </w:tc>
        <w:tc>
          <w:tcPr>
            <w:tcW w:w="967" w:type="pct"/>
            <w:tcBorders>
              <w:top w:val="nil"/>
              <w:left w:val="nil"/>
              <w:bottom w:val="nil"/>
              <w:right w:val="nil"/>
            </w:tcBorders>
            <w:shd w:val="clear" w:color="auto" w:fill="auto"/>
            <w:noWrap/>
            <w:vAlign w:val="bottom"/>
            <w:hideMark/>
          </w:tcPr>
          <w:p w14:paraId="7192C36B" w14:textId="77777777" w:rsidR="00A227CE" w:rsidRPr="00C0591E" w:rsidRDefault="00A227CE" w:rsidP="00E40D44">
            <w:pPr>
              <w:spacing w:before="0" w:line="240" w:lineRule="auto"/>
              <w:jc w:val="center"/>
            </w:pPr>
            <w:r w:rsidRPr="00C0591E">
              <w:t>0.970</w:t>
            </w:r>
          </w:p>
        </w:tc>
      </w:tr>
      <w:tr w:rsidR="00A227CE" w:rsidRPr="00C0591E" w14:paraId="76721711" w14:textId="77777777" w:rsidTr="00E40D44">
        <w:trPr>
          <w:trHeight w:val="576"/>
        </w:trPr>
        <w:tc>
          <w:tcPr>
            <w:tcW w:w="288" w:type="pct"/>
            <w:tcBorders>
              <w:top w:val="nil"/>
              <w:left w:val="nil"/>
              <w:bottom w:val="nil"/>
              <w:right w:val="nil"/>
            </w:tcBorders>
            <w:shd w:val="clear" w:color="auto" w:fill="auto"/>
            <w:noWrap/>
            <w:vAlign w:val="bottom"/>
            <w:hideMark/>
          </w:tcPr>
          <w:p w14:paraId="445E0A85" w14:textId="77777777" w:rsidR="00A227CE" w:rsidRPr="00C0591E" w:rsidRDefault="00A227CE" w:rsidP="00E40D44">
            <w:pPr>
              <w:spacing w:before="0" w:line="240" w:lineRule="auto"/>
            </w:pPr>
            <w:r w:rsidRPr="00C0591E">
              <w:t>23</w:t>
            </w:r>
          </w:p>
        </w:tc>
        <w:tc>
          <w:tcPr>
            <w:tcW w:w="3745" w:type="pct"/>
            <w:tcBorders>
              <w:top w:val="nil"/>
              <w:left w:val="nil"/>
              <w:bottom w:val="nil"/>
              <w:right w:val="nil"/>
            </w:tcBorders>
            <w:shd w:val="clear" w:color="auto" w:fill="auto"/>
            <w:vAlign w:val="bottom"/>
            <w:hideMark/>
          </w:tcPr>
          <w:p w14:paraId="66C657CC" w14:textId="77777777" w:rsidR="00A227CE" w:rsidRPr="00C0591E" w:rsidRDefault="00A227CE" w:rsidP="00E40D44">
            <w:pPr>
              <w:spacing w:before="0" w:line="240" w:lineRule="auto"/>
              <w:jc w:val="left"/>
            </w:pPr>
            <w:r w:rsidRPr="00C0591E">
              <w:t>Government agencies responsible for enforcement of corporate laws are in place</w:t>
            </w:r>
          </w:p>
        </w:tc>
        <w:tc>
          <w:tcPr>
            <w:tcW w:w="967" w:type="pct"/>
            <w:tcBorders>
              <w:top w:val="nil"/>
              <w:left w:val="nil"/>
              <w:bottom w:val="nil"/>
              <w:right w:val="nil"/>
            </w:tcBorders>
            <w:shd w:val="clear" w:color="auto" w:fill="auto"/>
            <w:noWrap/>
            <w:vAlign w:val="bottom"/>
            <w:hideMark/>
          </w:tcPr>
          <w:p w14:paraId="622311E3" w14:textId="77777777" w:rsidR="00A227CE" w:rsidRPr="00C0591E" w:rsidRDefault="00A227CE" w:rsidP="00E40D44">
            <w:pPr>
              <w:spacing w:before="0" w:line="240" w:lineRule="auto"/>
              <w:jc w:val="center"/>
            </w:pPr>
            <w:r w:rsidRPr="00C0591E">
              <w:t>0.966</w:t>
            </w:r>
          </w:p>
        </w:tc>
      </w:tr>
      <w:tr w:rsidR="00A227CE" w:rsidRPr="00C0591E" w14:paraId="15A66A34" w14:textId="77777777" w:rsidTr="00E40D44">
        <w:trPr>
          <w:trHeight w:val="288"/>
        </w:trPr>
        <w:tc>
          <w:tcPr>
            <w:tcW w:w="288" w:type="pct"/>
            <w:tcBorders>
              <w:top w:val="nil"/>
              <w:left w:val="nil"/>
              <w:bottom w:val="nil"/>
              <w:right w:val="nil"/>
            </w:tcBorders>
            <w:shd w:val="clear" w:color="auto" w:fill="auto"/>
            <w:noWrap/>
            <w:vAlign w:val="bottom"/>
            <w:hideMark/>
          </w:tcPr>
          <w:p w14:paraId="11EBCCB5" w14:textId="77777777" w:rsidR="00A227CE" w:rsidRPr="00C0591E" w:rsidRDefault="00A227CE" w:rsidP="00E40D44">
            <w:pPr>
              <w:spacing w:before="0" w:line="240" w:lineRule="auto"/>
            </w:pPr>
            <w:r w:rsidRPr="00C0591E">
              <w:t>24</w:t>
            </w:r>
          </w:p>
        </w:tc>
        <w:tc>
          <w:tcPr>
            <w:tcW w:w="3745" w:type="pct"/>
            <w:tcBorders>
              <w:top w:val="nil"/>
              <w:left w:val="nil"/>
              <w:bottom w:val="nil"/>
              <w:right w:val="nil"/>
            </w:tcBorders>
            <w:shd w:val="clear" w:color="auto" w:fill="auto"/>
            <w:vAlign w:val="bottom"/>
            <w:hideMark/>
          </w:tcPr>
          <w:p w14:paraId="1E18F407" w14:textId="77777777" w:rsidR="00A227CE" w:rsidRPr="00C0591E" w:rsidRDefault="00A227CE" w:rsidP="00E40D44">
            <w:pPr>
              <w:spacing w:before="0" w:line="240" w:lineRule="auto"/>
              <w:jc w:val="left"/>
            </w:pPr>
            <w:r w:rsidRPr="00C0591E">
              <w:t>Inspectors investigate non-compliance with statutory requirements</w:t>
            </w:r>
          </w:p>
        </w:tc>
        <w:tc>
          <w:tcPr>
            <w:tcW w:w="967" w:type="pct"/>
            <w:tcBorders>
              <w:top w:val="nil"/>
              <w:left w:val="nil"/>
              <w:bottom w:val="nil"/>
              <w:right w:val="nil"/>
            </w:tcBorders>
            <w:shd w:val="clear" w:color="auto" w:fill="auto"/>
            <w:noWrap/>
            <w:vAlign w:val="bottom"/>
            <w:hideMark/>
          </w:tcPr>
          <w:p w14:paraId="3E5673D4" w14:textId="77777777" w:rsidR="00A227CE" w:rsidRPr="00C0591E" w:rsidRDefault="00A227CE" w:rsidP="00E40D44">
            <w:pPr>
              <w:spacing w:before="0" w:line="240" w:lineRule="auto"/>
              <w:jc w:val="center"/>
            </w:pPr>
            <w:r w:rsidRPr="00C0591E">
              <w:t>0.880</w:t>
            </w:r>
          </w:p>
        </w:tc>
      </w:tr>
      <w:tr w:rsidR="00A227CE" w:rsidRPr="00C0591E" w14:paraId="71795F0A" w14:textId="77777777" w:rsidTr="00E40D44">
        <w:trPr>
          <w:trHeight w:val="288"/>
        </w:trPr>
        <w:tc>
          <w:tcPr>
            <w:tcW w:w="288" w:type="pct"/>
            <w:tcBorders>
              <w:top w:val="nil"/>
              <w:left w:val="nil"/>
              <w:bottom w:val="nil"/>
              <w:right w:val="nil"/>
            </w:tcBorders>
            <w:shd w:val="clear" w:color="auto" w:fill="auto"/>
            <w:noWrap/>
            <w:vAlign w:val="bottom"/>
            <w:hideMark/>
          </w:tcPr>
          <w:p w14:paraId="2C450CBB" w14:textId="77777777" w:rsidR="00A227CE" w:rsidRPr="00C0591E" w:rsidRDefault="00A227CE" w:rsidP="00E40D44">
            <w:pPr>
              <w:spacing w:before="0" w:line="240" w:lineRule="auto"/>
            </w:pPr>
            <w:r w:rsidRPr="00C0591E">
              <w:t>25</w:t>
            </w:r>
          </w:p>
        </w:tc>
        <w:tc>
          <w:tcPr>
            <w:tcW w:w="3745" w:type="pct"/>
            <w:tcBorders>
              <w:top w:val="nil"/>
              <w:left w:val="nil"/>
              <w:bottom w:val="nil"/>
              <w:right w:val="nil"/>
            </w:tcBorders>
            <w:shd w:val="clear" w:color="auto" w:fill="auto"/>
            <w:vAlign w:val="bottom"/>
            <w:hideMark/>
          </w:tcPr>
          <w:p w14:paraId="7006327B" w14:textId="77777777" w:rsidR="00A227CE" w:rsidRPr="00C0591E" w:rsidRDefault="00A227CE" w:rsidP="00E40D44">
            <w:pPr>
              <w:spacing w:before="0" w:line="240" w:lineRule="auto"/>
              <w:jc w:val="left"/>
            </w:pPr>
            <w:r w:rsidRPr="00C0591E">
              <w:t>Inspectors investigate complaints by stakeholders about mismanagement</w:t>
            </w:r>
          </w:p>
        </w:tc>
        <w:tc>
          <w:tcPr>
            <w:tcW w:w="967" w:type="pct"/>
            <w:tcBorders>
              <w:top w:val="nil"/>
              <w:left w:val="nil"/>
              <w:bottom w:val="nil"/>
              <w:right w:val="nil"/>
            </w:tcBorders>
            <w:shd w:val="clear" w:color="auto" w:fill="auto"/>
            <w:noWrap/>
            <w:vAlign w:val="bottom"/>
            <w:hideMark/>
          </w:tcPr>
          <w:p w14:paraId="38CB7CA4" w14:textId="77777777" w:rsidR="00A227CE" w:rsidRPr="00C0591E" w:rsidRDefault="00A227CE" w:rsidP="00E40D44">
            <w:pPr>
              <w:spacing w:before="0" w:line="240" w:lineRule="auto"/>
              <w:jc w:val="center"/>
            </w:pPr>
            <w:r w:rsidRPr="00C0591E">
              <w:t>0.887</w:t>
            </w:r>
          </w:p>
        </w:tc>
      </w:tr>
      <w:tr w:rsidR="00A227CE" w:rsidRPr="00C0591E" w14:paraId="4E9F2DF3" w14:textId="77777777" w:rsidTr="00E40D44">
        <w:trPr>
          <w:trHeight w:val="576"/>
        </w:trPr>
        <w:tc>
          <w:tcPr>
            <w:tcW w:w="288" w:type="pct"/>
            <w:tcBorders>
              <w:top w:val="nil"/>
              <w:left w:val="nil"/>
              <w:bottom w:val="single" w:sz="4" w:space="0" w:color="auto"/>
              <w:right w:val="nil"/>
            </w:tcBorders>
            <w:shd w:val="clear" w:color="auto" w:fill="auto"/>
            <w:noWrap/>
            <w:vAlign w:val="bottom"/>
            <w:hideMark/>
          </w:tcPr>
          <w:p w14:paraId="583FFD11" w14:textId="77777777" w:rsidR="00A227CE" w:rsidRPr="00C0591E" w:rsidRDefault="00A227CE" w:rsidP="00E40D44">
            <w:pPr>
              <w:spacing w:before="0" w:line="240" w:lineRule="auto"/>
            </w:pPr>
            <w:r w:rsidRPr="00C0591E">
              <w:t>26</w:t>
            </w:r>
          </w:p>
        </w:tc>
        <w:tc>
          <w:tcPr>
            <w:tcW w:w="3745" w:type="pct"/>
            <w:tcBorders>
              <w:top w:val="nil"/>
              <w:left w:val="nil"/>
              <w:bottom w:val="single" w:sz="4" w:space="0" w:color="auto"/>
              <w:right w:val="nil"/>
            </w:tcBorders>
            <w:shd w:val="clear" w:color="auto" w:fill="auto"/>
            <w:vAlign w:val="bottom"/>
            <w:hideMark/>
          </w:tcPr>
          <w:p w14:paraId="29DC4786" w14:textId="77777777" w:rsidR="00A227CE" w:rsidRPr="00C0591E" w:rsidRDefault="00A227CE" w:rsidP="00E40D44">
            <w:pPr>
              <w:spacing w:before="0" w:line="240" w:lineRule="auto"/>
              <w:jc w:val="left"/>
            </w:pPr>
            <w:r w:rsidRPr="00C0591E">
              <w:t>Actions are taken against auditors’ failure to report improper financial records</w:t>
            </w:r>
          </w:p>
        </w:tc>
        <w:tc>
          <w:tcPr>
            <w:tcW w:w="967" w:type="pct"/>
            <w:tcBorders>
              <w:top w:val="nil"/>
              <w:left w:val="nil"/>
              <w:bottom w:val="single" w:sz="4" w:space="0" w:color="auto"/>
              <w:right w:val="nil"/>
            </w:tcBorders>
            <w:shd w:val="clear" w:color="auto" w:fill="auto"/>
            <w:noWrap/>
            <w:vAlign w:val="bottom"/>
            <w:hideMark/>
          </w:tcPr>
          <w:p w14:paraId="02B0AB10" w14:textId="77777777" w:rsidR="00A227CE" w:rsidRPr="00C0591E" w:rsidRDefault="00A227CE" w:rsidP="00E40D44">
            <w:pPr>
              <w:spacing w:before="0" w:line="240" w:lineRule="auto"/>
              <w:jc w:val="center"/>
            </w:pPr>
            <w:r w:rsidRPr="00C0591E">
              <w:t>0.919</w:t>
            </w:r>
          </w:p>
        </w:tc>
      </w:tr>
    </w:tbl>
    <w:p w14:paraId="1CA76312" w14:textId="1E280C8D" w:rsidR="00A227CE" w:rsidRPr="00C0591E" w:rsidRDefault="00A227CE" w:rsidP="00A227CE">
      <w:r w:rsidRPr="00C0591E">
        <w:t xml:space="preserve">The outputs in Table </w:t>
      </w:r>
      <w:r w:rsidR="00191F36" w:rsidRPr="00C0591E">
        <w:t>12</w:t>
      </w:r>
      <w:r w:rsidRPr="00C0591E">
        <w:t xml:space="preserve"> show that all the statements on investment policies had factor loading values greater than 0.5 and therefore they were accepted and thus no sub variable was dropped.</w:t>
      </w:r>
    </w:p>
    <w:p w14:paraId="5C90615C" w14:textId="6A5E5A2D" w:rsidR="00A227CE" w:rsidRPr="00C0591E" w:rsidRDefault="00C1099B" w:rsidP="00A227CE">
      <w:pPr>
        <w:pStyle w:val="Heading3"/>
        <w:rPr>
          <w:rFonts w:eastAsia="Times New Roman"/>
        </w:rPr>
      </w:pPr>
      <w:r w:rsidRPr="00C0591E">
        <w:t>4.4.2.3</w:t>
      </w:r>
      <w:r w:rsidR="00A227CE" w:rsidRPr="00C0591E">
        <w:t xml:space="preserve"> Factor Analysis for Regulations</w:t>
      </w:r>
    </w:p>
    <w:p w14:paraId="4AC0B437" w14:textId="60F667F0" w:rsidR="00A227CE" w:rsidRPr="00C0591E" w:rsidRDefault="00A227CE" w:rsidP="00A227CE">
      <w:r w:rsidRPr="00C0591E">
        <w:rPr>
          <w:lang w:val="en-GB"/>
        </w:rPr>
        <w:t xml:space="preserve">Factor analysis was carried out on the statements of government </w:t>
      </w:r>
      <w:r w:rsidRPr="00C0591E">
        <w:t>regulations</w:t>
      </w:r>
      <w:r w:rsidRPr="00C0591E">
        <w:rPr>
          <w:lang w:val="en-GB"/>
        </w:rPr>
        <w:t xml:space="preserve">. According to </w:t>
      </w:r>
      <w:r w:rsidRPr="00C0591E">
        <w:t>Tabachinick</w:t>
      </w:r>
      <w:r w:rsidRPr="00C0591E">
        <w:rPr>
          <w:lang w:eastAsia="ar-SA"/>
        </w:rPr>
        <w:t xml:space="preserve"> and Fidell (2007), factor loading of 0.45 as fair measure of real life data. Table </w:t>
      </w:r>
      <w:r w:rsidR="00191F36" w:rsidRPr="00C0591E">
        <w:rPr>
          <w:lang w:eastAsia="ar-SA"/>
        </w:rPr>
        <w:t>13</w:t>
      </w:r>
      <w:r w:rsidR="00C1099B" w:rsidRPr="00C0591E">
        <w:rPr>
          <w:lang w:eastAsia="ar-SA"/>
        </w:rPr>
        <w:t xml:space="preserve"> </w:t>
      </w:r>
      <w:r w:rsidRPr="00C0591E">
        <w:rPr>
          <w:lang w:eastAsia="ar-SA"/>
        </w:rPr>
        <w:t xml:space="preserve">shows the factor loading for </w:t>
      </w:r>
      <w:r w:rsidRPr="00C0591E">
        <w:t>regulations.</w:t>
      </w:r>
    </w:p>
    <w:p w14:paraId="5DCE7334" w14:textId="77EDAFD6" w:rsidR="00A227CE" w:rsidRPr="00C0591E" w:rsidRDefault="00A227CE" w:rsidP="00A227CE">
      <w:pPr>
        <w:pStyle w:val="Heading4"/>
      </w:pPr>
      <w:bookmarkStart w:id="177" w:name="_Toc113125148"/>
      <w:r w:rsidRPr="00C0591E">
        <w:t xml:space="preserve">Table </w:t>
      </w:r>
      <w:r w:rsidR="00191F36" w:rsidRPr="00C0591E">
        <w:t>13</w:t>
      </w:r>
      <w:r w:rsidRPr="00C0591E">
        <w:t>: Factor Loading for Regulations</w:t>
      </w:r>
      <w:bookmarkEnd w:id="177"/>
    </w:p>
    <w:tbl>
      <w:tblPr>
        <w:tblW w:w="5000" w:type="pct"/>
        <w:tblLook w:val="04A0" w:firstRow="1" w:lastRow="0" w:firstColumn="1" w:lastColumn="0" w:noHBand="0" w:noVBand="1"/>
      </w:tblPr>
      <w:tblGrid>
        <w:gridCol w:w="570"/>
        <w:gridCol w:w="6646"/>
        <w:gridCol w:w="1810"/>
      </w:tblGrid>
      <w:tr w:rsidR="00A227CE" w:rsidRPr="00C0591E" w14:paraId="62B823B5" w14:textId="77777777" w:rsidTr="00E40D44">
        <w:trPr>
          <w:trHeight w:val="288"/>
        </w:trPr>
        <w:tc>
          <w:tcPr>
            <w:tcW w:w="331" w:type="pct"/>
            <w:tcBorders>
              <w:top w:val="single" w:sz="4" w:space="0" w:color="auto"/>
              <w:left w:val="nil"/>
              <w:bottom w:val="single" w:sz="4" w:space="0" w:color="auto"/>
              <w:right w:val="nil"/>
            </w:tcBorders>
            <w:shd w:val="clear" w:color="auto" w:fill="auto"/>
            <w:noWrap/>
            <w:vAlign w:val="bottom"/>
            <w:hideMark/>
          </w:tcPr>
          <w:p w14:paraId="542667D5" w14:textId="77777777" w:rsidR="00A227CE" w:rsidRPr="00C0591E" w:rsidRDefault="00A227CE" w:rsidP="00E40D44">
            <w:pPr>
              <w:spacing w:before="0" w:line="240" w:lineRule="auto"/>
              <w:rPr>
                <w:b/>
              </w:rPr>
            </w:pPr>
            <w:r w:rsidRPr="00C0591E">
              <w:rPr>
                <w:b/>
              </w:rPr>
              <w:t>No.</w:t>
            </w:r>
          </w:p>
        </w:tc>
        <w:tc>
          <w:tcPr>
            <w:tcW w:w="3846" w:type="pct"/>
            <w:tcBorders>
              <w:top w:val="single" w:sz="4" w:space="0" w:color="auto"/>
              <w:left w:val="nil"/>
              <w:bottom w:val="single" w:sz="4" w:space="0" w:color="auto"/>
              <w:right w:val="nil"/>
            </w:tcBorders>
            <w:shd w:val="clear" w:color="auto" w:fill="auto"/>
            <w:vAlign w:val="bottom"/>
            <w:hideMark/>
          </w:tcPr>
          <w:p w14:paraId="606A3D54" w14:textId="77777777" w:rsidR="00A227CE" w:rsidRPr="00C0591E" w:rsidRDefault="00A227CE" w:rsidP="00E40D44">
            <w:pPr>
              <w:spacing w:before="0" w:line="240" w:lineRule="auto"/>
              <w:rPr>
                <w:b/>
              </w:rPr>
            </w:pPr>
            <w:r w:rsidRPr="00C0591E">
              <w:rPr>
                <w:b/>
              </w:rPr>
              <w:t>Statements</w:t>
            </w:r>
          </w:p>
        </w:tc>
        <w:tc>
          <w:tcPr>
            <w:tcW w:w="824" w:type="pct"/>
            <w:tcBorders>
              <w:top w:val="single" w:sz="4" w:space="0" w:color="auto"/>
              <w:left w:val="nil"/>
              <w:bottom w:val="single" w:sz="4" w:space="0" w:color="auto"/>
              <w:right w:val="nil"/>
            </w:tcBorders>
            <w:shd w:val="clear" w:color="auto" w:fill="auto"/>
            <w:noWrap/>
            <w:vAlign w:val="bottom"/>
            <w:hideMark/>
          </w:tcPr>
          <w:p w14:paraId="66BFAF62" w14:textId="77777777" w:rsidR="00A227CE" w:rsidRPr="00C0591E" w:rsidRDefault="00A227CE" w:rsidP="00E40D44">
            <w:pPr>
              <w:spacing w:before="0" w:line="240" w:lineRule="auto"/>
              <w:jc w:val="center"/>
              <w:rPr>
                <w:b/>
              </w:rPr>
            </w:pPr>
            <w:r w:rsidRPr="00C0591E">
              <w:rPr>
                <w:b/>
              </w:rPr>
              <w:t>Factor Loading</w:t>
            </w:r>
          </w:p>
        </w:tc>
      </w:tr>
      <w:tr w:rsidR="00A227CE" w:rsidRPr="00C0591E" w14:paraId="2DA698D2" w14:textId="77777777" w:rsidTr="00E40D44">
        <w:trPr>
          <w:trHeight w:val="288"/>
        </w:trPr>
        <w:tc>
          <w:tcPr>
            <w:tcW w:w="331" w:type="pct"/>
            <w:tcBorders>
              <w:top w:val="nil"/>
              <w:left w:val="nil"/>
              <w:bottom w:val="nil"/>
              <w:right w:val="nil"/>
            </w:tcBorders>
            <w:shd w:val="clear" w:color="auto" w:fill="auto"/>
            <w:noWrap/>
            <w:vAlign w:val="bottom"/>
            <w:hideMark/>
          </w:tcPr>
          <w:p w14:paraId="4D3EC02D" w14:textId="77777777" w:rsidR="00A227CE" w:rsidRPr="00C0591E" w:rsidRDefault="00A227CE" w:rsidP="00E40D44">
            <w:pPr>
              <w:spacing w:before="0" w:line="240" w:lineRule="auto"/>
            </w:pPr>
            <w:r w:rsidRPr="00C0591E">
              <w:t>1</w:t>
            </w:r>
          </w:p>
        </w:tc>
        <w:tc>
          <w:tcPr>
            <w:tcW w:w="3846" w:type="pct"/>
            <w:tcBorders>
              <w:top w:val="nil"/>
              <w:left w:val="nil"/>
              <w:bottom w:val="nil"/>
              <w:right w:val="nil"/>
            </w:tcBorders>
            <w:shd w:val="clear" w:color="auto" w:fill="auto"/>
            <w:vAlign w:val="bottom"/>
            <w:hideMark/>
          </w:tcPr>
          <w:p w14:paraId="7B5F6DFD" w14:textId="77777777" w:rsidR="00A227CE" w:rsidRPr="00C0591E" w:rsidRDefault="00A227CE" w:rsidP="00E40D44">
            <w:pPr>
              <w:spacing w:before="0" w:line="240" w:lineRule="auto"/>
              <w:jc w:val="left"/>
            </w:pPr>
            <w:r w:rsidRPr="00C0591E">
              <w:t>Regulation affects compliance costs of the fund managers</w:t>
            </w:r>
          </w:p>
        </w:tc>
        <w:tc>
          <w:tcPr>
            <w:tcW w:w="824" w:type="pct"/>
            <w:tcBorders>
              <w:top w:val="nil"/>
              <w:left w:val="nil"/>
              <w:bottom w:val="nil"/>
              <w:right w:val="nil"/>
            </w:tcBorders>
            <w:shd w:val="clear" w:color="auto" w:fill="auto"/>
            <w:noWrap/>
            <w:vAlign w:val="bottom"/>
            <w:hideMark/>
          </w:tcPr>
          <w:p w14:paraId="170B757A" w14:textId="77777777" w:rsidR="00A227CE" w:rsidRPr="00C0591E" w:rsidRDefault="00A227CE" w:rsidP="00E40D44">
            <w:pPr>
              <w:spacing w:before="0" w:line="240" w:lineRule="auto"/>
              <w:jc w:val="center"/>
            </w:pPr>
            <w:r w:rsidRPr="00C0591E">
              <w:t>0.778</w:t>
            </w:r>
          </w:p>
        </w:tc>
      </w:tr>
      <w:tr w:rsidR="00A227CE" w:rsidRPr="00C0591E" w14:paraId="2FF3C91F" w14:textId="77777777" w:rsidTr="00E40D44">
        <w:trPr>
          <w:trHeight w:val="576"/>
        </w:trPr>
        <w:tc>
          <w:tcPr>
            <w:tcW w:w="331" w:type="pct"/>
            <w:tcBorders>
              <w:top w:val="nil"/>
              <w:left w:val="nil"/>
              <w:bottom w:val="nil"/>
              <w:right w:val="nil"/>
            </w:tcBorders>
            <w:shd w:val="clear" w:color="auto" w:fill="auto"/>
            <w:noWrap/>
            <w:vAlign w:val="bottom"/>
            <w:hideMark/>
          </w:tcPr>
          <w:p w14:paraId="6B417F69" w14:textId="77777777" w:rsidR="00A227CE" w:rsidRPr="00C0591E" w:rsidRDefault="00A227CE" w:rsidP="00E40D44">
            <w:pPr>
              <w:spacing w:before="0" w:line="240" w:lineRule="auto"/>
            </w:pPr>
            <w:r w:rsidRPr="00C0591E">
              <w:t>2</w:t>
            </w:r>
          </w:p>
        </w:tc>
        <w:tc>
          <w:tcPr>
            <w:tcW w:w="3846" w:type="pct"/>
            <w:tcBorders>
              <w:top w:val="nil"/>
              <w:left w:val="nil"/>
              <w:bottom w:val="nil"/>
              <w:right w:val="nil"/>
            </w:tcBorders>
            <w:shd w:val="clear" w:color="auto" w:fill="auto"/>
            <w:vAlign w:val="bottom"/>
            <w:hideMark/>
          </w:tcPr>
          <w:p w14:paraId="4AC1D827" w14:textId="77777777" w:rsidR="00A227CE" w:rsidRPr="00C0591E" w:rsidRDefault="00A227CE" w:rsidP="00E40D44">
            <w:pPr>
              <w:spacing w:before="0" w:line="240" w:lineRule="auto"/>
              <w:jc w:val="left"/>
            </w:pPr>
            <w:r w:rsidRPr="00C0591E">
              <w:t>The Government regulation limits the number of trustees to 10 (regardless of the size of the scheme)</w:t>
            </w:r>
          </w:p>
        </w:tc>
        <w:tc>
          <w:tcPr>
            <w:tcW w:w="824" w:type="pct"/>
            <w:tcBorders>
              <w:top w:val="nil"/>
              <w:left w:val="nil"/>
              <w:bottom w:val="nil"/>
              <w:right w:val="nil"/>
            </w:tcBorders>
            <w:shd w:val="clear" w:color="auto" w:fill="auto"/>
            <w:noWrap/>
            <w:vAlign w:val="bottom"/>
            <w:hideMark/>
          </w:tcPr>
          <w:p w14:paraId="098E377F" w14:textId="77777777" w:rsidR="00A227CE" w:rsidRPr="00C0591E" w:rsidRDefault="00A227CE" w:rsidP="00E40D44">
            <w:pPr>
              <w:spacing w:before="0" w:line="240" w:lineRule="auto"/>
              <w:jc w:val="center"/>
            </w:pPr>
            <w:r w:rsidRPr="00C0591E">
              <w:t>0.909</w:t>
            </w:r>
          </w:p>
        </w:tc>
      </w:tr>
      <w:tr w:rsidR="00A227CE" w:rsidRPr="00C0591E" w14:paraId="14155C05" w14:textId="77777777" w:rsidTr="00E40D44">
        <w:trPr>
          <w:trHeight w:val="576"/>
        </w:trPr>
        <w:tc>
          <w:tcPr>
            <w:tcW w:w="331" w:type="pct"/>
            <w:tcBorders>
              <w:top w:val="nil"/>
              <w:left w:val="nil"/>
              <w:bottom w:val="nil"/>
              <w:right w:val="nil"/>
            </w:tcBorders>
            <w:shd w:val="clear" w:color="auto" w:fill="auto"/>
            <w:noWrap/>
            <w:vAlign w:val="bottom"/>
            <w:hideMark/>
          </w:tcPr>
          <w:p w14:paraId="367776C4" w14:textId="77777777" w:rsidR="00A227CE" w:rsidRPr="00C0591E" w:rsidRDefault="00A227CE" w:rsidP="00E40D44">
            <w:pPr>
              <w:spacing w:before="0" w:line="240" w:lineRule="auto"/>
            </w:pPr>
            <w:r w:rsidRPr="00C0591E">
              <w:t>3</w:t>
            </w:r>
          </w:p>
        </w:tc>
        <w:tc>
          <w:tcPr>
            <w:tcW w:w="3846" w:type="pct"/>
            <w:tcBorders>
              <w:top w:val="nil"/>
              <w:left w:val="nil"/>
              <w:bottom w:val="nil"/>
              <w:right w:val="nil"/>
            </w:tcBorders>
            <w:shd w:val="clear" w:color="auto" w:fill="auto"/>
            <w:vAlign w:val="bottom"/>
            <w:hideMark/>
          </w:tcPr>
          <w:p w14:paraId="20140224" w14:textId="77777777" w:rsidR="00A227CE" w:rsidRPr="00C0591E" w:rsidRDefault="00A227CE" w:rsidP="00E40D44">
            <w:pPr>
              <w:spacing w:before="0" w:line="240" w:lineRule="auto"/>
              <w:jc w:val="left"/>
            </w:pPr>
            <w:r w:rsidRPr="00C0591E">
              <w:t>Tax on non-exempt incomes of pension fund members as imposed by the Kenyan Revenue Authority</w:t>
            </w:r>
          </w:p>
        </w:tc>
        <w:tc>
          <w:tcPr>
            <w:tcW w:w="824" w:type="pct"/>
            <w:tcBorders>
              <w:top w:val="nil"/>
              <w:left w:val="nil"/>
              <w:bottom w:val="nil"/>
              <w:right w:val="nil"/>
            </w:tcBorders>
            <w:shd w:val="clear" w:color="auto" w:fill="auto"/>
            <w:noWrap/>
            <w:vAlign w:val="bottom"/>
            <w:hideMark/>
          </w:tcPr>
          <w:p w14:paraId="3AA2D6C0" w14:textId="77777777" w:rsidR="00A227CE" w:rsidRPr="00C0591E" w:rsidRDefault="00A227CE" w:rsidP="00E40D44">
            <w:pPr>
              <w:spacing w:before="0" w:line="240" w:lineRule="auto"/>
              <w:jc w:val="center"/>
            </w:pPr>
            <w:r w:rsidRPr="00C0591E">
              <w:t>0.818</w:t>
            </w:r>
          </w:p>
        </w:tc>
      </w:tr>
      <w:tr w:rsidR="00A227CE" w:rsidRPr="00C0591E" w14:paraId="399BCD3A" w14:textId="77777777" w:rsidTr="00E40D44">
        <w:trPr>
          <w:trHeight w:val="576"/>
        </w:trPr>
        <w:tc>
          <w:tcPr>
            <w:tcW w:w="331" w:type="pct"/>
            <w:tcBorders>
              <w:top w:val="nil"/>
              <w:left w:val="nil"/>
              <w:bottom w:val="nil"/>
              <w:right w:val="nil"/>
            </w:tcBorders>
            <w:shd w:val="clear" w:color="auto" w:fill="auto"/>
            <w:noWrap/>
            <w:vAlign w:val="bottom"/>
            <w:hideMark/>
          </w:tcPr>
          <w:p w14:paraId="1277DE3F" w14:textId="77777777" w:rsidR="00A227CE" w:rsidRPr="00C0591E" w:rsidRDefault="00A227CE" w:rsidP="00E40D44">
            <w:pPr>
              <w:spacing w:before="0" w:line="240" w:lineRule="auto"/>
            </w:pPr>
            <w:r w:rsidRPr="00C0591E">
              <w:t>4</w:t>
            </w:r>
          </w:p>
        </w:tc>
        <w:tc>
          <w:tcPr>
            <w:tcW w:w="3846" w:type="pct"/>
            <w:tcBorders>
              <w:top w:val="nil"/>
              <w:left w:val="nil"/>
              <w:bottom w:val="nil"/>
              <w:right w:val="nil"/>
            </w:tcBorders>
            <w:shd w:val="clear" w:color="auto" w:fill="auto"/>
            <w:vAlign w:val="bottom"/>
            <w:hideMark/>
          </w:tcPr>
          <w:p w14:paraId="1B95D3BB" w14:textId="77777777" w:rsidR="00A227CE" w:rsidRPr="00C0591E" w:rsidRDefault="00A227CE" w:rsidP="00E40D44">
            <w:pPr>
              <w:spacing w:before="0" w:line="240" w:lineRule="auto"/>
              <w:jc w:val="left"/>
            </w:pPr>
            <w:r w:rsidRPr="00C0591E">
              <w:t>The government regulations controls fund managers compliance with RBA levies</w:t>
            </w:r>
          </w:p>
        </w:tc>
        <w:tc>
          <w:tcPr>
            <w:tcW w:w="824" w:type="pct"/>
            <w:tcBorders>
              <w:top w:val="nil"/>
              <w:left w:val="nil"/>
              <w:bottom w:val="nil"/>
              <w:right w:val="nil"/>
            </w:tcBorders>
            <w:shd w:val="clear" w:color="auto" w:fill="auto"/>
            <w:noWrap/>
            <w:vAlign w:val="bottom"/>
            <w:hideMark/>
          </w:tcPr>
          <w:p w14:paraId="5DE8734A" w14:textId="77777777" w:rsidR="00A227CE" w:rsidRPr="00C0591E" w:rsidRDefault="00A227CE" w:rsidP="00E40D44">
            <w:pPr>
              <w:spacing w:before="0" w:line="240" w:lineRule="auto"/>
              <w:jc w:val="center"/>
            </w:pPr>
            <w:r w:rsidRPr="00C0591E">
              <w:t>0.765</w:t>
            </w:r>
          </w:p>
        </w:tc>
      </w:tr>
      <w:tr w:rsidR="00A227CE" w:rsidRPr="00C0591E" w14:paraId="69522EA2" w14:textId="77777777" w:rsidTr="00E40D44">
        <w:trPr>
          <w:trHeight w:val="576"/>
        </w:trPr>
        <w:tc>
          <w:tcPr>
            <w:tcW w:w="331" w:type="pct"/>
            <w:tcBorders>
              <w:top w:val="nil"/>
              <w:left w:val="nil"/>
              <w:bottom w:val="nil"/>
              <w:right w:val="nil"/>
            </w:tcBorders>
            <w:shd w:val="clear" w:color="auto" w:fill="auto"/>
            <w:noWrap/>
            <w:vAlign w:val="bottom"/>
            <w:hideMark/>
          </w:tcPr>
          <w:p w14:paraId="291D00C4" w14:textId="77777777" w:rsidR="00A227CE" w:rsidRPr="00C0591E" w:rsidRDefault="00A227CE" w:rsidP="00E40D44">
            <w:pPr>
              <w:spacing w:before="0" w:line="240" w:lineRule="auto"/>
            </w:pPr>
            <w:r w:rsidRPr="00C0591E">
              <w:t>5</w:t>
            </w:r>
          </w:p>
        </w:tc>
        <w:tc>
          <w:tcPr>
            <w:tcW w:w="3846" w:type="pct"/>
            <w:tcBorders>
              <w:top w:val="nil"/>
              <w:left w:val="nil"/>
              <w:bottom w:val="nil"/>
              <w:right w:val="nil"/>
            </w:tcBorders>
            <w:shd w:val="clear" w:color="auto" w:fill="auto"/>
            <w:vAlign w:val="bottom"/>
            <w:hideMark/>
          </w:tcPr>
          <w:p w14:paraId="58B318BF" w14:textId="77777777" w:rsidR="00A227CE" w:rsidRPr="00C0591E" w:rsidRDefault="00A227CE" w:rsidP="00E40D44">
            <w:pPr>
              <w:spacing w:before="0" w:line="240" w:lineRule="auto"/>
              <w:jc w:val="left"/>
            </w:pPr>
            <w:r w:rsidRPr="00C0591E">
              <w:t>The regulatory meetings (4 per year) with the service providers as stipulated by RBA</w:t>
            </w:r>
          </w:p>
        </w:tc>
        <w:tc>
          <w:tcPr>
            <w:tcW w:w="824" w:type="pct"/>
            <w:tcBorders>
              <w:top w:val="nil"/>
              <w:left w:val="nil"/>
              <w:bottom w:val="nil"/>
              <w:right w:val="nil"/>
            </w:tcBorders>
            <w:shd w:val="clear" w:color="auto" w:fill="auto"/>
            <w:noWrap/>
            <w:vAlign w:val="bottom"/>
            <w:hideMark/>
          </w:tcPr>
          <w:p w14:paraId="69C94468" w14:textId="77777777" w:rsidR="00A227CE" w:rsidRPr="00C0591E" w:rsidRDefault="00A227CE" w:rsidP="00E40D44">
            <w:pPr>
              <w:spacing w:before="0" w:line="240" w:lineRule="auto"/>
              <w:jc w:val="center"/>
            </w:pPr>
            <w:r w:rsidRPr="00C0591E">
              <w:t>0.903</w:t>
            </w:r>
          </w:p>
        </w:tc>
      </w:tr>
      <w:tr w:rsidR="00A227CE" w:rsidRPr="00C0591E" w14:paraId="227407C0" w14:textId="77777777" w:rsidTr="00E40D44">
        <w:trPr>
          <w:trHeight w:val="576"/>
        </w:trPr>
        <w:tc>
          <w:tcPr>
            <w:tcW w:w="331" w:type="pct"/>
            <w:tcBorders>
              <w:top w:val="nil"/>
              <w:left w:val="nil"/>
              <w:bottom w:val="nil"/>
              <w:right w:val="nil"/>
            </w:tcBorders>
            <w:shd w:val="clear" w:color="auto" w:fill="auto"/>
            <w:noWrap/>
            <w:vAlign w:val="bottom"/>
            <w:hideMark/>
          </w:tcPr>
          <w:p w14:paraId="10D3E96D" w14:textId="77777777" w:rsidR="00A227CE" w:rsidRPr="00C0591E" w:rsidRDefault="00A227CE" w:rsidP="00E40D44">
            <w:pPr>
              <w:spacing w:before="0" w:line="240" w:lineRule="auto"/>
            </w:pPr>
            <w:r w:rsidRPr="00C0591E">
              <w:t>6</w:t>
            </w:r>
          </w:p>
        </w:tc>
        <w:tc>
          <w:tcPr>
            <w:tcW w:w="3846" w:type="pct"/>
            <w:tcBorders>
              <w:top w:val="nil"/>
              <w:left w:val="nil"/>
              <w:bottom w:val="nil"/>
              <w:right w:val="nil"/>
            </w:tcBorders>
            <w:shd w:val="clear" w:color="auto" w:fill="auto"/>
            <w:vAlign w:val="bottom"/>
            <w:hideMark/>
          </w:tcPr>
          <w:p w14:paraId="2CAEB5A5" w14:textId="77777777" w:rsidR="00A227CE" w:rsidRPr="00C0591E" w:rsidRDefault="00A227CE" w:rsidP="00E40D44">
            <w:pPr>
              <w:spacing w:before="0" w:line="240" w:lineRule="auto"/>
              <w:jc w:val="left"/>
            </w:pPr>
            <w:r w:rsidRPr="00C0591E">
              <w:t>The risk based approach adopted by RBA in the supervision of pension funds</w:t>
            </w:r>
          </w:p>
        </w:tc>
        <w:tc>
          <w:tcPr>
            <w:tcW w:w="824" w:type="pct"/>
            <w:tcBorders>
              <w:top w:val="nil"/>
              <w:left w:val="nil"/>
              <w:bottom w:val="nil"/>
              <w:right w:val="nil"/>
            </w:tcBorders>
            <w:shd w:val="clear" w:color="auto" w:fill="auto"/>
            <w:noWrap/>
            <w:vAlign w:val="bottom"/>
            <w:hideMark/>
          </w:tcPr>
          <w:p w14:paraId="457B3383" w14:textId="77777777" w:rsidR="00A227CE" w:rsidRPr="00C0591E" w:rsidRDefault="00A227CE" w:rsidP="00E40D44">
            <w:pPr>
              <w:spacing w:before="0" w:line="240" w:lineRule="auto"/>
              <w:jc w:val="center"/>
            </w:pPr>
            <w:r w:rsidRPr="00C0591E">
              <w:t>0.937</w:t>
            </w:r>
          </w:p>
        </w:tc>
      </w:tr>
      <w:tr w:rsidR="00A227CE" w:rsidRPr="00C0591E" w14:paraId="196047B4" w14:textId="77777777" w:rsidTr="00E40D44">
        <w:trPr>
          <w:trHeight w:val="288"/>
        </w:trPr>
        <w:tc>
          <w:tcPr>
            <w:tcW w:w="331" w:type="pct"/>
            <w:tcBorders>
              <w:top w:val="nil"/>
              <w:left w:val="nil"/>
              <w:bottom w:val="nil"/>
              <w:right w:val="nil"/>
            </w:tcBorders>
            <w:shd w:val="clear" w:color="auto" w:fill="auto"/>
            <w:noWrap/>
            <w:vAlign w:val="bottom"/>
            <w:hideMark/>
          </w:tcPr>
          <w:p w14:paraId="585A1E73" w14:textId="77777777" w:rsidR="00A227CE" w:rsidRPr="00C0591E" w:rsidRDefault="00A227CE" w:rsidP="00E40D44">
            <w:pPr>
              <w:spacing w:before="0" w:line="240" w:lineRule="auto"/>
            </w:pPr>
            <w:r w:rsidRPr="00C0591E">
              <w:t>7</w:t>
            </w:r>
          </w:p>
        </w:tc>
        <w:tc>
          <w:tcPr>
            <w:tcW w:w="3846" w:type="pct"/>
            <w:tcBorders>
              <w:top w:val="nil"/>
              <w:left w:val="nil"/>
              <w:bottom w:val="nil"/>
              <w:right w:val="nil"/>
            </w:tcBorders>
            <w:shd w:val="clear" w:color="auto" w:fill="auto"/>
            <w:vAlign w:val="bottom"/>
            <w:hideMark/>
          </w:tcPr>
          <w:p w14:paraId="144F097B" w14:textId="77777777" w:rsidR="00A227CE" w:rsidRPr="00C0591E" w:rsidRDefault="00A227CE" w:rsidP="00E40D44">
            <w:pPr>
              <w:spacing w:before="0" w:line="240" w:lineRule="auto"/>
              <w:jc w:val="left"/>
            </w:pPr>
            <w:r w:rsidRPr="00C0591E">
              <w:t>The Government controls risk tolerance limits imposed by the RBA</w:t>
            </w:r>
          </w:p>
        </w:tc>
        <w:tc>
          <w:tcPr>
            <w:tcW w:w="824" w:type="pct"/>
            <w:tcBorders>
              <w:top w:val="nil"/>
              <w:left w:val="nil"/>
              <w:bottom w:val="nil"/>
              <w:right w:val="nil"/>
            </w:tcBorders>
            <w:shd w:val="clear" w:color="auto" w:fill="auto"/>
            <w:noWrap/>
            <w:vAlign w:val="bottom"/>
            <w:hideMark/>
          </w:tcPr>
          <w:p w14:paraId="372B7625" w14:textId="77777777" w:rsidR="00A227CE" w:rsidRPr="00C0591E" w:rsidRDefault="00A227CE" w:rsidP="00E40D44">
            <w:pPr>
              <w:spacing w:before="0" w:line="240" w:lineRule="auto"/>
              <w:jc w:val="center"/>
            </w:pPr>
            <w:r w:rsidRPr="00C0591E">
              <w:t>0.798</w:t>
            </w:r>
          </w:p>
        </w:tc>
      </w:tr>
      <w:tr w:rsidR="00A227CE" w:rsidRPr="00C0591E" w14:paraId="670ED73F" w14:textId="77777777" w:rsidTr="00E40D44">
        <w:trPr>
          <w:trHeight w:val="576"/>
        </w:trPr>
        <w:tc>
          <w:tcPr>
            <w:tcW w:w="331" w:type="pct"/>
            <w:tcBorders>
              <w:top w:val="nil"/>
              <w:left w:val="nil"/>
              <w:bottom w:val="nil"/>
              <w:right w:val="nil"/>
            </w:tcBorders>
            <w:shd w:val="clear" w:color="auto" w:fill="auto"/>
            <w:noWrap/>
            <w:vAlign w:val="bottom"/>
            <w:hideMark/>
          </w:tcPr>
          <w:p w14:paraId="1DAB8B33" w14:textId="77777777" w:rsidR="00A227CE" w:rsidRPr="00C0591E" w:rsidRDefault="00A227CE" w:rsidP="00E40D44">
            <w:pPr>
              <w:spacing w:before="0" w:line="240" w:lineRule="auto"/>
            </w:pPr>
            <w:r w:rsidRPr="00C0591E">
              <w:t>8</w:t>
            </w:r>
          </w:p>
        </w:tc>
        <w:tc>
          <w:tcPr>
            <w:tcW w:w="3846" w:type="pct"/>
            <w:tcBorders>
              <w:top w:val="nil"/>
              <w:left w:val="nil"/>
              <w:bottom w:val="nil"/>
              <w:right w:val="nil"/>
            </w:tcBorders>
            <w:shd w:val="clear" w:color="auto" w:fill="auto"/>
            <w:vAlign w:val="bottom"/>
            <w:hideMark/>
          </w:tcPr>
          <w:p w14:paraId="5907EFF4" w14:textId="77777777" w:rsidR="00A227CE" w:rsidRPr="00C0591E" w:rsidRDefault="00A227CE" w:rsidP="00E40D44">
            <w:pPr>
              <w:spacing w:before="0" w:line="240" w:lineRule="auto"/>
              <w:jc w:val="left"/>
            </w:pPr>
            <w:r w:rsidRPr="00C0591E">
              <w:t>Government ensures adherence RBA financial reporting regulations to which pension funds should adhere to</w:t>
            </w:r>
          </w:p>
        </w:tc>
        <w:tc>
          <w:tcPr>
            <w:tcW w:w="824" w:type="pct"/>
            <w:tcBorders>
              <w:top w:val="nil"/>
              <w:left w:val="nil"/>
              <w:bottom w:val="nil"/>
              <w:right w:val="nil"/>
            </w:tcBorders>
            <w:shd w:val="clear" w:color="auto" w:fill="auto"/>
            <w:noWrap/>
            <w:vAlign w:val="bottom"/>
            <w:hideMark/>
          </w:tcPr>
          <w:p w14:paraId="208D47F9" w14:textId="77777777" w:rsidR="00A227CE" w:rsidRPr="00C0591E" w:rsidRDefault="00A227CE" w:rsidP="00E40D44">
            <w:pPr>
              <w:spacing w:before="0" w:line="240" w:lineRule="auto"/>
              <w:jc w:val="center"/>
            </w:pPr>
            <w:r w:rsidRPr="00C0591E">
              <w:t>0.783</w:t>
            </w:r>
          </w:p>
        </w:tc>
      </w:tr>
      <w:tr w:rsidR="00A227CE" w:rsidRPr="00C0591E" w14:paraId="55CACAC7" w14:textId="77777777" w:rsidTr="00E40D44">
        <w:trPr>
          <w:trHeight w:val="288"/>
        </w:trPr>
        <w:tc>
          <w:tcPr>
            <w:tcW w:w="331" w:type="pct"/>
            <w:tcBorders>
              <w:top w:val="nil"/>
              <w:left w:val="nil"/>
              <w:bottom w:val="nil"/>
              <w:right w:val="nil"/>
            </w:tcBorders>
            <w:shd w:val="clear" w:color="auto" w:fill="auto"/>
            <w:noWrap/>
            <w:vAlign w:val="bottom"/>
            <w:hideMark/>
          </w:tcPr>
          <w:p w14:paraId="3F648A24" w14:textId="77777777" w:rsidR="00A227CE" w:rsidRPr="00C0591E" w:rsidRDefault="00A227CE" w:rsidP="00E40D44">
            <w:pPr>
              <w:spacing w:before="0" w:line="240" w:lineRule="auto"/>
            </w:pPr>
            <w:r w:rsidRPr="00C0591E">
              <w:t>9</w:t>
            </w:r>
          </w:p>
        </w:tc>
        <w:tc>
          <w:tcPr>
            <w:tcW w:w="3846" w:type="pct"/>
            <w:tcBorders>
              <w:top w:val="nil"/>
              <w:left w:val="nil"/>
              <w:bottom w:val="nil"/>
              <w:right w:val="nil"/>
            </w:tcBorders>
            <w:shd w:val="clear" w:color="auto" w:fill="auto"/>
            <w:vAlign w:val="bottom"/>
            <w:hideMark/>
          </w:tcPr>
          <w:p w14:paraId="0F146365" w14:textId="77777777" w:rsidR="00A227CE" w:rsidRPr="00C0591E" w:rsidRDefault="00A227CE" w:rsidP="00E40D44">
            <w:pPr>
              <w:spacing w:before="0" w:line="240" w:lineRule="auto"/>
              <w:jc w:val="left"/>
            </w:pPr>
            <w:r w:rsidRPr="00C0591E">
              <w:t>Government Regulations promotes solvency</w:t>
            </w:r>
          </w:p>
        </w:tc>
        <w:tc>
          <w:tcPr>
            <w:tcW w:w="824" w:type="pct"/>
            <w:tcBorders>
              <w:top w:val="nil"/>
              <w:left w:val="nil"/>
              <w:bottom w:val="nil"/>
              <w:right w:val="nil"/>
            </w:tcBorders>
            <w:shd w:val="clear" w:color="auto" w:fill="auto"/>
            <w:noWrap/>
            <w:vAlign w:val="bottom"/>
            <w:hideMark/>
          </w:tcPr>
          <w:p w14:paraId="1C35C4C7" w14:textId="77777777" w:rsidR="00A227CE" w:rsidRPr="00C0591E" w:rsidRDefault="00A227CE" w:rsidP="00E40D44">
            <w:pPr>
              <w:spacing w:before="0" w:line="240" w:lineRule="auto"/>
              <w:jc w:val="center"/>
            </w:pPr>
            <w:r w:rsidRPr="00C0591E">
              <w:t>0.937</w:t>
            </w:r>
          </w:p>
        </w:tc>
      </w:tr>
      <w:tr w:rsidR="00A227CE" w:rsidRPr="00C0591E" w14:paraId="2F53344B" w14:textId="77777777" w:rsidTr="00E40D44">
        <w:trPr>
          <w:trHeight w:val="576"/>
        </w:trPr>
        <w:tc>
          <w:tcPr>
            <w:tcW w:w="331" w:type="pct"/>
            <w:tcBorders>
              <w:top w:val="nil"/>
              <w:left w:val="nil"/>
              <w:bottom w:val="nil"/>
              <w:right w:val="nil"/>
            </w:tcBorders>
            <w:shd w:val="clear" w:color="auto" w:fill="auto"/>
            <w:noWrap/>
            <w:vAlign w:val="bottom"/>
            <w:hideMark/>
          </w:tcPr>
          <w:p w14:paraId="5FD20EE1" w14:textId="77777777" w:rsidR="00A227CE" w:rsidRPr="00C0591E" w:rsidRDefault="00A227CE" w:rsidP="00E40D44">
            <w:pPr>
              <w:spacing w:before="0" w:line="240" w:lineRule="auto"/>
            </w:pPr>
            <w:r w:rsidRPr="00C0591E">
              <w:t>10</w:t>
            </w:r>
          </w:p>
        </w:tc>
        <w:tc>
          <w:tcPr>
            <w:tcW w:w="3846" w:type="pct"/>
            <w:tcBorders>
              <w:top w:val="nil"/>
              <w:left w:val="nil"/>
              <w:bottom w:val="nil"/>
              <w:right w:val="nil"/>
            </w:tcBorders>
            <w:shd w:val="clear" w:color="auto" w:fill="auto"/>
            <w:vAlign w:val="bottom"/>
            <w:hideMark/>
          </w:tcPr>
          <w:p w14:paraId="1891BEBC" w14:textId="77777777" w:rsidR="00A227CE" w:rsidRPr="00C0591E" w:rsidRDefault="00A227CE" w:rsidP="00E40D44">
            <w:pPr>
              <w:spacing w:before="0" w:line="240" w:lineRule="auto"/>
              <w:jc w:val="left"/>
            </w:pPr>
            <w:r w:rsidRPr="00C0591E">
              <w:t>Government regulations limits competition hence making it hard for it to compete in the market.</w:t>
            </w:r>
          </w:p>
        </w:tc>
        <w:tc>
          <w:tcPr>
            <w:tcW w:w="824" w:type="pct"/>
            <w:tcBorders>
              <w:top w:val="nil"/>
              <w:left w:val="nil"/>
              <w:bottom w:val="nil"/>
              <w:right w:val="nil"/>
            </w:tcBorders>
            <w:shd w:val="clear" w:color="auto" w:fill="auto"/>
            <w:noWrap/>
            <w:vAlign w:val="bottom"/>
            <w:hideMark/>
          </w:tcPr>
          <w:p w14:paraId="2A4EE27A" w14:textId="77777777" w:rsidR="00A227CE" w:rsidRPr="00C0591E" w:rsidRDefault="00A227CE" w:rsidP="00E40D44">
            <w:pPr>
              <w:spacing w:before="0" w:line="240" w:lineRule="auto"/>
              <w:jc w:val="center"/>
            </w:pPr>
            <w:r w:rsidRPr="00C0591E">
              <w:t>0.903</w:t>
            </w:r>
          </w:p>
        </w:tc>
      </w:tr>
      <w:tr w:rsidR="00A227CE" w:rsidRPr="00C0591E" w14:paraId="7A24956C" w14:textId="77777777" w:rsidTr="00E40D44">
        <w:trPr>
          <w:trHeight w:val="288"/>
        </w:trPr>
        <w:tc>
          <w:tcPr>
            <w:tcW w:w="331" w:type="pct"/>
            <w:tcBorders>
              <w:top w:val="nil"/>
              <w:left w:val="nil"/>
              <w:bottom w:val="nil"/>
              <w:right w:val="nil"/>
            </w:tcBorders>
            <w:shd w:val="clear" w:color="auto" w:fill="auto"/>
            <w:noWrap/>
            <w:vAlign w:val="bottom"/>
            <w:hideMark/>
          </w:tcPr>
          <w:p w14:paraId="2609F026" w14:textId="77777777" w:rsidR="00A227CE" w:rsidRPr="00C0591E" w:rsidRDefault="00A227CE" w:rsidP="00E40D44">
            <w:pPr>
              <w:spacing w:before="0" w:line="240" w:lineRule="auto"/>
            </w:pPr>
            <w:r w:rsidRPr="00C0591E">
              <w:t>11</w:t>
            </w:r>
          </w:p>
        </w:tc>
        <w:tc>
          <w:tcPr>
            <w:tcW w:w="3846" w:type="pct"/>
            <w:tcBorders>
              <w:top w:val="nil"/>
              <w:left w:val="nil"/>
              <w:bottom w:val="nil"/>
              <w:right w:val="nil"/>
            </w:tcBorders>
            <w:shd w:val="clear" w:color="auto" w:fill="auto"/>
            <w:vAlign w:val="bottom"/>
            <w:hideMark/>
          </w:tcPr>
          <w:p w14:paraId="664E9F8B" w14:textId="77777777" w:rsidR="00A227CE" w:rsidRPr="00C0591E" w:rsidRDefault="00A227CE" w:rsidP="00E40D44">
            <w:pPr>
              <w:spacing w:before="0" w:line="240" w:lineRule="auto"/>
              <w:jc w:val="left"/>
            </w:pPr>
            <w:r w:rsidRPr="00C0591E">
              <w:t>The government regulations are conducive.</w:t>
            </w:r>
          </w:p>
        </w:tc>
        <w:tc>
          <w:tcPr>
            <w:tcW w:w="824" w:type="pct"/>
            <w:tcBorders>
              <w:top w:val="nil"/>
              <w:left w:val="nil"/>
              <w:bottom w:val="nil"/>
              <w:right w:val="nil"/>
            </w:tcBorders>
            <w:shd w:val="clear" w:color="auto" w:fill="auto"/>
            <w:noWrap/>
            <w:vAlign w:val="bottom"/>
            <w:hideMark/>
          </w:tcPr>
          <w:p w14:paraId="714B8B1C" w14:textId="77777777" w:rsidR="00A227CE" w:rsidRPr="00C0591E" w:rsidRDefault="00A227CE" w:rsidP="00E40D44">
            <w:pPr>
              <w:spacing w:before="0" w:line="240" w:lineRule="auto"/>
              <w:jc w:val="center"/>
            </w:pPr>
            <w:r w:rsidRPr="00C0591E">
              <w:t>0.937</w:t>
            </w:r>
          </w:p>
        </w:tc>
      </w:tr>
      <w:tr w:rsidR="00A227CE" w:rsidRPr="00C0591E" w14:paraId="442BFBBC" w14:textId="77777777" w:rsidTr="00E40D44">
        <w:trPr>
          <w:trHeight w:val="288"/>
        </w:trPr>
        <w:tc>
          <w:tcPr>
            <w:tcW w:w="331" w:type="pct"/>
            <w:tcBorders>
              <w:top w:val="nil"/>
              <w:left w:val="nil"/>
              <w:bottom w:val="single" w:sz="4" w:space="0" w:color="auto"/>
              <w:right w:val="nil"/>
            </w:tcBorders>
            <w:shd w:val="clear" w:color="auto" w:fill="auto"/>
            <w:noWrap/>
            <w:vAlign w:val="bottom"/>
            <w:hideMark/>
          </w:tcPr>
          <w:p w14:paraId="688551EF" w14:textId="77777777" w:rsidR="00A227CE" w:rsidRPr="00C0591E" w:rsidRDefault="00A227CE" w:rsidP="00E40D44">
            <w:pPr>
              <w:spacing w:before="0" w:line="240" w:lineRule="auto"/>
            </w:pPr>
            <w:r w:rsidRPr="00C0591E">
              <w:t>12</w:t>
            </w:r>
          </w:p>
        </w:tc>
        <w:tc>
          <w:tcPr>
            <w:tcW w:w="3846" w:type="pct"/>
            <w:tcBorders>
              <w:top w:val="nil"/>
              <w:left w:val="nil"/>
              <w:bottom w:val="single" w:sz="4" w:space="0" w:color="auto"/>
              <w:right w:val="nil"/>
            </w:tcBorders>
            <w:shd w:val="clear" w:color="auto" w:fill="auto"/>
            <w:vAlign w:val="bottom"/>
            <w:hideMark/>
          </w:tcPr>
          <w:p w14:paraId="5DA527D9" w14:textId="77777777" w:rsidR="00A227CE" w:rsidRPr="00C0591E" w:rsidRDefault="00A227CE" w:rsidP="00E40D44">
            <w:pPr>
              <w:spacing w:before="0" w:line="240" w:lineRule="auto"/>
              <w:jc w:val="left"/>
            </w:pPr>
            <w:r w:rsidRPr="00C0591E">
              <w:t>Government regulations promote equity and similarity</w:t>
            </w:r>
          </w:p>
        </w:tc>
        <w:tc>
          <w:tcPr>
            <w:tcW w:w="824" w:type="pct"/>
            <w:tcBorders>
              <w:top w:val="nil"/>
              <w:left w:val="nil"/>
              <w:bottom w:val="single" w:sz="4" w:space="0" w:color="auto"/>
              <w:right w:val="nil"/>
            </w:tcBorders>
            <w:shd w:val="clear" w:color="auto" w:fill="auto"/>
            <w:noWrap/>
            <w:vAlign w:val="bottom"/>
            <w:hideMark/>
          </w:tcPr>
          <w:p w14:paraId="23F68A7F" w14:textId="77777777" w:rsidR="00A227CE" w:rsidRPr="00C0591E" w:rsidRDefault="00A227CE" w:rsidP="00E40D44">
            <w:pPr>
              <w:spacing w:before="0" w:line="240" w:lineRule="auto"/>
              <w:jc w:val="center"/>
            </w:pPr>
            <w:r w:rsidRPr="00C0591E">
              <w:t>0.798</w:t>
            </w:r>
          </w:p>
        </w:tc>
      </w:tr>
    </w:tbl>
    <w:p w14:paraId="5297BE30" w14:textId="78C5A7EA" w:rsidR="00A227CE" w:rsidRPr="00C0591E" w:rsidRDefault="00A227CE" w:rsidP="00A227CE">
      <w:r w:rsidRPr="00C0591E">
        <w:t xml:space="preserve">The outputs in Table </w:t>
      </w:r>
      <w:r w:rsidR="00191F36" w:rsidRPr="00C0591E">
        <w:t>13</w:t>
      </w:r>
      <w:r w:rsidRPr="00C0591E">
        <w:t xml:space="preserve"> show that all the statements on ma</w:t>
      </w:r>
      <w:r w:rsidRPr="00C0591E">
        <w:rPr>
          <w:lang w:val="en-GB"/>
        </w:rPr>
        <w:t xml:space="preserve"> government </w:t>
      </w:r>
      <w:r w:rsidRPr="00C0591E">
        <w:t>regulations had factor loading values greater than 0.5 and therefore they were accepted and thus no sub variable was dropped.</w:t>
      </w:r>
    </w:p>
    <w:p w14:paraId="2268292E" w14:textId="28386D41" w:rsidR="00A227CE" w:rsidRPr="00C0591E" w:rsidRDefault="00C1099B" w:rsidP="00A227CE">
      <w:pPr>
        <w:pStyle w:val="Heading3"/>
        <w:rPr>
          <w:rFonts w:eastAsia="Times New Roman"/>
        </w:rPr>
      </w:pPr>
      <w:r w:rsidRPr="00C0591E">
        <w:t>4.4.2.4</w:t>
      </w:r>
      <w:r w:rsidR="00A227CE" w:rsidRPr="00C0591E">
        <w:t xml:space="preserve"> Factor Analysis for Performance</w:t>
      </w:r>
    </w:p>
    <w:p w14:paraId="7D51FAAA" w14:textId="61FFC1F3" w:rsidR="00A227CE" w:rsidRPr="00C0591E" w:rsidRDefault="00A227CE" w:rsidP="00A227CE">
      <w:r w:rsidRPr="00C0591E">
        <w:rPr>
          <w:lang w:val="en-GB"/>
        </w:rPr>
        <w:t xml:space="preserve">Factor analysis was carried out on the statements of </w:t>
      </w:r>
      <w:r w:rsidRPr="00C0591E">
        <w:t>performance</w:t>
      </w:r>
      <w:r w:rsidRPr="00C0591E">
        <w:rPr>
          <w:lang w:val="en-GB"/>
        </w:rPr>
        <w:t xml:space="preserve">. According to </w:t>
      </w:r>
      <w:r w:rsidRPr="00C0591E">
        <w:t>Tabachinick</w:t>
      </w:r>
      <w:r w:rsidRPr="00C0591E">
        <w:rPr>
          <w:lang w:eastAsia="ar-SA"/>
        </w:rPr>
        <w:t xml:space="preserve"> and Fidell (2007), factor loading of 0.45 as fair measure of real life data.</w:t>
      </w:r>
      <w:r w:rsidR="00C1099B" w:rsidRPr="00C0591E">
        <w:rPr>
          <w:lang w:eastAsia="ar-SA"/>
        </w:rPr>
        <w:t xml:space="preserve"> Table </w:t>
      </w:r>
      <w:r w:rsidR="00191F36" w:rsidRPr="00C0591E">
        <w:rPr>
          <w:lang w:eastAsia="ar-SA"/>
        </w:rPr>
        <w:t>14</w:t>
      </w:r>
      <w:r w:rsidR="00C1099B" w:rsidRPr="00C0591E">
        <w:rPr>
          <w:lang w:eastAsia="ar-SA"/>
        </w:rPr>
        <w:t xml:space="preserve"> </w:t>
      </w:r>
      <w:r w:rsidRPr="00C0591E">
        <w:rPr>
          <w:lang w:eastAsia="ar-SA"/>
        </w:rPr>
        <w:t xml:space="preserve">shows the factor loading for </w:t>
      </w:r>
      <w:r w:rsidRPr="00C0591E">
        <w:t>performance.</w:t>
      </w:r>
    </w:p>
    <w:p w14:paraId="4D0A595F" w14:textId="6DC23A57" w:rsidR="00A227CE" w:rsidRPr="00C0591E" w:rsidRDefault="00A227CE" w:rsidP="006F2377">
      <w:pPr>
        <w:pStyle w:val="Heading4"/>
      </w:pPr>
      <w:bookmarkStart w:id="178" w:name="_Toc113125149"/>
      <w:r w:rsidRPr="00C0591E">
        <w:t xml:space="preserve">Table </w:t>
      </w:r>
      <w:r w:rsidR="00191F36" w:rsidRPr="00C0591E">
        <w:t>14</w:t>
      </w:r>
      <w:r w:rsidRPr="00C0591E">
        <w:t>: Factor Loading for Firm Performance</w:t>
      </w:r>
      <w:bookmarkEnd w:id="178"/>
    </w:p>
    <w:tbl>
      <w:tblPr>
        <w:tblW w:w="5000" w:type="pct"/>
        <w:tblLook w:val="04A0" w:firstRow="1" w:lastRow="0" w:firstColumn="1" w:lastColumn="0" w:noHBand="0" w:noVBand="1"/>
      </w:tblPr>
      <w:tblGrid>
        <w:gridCol w:w="456"/>
        <w:gridCol w:w="6760"/>
        <w:gridCol w:w="1810"/>
      </w:tblGrid>
      <w:tr w:rsidR="00A227CE" w:rsidRPr="00C0591E" w14:paraId="5D1B83FE" w14:textId="77777777" w:rsidTr="00191F36">
        <w:trPr>
          <w:trHeight w:val="288"/>
        </w:trPr>
        <w:tc>
          <w:tcPr>
            <w:tcW w:w="253" w:type="pct"/>
            <w:tcBorders>
              <w:top w:val="single" w:sz="4" w:space="0" w:color="auto"/>
              <w:left w:val="nil"/>
              <w:bottom w:val="single" w:sz="4" w:space="0" w:color="auto"/>
              <w:right w:val="nil"/>
            </w:tcBorders>
            <w:shd w:val="clear" w:color="auto" w:fill="auto"/>
            <w:noWrap/>
            <w:vAlign w:val="bottom"/>
            <w:hideMark/>
          </w:tcPr>
          <w:p w14:paraId="2113770B" w14:textId="77777777" w:rsidR="00A227CE" w:rsidRPr="00C0591E" w:rsidRDefault="00A227CE" w:rsidP="00E40D44">
            <w:pPr>
              <w:spacing w:after="0" w:line="240" w:lineRule="auto"/>
              <w:jc w:val="left"/>
              <w:rPr>
                <w:rFonts w:eastAsia="Times New Roman" w:cs="Times New Roman"/>
                <w:b/>
                <w:bCs/>
                <w:color w:val="000000"/>
                <w:szCs w:val="24"/>
              </w:rPr>
            </w:pPr>
            <w:r w:rsidRPr="00C0591E">
              <w:rPr>
                <w:rFonts w:eastAsia="Times New Roman" w:cs="Times New Roman"/>
                <w:b/>
                <w:bCs/>
                <w:color w:val="000000"/>
                <w:szCs w:val="24"/>
              </w:rPr>
              <w:t> </w:t>
            </w:r>
          </w:p>
        </w:tc>
        <w:tc>
          <w:tcPr>
            <w:tcW w:w="3745" w:type="pct"/>
            <w:tcBorders>
              <w:top w:val="single" w:sz="4" w:space="0" w:color="auto"/>
              <w:left w:val="nil"/>
              <w:bottom w:val="single" w:sz="4" w:space="0" w:color="auto"/>
              <w:right w:val="nil"/>
            </w:tcBorders>
            <w:shd w:val="clear" w:color="auto" w:fill="auto"/>
            <w:vAlign w:val="bottom"/>
            <w:hideMark/>
          </w:tcPr>
          <w:p w14:paraId="02CA9932" w14:textId="77777777" w:rsidR="00A227CE" w:rsidRPr="00C0591E" w:rsidRDefault="00A227CE" w:rsidP="00E40D44">
            <w:pPr>
              <w:spacing w:after="0" w:line="240" w:lineRule="auto"/>
              <w:jc w:val="left"/>
              <w:rPr>
                <w:rFonts w:eastAsia="Times New Roman" w:cs="Times New Roman"/>
                <w:b/>
                <w:bCs/>
                <w:color w:val="000000"/>
                <w:szCs w:val="24"/>
              </w:rPr>
            </w:pPr>
            <w:r w:rsidRPr="00C0591E">
              <w:rPr>
                <w:rFonts w:eastAsia="Times New Roman" w:cs="Times New Roman"/>
                <w:b/>
                <w:bCs/>
                <w:color w:val="000000"/>
                <w:szCs w:val="24"/>
              </w:rPr>
              <w:t>Statements</w:t>
            </w:r>
          </w:p>
        </w:tc>
        <w:tc>
          <w:tcPr>
            <w:tcW w:w="1003" w:type="pct"/>
            <w:tcBorders>
              <w:top w:val="single" w:sz="4" w:space="0" w:color="auto"/>
              <w:left w:val="nil"/>
              <w:bottom w:val="single" w:sz="4" w:space="0" w:color="auto"/>
              <w:right w:val="nil"/>
            </w:tcBorders>
            <w:shd w:val="clear" w:color="auto" w:fill="auto"/>
            <w:noWrap/>
            <w:vAlign w:val="bottom"/>
            <w:hideMark/>
          </w:tcPr>
          <w:p w14:paraId="3163CF7C" w14:textId="77777777" w:rsidR="00A227CE" w:rsidRPr="00C0591E" w:rsidRDefault="00A227CE" w:rsidP="00E40D44">
            <w:pPr>
              <w:spacing w:after="0" w:line="240" w:lineRule="auto"/>
              <w:jc w:val="center"/>
              <w:rPr>
                <w:rFonts w:eastAsia="Times New Roman" w:cs="Times New Roman"/>
                <w:b/>
                <w:bCs/>
                <w:color w:val="000000"/>
                <w:szCs w:val="24"/>
              </w:rPr>
            </w:pPr>
            <w:r w:rsidRPr="00C0591E">
              <w:rPr>
                <w:rFonts w:eastAsia="Times New Roman" w:cs="Times New Roman"/>
                <w:b/>
                <w:bCs/>
                <w:color w:val="000000"/>
                <w:szCs w:val="24"/>
              </w:rPr>
              <w:t>Factor Loading</w:t>
            </w:r>
          </w:p>
        </w:tc>
      </w:tr>
      <w:tr w:rsidR="00A227CE" w:rsidRPr="00C0591E" w14:paraId="57BA500A" w14:textId="77777777" w:rsidTr="00191F36">
        <w:trPr>
          <w:trHeight w:val="288"/>
        </w:trPr>
        <w:tc>
          <w:tcPr>
            <w:tcW w:w="253" w:type="pct"/>
            <w:tcBorders>
              <w:top w:val="nil"/>
              <w:left w:val="nil"/>
              <w:bottom w:val="nil"/>
              <w:right w:val="nil"/>
            </w:tcBorders>
            <w:shd w:val="clear" w:color="auto" w:fill="auto"/>
            <w:noWrap/>
            <w:vAlign w:val="bottom"/>
            <w:hideMark/>
          </w:tcPr>
          <w:p w14:paraId="03A37DBF"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1</w:t>
            </w:r>
          </w:p>
        </w:tc>
        <w:tc>
          <w:tcPr>
            <w:tcW w:w="3745" w:type="pct"/>
            <w:tcBorders>
              <w:top w:val="nil"/>
              <w:left w:val="nil"/>
              <w:bottom w:val="nil"/>
              <w:right w:val="nil"/>
            </w:tcBorders>
            <w:shd w:val="clear" w:color="auto" w:fill="auto"/>
            <w:vAlign w:val="bottom"/>
            <w:hideMark/>
          </w:tcPr>
          <w:p w14:paraId="321BAD07"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Our administration costs have decreased  over the years</w:t>
            </w:r>
          </w:p>
        </w:tc>
        <w:tc>
          <w:tcPr>
            <w:tcW w:w="1003" w:type="pct"/>
            <w:tcBorders>
              <w:top w:val="nil"/>
              <w:left w:val="nil"/>
              <w:bottom w:val="nil"/>
              <w:right w:val="nil"/>
            </w:tcBorders>
            <w:shd w:val="clear" w:color="auto" w:fill="auto"/>
            <w:noWrap/>
            <w:vAlign w:val="bottom"/>
            <w:hideMark/>
          </w:tcPr>
          <w:p w14:paraId="6AC9B890"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0.956</w:t>
            </w:r>
          </w:p>
        </w:tc>
      </w:tr>
      <w:tr w:rsidR="00A227CE" w:rsidRPr="00C0591E" w14:paraId="203CA273" w14:textId="77777777" w:rsidTr="00191F36">
        <w:trPr>
          <w:trHeight w:val="288"/>
        </w:trPr>
        <w:tc>
          <w:tcPr>
            <w:tcW w:w="253" w:type="pct"/>
            <w:tcBorders>
              <w:top w:val="nil"/>
              <w:left w:val="nil"/>
              <w:bottom w:val="nil"/>
              <w:right w:val="nil"/>
            </w:tcBorders>
            <w:shd w:val="clear" w:color="auto" w:fill="auto"/>
            <w:noWrap/>
            <w:vAlign w:val="bottom"/>
            <w:hideMark/>
          </w:tcPr>
          <w:p w14:paraId="219D86D9"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2</w:t>
            </w:r>
          </w:p>
        </w:tc>
        <w:tc>
          <w:tcPr>
            <w:tcW w:w="3745" w:type="pct"/>
            <w:tcBorders>
              <w:top w:val="nil"/>
              <w:left w:val="nil"/>
              <w:bottom w:val="nil"/>
              <w:right w:val="nil"/>
            </w:tcBorders>
            <w:shd w:val="clear" w:color="auto" w:fill="auto"/>
            <w:vAlign w:val="bottom"/>
            <w:hideMark/>
          </w:tcPr>
          <w:p w14:paraId="334AE5EF"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 xml:space="preserve">Benefits processing period has decreased </w:t>
            </w:r>
          </w:p>
        </w:tc>
        <w:tc>
          <w:tcPr>
            <w:tcW w:w="1003" w:type="pct"/>
            <w:tcBorders>
              <w:top w:val="nil"/>
              <w:left w:val="nil"/>
              <w:bottom w:val="nil"/>
              <w:right w:val="nil"/>
            </w:tcBorders>
            <w:shd w:val="clear" w:color="auto" w:fill="auto"/>
            <w:noWrap/>
            <w:vAlign w:val="bottom"/>
            <w:hideMark/>
          </w:tcPr>
          <w:p w14:paraId="5B63D704"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0.978</w:t>
            </w:r>
          </w:p>
        </w:tc>
      </w:tr>
      <w:tr w:rsidR="00A227CE" w:rsidRPr="00C0591E" w14:paraId="3CE6F530" w14:textId="77777777" w:rsidTr="00191F36">
        <w:trPr>
          <w:trHeight w:val="288"/>
        </w:trPr>
        <w:tc>
          <w:tcPr>
            <w:tcW w:w="253" w:type="pct"/>
            <w:tcBorders>
              <w:top w:val="nil"/>
              <w:left w:val="nil"/>
              <w:bottom w:val="nil"/>
              <w:right w:val="nil"/>
            </w:tcBorders>
            <w:shd w:val="clear" w:color="auto" w:fill="auto"/>
            <w:noWrap/>
            <w:vAlign w:val="bottom"/>
            <w:hideMark/>
          </w:tcPr>
          <w:p w14:paraId="5130E221"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3</w:t>
            </w:r>
          </w:p>
        </w:tc>
        <w:tc>
          <w:tcPr>
            <w:tcW w:w="3745" w:type="pct"/>
            <w:tcBorders>
              <w:top w:val="nil"/>
              <w:left w:val="nil"/>
              <w:bottom w:val="nil"/>
              <w:right w:val="nil"/>
            </w:tcBorders>
            <w:shd w:val="clear" w:color="auto" w:fill="auto"/>
            <w:vAlign w:val="bottom"/>
            <w:hideMark/>
          </w:tcPr>
          <w:p w14:paraId="5B5FE959"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We have  improved our internal control system</w:t>
            </w:r>
          </w:p>
        </w:tc>
        <w:tc>
          <w:tcPr>
            <w:tcW w:w="1003" w:type="pct"/>
            <w:tcBorders>
              <w:top w:val="nil"/>
              <w:left w:val="nil"/>
              <w:bottom w:val="nil"/>
              <w:right w:val="nil"/>
            </w:tcBorders>
            <w:shd w:val="clear" w:color="auto" w:fill="auto"/>
            <w:noWrap/>
            <w:vAlign w:val="bottom"/>
            <w:hideMark/>
          </w:tcPr>
          <w:p w14:paraId="0987E19D"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0.845</w:t>
            </w:r>
          </w:p>
        </w:tc>
      </w:tr>
      <w:tr w:rsidR="00A227CE" w:rsidRPr="00C0591E" w14:paraId="72E00135" w14:textId="77777777" w:rsidTr="00191F36">
        <w:trPr>
          <w:trHeight w:val="288"/>
        </w:trPr>
        <w:tc>
          <w:tcPr>
            <w:tcW w:w="253" w:type="pct"/>
            <w:tcBorders>
              <w:top w:val="nil"/>
              <w:left w:val="nil"/>
              <w:bottom w:val="nil"/>
              <w:right w:val="nil"/>
            </w:tcBorders>
            <w:shd w:val="clear" w:color="auto" w:fill="auto"/>
            <w:noWrap/>
            <w:vAlign w:val="bottom"/>
            <w:hideMark/>
          </w:tcPr>
          <w:p w14:paraId="03591246"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4</w:t>
            </w:r>
          </w:p>
        </w:tc>
        <w:tc>
          <w:tcPr>
            <w:tcW w:w="3745" w:type="pct"/>
            <w:tcBorders>
              <w:top w:val="nil"/>
              <w:left w:val="nil"/>
              <w:bottom w:val="nil"/>
              <w:right w:val="nil"/>
            </w:tcBorders>
            <w:shd w:val="clear" w:color="auto" w:fill="auto"/>
            <w:vAlign w:val="bottom"/>
            <w:hideMark/>
          </w:tcPr>
          <w:p w14:paraId="0B1EC71F"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 xml:space="preserve">The time we spend in trustee meetings has decreased </w:t>
            </w:r>
          </w:p>
        </w:tc>
        <w:tc>
          <w:tcPr>
            <w:tcW w:w="1003" w:type="pct"/>
            <w:tcBorders>
              <w:top w:val="nil"/>
              <w:left w:val="nil"/>
              <w:bottom w:val="nil"/>
              <w:right w:val="nil"/>
            </w:tcBorders>
            <w:shd w:val="clear" w:color="auto" w:fill="auto"/>
            <w:noWrap/>
            <w:vAlign w:val="bottom"/>
            <w:hideMark/>
          </w:tcPr>
          <w:p w14:paraId="36C9B2E0"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0.768</w:t>
            </w:r>
          </w:p>
        </w:tc>
      </w:tr>
      <w:tr w:rsidR="00A227CE" w:rsidRPr="00C0591E" w14:paraId="00B48BF9" w14:textId="77777777" w:rsidTr="00191F36">
        <w:trPr>
          <w:trHeight w:val="288"/>
        </w:trPr>
        <w:tc>
          <w:tcPr>
            <w:tcW w:w="253" w:type="pct"/>
            <w:tcBorders>
              <w:top w:val="nil"/>
              <w:left w:val="nil"/>
              <w:bottom w:val="nil"/>
              <w:right w:val="nil"/>
            </w:tcBorders>
            <w:shd w:val="clear" w:color="auto" w:fill="auto"/>
            <w:noWrap/>
            <w:vAlign w:val="bottom"/>
            <w:hideMark/>
          </w:tcPr>
          <w:p w14:paraId="169B332F"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5</w:t>
            </w:r>
          </w:p>
        </w:tc>
        <w:tc>
          <w:tcPr>
            <w:tcW w:w="3745" w:type="pct"/>
            <w:tcBorders>
              <w:top w:val="nil"/>
              <w:left w:val="nil"/>
              <w:bottom w:val="nil"/>
              <w:right w:val="nil"/>
            </w:tcBorders>
            <w:shd w:val="clear" w:color="auto" w:fill="auto"/>
            <w:vAlign w:val="bottom"/>
            <w:hideMark/>
          </w:tcPr>
          <w:p w14:paraId="5B075F53"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Our records processing system has improved</w:t>
            </w:r>
          </w:p>
        </w:tc>
        <w:tc>
          <w:tcPr>
            <w:tcW w:w="1003" w:type="pct"/>
            <w:tcBorders>
              <w:top w:val="nil"/>
              <w:left w:val="nil"/>
              <w:bottom w:val="nil"/>
              <w:right w:val="nil"/>
            </w:tcBorders>
            <w:shd w:val="clear" w:color="auto" w:fill="auto"/>
            <w:noWrap/>
            <w:vAlign w:val="bottom"/>
            <w:hideMark/>
          </w:tcPr>
          <w:p w14:paraId="44E0D768"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0.897</w:t>
            </w:r>
          </w:p>
        </w:tc>
      </w:tr>
      <w:tr w:rsidR="00A227CE" w:rsidRPr="00C0591E" w14:paraId="5BE7D455" w14:textId="77777777" w:rsidTr="00191F36">
        <w:trPr>
          <w:trHeight w:val="288"/>
        </w:trPr>
        <w:tc>
          <w:tcPr>
            <w:tcW w:w="253" w:type="pct"/>
            <w:tcBorders>
              <w:top w:val="nil"/>
              <w:left w:val="nil"/>
              <w:bottom w:val="nil"/>
              <w:right w:val="nil"/>
            </w:tcBorders>
            <w:shd w:val="clear" w:color="auto" w:fill="auto"/>
            <w:noWrap/>
            <w:vAlign w:val="bottom"/>
            <w:hideMark/>
          </w:tcPr>
          <w:p w14:paraId="296A851B"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6</w:t>
            </w:r>
          </w:p>
        </w:tc>
        <w:tc>
          <w:tcPr>
            <w:tcW w:w="3745" w:type="pct"/>
            <w:tcBorders>
              <w:top w:val="nil"/>
              <w:left w:val="nil"/>
              <w:bottom w:val="nil"/>
              <w:right w:val="nil"/>
            </w:tcBorders>
            <w:shd w:val="clear" w:color="auto" w:fill="auto"/>
            <w:vAlign w:val="bottom"/>
            <w:hideMark/>
          </w:tcPr>
          <w:p w14:paraId="768138BE"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 xml:space="preserve">Time taken reporting to members has decreased </w:t>
            </w:r>
          </w:p>
        </w:tc>
        <w:tc>
          <w:tcPr>
            <w:tcW w:w="1003" w:type="pct"/>
            <w:tcBorders>
              <w:top w:val="nil"/>
              <w:left w:val="nil"/>
              <w:bottom w:val="nil"/>
              <w:right w:val="nil"/>
            </w:tcBorders>
            <w:shd w:val="clear" w:color="auto" w:fill="auto"/>
            <w:noWrap/>
            <w:vAlign w:val="bottom"/>
            <w:hideMark/>
          </w:tcPr>
          <w:p w14:paraId="566AD7DB"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0.974</w:t>
            </w:r>
          </w:p>
        </w:tc>
      </w:tr>
      <w:tr w:rsidR="00A227CE" w:rsidRPr="00C0591E" w14:paraId="49FCCC9B" w14:textId="77777777" w:rsidTr="00191F36">
        <w:trPr>
          <w:trHeight w:val="288"/>
        </w:trPr>
        <w:tc>
          <w:tcPr>
            <w:tcW w:w="253" w:type="pct"/>
            <w:tcBorders>
              <w:top w:val="nil"/>
              <w:left w:val="nil"/>
              <w:bottom w:val="nil"/>
              <w:right w:val="nil"/>
            </w:tcBorders>
            <w:shd w:val="clear" w:color="auto" w:fill="auto"/>
            <w:noWrap/>
            <w:vAlign w:val="bottom"/>
            <w:hideMark/>
          </w:tcPr>
          <w:p w14:paraId="67C9B0AB"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7</w:t>
            </w:r>
          </w:p>
        </w:tc>
        <w:tc>
          <w:tcPr>
            <w:tcW w:w="3745" w:type="pct"/>
            <w:tcBorders>
              <w:top w:val="nil"/>
              <w:left w:val="nil"/>
              <w:bottom w:val="nil"/>
              <w:right w:val="nil"/>
            </w:tcBorders>
            <w:shd w:val="clear" w:color="auto" w:fill="auto"/>
            <w:vAlign w:val="bottom"/>
            <w:hideMark/>
          </w:tcPr>
          <w:p w14:paraId="3F8B90A0"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 xml:space="preserve">Our compliance costs have decreased </w:t>
            </w:r>
          </w:p>
        </w:tc>
        <w:tc>
          <w:tcPr>
            <w:tcW w:w="1003" w:type="pct"/>
            <w:tcBorders>
              <w:top w:val="nil"/>
              <w:left w:val="nil"/>
              <w:bottom w:val="nil"/>
              <w:right w:val="nil"/>
            </w:tcBorders>
            <w:shd w:val="clear" w:color="auto" w:fill="auto"/>
            <w:noWrap/>
            <w:vAlign w:val="bottom"/>
            <w:hideMark/>
          </w:tcPr>
          <w:p w14:paraId="6838114E"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0.830</w:t>
            </w:r>
          </w:p>
        </w:tc>
      </w:tr>
      <w:tr w:rsidR="00A227CE" w:rsidRPr="00C0591E" w14:paraId="5129A7F9" w14:textId="77777777" w:rsidTr="00191F36">
        <w:trPr>
          <w:trHeight w:val="288"/>
        </w:trPr>
        <w:tc>
          <w:tcPr>
            <w:tcW w:w="253" w:type="pct"/>
            <w:tcBorders>
              <w:top w:val="nil"/>
              <w:left w:val="nil"/>
              <w:bottom w:val="nil"/>
              <w:right w:val="nil"/>
            </w:tcBorders>
            <w:shd w:val="clear" w:color="auto" w:fill="auto"/>
            <w:noWrap/>
            <w:vAlign w:val="bottom"/>
            <w:hideMark/>
          </w:tcPr>
          <w:p w14:paraId="02422609"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8</w:t>
            </w:r>
          </w:p>
        </w:tc>
        <w:tc>
          <w:tcPr>
            <w:tcW w:w="3745" w:type="pct"/>
            <w:tcBorders>
              <w:top w:val="nil"/>
              <w:left w:val="nil"/>
              <w:bottom w:val="nil"/>
              <w:right w:val="nil"/>
            </w:tcBorders>
            <w:shd w:val="clear" w:color="auto" w:fill="auto"/>
            <w:vAlign w:val="bottom"/>
            <w:hideMark/>
          </w:tcPr>
          <w:p w14:paraId="3EB9E4F0" w14:textId="50C9C726" w:rsidR="00A227CE" w:rsidRPr="00C0591E" w:rsidRDefault="00A227CE" w:rsidP="00191F36">
            <w:pPr>
              <w:spacing w:after="0" w:line="240" w:lineRule="auto"/>
              <w:jc w:val="left"/>
              <w:rPr>
                <w:rFonts w:eastAsia="Times New Roman" w:cs="Times New Roman"/>
                <w:color w:val="000000"/>
                <w:szCs w:val="24"/>
              </w:rPr>
            </w:pPr>
            <w:r w:rsidRPr="00C0591E">
              <w:rPr>
                <w:rFonts w:eastAsia="Times New Roman" w:cs="Times New Roman"/>
                <w:color w:val="000000"/>
                <w:szCs w:val="24"/>
              </w:rPr>
              <w:t xml:space="preserve">Our rate of investment has increased </w:t>
            </w:r>
          </w:p>
        </w:tc>
        <w:tc>
          <w:tcPr>
            <w:tcW w:w="1003" w:type="pct"/>
            <w:tcBorders>
              <w:top w:val="nil"/>
              <w:left w:val="nil"/>
              <w:bottom w:val="nil"/>
              <w:right w:val="nil"/>
            </w:tcBorders>
            <w:shd w:val="clear" w:color="auto" w:fill="auto"/>
            <w:noWrap/>
            <w:vAlign w:val="bottom"/>
            <w:hideMark/>
          </w:tcPr>
          <w:p w14:paraId="7C909178"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0.990</w:t>
            </w:r>
          </w:p>
        </w:tc>
      </w:tr>
      <w:tr w:rsidR="00A227CE" w:rsidRPr="00C0591E" w14:paraId="7CD7F02F" w14:textId="77777777" w:rsidTr="00191F36">
        <w:trPr>
          <w:trHeight w:val="288"/>
        </w:trPr>
        <w:tc>
          <w:tcPr>
            <w:tcW w:w="253" w:type="pct"/>
            <w:tcBorders>
              <w:top w:val="nil"/>
              <w:left w:val="nil"/>
              <w:bottom w:val="nil"/>
              <w:right w:val="nil"/>
            </w:tcBorders>
            <w:shd w:val="clear" w:color="auto" w:fill="auto"/>
            <w:noWrap/>
            <w:vAlign w:val="bottom"/>
            <w:hideMark/>
          </w:tcPr>
          <w:p w14:paraId="461DCD34"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9</w:t>
            </w:r>
          </w:p>
        </w:tc>
        <w:tc>
          <w:tcPr>
            <w:tcW w:w="3745" w:type="pct"/>
            <w:tcBorders>
              <w:top w:val="nil"/>
              <w:left w:val="nil"/>
              <w:bottom w:val="nil"/>
              <w:right w:val="nil"/>
            </w:tcBorders>
            <w:shd w:val="clear" w:color="auto" w:fill="auto"/>
            <w:vAlign w:val="bottom"/>
            <w:hideMark/>
          </w:tcPr>
          <w:p w14:paraId="00562441"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Member involvement in decision-making in our plan has increased</w:t>
            </w:r>
          </w:p>
        </w:tc>
        <w:tc>
          <w:tcPr>
            <w:tcW w:w="1003" w:type="pct"/>
            <w:tcBorders>
              <w:top w:val="nil"/>
              <w:left w:val="nil"/>
              <w:bottom w:val="nil"/>
              <w:right w:val="nil"/>
            </w:tcBorders>
            <w:shd w:val="clear" w:color="auto" w:fill="auto"/>
            <w:noWrap/>
            <w:vAlign w:val="bottom"/>
            <w:hideMark/>
          </w:tcPr>
          <w:p w14:paraId="03B9755C"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0.994</w:t>
            </w:r>
          </w:p>
        </w:tc>
      </w:tr>
      <w:tr w:rsidR="00A227CE" w:rsidRPr="00C0591E" w14:paraId="6774EA3E" w14:textId="77777777" w:rsidTr="00191F36">
        <w:trPr>
          <w:trHeight w:val="288"/>
        </w:trPr>
        <w:tc>
          <w:tcPr>
            <w:tcW w:w="253" w:type="pct"/>
            <w:tcBorders>
              <w:top w:val="nil"/>
              <w:left w:val="nil"/>
              <w:bottom w:val="nil"/>
              <w:right w:val="nil"/>
            </w:tcBorders>
            <w:shd w:val="clear" w:color="auto" w:fill="auto"/>
            <w:noWrap/>
            <w:vAlign w:val="bottom"/>
            <w:hideMark/>
          </w:tcPr>
          <w:p w14:paraId="03263845"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10</w:t>
            </w:r>
          </w:p>
        </w:tc>
        <w:tc>
          <w:tcPr>
            <w:tcW w:w="3745" w:type="pct"/>
            <w:tcBorders>
              <w:top w:val="nil"/>
              <w:left w:val="nil"/>
              <w:bottom w:val="nil"/>
              <w:right w:val="nil"/>
            </w:tcBorders>
            <w:shd w:val="clear" w:color="auto" w:fill="auto"/>
            <w:vAlign w:val="bottom"/>
            <w:hideMark/>
          </w:tcPr>
          <w:p w14:paraId="6C495FB1"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Sponsor involvement in our pension plan has decreased significantly</w:t>
            </w:r>
          </w:p>
        </w:tc>
        <w:tc>
          <w:tcPr>
            <w:tcW w:w="1003" w:type="pct"/>
            <w:tcBorders>
              <w:top w:val="nil"/>
              <w:left w:val="nil"/>
              <w:bottom w:val="nil"/>
              <w:right w:val="nil"/>
            </w:tcBorders>
            <w:shd w:val="clear" w:color="auto" w:fill="auto"/>
            <w:noWrap/>
            <w:vAlign w:val="bottom"/>
            <w:hideMark/>
          </w:tcPr>
          <w:p w14:paraId="55E90515"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0.992</w:t>
            </w:r>
          </w:p>
        </w:tc>
      </w:tr>
      <w:tr w:rsidR="00A227CE" w:rsidRPr="00C0591E" w14:paraId="09B42F9B" w14:textId="77777777" w:rsidTr="00191F36">
        <w:trPr>
          <w:trHeight w:val="576"/>
        </w:trPr>
        <w:tc>
          <w:tcPr>
            <w:tcW w:w="253" w:type="pct"/>
            <w:tcBorders>
              <w:top w:val="nil"/>
              <w:left w:val="nil"/>
              <w:bottom w:val="nil"/>
              <w:right w:val="nil"/>
            </w:tcBorders>
            <w:shd w:val="clear" w:color="auto" w:fill="auto"/>
            <w:noWrap/>
            <w:vAlign w:val="bottom"/>
            <w:hideMark/>
          </w:tcPr>
          <w:p w14:paraId="0B4B30C8"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11</w:t>
            </w:r>
          </w:p>
        </w:tc>
        <w:tc>
          <w:tcPr>
            <w:tcW w:w="3745" w:type="pct"/>
            <w:tcBorders>
              <w:top w:val="nil"/>
              <w:left w:val="nil"/>
              <w:bottom w:val="nil"/>
              <w:right w:val="nil"/>
            </w:tcBorders>
            <w:shd w:val="clear" w:color="auto" w:fill="auto"/>
            <w:vAlign w:val="bottom"/>
            <w:hideMark/>
          </w:tcPr>
          <w:p w14:paraId="5E9B1D7B"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We have experience less under-funding (pension liabilities exceed pension assets) in our pension fund over the years</w:t>
            </w:r>
          </w:p>
        </w:tc>
        <w:tc>
          <w:tcPr>
            <w:tcW w:w="1003" w:type="pct"/>
            <w:tcBorders>
              <w:top w:val="nil"/>
              <w:left w:val="nil"/>
              <w:bottom w:val="nil"/>
              <w:right w:val="nil"/>
            </w:tcBorders>
            <w:shd w:val="clear" w:color="auto" w:fill="auto"/>
            <w:noWrap/>
            <w:vAlign w:val="bottom"/>
            <w:hideMark/>
          </w:tcPr>
          <w:p w14:paraId="7FC6D3B1"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0.972</w:t>
            </w:r>
          </w:p>
        </w:tc>
      </w:tr>
      <w:tr w:rsidR="00A227CE" w:rsidRPr="00C0591E" w14:paraId="50403A8D" w14:textId="77777777" w:rsidTr="00191F36">
        <w:trPr>
          <w:trHeight w:val="576"/>
        </w:trPr>
        <w:tc>
          <w:tcPr>
            <w:tcW w:w="253" w:type="pct"/>
            <w:tcBorders>
              <w:top w:val="nil"/>
              <w:left w:val="nil"/>
              <w:bottom w:val="nil"/>
              <w:right w:val="nil"/>
            </w:tcBorders>
            <w:shd w:val="clear" w:color="auto" w:fill="auto"/>
            <w:noWrap/>
            <w:vAlign w:val="bottom"/>
            <w:hideMark/>
          </w:tcPr>
          <w:p w14:paraId="6092FBFD"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12</w:t>
            </w:r>
          </w:p>
        </w:tc>
        <w:tc>
          <w:tcPr>
            <w:tcW w:w="3745" w:type="pct"/>
            <w:tcBorders>
              <w:top w:val="nil"/>
              <w:left w:val="nil"/>
              <w:bottom w:val="nil"/>
              <w:right w:val="nil"/>
            </w:tcBorders>
            <w:shd w:val="clear" w:color="auto" w:fill="auto"/>
            <w:vAlign w:val="bottom"/>
            <w:hideMark/>
          </w:tcPr>
          <w:p w14:paraId="01D9F8F9"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We have been appointing service providers on competitive bidding over the years</w:t>
            </w:r>
          </w:p>
        </w:tc>
        <w:tc>
          <w:tcPr>
            <w:tcW w:w="1003" w:type="pct"/>
            <w:tcBorders>
              <w:top w:val="nil"/>
              <w:left w:val="nil"/>
              <w:bottom w:val="nil"/>
              <w:right w:val="nil"/>
            </w:tcBorders>
            <w:shd w:val="clear" w:color="auto" w:fill="auto"/>
            <w:noWrap/>
            <w:vAlign w:val="bottom"/>
            <w:hideMark/>
          </w:tcPr>
          <w:p w14:paraId="223116B1"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0.956</w:t>
            </w:r>
          </w:p>
        </w:tc>
      </w:tr>
      <w:tr w:rsidR="00A227CE" w:rsidRPr="00C0591E" w14:paraId="69563810" w14:textId="77777777" w:rsidTr="00191F36">
        <w:trPr>
          <w:trHeight w:val="288"/>
        </w:trPr>
        <w:tc>
          <w:tcPr>
            <w:tcW w:w="253" w:type="pct"/>
            <w:tcBorders>
              <w:top w:val="nil"/>
              <w:left w:val="nil"/>
              <w:bottom w:val="nil"/>
              <w:right w:val="nil"/>
            </w:tcBorders>
            <w:shd w:val="clear" w:color="auto" w:fill="auto"/>
            <w:noWrap/>
            <w:vAlign w:val="bottom"/>
            <w:hideMark/>
          </w:tcPr>
          <w:p w14:paraId="4B13112F"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13</w:t>
            </w:r>
          </w:p>
        </w:tc>
        <w:tc>
          <w:tcPr>
            <w:tcW w:w="3745" w:type="pct"/>
            <w:tcBorders>
              <w:top w:val="nil"/>
              <w:left w:val="nil"/>
              <w:bottom w:val="nil"/>
              <w:right w:val="nil"/>
            </w:tcBorders>
            <w:shd w:val="clear" w:color="auto" w:fill="auto"/>
            <w:vAlign w:val="bottom"/>
            <w:hideMark/>
          </w:tcPr>
          <w:p w14:paraId="3587095F"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We have been successfully complying to RBA regulations over the years</w:t>
            </w:r>
          </w:p>
        </w:tc>
        <w:tc>
          <w:tcPr>
            <w:tcW w:w="1003" w:type="pct"/>
            <w:tcBorders>
              <w:top w:val="nil"/>
              <w:left w:val="nil"/>
              <w:bottom w:val="nil"/>
              <w:right w:val="nil"/>
            </w:tcBorders>
            <w:shd w:val="clear" w:color="auto" w:fill="auto"/>
            <w:noWrap/>
            <w:vAlign w:val="bottom"/>
            <w:hideMark/>
          </w:tcPr>
          <w:p w14:paraId="187F5E6D"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0.978</w:t>
            </w:r>
          </w:p>
        </w:tc>
      </w:tr>
      <w:tr w:rsidR="00A227CE" w:rsidRPr="00C0591E" w14:paraId="1BE6567E" w14:textId="77777777" w:rsidTr="00191F36">
        <w:trPr>
          <w:trHeight w:val="288"/>
        </w:trPr>
        <w:tc>
          <w:tcPr>
            <w:tcW w:w="253" w:type="pct"/>
            <w:tcBorders>
              <w:top w:val="nil"/>
              <w:left w:val="nil"/>
              <w:bottom w:val="nil"/>
              <w:right w:val="nil"/>
            </w:tcBorders>
            <w:shd w:val="clear" w:color="auto" w:fill="auto"/>
            <w:noWrap/>
            <w:vAlign w:val="bottom"/>
            <w:hideMark/>
          </w:tcPr>
          <w:p w14:paraId="2BB1AE0F"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14</w:t>
            </w:r>
          </w:p>
        </w:tc>
        <w:tc>
          <w:tcPr>
            <w:tcW w:w="3745" w:type="pct"/>
            <w:tcBorders>
              <w:top w:val="nil"/>
              <w:left w:val="nil"/>
              <w:bottom w:val="nil"/>
              <w:right w:val="nil"/>
            </w:tcBorders>
            <w:shd w:val="clear" w:color="auto" w:fill="auto"/>
            <w:vAlign w:val="bottom"/>
            <w:hideMark/>
          </w:tcPr>
          <w:p w14:paraId="5A6F2CAC"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Continuous finance education to trustees by the pension fund</w:t>
            </w:r>
          </w:p>
        </w:tc>
        <w:tc>
          <w:tcPr>
            <w:tcW w:w="1003" w:type="pct"/>
            <w:tcBorders>
              <w:top w:val="nil"/>
              <w:left w:val="nil"/>
              <w:bottom w:val="nil"/>
              <w:right w:val="nil"/>
            </w:tcBorders>
            <w:shd w:val="clear" w:color="auto" w:fill="auto"/>
            <w:noWrap/>
            <w:vAlign w:val="bottom"/>
            <w:hideMark/>
          </w:tcPr>
          <w:p w14:paraId="7611974D"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0.994</w:t>
            </w:r>
          </w:p>
        </w:tc>
      </w:tr>
      <w:tr w:rsidR="00A227CE" w:rsidRPr="00C0591E" w14:paraId="7E6F2F0E" w14:textId="77777777" w:rsidTr="00191F36">
        <w:trPr>
          <w:trHeight w:val="576"/>
        </w:trPr>
        <w:tc>
          <w:tcPr>
            <w:tcW w:w="253" w:type="pct"/>
            <w:tcBorders>
              <w:top w:val="nil"/>
              <w:left w:val="nil"/>
              <w:bottom w:val="nil"/>
              <w:right w:val="nil"/>
            </w:tcBorders>
            <w:shd w:val="clear" w:color="auto" w:fill="auto"/>
            <w:noWrap/>
            <w:vAlign w:val="bottom"/>
            <w:hideMark/>
          </w:tcPr>
          <w:p w14:paraId="6E90DA71"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15</w:t>
            </w:r>
          </w:p>
        </w:tc>
        <w:tc>
          <w:tcPr>
            <w:tcW w:w="3745" w:type="pct"/>
            <w:tcBorders>
              <w:top w:val="nil"/>
              <w:left w:val="nil"/>
              <w:bottom w:val="nil"/>
              <w:right w:val="nil"/>
            </w:tcBorders>
            <w:shd w:val="clear" w:color="auto" w:fill="auto"/>
            <w:vAlign w:val="bottom"/>
            <w:hideMark/>
          </w:tcPr>
          <w:p w14:paraId="46190382"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The pension fund using an internal control system of documenting, monitoring and reporting its operations</w:t>
            </w:r>
          </w:p>
        </w:tc>
        <w:tc>
          <w:tcPr>
            <w:tcW w:w="1003" w:type="pct"/>
            <w:tcBorders>
              <w:top w:val="nil"/>
              <w:left w:val="nil"/>
              <w:bottom w:val="nil"/>
              <w:right w:val="nil"/>
            </w:tcBorders>
            <w:shd w:val="clear" w:color="auto" w:fill="auto"/>
            <w:noWrap/>
            <w:vAlign w:val="bottom"/>
            <w:hideMark/>
          </w:tcPr>
          <w:p w14:paraId="48A85FC7"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0.897</w:t>
            </w:r>
          </w:p>
        </w:tc>
      </w:tr>
      <w:tr w:rsidR="00A227CE" w:rsidRPr="00C0591E" w14:paraId="21F609FB" w14:textId="77777777" w:rsidTr="00191F36">
        <w:trPr>
          <w:trHeight w:val="288"/>
        </w:trPr>
        <w:tc>
          <w:tcPr>
            <w:tcW w:w="253" w:type="pct"/>
            <w:tcBorders>
              <w:top w:val="nil"/>
              <w:left w:val="nil"/>
              <w:bottom w:val="nil"/>
              <w:right w:val="nil"/>
            </w:tcBorders>
            <w:shd w:val="clear" w:color="auto" w:fill="auto"/>
            <w:noWrap/>
            <w:vAlign w:val="bottom"/>
            <w:hideMark/>
          </w:tcPr>
          <w:p w14:paraId="0A6D1D28"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16</w:t>
            </w:r>
          </w:p>
        </w:tc>
        <w:tc>
          <w:tcPr>
            <w:tcW w:w="3745" w:type="pct"/>
            <w:tcBorders>
              <w:top w:val="nil"/>
              <w:left w:val="nil"/>
              <w:bottom w:val="nil"/>
              <w:right w:val="nil"/>
            </w:tcBorders>
            <w:shd w:val="clear" w:color="auto" w:fill="auto"/>
            <w:vAlign w:val="bottom"/>
            <w:hideMark/>
          </w:tcPr>
          <w:p w14:paraId="17043EC2"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Effective communication to members by the pension fund</w:t>
            </w:r>
          </w:p>
        </w:tc>
        <w:tc>
          <w:tcPr>
            <w:tcW w:w="1003" w:type="pct"/>
            <w:tcBorders>
              <w:top w:val="nil"/>
              <w:left w:val="nil"/>
              <w:bottom w:val="nil"/>
              <w:right w:val="nil"/>
            </w:tcBorders>
            <w:shd w:val="clear" w:color="auto" w:fill="auto"/>
            <w:noWrap/>
            <w:vAlign w:val="bottom"/>
            <w:hideMark/>
          </w:tcPr>
          <w:p w14:paraId="18E846EF"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0.974</w:t>
            </w:r>
          </w:p>
        </w:tc>
      </w:tr>
      <w:tr w:rsidR="00A227CE" w:rsidRPr="00C0591E" w14:paraId="2548D31C" w14:textId="77777777" w:rsidTr="00191F36">
        <w:trPr>
          <w:trHeight w:val="288"/>
        </w:trPr>
        <w:tc>
          <w:tcPr>
            <w:tcW w:w="253" w:type="pct"/>
            <w:tcBorders>
              <w:top w:val="nil"/>
              <w:left w:val="nil"/>
              <w:bottom w:val="nil"/>
              <w:right w:val="nil"/>
            </w:tcBorders>
            <w:shd w:val="clear" w:color="auto" w:fill="auto"/>
            <w:noWrap/>
            <w:vAlign w:val="bottom"/>
            <w:hideMark/>
          </w:tcPr>
          <w:p w14:paraId="76E99CC6"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17</w:t>
            </w:r>
          </w:p>
        </w:tc>
        <w:tc>
          <w:tcPr>
            <w:tcW w:w="3745" w:type="pct"/>
            <w:tcBorders>
              <w:top w:val="nil"/>
              <w:left w:val="nil"/>
              <w:bottom w:val="nil"/>
              <w:right w:val="nil"/>
            </w:tcBorders>
            <w:shd w:val="clear" w:color="auto" w:fill="auto"/>
            <w:vAlign w:val="bottom"/>
            <w:hideMark/>
          </w:tcPr>
          <w:p w14:paraId="7B3059C7"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The pension fund clearly defining the roles of trustees</w:t>
            </w:r>
          </w:p>
        </w:tc>
        <w:tc>
          <w:tcPr>
            <w:tcW w:w="1003" w:type="pct"/>
            <w:tcBorders>
              <w:top w:val="nil"/>
              <w:left w:val="nil"/>
              <w:bottom w:val="nil"/>
              <w:right w:val="nil"/>
            </w:tcBorders>
            <w:shd w:val="clear" w:color="auto" w:fill="auto"/>
            <w:noWrap/>
            <w:vAlign w:val="bottom"/>
            <w:hideMark/>
          </w:tcPr>
          <w:p w14:paraId="08F11F42"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0.830</w:t>
            </w:r>
          </w:p>
        </w:tc>
      </w:tr>
      <w:tr w:rsidR="00A227CE" w:rsidRPr="00C0591E" w14:paraId="3FA3C12F" w14:textId="77777777" w:rsidTr="00191F36">
        <w:trPr>
          <w:trHeight w:val="288"/>
        </w:trPr>
        <w:tc>
          <w:tcPr>
            <w:tcW w:w="253" w:type="pct"/>
            <w:tcBorders>
              <w:top w:val="nil"/>
              <w:left w:val="nil"/>
              <w:bottom w:val="nil"/>
              <w:right w:val="nil"/>
            </w:tcBorders>
            <w:shd w:val="clear" w:color="auto" w:fill="auto"/>
            <w:noWrap/>
            <w:vAlign w:val="bottom"/>
            <w:hideMark/>
          </w:tcPr>
          <w:p w14:paraId="75D7B27C"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18</w:t>
            </w:r>
          </w:p>
        </w:tc>
        <w:tc>
          <w:tcPr>
            <w:tcW w:w="3745" w:type="pct"/>
            <w:tcBorders>
              <w:top w:val="nil"/>
              <w:left w:val="nil"/>
              <w:bottom w:val="nil"/>
              <w:right w:val="nil"/>
            </w:tcBorders>
            <w:shd w:val="clear" w:color="auto" w:fill="auto"/>
            <w:vAlign w:val="bottom"/>
            <w:hideMark/>
          </w:tcPr>
          <w:p w14:paraId="6EE72CAA"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Adhering to RBA’s regulation of fees charged by service operators</w:t>
            </w:r>
          </w:p>
        </w:tc>
        <w:tc>
          <w:tcPr>
            <w:tcW w:w="1003" w:type="pct"/>
            <w:tcBorders>
              <w:top w:val="nil"/>
              <w:left w:val="nil"/>
              <w:bottom w:val="nil"/>
              <w:right w:val="nil"/>
            </w:tcBorders>
            <w:shd w:val="clear" w:color="auto" w:fill="auto"/>
            <w:noWrap/>
            <w:vAlign w:val="bottom"/>
            <w:hideMark/>
          </w:tcPr>
          <w:p w14:paraId="35A96C12"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0.990</w:t>
            </w:r>
          </w:p>
        </w:tc>
      </w:tr>
      <w:tr w:rsidR="00A227CE" w:rsidRPr="00C0591E" w14:paraId="52F92977" w14:textId="77777777" w:rsidTr="00191F36">
        <w:trPr>
          <w:trHeight w:val="288"/>
        </w:trPr>
        <w:tc>
          <w:tcPr>
            <w:tcW w:w="253" w:type="pct"/>
            <w:tcBorders>
              <w:top w:val="nil"/>
              <w:left w:val="nil"/>
              <w:bottom w:val="nil"/>
              <w:right w:val="nil"/>
            </w:tcBorders>
            <w:shd w:val="clear" w:color="auto" w:fill="auto"/>
            <w:noWrap/>
            <w:vAlign w:val="bottom"/>
            <w:hideMark/>
          </w:tcPr>
          <w:p w14:paraId="08370F54"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19</w:t>
            </w:r>
          </w:p>
        </w:tc>
        <w:tc>
          <w:tcPr>
            <w:tcW w:w="3745" w:type="pct"/>
            <w:tcBorders>
              <w:top w:val="nil"/>
              <w:left w:val="nil"/>
              <w:bottom w:val="nil"/>
              <w:right w:val="nil"/>
            </w:tcBorders>
            <w:shd w:val="clear" w:color="auto" w:fill="auto"/>
            <w:vAlign w:val="bottom"/>
            <w:hideMark/>
          </w:tcPr>
          <w:p w14:paraId="4353C888"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Our pension fund faces bankruptcy if our employers cease to exist</w:t>
            </w:r>
          </w:p>
        </w:tc>
        <w:tc>
          <w:tcPr>
            <w:tcW w:w="1003" w:type="pct"/>
            <w:tcBorders>
              <w:top w:val="nil"/>
              <w:left w:val="nil"/>
              <w:bottom w:val="nil"/>
              <w:right w:val="nil"/>
            </w:tcBorders>
            <w:shd w:val="clear" w:color="auto" w:fill="auto"/>
            <w:noWrap/>
            <w:vAlign w:val="bottom"/>
            <w:hideMark/>
          </w:tcPr>
          <w:p w14:paraId="0040DA09"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0.994</w:t>
            </w:r>
          </w:p>
        </w:tc>
      </w:tr>
      <w:tr w:rsidR="00A227CE" w:rsidRPr="00C0591E" w14:paraId="1FCFDFD9" w14:textId="77777777" w:rsidTr="00191F36">
        <w:trPr>
          <w:trHeight w:val="576"/>
        </w:trPr>
        <w:tc>
          <w:tcPr>
            <w:tcW w:w="253" w:type="pct"/>
            <w:tcBorders>
              <w:top w:val="nil"/>
              <w:left w:val="nil"/>
              <w:bottom w:val="nil"/>
              <w:right w:val="nil"/>
            </w:tcBorders>
            <w:shd w:val="clear" w:color="auto" w:fill="auto"/>
            <w:noWrap/>
            <w:vAlign w:val="bottom"/>
            <w:hideMark/>
          </w:tcPr>
          <w:p w14:paraId="3BB89BCA"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20</w:t>
            </w:r>
          </w:p>
        </w:tc>
        <w:tc>
          <w:tcPr>
            <w:tcW w:w="3745" w:type="pct"/>
            <w:tcBorders>
              <w:top w:val="nil"/>
              <w:left w:val="nil"/>
              <w:bottom w:val="nil"/>
              <w:right w:val="nil"/>
            </w:tcBorders>
            <w:shd w:val="clear" w:color="auto" w:fill="auto"/>
            <w:vAlign w:val="bottom"/>
            <w:hideMark/>
          </w:tcPr>
          <w:p w14:paraId="343D6947" w14:textId="77777777" w:rsidR="00A227CE" w:rsidRPr="00C0591E" w:rsidRDefault="00A227CE" w:rsidP="00E40D44">
            <w:pPr>
              <w:spacing w:after="0" w:line="240" w:lineRule="auto"/>
              <w:jc w:val="left"/>
              <w:rPr>
                <w:rFonts w:eastAsia="Times New Roman" w:cs="Times New Roman"/>
                <w:color w:val="000000"/>
                <w:szCs w:val="24"/>
              </w:rPr>
            </w:pPr>
            <w:r w:rsidRPr="00C0591E">
              <w:rPr>
                <w:rFonts w:eastAsia="Times New Roman" w:cs="Times New Roman"/>
                <w:color w:val="000000"/>
                <w:szCs w:val="24"/>
              </w:rPr>
              <w:t>Our investment strategies are based on findings of market research conducted by fund managers</w:t>
            </w:r>
          </w:p>
        </w:tc>
        <w:tc>
          <w:tcPr>
            <w:tcW w:w="1003" w:type="pct"/>
            <w:tcBorders>
              <w:top w:val="nil"/>
              <w:left w:val="nil"/>
              <w:bottom w:val="nil"/>
              <w:right w:val="nil"/>
            </w:tcBorders>
            <w:shd w:val="clear" w:color="auto" w:fill="auto"/>
            <w:noWrap/>
            <w:vAlign w:val="bottom"/>
            <w:hideMark/>
          </w:tcPr>
          <w:p w14:paraId="32FC9AEA" w14:textId="77777777" w:rsidR="00A227CE" w:rsidRPr="00C0591E" w:rsidRDefault="00A227CE" w:rsidP="00E40D44">
            <w:pPr>
              <w:spacing w:after="0" w:line="240" w:lineRule="auto"/>
              <w:jc w:val="right"/>
              <w:rPr>
                <w:rFonts w:eastAsia="Times New Roman" w:cs="Times New Roman"/>
                <w:color w:val="000000"/>
                <w:szCs w:val="24"/>
              </w:rPr>
            </w:pPr>
            <w:r w:rsidRPr="00C0591E">
              <w:rPr>
                <w:rFonts w:eastAsia="Times New Roman" w:cs="Times New Roman"/>
                <w:color w:val="000000"/>
                <w:szCs w:val="24"/>
              </w:rPr>
              <w:t>0.992</w:t>
            </w:r>
          </w:p>
        </w:tc>
      </w:tr>
    </w:tbl>
    <w:p w14:paraId="1DABB06D" w14:textId="6A6930D4" w:rsidR="00A227CE" w:rsidRPr="00C0591E" w:rsidRDefault="00A227CE" w:rsidP="00A227CE">
      <w:r w:rsidRPr="00C0591E">
        <w:t xml:space="preserve">The outputs in Table </w:t>
      </w:r>
      <w:r w:rsidR="00191F36" w:rsidRPr="00C0591E">
        <w:t>14</w:t>
      </w:r>
      <w:r w:rsidRPr="00C0591E">
        <w:t xml:space="preserve"> show that all the statements on performance had factor loading values greater than 0.5 and therefore they were accepted and thus no sub variable was dropped.</w:t>
      </w:r>
    </w:p>
    <w:p w14:paraId="210DFB4F" w14:textId="55561EBE" w:rsidR="00A227CE" w:rsidRPr="00C0591E" w:rsidRDefault="00C1099B" w:rsidP="00A227CE">
      <w:pPr>
        <w:keepNext/>
        <w:keepLines/>
        <w:outlineLvl w:val="2"/>
        <w:rPr>
          <w:rFonts w:eastAsiaTheme="majorEastAsia" w:cstheme="majorBidi"/>
          <w:b/>
          <w:szCs w:val="24"/>
        </w:rPr>
      </w:pPr>
      <w:bookmarkStart w:id="179" w:name="_Toc10827056"/>
      <w:bookmarkStart w:id="180" w:name="_Toc20424339"/>
      <w:r w:rsidRPr="00C0591E">
        <w:rPr>
          <w:rFonts w:eastAsiaTheme="majorEastAsia" w:cstheme="majorBidi"/>
          <w:b/>
          <w:szCs w:val="24"/>
        </w:rPr>
        <w:t>4.4</w:t>
      </w:r>
      <w:r w:rsidR="00A227CE" w:rsidRPr="00C0591E">
        <w:rPr>
          <w:rFonts w:eastAsiaTheme="majorEastAsia" w:cstheme="majorBidi"/>
          <w:b/>
          <w:szCs w:val="24"/>
        </w:rPr>
        <w:t>.3 Diagnostics Tests</w:t>
      </w:r>
      <w:bookmarkEnd w:id="179"/>
      <w:bookmarkEnd w:id="180"/>
    </w:p>
    <w:p w14:paraId="306ECA2F" w14:textId="7A38E4AA" w:rsidR="00A227CE" w:rsidRPr="00C0591E" w:rsidRDefault="00A227CE" w:rsidP="00C1099B">
      <w:r w:rsidRPr="00C0591E">
        <w:t>The study conducted different diagnostic tests to make sure that the postulations of Classical Linear Regression Model (CLRM) are not contravened and to select the appropriate models for investigation in the event (CLRM) postulations are violated. Thus, prior to running a regression model pre-estimation and post estimation tests have been conducted. The pre-estimation tests conducted in this case are the normality test, multicollinearity, and heteroscedasticity and linearity tests. Each of them is discussed in the subsequent sections.</w:t>
      </w:r>
    </w:p>
    <w:p w14:paraId="254F47AA" w14:textId="38100F38" w:rsidR="00A227CE" w:rsidRPr="00C0591E" w:rsidRDefault="00C1099B" w:rsidP="00A227CE">
      <w:pPr>
        <w:keepNext/>
        <w:keepLines/>
        <w:outlineLvl w:val="2"/>
        <w:rPr>
          <w:rFonts w:eastAsiaTheme="majorEastAsia" w:cstheme="majorBidi"/>
          <w:b/>
          <w:szCs w:val="24"/>
        </w:rPr>
      </w:pPr>
      <w:bookmarkStart w:id="181" w:name="_Toc10827057"/>
      <w:bookmarkStart w:id="182" w:name="_Toc20424340"/>
      <w:r w:rsidRPr="00C0591E">
        <w:rPr>
          <w:rFonts w:eastAsiaTheme="majorEastAsia" w:cstheme="majorBidi"/>
          <w:b/>
          <w:szCs w:val="24"/>
        </w:rPr>
        <w:t>4</w:t>
      </w:r>
      <w:r w:rsidR="00A227CE" w:rsidRPr="00C0591E">
        <w:rPr>
          <w:rFonts w:eastAsiaTheme="majorEastAsia" w:cstheme="majorBidi"/>
          <w:b/>
          <w:szCs w:val="24"/>
        </w:rPr>
        <w:t>.</w:t>
      </w:r>
      <w:r w:rsidRPr="00C0591E">
        <w:rPr>
          <w:rFonts w:eastAsiaTheme="majorEastAsia" w:cstheme="majorBidi"/>
          <w:b/>
          <w:szCs w:val="24"/>
        </w:rPr>
        <w:t>4</w:t>
      </w:r>
      <w:r w:rsidR="00A227CE" w:rsidRPr="00C0591E">
        <w:rPr>
          <w:rFonts w:eastAsiaTheme="majorEastAsia" w:cstheme="majorBidi"/>
          <w:b/>
          <w:szCs w:val="24"/>
        </w:rPr>
        <w:t>.</w:t>
      </w:r>
      <w:r w:rsidRPr="00C0591E">
        <w:rPr>
          <w:rFonts w:eastAsiaTheme="majorEastAsia" w:cstheme="majorBidi"/>
          <w:b/>
          <w:szCs w:val="24"/>
        </w:rPr>
        <w:t>3.</w:t>
      </w:r>
      <w:r w:rsidR="00A227CE" w:rsidRPr="00C0591E">
        <w:rPr>
          <w:rFonts w:eastAsiaTheme="majorEastAsia" w:cstheme="majorBidi"/>
          <w:b/>
          <w:szCs w:val="24"/>
        </w:rPr>
        <w:t>1 Normality Test</w:t>
      </w:r>
      <w:bookmarkEnd w:id="181"/>
      <w:bookmarkEnd w:id="182"/>
    </w:p>
    <w:p w14:paraId="6D7D0F62" w14:textId="5A7B1221" w:rsidR="00A227CE" w:rsidRPr="00C0591E" w:rsidRDefault="00A227CE" w:rsidP="00A227CE">
      <w:r w:rsidRPr="00C0591E">
        <w:rPr>
          <w:kern w:val="32"/>
          <w:szCs w:val="24"/>
        </w:rPr>
        <w:t xml:space="preserve">Test for normality determines if the data is well modeled and normally distributed (linear). It is an assessment of the normality of data in statistical tests. Avioli (2012) showed that descriptive, normality, and verification tests could be assessed with the normal distribution. Singh and Masuku (2014) posit that if these tests are non-normality, then the data has either outliers, multiple modes, incorrect measuring tools, incorrect distributions, zero/infinite limits, or scanty collections. In order to fit a linear model, the </w:t>
      </w:r>
      <w:r w:rsidR="005F1D9F" w:rsidRPr="00C0591E">
        <w:rPr>
          <w:kern w:val="32"/>
          <w:szCs w:val="24"/>
        </w:rPr>
        <w:t xml:space="preserve">variables </w:t>
      </w:r>
      <w:r w:rsidRPr="00C0591E">
        <w:rPr>
          <w:kern w:val="32"/>
          <w:szCs w:val="24"/>
        </w:rPr>
        <w:t>has to be normally distributed.</w:t>
      </w:r>
      <w:r w:rsidRPr="00C0591E">
        <w:t xml:space="preserve"> </w:t>
      </w:r>
    </w:p>
    <w:p w14:paraId="71C41F81" w14:textId="744E18EC" w:rsidR="00A227CE" w:rsidRPr="00C0591E" w:rsidRDefault="00A227CE" w:rsidP="00A227CE">
      <w:r w:rsidRPr="00C0591E">
        <w:t>To test the normality, Shapiro–Wilk test was used as it has the highest power among all tests for normality. The hypothesis was tested at a critical value at 0.05, where the rule is that reject H</w:t>
      </w:r>
      <w:r w:rsidRPr="00C0591E">
        <w:rPr>
          <w:vertAlign w:val="subscript"/>
        </w:rPr>
        <w:t>0</w:t>
      </w:r>
      <w:r w:rsidRPr="00C0591E">
        <w:t xml:space="preserve"> if the probability (P) value is less than 0.05 or else do not reject. The variable should be normally distributed because the study was analyzed using a multiple regression model where the condition of normality must be satisfied (Quataroli &amp; Julia, 2012). The hypothesis was that;</w:t>
      </w:r>
    </w:p>
    <w:p w14:paraId="0BF99047" w14:textId="77777777" w:rsidR="00A227CE" w:rsidRPr="00C0591E" w:rsidRDefault="00A227CE" w:rsidP="00A227CE">
      <w:r w:rsidRPr="00C0591E">
        <w:t>H</w:t>
      </w:r>
      <w:r w:rsidRPr="00C0591E">
        <w:rPr>
          <w:vertAlign w:val="subscript"/>
        </w:rPr>
        <w:t>1</w:t>
      </w:r>
      <w:r w:rsidRPr="00C0591E">
        <w:t>: The data is normal.</w:t>
      </w:r>
    </w:p>
    <w:p w14:paraId="0020A360" w14:textId="25FAB75A" w:rsidR="00A227CE" w:rsidRPr="00C0591E" w:rsidRDefault="00A227CE" w:rsidP="00A227CE">
      <w:r w:rsidRPr="00C0591E">
        <w:t>The results for norm</w:t>
      </w:r>
      <w:r w:rsidR="00C1099B" w:rsidRPr="00C0591E">
        <w:t xml:space="preserve">ality are as shown in Table </w:t>
      </w:r>
      <w:r w:rsidR="00191F36" w:rsidRPr="00C0591E">
        <w:t>15</w:t>
      </w:r>
      <w:r w:rsidRPr="00C0591E">
        <w:t>.</w:t>
      </w:r>
    </w:p>
    <w:p w14:paraId="1E58BBBC" w14:textId="1F8081C7" w:rsidR="009213B7" w:rsidRPr="00C0591E" w:rsidRDefault="009213B7" w:rsidP="00A227CE"/>
    <w:p w14:paraId="1FFF6279" w14:textId="1CD2FF47" w:rsidR="009213B7" w:rsidRPr="00C0591E" w:rsidRDefault="009213B7" w:rsidP="00A227CE"/>
    <w:p w14:paraId="65980E33" w14:textId="6AA9305E" w:rsidR="009213B7" w:rsidRPr="00C0591E" w:rsidRDefault="009213B7" w:rsidP="00A227CE"/>
    <w:p w14:paraId="77B17E68" w14:textId="543796F9" w:rsidR="009213B7" w:rsidRPr="00C0591E" w:rsidRDefault="009213B7" w:rsidP="00A227CE"/>
    <w:p w14:paraId="73A7C092" w14:textId="77777777" w:rsidR="009213B7" w:rsidRPr="00C0591E" w:rsidRDefault="009213B7" w:rsidP="00A227CE"/>
    <w:p w14:paraId="7F285A76" w14:textId="042456D7" w:rsidR="00A227CE" w:rsidRPr="00C0591E" w:rsidRDefault="00C1099B" w:rsidP="006F2377">
      <w:pPr>
        <w:pStyle w:val="Heading4"/>
      </w:pPr>
      <w:bookmarkStart w:id="183" w:name="_Toc504290012"/>
      <w:bookmarkStart w:id="184" w:name="_Toc507861231"/>
      <w:bookmarkStart w:id="185" w:name="_Toc512000278"/>
      <w:bookmarkStart w:id="186" w:name="_Toc514179837"/>
      <w:bookmarkStart w:id="187" w:name="_Toc534903911"/>
      <w:bookmarkStart w:id="188" w:name="_Toc7534689"/>
      <w:bookmarkStart w:id="189" w:name="_Toc13905796"/>
      <w:bookmarkStart w:id="190" w:name="_Toc113125150"/>
      <w:r w:rsidRPr="00C0591E">
        <w:t xml:space="preserve">Table </w:t>
      </w:r>
      <w:r w:rsidR="00191F36" w:rsidRPr="00C0591E">
        <w:t>15</w:t>
      </w:r>
      <w:r w:rsidR="00A227CE" w:rsidRPr="00C0591E">
        <w:t>: Test for Normality</w:t>
      </w:r>
      <w:bookmarkEnd w:id="183"/>
      <w:bookmarkEnd w:id="184"/>
      <w:bookmarkEnd w:id="185"/>
      <w:bookmarkEnd w:id="186"/>
      <w:bookmarkEnd w:id="187"/>
      <w:bookmarkEnd w:id="188"/>
      <w:bookmarkEnd w:id="189"/>
      <w:bookmarkEnd w:id="190"/>
    </w:p>
    <w:tbl>
      <w:tblPr>
        <w:tblW w:w="5108" w:type="pct"/>
        <w:tblLook w:val="04A0" w:firstRow="1" w:lastRow="0" w:firstColumn="1" w:lastColumn="0" w:noHBand="0" w:noVBand="1"/>
      </w:tblPr>
      <w:tblGrid>
        <w:gridCol w:w="3222"/>
        <w:gridCol w:w="2591"/>
        <w:gridCol w:w="1693"/>
        <w:gridCol w:w="1715"/>
      </w:tblGrid>
      <w:tr w:rsidR="00A227CE" w:rsidRPr="00C0591E" w14:paraId="0AE8A8E3" w14:textId="77777777" w:rsidTr="00E40D44">
        <w:trPr>
          <w:trHeight w:val="430"/>
        </w:trPr>
        <w:tc>
          <w:tcPr>
            <w:tcW w:w="1537" w:type="pct"/>
            <w:tcBorders>
              <w:top w:val="single" w:sz="4" w:space="0" w:color="auto"/>
              <w:left w:val="nil"/>
              <w:bottom w:val="nil"/>
              <w:right w:val="nil"/>
            </w:tcBorders>
            <w:shd w:val="clear" w:color="auto" w:fill="auto"/>
            <w:noWrap/>
            <w:vAlign w:val="bottom"/>
            <w:hideMark/>
          </w:tcPr>
          <w:p w14:paraId="4A2350BC" w14:textId="77777777" w:rsidR="00A227CE" w:rsidRPr="00C0591E" w:rsidRDefault="00A227CE" w:rsidP="009213B7">
            <w:pPr>
              <w:spacing w:before="0" w:after="0" w:line="240" w:lineRule="auto"/>
              <w:jc w:val="center"/>
              <w:rPr>
                <w:b/>
              </w:rPr>
            </w:pPr>
          </w:p>
        </w:tc>
        <w:tc>
          <w:tcPr>
            <w:tcW w:w="3463" w:type="pct"/>
            <w:gridSpan w:val="3"/>
            <w:tcBorders>
              <w:top w:val="single" w:sz="4" w:space="0" w:color="auto"/>
              <w:left w:val="nil"/>
              <w:bottom w:val="nil"/>
              <w:right w:val="nil"/>
            </w:tcBorders>
            <w:shd w:val="clear" w:color="auto" w:fill="auto"/>
            <w:noWrap/>
            <w:vAlign w:val="bottom"/>
            <w:hideMark/>
          </w:tcPr>
          <w:p w14:paraId="47DD2BDD" w14:textId="77777777" w:rsidR="00A227CE" w:rsidRPr="00C0591E" w:rsidRDefault="00A227CE" w:rsidP="009213B7">
            <w:pPr>
              <w:spacing w:before="0" w:after="0" w:line="240" w:lineRule="auto"/>
              <w:jc w:val="center"/>
              <w:rPr>
                <w:b/>
              </w:rPr>
            </w:pPr>
            <w:r w:rsidRPr="00C0591E">
              <w:rPr>
                <w:b/>
              </w:rPr>
              <w:t>Shapiro-Wilk</w:t>
            </w:r>
          </w:p>
        </w:tc>
      </w:tr>
      <w:tr w:rsidR="00A227CE" w:rsidRPr="00C0591E" w14:paraId="24174E75" w14:textId="77777777" w:rsidTr="00E40D44">
        <w:trPr>
          <w:trHeight w:val="430"/>
        </w:trPr>
        <w:tc>
          <w:tcPr>
            <w:tcW w:w="1537" w:type="pct"/>
            <w:tcBorders>
              <w:top w:val="nil"/>
              <w:left w:val="nil"/>
              <w:bottom w:val="single" w:sz="4" w:space="0" w:color="auto"/>
              <w:right w:val="nil"/>
            </w:tcBorders>
            <w:shd w:val="clear" w:color="auto" w:fill="auto"/>
            <w:noWrap/>
            <w:vAlign w:val="bottom"/>
            <w:hideMark/>
          </w:tcPr>
          <w:p w14:paraId="1AA3B9A6" w14:textId="77777777" w:rsidR="00A227CE" w:rsidRPr="00C0591E" w:rsidRDefault="00A227CE" w:rsidP="009213B7">
            <w:pPr>
              <w:spacing w:before="0" w:after="0" w:line="240" w:lineRule="auto"/>
              <w:jc w:val="center"/>
              <w:rPr>
                <w:b/>
              </w:rPr>
            </w:pPr>
          </w:p>
        </w:tc>
        <w:tc>
          <w:tcPr>
            <w:tcW w:w="1475" w:type="pct"/>
            <w:tcBorders>
              <w:top w:val="nil"/>
              <w:left w:val="nil"/>
              <w:bottom w:val="single" w:sz="4" w:space="0" w:color="auto"/>
              <w:right w:val="nil"/>
            </w:tcBorders>
            <w:shd w:val="clear" w:color="auto" w:fill="auto"/>
            <w:noWrap/>
            <w:vAlign w:val="bottom"/>
            <w:hideMark/>
          </w:tcPr>
          <w:p w14:paraId="1615DD17" w14:textId="77777777" w:rsidR="00A227CE" w:rsidRPr="00C0591E" w:rsidRDefault="00A227CE" w:rsidP="009213B7">
            <w:pPr>
              <w:spacing w:before="0" w:after="0" w:line="240" w:lineRule="auto"/>
              <w:jc w:val="center"/>
              <w:rPr>
                <w:b/>
              </w:rPr>
            </w:pPr>
            <w:r w:rsidRPr="00C0591E">
              <w:rPr>
                <w:b/>
              </w:rPr>
              <w:t>Statistic</w:t>
            </w:r>
          </w:p>
        </w:tc>
        <w:tc>
          <w:tcPr>
            <w:tcW w:w="988" w:type="pct"/>
            <w:tcBorders>
              <w:top w:val="nil"/>
              <w:left w:val="nil"/>
              <w:bottom w:val="single" w:sz="4" w:space="0" w:color="auto"/>
              <w:right w:val="nil"/>
            </w:tcBorders>
            <w:shd w:val="clear" w:color="auto" w:fill="auto"/>
            <w:noWrap/>
            <w:vAlign w:val="bottom"/>
            <w:hideMark/>
          </w:tcPr>
          <w:p w14:paraId="5FCF6F47" w14:textId="77777777" w:rsidR="00A227CE" w:rsidRPr="00C0591E" w:rsidRDefault="00A227CE" w:rsidP="009213B7">
            <w:pPr>
              <w:spacing w:before="0" w:after="0" w:line="240" w:lineRule="auto"/>
              <w:jc w:val="center"/>
              <w:rPr>
                <w:b/>
              </w:rPr>
            </w:pPr>
            <w:r w:rsidRPr="00C0591E">
              <w:rPr>
                <w:b/>
              </w:rPr>
              <w:t>df</w:t>
            </w:r>
          </w:p>
        </w:tc>
        <w:tc>
          <w:tcPr>
            <w:tcW w:w="1000" w:type="pct"/>
            <w:tcBorders>
              <w:top w:val="nil"/>
              <w:left w:val="nil"/>
              <w:bottom w:val="single" w:sz="4" w:space="0" w:color="auto"/>
              <w:right w:val="nil"/>
            </w:tcBorders>
            <w:shd w:val="clear" w:color="auto" w:fill="auto"/>
            <w:noWrap/>
            <w:vAlign w:val="bottom"/>
            <w:hideMark/>
          </w:tcPr>
          <w:p w14:paraId="33ECF247" w14:textId="77777777" w:rsidR="00A227CE" w:rsidRPr="00C0591E" w:rsidRDefault="00A227CE" w:rsidP="009213B7">
            <w:pPr>
              <w:spacing w:before="0" w:after="0" w:line="240" w:lineRule="auto"/>
              <w:jc w:val="center"/>
              <w:rPr>
                <w:b/>
              </w:rPr>
            </w:pPr>
            <w:r w:rsidRPr="00C0591E">
              <w:rPr>
                <w:b/>
              </w:rPr>
              <w:t>Sig.</w:t>
            </w:r>
          </w:p>
        </w:tc>
      </w:tr>
      <w:tr w:rsidR="00A227CE" w:rsidRPr="00C0591E" w14:paraId="03060D6C" w14:textId="77777777" w:rsidTr="00E40D44">
        <w:trPr>
          <w:trHeight w:val="430"/>
        </w:trPr>
        <w:tc>
          <w:tcPr>
            <w:tcW w:w="1537" w:type="pct"/>
            <w:tcBorders>
              <w:top w:val="nil"/>
              <w:left w:val="nil"/>
              <w:bottom w:val="nil"/>
              <w:right w:val="nil"/>
            </w:tcBorders>
            <w:shd w:val="clear" w:color="auto" w:fill="auto"/>
            <w:noWrap/>
            <w:hideMark/>
          </w:tcPr>
          <w:p w14:paraId="2D29AEFA" w14:textId="42FE58A9" w:rsidR="00A227CE" w:rsidRPr="00C0591E" w:rsidRDefault="00173C67" w:rsidP="009213B7">
            <w:pPr>
              <w:spacing w:line="240" w:lineRule="auto"/>
            </w:pPr>
            <w:r>
              <w:t>Pillars of corporate governance</w:t>
            </w:r>
          </w:p>
        </w:tc>
        <w:tc>
          <w:tcPr>
            <w:tcW w:w="1475" w:type="pct"/>
            <w:tcBorders>
              <w:top w:val="nil"/>
              <w:left w:val="nil"/>
              <w:bottom w:val="nil"/>
              <w:right w:val="nil"/>
            </w:tcBorders>
            <w:shd w:val="clear" w:color="auto" w:fill="auto"/>
            <w:noWrap/>
            <w:vAlign w:val="bottom"/>
            <w:hideMark/>
          </w:tcPr>
          <w:p w14:paraId="332A89CF" w14:textId="77777777" w:rsidR="00A227CE" w:rsidRPr="00C0591E" w:rsidRDefault="00A227CE" w:rsidP="009213B7">
            <w:pPr>
              <w:spacing w:before="0" w:after="0" w:line="240" w:lineRule="auto"/>
              <w:jc w:val="center"/>
            </w:pPr>
            <w:r w:rsidRPr="00C0591E">
              <w:t>0.898</w:t>
            </w:r>
          </w:p>
        </w:tc>
        <w:tc>
          <w:tcPr>
            <w:tcW w:w="988" w:type="pct"/>
            <w:tcBorders>
              <w:top w:val="nil"/>
              <w:left w:val="nil"/>
              <w:bottom w:val="nil"/>
              <w:right w:val="nil"/>
            </w:tcBorders>
            <w:shd w:val="clear" w:color="auto" w:fill="auto"/>
            <w:noWrap/>
            <w:vAlign w:val="bottom"/>
            <w:hideMark/>
          </w:tcPr>
          <w:p w14:paraId="01F58DA4" w14:textId="77777777" w:rsidR="00A227CE" w:rsidRPr="00C0591E" w:rsidRDefault="00A227CE" w:rsidP="009213B7">
            <w:pPr>
              <w:spacing w:before="0" w:after="0" w:line="240" w:lineRule="auto"/>
              <w:jc w:val="center"/>
            </w:pPr>
            <w:r w:rsidRPr="00C0591E">
              <w:t>296</w:t>
            </w:r>
          </w:p>
        </w:tc>
        <w:tc>
          <w:tcPr>
            <w:tcW w:w="1000" w:type="pct"/>
            <w:tcBorders>
              <w:top w:val="nil"/>
              <w:left w:val="nil"/>
              <w:bottom w:val="nil"/>
              <w:right w:val="nil"/>
            </w:tcBorders>
            <w:shd w:val="clear" w:color="auto" w:fill="auto"/>
            <w:noWrap/>
            <w:vAlign w:val="bottom"/>
            <w:hideMark/>
          </w:tcPr>
          <w:p w14:paraId="44476BF9" w14:textId="77777777" w:rsidR="00A227CE" w:rsidRPr="00C0591E" w:rsidRDefault="00A227CE" w:rsidP="009213B7">
            <w:pPr>
              <w:spacing w:before="0" w:after="0" w:line="240" w:lineRule="auto"/>
              <w:jc w:val="center"/>
            </w:pPr>
            <w:r w:rsidRPr="00C0591E">
              <w:t>0.290</w:t>
            </w:r>
          </w:p>
        </w:tc>
      </w:tr>
      <w:tr w:rsidR="00A227CE" w:rsidRPr="00C0591E" w14:paraId="75BA02EE" w14:textId="77777777" w:rsidTr="00E40D44">
        <w:trPr>
          <w:trHeight w:val="430"/>
        </w:trPr>
        <w:tc>
          <w:tcPr>
            <w:tcW w:w="1537" w:type="pct"/>
            <w:tcBorders>
              <w:top w:val="nil"/>
              <w:left w:val="nil"/>
              <w:bottom w:val="nil"/>
              <w:right w:val="nil"/>
            </w:tcBorders>
            <w:shd w:val="clear" w:color="auto" w:fill="auto"/>
            <w:noWrap/>
            <w:hideMark/>
          </w:tcPr>
          <w:p w14:paraId="1A3DAA2D" w14:textId="77777777" w:rsidR="00A227CE" w:rsidRPr="00C0591E" w:rsidRDefault="00A227CE" w:rsidP="009213B7">
            <w:pPr>
              <w:spacing w:line="240" w:lineRule="auto"/>
            </w:pPr>
            <w:r w:rsidRPr="00C0591E">
              <w:t>Investment policies</w:t>
            </w:r>
          </w:p>
        </w:tc>
        <w:tc>
          <w:tcPr>
            <w:tcW w:w="1475" w:type="pct"/>
            <w:tcBorders>
              <w:top w:val="nil"/>
              <w:left w:val="nil"/>
              <w:bottom w:val="nil"/>
              <w:right w:val="nil"/>
            </w:tcBorders>
            <w:shd w:val="clear" w:color="auto" w:fill="auto"/>
            <w:noWrap/>
            <w:vAlign w:val="bottom"/>
            <w:hideMark/>
          </w:tcPr>
          <w:p w14:paraId="4AB62DD5" w14:textId="77777777" w:rsidR="00A227CE" w:rsidRPr="00C0591E" w:rsidRDefault="00A227CE" w:rsidP="009213B7">
            <w:pPr>
              <w:spacing w:before="0" w:after="0" w:line="240" w:lineRule="auto"/>
              <w:jc w:val="center"/>
            </w:pPr>
            <w:r w:rsidRPr="00C0591E">
              <w:t>0.885</w:t>
            </w:r>
          </w:p>
        </w:tc>
        <w:tc>
          <w:tcPr>
            <w:tcW w:w="988" w:type="pct"/>
            <w:tcBorders>
              <w:top w:val="nil"/>
              <w:left w:val="nil"/>
              <w:bottom w:val="nil"/>
              <w:right w:val="nil"/>
            </w:tcBorders>
            <w:shd w:val="clear" w:color="auto" w:fill="auto"/>
            <w:noWrap/>
            <w:vAlign w:val="bottom"/>
            <w:hideMark/>
          </w:tcPr>
          <w:p w14:paraId="4A0918AC" w14:textId="77777777" w:rsidR="00A227CE" w:rsidRPr="00C0591E" w:rsidRDefault="00A227CE" w:rsidP="009213B7">
            <w:pPr>
              <w:spacing w:before="0" w:after="0" w:line="240" w:lineRule="auto"/>
              <w:jc w:val="center"/>
            </w:pPr>
            <w:r w:rsidRPr="00C0591E">
              <w:t>296</w:t>
            </w:r>
          </w:p>
        </w:tc>
        <w:tc>
          <w:tcPr>
            <w:tcW w:w="1000" w:type="pct"/>
            <w:tcBorders>
              <w:top w:val="nil"/>
              <w:left w:val="nil"/>
              <w:bottom w:val="nil"/>
              <w:right w:val="nil"/>
            </w:tcBorders>
            <w:shd w:val="clear" w:color="auto" w:fill="auto"/>
            <w:noWrap/>
            <w:vAlign w:val="bottom"/>
            <w:hideMark/>
          </w:tcPr>
          <w:p w14:paraId="5A046596" w14:textId="77777777" w:rsidR="00A227CE" w:rsidRPr="00C0591E" w:rsidRDefault="00A227CE" w:rsidP="009213B7">
            <w:pPr>
              <w:spacing w:before="0" w:after="0" w:line="240" w:lineRule="auto"/>
              <w:jc w:val="center"/>
            </w:pPr>
            <w:r w:rsidRPr="00C0591E">
              <w:t>0.141</w:t>
            </w:r>
          </w:p>
        </w:tc>
      </w:tr>
      <w:tr w:rsidR="00A227CE" w:rsidRPr="00C0591E" w14:paraId="135CDDEF" w14:textId="77777777" w:rsidTr="00E40D44">
        <w:trPr>
          <w:trHeight w:val="430"/>
        </w:trPr>
        <w:tc>
          <w:tcPr>
            <w:tcW w:w="1537" w:type="pct"/>
            <w:tcBorders>
              <w:top w:val="nil"/>
              <w:left w:val="nil"/>
              <w:bottom w:val="nil"/>
              <w:right w:val="nil"/>
            </w:tcBorders>
            <w:shd w:val="clear" w:color="auto" w:fill="auto"/>
            <w:noWrap/>
            <w:hideMark/>
          </w:tcPr>
          <w:p w14:paraId="7C0F63B0" w14:textId="77777777" w:rsidR="00A227CE" w:rsidRPr="00C0591E" w:rsidRDefault="00A227CE" w:rsidP="009213B7">
            <w:pPr>
              <w:spacing w:line="240" w:lineRule="auto"/>
            </w:pPr>
            <w:r w:rsidRPr="00C0591E">
              <w:t>Government regulations</w:t>
            </w:r>
          </w:p>
        </w:tc>
        <w:tc>
          <w:tcPr>
            <w:tcW w:w="1475" w:type="pct"/>
            <w:tcBorders>
              <w:top w:val="nil"/>
              <w:left w:val="nil"/>
              <w:right w:val="nil"/>
            </w:tcBorders>
            <w:shd w:val="clear" w:color="auto" w:fill="auto"/>
            <w:noWrap/>
            <w:vAlign w:val="bottom"/>
            <w:hideMark/>
          </w:tcPr>
          <w:p w14:paraId="75704142" w14:textId="77777777" w:rsidR="00A227CE" w:rsidRPr="00C0591E" w:rsidRDefault="00A227CE" w:rsidP="009213B7">
            <w:pPr>
              <w:spacing w:before="0" w:after="0" w:line="240" w:lineRule="auto"/>
              <w:jc w:val="center"/>
            </w:pPr>
            <w:r w:rsidRPr="00C0591E">
              <w:t>0.901</w:t>
            </w:r>
          </w:p>
        </w:tc>
        <w:tc>
          <w:tcPr>
            <w:tcW w:w="988" w:type="pct"/>
            <w:tcBorders>
              <w:top w:val="nil"/>
              <w:left w:val="nil"/>
              <w:right w:val="nil"/>
            </w:tcBorders>
            <w:shd w:val="clear" w:color="auto" w:fill="auto"/>
            <w:noWrap/>
            <w:vAlign w:val="bottom"/>
            <w:hideMark/>
          </w:tcPr>
          <w:p w14:paraId="6E847796" w14:textId="77777777" w:rsidR="00A227CE" w:rsidRPr="00C0591E" w:rsidRDefault="00A227CE" w:rsidP="009213B7">
            <w:pPr>
              <w:spacing w:before="0" w:after="0" w:line="240" w:lineRule="auto"/>
              <w:jc w:val="center"/>
            </w:pPr>
            <w:r w:rsidRPr="00C0591E">
              <w:t>296</w:t>
            </w:r>
          </w:p>
        </w:tc>
        <w:tc>
          <w:tcPr>
            <w:tcW w:w="1000" w:type="pct"/>
            <w:tcBorders>
              <w:top w:val="nil"/>
              <w:left w:val="nil"/>
              <w:right w:val="nil"/>
            </w:tcBorders>
            <w:shd w:val="clear" w:color="auto" w:fill="auto"/>
            <w:noWrap/>
            <w:vAlign w:val="bottom"/>
            <w:hideMark/>
          </w:tcPr>
          <w:p w14:paraId="6AECA402" w14:textId="77777777" w:rsidR="00A227CE" w:rsidRPr="00C0591E" w:rsidRDefault="00A227CE" w:rsidP="009213B7">
            <w:pPr>
              <w:spacing w:before="0" w:after="0" w:line="240" w:lineRule="auto"/>
              <w:jc w:val="center"/>
            </w:pPr>
            <w:r w:rsidRPr="00C0591E">
              <w:t>0.724</w:t>
            </w:r>
          </w:p>
        </w:tc>
      </w:tr>
      <w:tr w:rsidR="00A227CE" w:rsidRPr="00C0591E" w14:paraId="627E303B" w14:textId="77777777" w:rsidTr="00E40D44">
        <w:trPr>
          <w:trHeight w:val="430"/>
        </w:trPr>
        <w:tc>
          <w:tcPr>
            <w:tcW w:w="1537" w:type="pct"/>
            <w:tcBorders>
              <w:top w:val="nil"/>
              <w:left w:val="nil"/>
              <w:bottom w:val="single" w:sz="4" w:space="0" w:color="auto"/>
              <w:right w:val="nil"/>
            </w:tcBorders>
            <w:shd w:val="clear" w:color="auto" w:fill="auto"/>
            <w:noWrap/>
            <w:hideMark/>
          </w:tcPr>
          <w:p w14:paraId="6CBAE161" w14:textId="77777777" w:rsidR="00A227CE" w:rsidRPr="00C0591E" w:rsidRDefault="00A227CE" w:rsidP="009213B7">
            <w:pPr>
              <w:spacing w:line="240" w:lineRule="auto"/>
            </w:pPr>
            <w:r w:rsidRPr="00C0591E">
              <w:t>Performance</w:t>
            </w:r>
          </w:p>
        </w:tc>
        <w:tc>
          <w:tcPr>
            <w:tcW w:w="1475" w:type="pct"/>
            <w:tcBorders>
              <w:top w:val="nil"/>
              <w:left w:val="nil"/>
              <w:bottom w:val="single" w:sz="4" w:space="0" w:color="auto"/>
              <w:right w:val="nil"/>
            </w:tcBorders>
            <w:shd w:val="clear" w:color="auto" w:fill="auto"/>
            <w:noWrap/>
            <w:vAlign w:val="bottom"/>
            <w:hideMark/>
          </w:tcPr>
          <w:p w14:paraId="586531FC" w14:textId="77777777" w:rsidR="00A227CE" w:rsidRPr="00C0591E" w:rsidRDefault="00A227CE" w:rsidP="009213B7">
            <w:pPr>
              <w:spacing w:before="0" w:after="0" w:line="240" w:lineRule="auto"/>
              <w:jc w:val="center"/>
            </w:pPr>
            <w:r w:rsidRPr="00C0591E">
              <w:t>0.977</w:t>
            </w:r>
          </w:p>
        </w:tc>
        <w:tc>
          <w:tcPr>
            <w:tcW w:w="988" w:type="pct"/>
            <w:tcBorders>
              <w:top w:val="nil"/>
              <w:left w:val="nil"/>
              <w:bottom w:val="single" w:sz="4" w:space="0" w:color="auto"/>
              <w:right w:val="nil"/>
            </w:tcBorders>
            <w:shd w:val="clear" w:color="auto" w:fill="auto"/>
            <w:noWrap/>
            <w:vAlign w:val="bottom"/>
            <w:hideMark/>
          </w:tcPr>
          <w:p w14:paraId="3D3B722E" w14:textId="77777777" w:rsidR="00A227CE" w:rsidRPr="00C0591E" w:rsidRDefault="00A227CE" w:rsidP="009213B7">
            <w:pPr>
              <w:spacing w:before="0" w:after="0" w:line="240" w:lineRule="auto"/>
              <w:jc w:val="center"/>
            </w:pPr>
            <w:r w:rsidRPr="00C0591E">
              <w:t>296</w:t>
            </w:r>
          </w:p>
        </w:tc>
        <w:tc>
          <w:tcPr>
            <w:tcW w:w="1000" w:type="pct"/>
            <w:tcBorders>
              <w:top w:val="nil"/>
              <w:left w:val="nil"/>
              <w:bottom w:val="single" w:sz="4" w:space="0" w:color="auto"/>
              <w:right w:val="nil"/>
            </w:tcBorders>
            <w:shd w:val="clear" w:color="auto" w:fill="auto"/>
            <w:noWrap/>
            <w:vAlign w:val="bottom"/>
            <w:hideMark/>
          </w:tcPr>
          <w:p w14:paraId="2C981C30" w14:textId="77777777" w:rsidR="00A227CE" w:rsidRPr="00C0591E" w:rsidRDefault="00A227CE" w:rsidP="009213B7">
            <w:pPr>
              <w:spacing w:before="0" w:after="0" w:line="240" w:lineRule="auto"/>
              <w:jc w:val="center"/>
            </w:pPr>
            <w:r w:rsidRPr="00C0591E">
              <w:t>0.160</w:t>
            </w:r>
          </w:p>
        </w:tc>
      </w:tr>
    </w:tbl>
    <w:p w14:paraId="1E0D3CA0" w14:textId="23FA74B0" w:rsidR="00A227CE" w:rsidRPr="00C0591E" w:rsidRDefault="00C1099B" w:rsidP="00A227CE">
      <w:r w:rsidRPr="00C0591E">
        <w:t xml:space="preserve">Table </w:t>
      </w:r>
      <w:r w:rsidR="00191F36" w:rsidRPr="00C0591E">
        <w:t>15</w:t>
      </w:r>
      <w:r w:rsidR="00A227CE" w:rsidRPr="00C0591E">
        <w:t xml:space="preserve"> indicates that using the Shapiro-Wilk test of normality, the data is normal since the p-values are above 0.05 for all the variables and thus we do not reject the alternative hypothesis (H</w:t>
      </w:r>
      <w:r w:rsidR="00A227CE" w:rsidRPr="00C0591E">
        <w:rPr>
          <w:vertAlign w:val="subscript"/>
        </w:rPr>
        <w:t>1</w:t>
      </w:r>
      <w:r w:rsidR="00A227CE" w:rsidRPr="00C0591E">
        <w:t xml:space="preserve">). The study concluded that </w:t>
      </w:r>
      <w:r w:rsidR="00173C67">
        <w:t>pillars of corporate governance</w:t>
      </w:r>
      <w:r w:rsidR="00A227CE" w:rsidRPr="00C0591E">
        <w:t>, investment policies, government regulations and performance are normal in distribution and hence subsequent analysis can be carried out.</w:t>
      </w:r>
    </w:p>
    <w:p w14:paraId="7CDB7CE5" w14:textId="32B5925A" w:rsidR="00A227CE" w:rsidRPr="00C0591E" w:rsidRDefault="00C1099B" w:rsidP="00A227CE">
      <w:pPr>
        <w:keepNext/>
        <w:keepLines/>
        <w:outlineLvl w:val="2"/>
        <w:rPr>
          <w:rFonts w:eastAsiaTheme="majorEastAsia" w:cstheme="majorBidi"/>
          <w:b/>
          <w:szCs w:val="24"/>
        </w:rPr>
      </w:pPr>
      <w:bookmarkStart w:id="191" w:name="_Toc10827058"/>
      <w:bookmarkStart w:id="192" w:name="_Toc20424341"/>
      <w:r w:rsidRPr="00C0591E">
        <w:rPr>
          <w:rFonts w:eastAsiaTheme="majorEastAsia" w:cstheme="majorBidi"/>
          <w:b/>
          <w:szCs w:val="24"/>
        </w:rPr>
        <w:t>4.4.3.2</w:t>
      </w:r>
      <w:r w:rsidR="00A227CE" w:rsidRPr="00C0591E">
        <w:rPr>
          <w:rFonts w:eastAsiaTheme="majorEastAsia" w:cstheme="majorBidi"/>
          <w:b/>
          <w:szCs w:val="24"/>
        </w:rPr>
        <w:t xml:space="preserve"> Test for Multicollinearity</w:t>
      </w:r>
      <w:bookmarkEnd w:id="191"/>
      <w:bookmarkEnd w:id="192"/>
    </w:p>
    <w:p w14:paraId="0B5354EE" w14:textId="77777777" w:rsidR="00A227CE" w:rsidRPr="00C0591E" w:rsidRDefault="00A227CE" w:rsidP="00A227CE">
      <w:pPr>
        <w:rPr>
          <w:kern w:val="32"/>
          <w:szCs w:val="24"/>
        </w:rPr>
      </w:pPr>
      <w:r w:rsidRPr="00C0591E">
        <w:rPr>
          <w:kern w:val="32"/>
          <w:szCs w:val="24"/>
        </w:rPr>
        <w:t>Multicollinearity is usually a situation in which there is a high degree of association between independent variables and dependent variable. The study used large samples to solve the problem, as Multicollinearity is not known to exist in large samples. Multicollinearity was tested using variance inflation factor VIF in all the analysis and it ranged from 1 to 4 which would not be a cause of concern, according to Myres (2015) who indicated that where VIF ≥ 10 indicate presence of Multicollinearity.</w:t>
      </w:r>
    </w:p>
    <w:p w14:paraId="40887445" w14:textId="75F34488" w:rsidR="00A227CE" w:rsidRPr="00C0591E" w:rsidRDefault="00A227CE" w:rsidP="00A227CE">
      <w:r w:rsidRPr="00C0591E">
        <w:t>Multicollinearity test was done where tolerance of the variable and the VIF value were used.  Values more than 0.2 for Tolerance and values less than 10 for VIF means that there is no multicollinearity. Results for multicolline</w:t>
      </w:r>
      <w:r w:rsidR="00C1099B" w:rsidRPr="00C0591E">
        <w:t xml:space="preserve">arity are as shown in Table </w:t>
      </w:r>
      <w:r w:rsidR="00191F36" w:rsidRPr="00C0591E">
        <w:t>16</w:t>
      </w:r>
      <w:r w:rsidRPr="00C0591E">
        <w:t>.</w:t>
      </w:r>
    </w:p>
    <w:p w14:paraId="4DE16371" w14:textId="67057995" w:rsidR="00A227CE" w:rsidRPr="00C0591E" w:rsidRDefault="00A227CE" w:rsidP="006F2377">
      <w:pPr>
        <w:pStyle w:val="Heading4"/>
      </w:pPr>
      <w:bookmarkStart w:id="193" w:name="_Toc504290010"/>
      <w:bookmarkStart w:id="194" w:name="_Toc507861234"/>
      <w:bookmarkStart w:id="195" w:name="_Toc512000281"/>
      <w:bookmarkStart w:id="196" w:name="_Toc514179840"/>
      <w:bookmarkStart w:id="197" w:name="_Toc534903914"/>
      <w:bookmarkStart w:id="198" w:name="_Toc7534690"/>
      <w:bookmarkStart w:id="199" w:name="_Toc13905797"/>
      <w:bookmarkStart w:id="200" w:name="_Toc113125151"/>
      <w:r w:rsidRPr="00C0591E">
        <w:t xml:space="preserve">Table </w:t>
      </w:r>
      <w:r w:rsidR="00191F36" w:rsidRPr="00C0591E">
        <w:t>16</w:t>
      </w:r>
      <w:r w:rsidRPr="00C0591E">
        <w:t xml:space="preserve">: </w:t>
      </w:r>
      <w:bookmarkEnd w:id="193"/>
      <w:r w:rsidRPr="00C0591E">
        <w:t>Multicollinearity Test Using Tolerance and VIF</w:t>
      </w:r>
      <w:bookmarkEnd w:id="194"/>
      <w:bookmarkEnd w:id="195"/>
      <w:bookmarkEnd w:id="196"/>
      <w:bookmarkEnd w:id="197"/>
      <w:bookmarkEnd w:id="198"/>
      <w:bookmarkEnd w:id="199"/>
      <w:bookmarkEnd w:id="200"/>
    </w:p>
    <w:tbl>
      <w:tblPr>
        <w:tblW w:w="5032" w:type="pct"/>
        <w:tblLook w:val="04A0" w:firstRow="1" w:lastRow="0" w:firstColumn="1" w:lastColumn="0" w:noHBand="0" w:noVBand="1"/>
      </w:tblPr>
      <w:tblGrid>
        <w:gridCol w:w="3222"/>
        <w:gridCol w:w="4951"/>
        <w:gridCol w:w="911"/>
      </w:tblGrid>
      <w:tr w:rsidR="00A227CE" w:rsidRPr="00C0591E" w14:paraId="40F5EB78" w14:textId="77777777" w:rsidTr="00E40D44">
        <w:trPr>
          <w:trHeight w:val="421"/>
        </w:trPr>
        <w:tc>
          <w:tcPr>
            <w:tcW w:w="1400" w:type="pct"/>
            <w:tcBorders>
              <w:top w:val="single" w:sz="4" w:space="0" w:color="auto"/>
              <w:left w:val="nil"/>
              <w:bottom w:val="nil"/>
              <w:right w:val="nil"/>
            </w:tcBorders>
            <w:shd w:val="clear" w:color="auto" w:fill="auto"/>
            <w:noWrap/>
            <w:vAlign w:val="bottom"/>
            <w:hideMark/>
          </w:tcPr>
          <w:p w14:paraId="5AB0C0DD" w14:textId="77777777" w:rsidR="00A227CE" w:rsidRPr="00C0591E" w:rsidRDefault="00A227CE" w:rsidP="00E40D44">
            <w:pPr>
              <w:spacing w:before="0" w:after="0" w:line="276" w:lineRule="auto"/>
              <w:rPr>
                <w:rFonts w:cs="Times New Roman"/>
                <w:b/>
                <w:szCs w:val="24"/>
              </w:rPr>
            </w:pPr>
          </w:p>
        </w:tc>
        <w:tc>
          <w:tcPr>
            <w:tcW w:w="3600" w:type="pct"/>
            <w:gridSpan w:val="2"/>
            <w:tcBorders>
              <w:top w:val="single" w:sz="4" w:space="0" w:color="auto"/>
              <w:left w:val="nil"/>
              <w:bottom w:val="nil"/>
              <w:right w:val="nil"/>
            </w:tcBorders>
            <w:shd w:val="clear" w:color="auto" w:fill="auto"/>
            <w:noWrap/>
            <w:vAlign w:val="bottom"/>
            <w:hideMark/>
          </w:tcPr>
          <w:p w14:paraId="49E3BDD2" w14:textId="77777777" w:rsidR="00A227CE" w:rsidRPr="00C0591E" w:rsidRDefault="00A227CE" w:rsidP="00E40D44">
            <w:pPr>
              <w:spacing w:before="0" w:after="0" w:line="276" w:lineRule="auto"/>
              <w:jc w:val="center"/>
              <w:rPr>
                <w:rFonts w:cs="Times New Roman"/>
                <w:b/>
                <w:color w:val="000000"/>
                <w:szCs w:val="24"/>
              </w:rPr>
            </w:pPr>
            <w:r w:rsidRPr="00C0591E">
              <w:rPr>
                <w:rFonts w:cs="Times New Roman"/>
                <w:b/>
                <w:color w:val="000000"/>
                <w:szCs w:val="24"/>
              </w:rPr>
              <w:t>Collinearity Statistics</w:t>
            </w:r>
          </w:p>
        </w:tc>
      </w:tr>
      <w:tr w:rsidR="00A227CE" w:rsidRPr="00C0591E" w14:paraId="4480C798" w14:textId="77777777" w:rsidTr="00E40D44">
        <w:trPr>
          <w:trHeight w:val="421"/>
        </w:trPr>
        <w:tc>
          <w:tcPr>
            <w:tcW w:w="1400" w:type="pct"/>
            <w:tcBorders>
              <w:top w:val="nil"/>
              <w:left w:val="nil"/>
              <w:bottom w:val="single" w:sz="4" w:space="0" w:color="auto"/>
              <w:right w:val="nil"/>
            </w:tcBorders>
            <w:shd w:val="clear" w:color="auto" w:fill="auto"/>
            <w:noWrap/>
            <w:vAlign w:val="bottom"/>
            <w:hideMark/>
          </w:tcPr>
          <w:p w14:paraId="35572DB1" w14:textId="77777777" w:rsidR="00A227CE" w:rsidRPr="00C0591E" w:rsidRDefault="00A227CE" w:rsidP="00E40D44">
            <w:pPr>
              <w:spacing w:before="0" w:after="0" w:line="276" w:lineRule="auto"/>
              <w:rPr>
                <w:rFonts w:cs="Times New Roman"/>
                <w:b/>
                <w:color w:val="000000"/>
                <w:szCs w:val="24"/>
              </w:rPr>
            </w:pPr>
            <w:r w:rsidRPr="00C0591E">
              <w:rPr>
                <w:rFonts w:cs="Times New Roman"/>
                <w:b/>
                <w:color w:val="000000"/>
                <w:szCs w:val="24"/>
              </w:rPr>
              <w:t>Variable</w:t>
            </w:r>
          </w:p>
        </w:tc>
        <w:tc>
          <w:tcPr>
            <w:tcW w:w="2912" w:type="pct"/>
            <w:tcBorders>
              <w:top w:val="nil"/>
              <w:left w:val="nil"/>
              <w:bottom w:val="single" w:sz="4" w:space="0" w:color="auto"/>
              <w:right w:val="nil"/>
            </w:tcBorders>
            <w:shd w:val="clear" w:color="auto" w:fill="auto"/>
            <w:noWrap/>
            <w:vAlign w:val="bottom"/>
            <w:hideMark/>
          </w:tcPr>
          <w:p w14:paraId="6C80A3A2" w14:textId="77777777" w:rsidR="00A227CE" w:rsidRPr="00C0591E" w:rsidRDefault="00A227CE" w:rsidP="00E40D44">
            <w:pPr>
              <w:spacing w:before="0" w:after="0" w:line="276" w:lineRule="auto"/>
              <w:jc w:val="center"/>
              <w:rPr>
                <w:rFonts w:cs="Times New Roman"/>
                <w:b/>
                <w:color w:val="000000"/>
                <w:szCs w:val="24"/>
              </w:rPr>
            </w:pPr>
            <w:r w:rsidRPr="00C0591E">
              <w:rPr>
                <w:rFonts w:cs="Times New Roman"/>
                <w:b/>
                <w:color w:val="000000"/>
                <w:szCs w:val="24"/>
              </w:rPr>
              <w:t>Tolerance</w:t>
            </w:r>
          </w:p>
        </w:tc>
        <w:tc>
          <w:tcPr>
            <w:tcW w:w="688" w:type="pct"/>
            <w:tcBorders>
              <w:top w:val="nil"/>
              <w:left w:val="nil"/>
              <w:bottom w:val="single" w:sz="4" w:space="0" w:color="auto"/>
              <w:right w:val="nil"/>
            </w:tcBorders>
            <w:shd w:val="clear" w:color="auto" w:fill="auto"/>
            <w:noWrap/>
            <w:vAlign w:val="bottom"/>
            <w:hideMark/>
          </w:tcPr>
          <w:p w14:paraId="1E1270DE" w14:textId="77777777" w:rsidR="00A227CE" w:rsidRPr="00C0591E" w:rsidRDefault="00A227CE" w:rsidP="00E40D44">
            <w:pPr>
              <w:spacing w:before="0" w:after="0" w:line="276" w:lineRule="auto"/>
              <w:jc w:val="center"/>
              <w:rPr>
                <w:rFonts w:cs="Times New Roman"/>
                <w:b/>
                <w:color w:val="000000"/>
                <w:szCs w:val="24"/>
              </w:rPr>
            </w:pPr>
            <w:r w:rsidRPr="00C0591E">
              <w:rPr>
                <w:rFonts w:cs="Times New Roman"/>
                <w:b/>
                <w:color w:val="000000"/>
                <w:szCs w:val="24"/>
              </w:rPr>
              <w:t>VIF</w:t>
            </w:r>
          </w:p>
        </w:tc>
      </w:tr>
      <w:tr w:rsidR="00A227CE" w:rsidRPr="00C0591E" w14:paraId="44E3C7CD" w14:textId="77777777" w:rsidTr="00E40D44">
        <w:trPr>
          <w:trHeight w:val="421"/>
        </w:trPr>
        <w:tc>
          <w:tcPr>
            <w:tcW w:w="1400" w:type="pct"/>
            <w:tcBorders>
              <w:top w:val="single" w:sz="4" w:space="0" w:color="auto"/>
              <w:left w:val="nil"/>
              <w:bottom w:val="nil"/>
              <w:right w:val="nil"/>
            </w:tcBorders>
            <w:shd w:val="clear" w:color="auto" w:fill="auto"/>
            <w:noWrap/>
            <w:hideMark/>
          </w:tcPr>
          <w:p w14:paraId="1B75EEFC" w14:textId="1D91E063" w:rsidR="00A227CE" w:rsidRPr="00C0591E" w:rsidRDefault="00173C67" w:rsidP="00E40D44">
            <w:pPr>
              <w:spacing w:line="276" w:lineRule="auto"/>
            </w:pPr>
            <w:r>
              <w:t>Pillars of corporate governance</w:t>
            </w:r>
          </w:p>
        </w:tc>
        <w:tc>
          <w:tcPr>
            <w:tcW w:w="2912" w:type="pct"/>
            <w:tcBorders>
              <w:top w:val="single" w:sz="4" w:space="0" w:color="auto"/>
              <w:left w:val="nil"/>
              <w:bottom w:val="nil"/>
              <w:right w:val="nil"/>
            </w:tcBorders>
            <w:shd w:val="clear" w:color="auto" w:fill="auto"/>
            <w:noWrap/>
            <w:hideMark/>
          </w:tcPr>
          <w:p w14:paraId="165DE815" w14:textId="77777777" w:rsidR="00A227CE" w:rsidRPr="00C0591E" w:rsidRDefault="00A227CE" w:rsidP="00E40D44">
            <w:pPr>
              <w:spacing w:line="276" w:lineRule="auto"/>
              <w:jc w:val="center"/>
            </w:pPr>
            <w:r w:rsidRPr="00C0591E">
              <w:t>0.24</w:t>
            </w:r>
          </w:p>
        </w:tc>
        <w:tc>
          <w:tcPr>
            <w:tcW w:w="688" w:type="pct"/>
            <w:tcBorders>
              <w:top w:val="single" w:sz="4" w:space="0" w:color="auto"/>
              <w:left w:val="nil"/>
              <w:bottom w:val="nil"/>
              <w:right w:val="nil"/>
            </w:tcBorders>
            <w:shd w:val="clear" w:color="auto" w:fill="auto"/>
            <w:noWrap/>
            <w:hideMark/>
          </w:tcPr>
          <w:p w14:paraId="2B9D1963" w14:textId="77777777" w:rsidR="00A227CE" w:rsidRPr="00C0591E" w:rsidRDefault="00A227CE" w:rsidP="00E40D44">
            <w:pPr>
              <w:spacing w:line="276" w:lineRule="auto"/>
              <w:jc w:val="center"/>
            </w:pPr>
            <w:r w:rsidRPr="00C0591E">
              <w:t>4.161</w:t>
            </w:r>
          </w:p>
        </w:tc>
      </w:tr>
      <w:tr w:rsidR="00A227CE" w:rsidRPr="00C0591E" w14:paraId="5C5B6382" w14:textId="77777777" w:rsidTr="00E40D44">
        <w:trPr>
          <w:trHeight w:val="421"/>
        </w:trPr>
        <w:tc>
          <w:tcPr>
            <w:tcW w:w="1400" w:type="pct"/>
            <w:tcBorders>
              <w:top w:val="nil"/>
              <w:left w:val="nil"/>
              <w:right w:val="nil"/>
            </w:tcBorders>
            <w:shd w:val="clear" w:color="auto" w:fill="auto"/>
            <w:noWrap/>
            <w:hideMark/>
          </w:tcPr>
          <w:p w14:paraId="7174DF55" w14:textId="77777777" w:rsidR="00A227CE" w:rsidRPr="00C0591E" w:rsidRDefault="00A227CE" w:rsidP="00E40D44">
            <w:pPr>
              <w:spacing w:line="276" w:lineRule="auto"/>
            </w:pPr>
            <w:r w:rsidRPr="00C0591E">
              <w:t>Investment Policies</w:t>
            </w:r>
          </w:p>
        </w:tc>
        <w:tc>
          <w:tcPr>
            <w:tcW w:w="2912" w:type="pct"/>
            <w:tcBorders>
              <w:top w:val="nil"/>
              <w:left w:val="nil"/>
              <w:right w:val="nil"/>
            </w:tcBorders>
            <w:shd w:val="clear" w:color="auto" w:fill="auto"/>
            <w:noWrap/>
            <w:hideMark/>
          </w:tcPr>
          <w:p w14:paraId="2BA8B43E" w14:textId="77777777" w:rsidR="00A227CE" w:rsidRPr="00C0591E" w:rsidRDefault="00A227CE" w:rsidP="00E40D44">
            <w:pPr>
              <w:spacing w:line="276" w:lineRule="auto"/>
              <w:jc w:val="center"/>
            </w:pPr>
            <w:r w:rsidRPr="00C0591E">
              <w:t>0.258</w:t>
            </w:r>
          </w:p>
        </w:tc>
        <w:tc>
          <w:tcPr>
            <w:tcW w:w="688" w:type="pct"/>
            <w:tcBorders>
              <w:top w:val="nil"/>
              <w:left w:val="nil"/>
              <w:right w:val="nil"/>
            </w:tcBorders>
            <w:shd w:val="clear" w:color="auto" w:fill="auto"/>
            <w:noWrap/>
            <w:hideMark/>
          </w:tcPr>
          <w:p w14:paraId="02178BD0" w14:textId="77777777" w:rsidR="00A227CE" w:rsidRPr="00C0591E" w:rsidRDefault="00A227CE" w:rsidP="00E40D44">
            <w:pPr>
              <w:spacing w:line="276" w:lineRule="auto"/>
              <w:jc w:val="center"/>
            </w:pPr>
            <w:r w:rsidRPr="00C0591E">
              <w:t>3.872</w:t>
            </w:r>
          </w:p>
        </w:tc>
      </w:tr>
      <w:tr w:rsidR="00A227CE" w:rsidRPr="00C0591E" w14:paraId="2250813C" w14:textId="77777777" w:rsidTr="00E40D44">
        <w:trPr>
          <w:trHeight w:val="421"/>
        </w:trPr>
        <w:tc>
          <w:tcPr>
            <w:tcW w:w="1400" w:type="pct"/>
            <w:tcBorders>
              <w:top w:val="nil"/>
              <w:left w:val="nil"/>
              <w:bottom w:val="single" w:sz="4" w:space="0" w:color="auto"/>
              <w:right w:val="nil"/>
            </w:tcBorders>
            <w:shd w:val="clear" w:color="auto" w:fill="auto"/>
            <w:noWrap/>
            <w:hideMark/>
          </w:tcPr>
          <w:p w14:paraId="39054DDE" w14:textId="77777777" w:rsidR="00A227CE" w:rsidRPr="00C0591E" w:rsidRDefault="00A227CE" w:rsidP="00E40D44">
            <w:pPr>
              <w:spacing w:line="276" w:lineRule="auto"/>
            </w:pPr>
            <w:r w:rsidRPr="00C0591E">
              <w:t>Government Regulation</w:t>
            </w:r>
          </w:p>
        </w:tc>
        <w:tc>
          <w:tcPr>
            <w:tcW w:w="2912" w:type="pct"/>
            <w:tcBorders>
              <w:top w:val="nil"/>
              <w:left w:val="nil"/>
              <w:bottom w:val="single" w:sz="4" w:space="0" w:color="auto"/>
              <w:right w:val="nil"/>
            </w:tcBorders>
            <w:shd w:val="clear" w:color="auto" w:fill="auto"/>
            <w:noWrap/>
            <w:hideMark/>
          </w:tcPr>
          <w:p w14:paraId="1B890DC0" w14:textId="77777777" w:rsidR="00A227CE" w:rsidRPr="00C0591E" w:rsidRDefault="00A227CE" w:rsidP="00E40D44">
            <w:pPr>
              <w:spacing w:line="276" w:lineRule="auto"/>
              <w:jc w:val="center"/>
            </w:pPr>
            <w:r w:rsidRPr="00C0591E">
              <w:t>0.212</w:t>
            </w:r>
          </w:p>
        </w:tc>
        <w:tc>
          <w:tcPr>
            <w:tcW w:w="688" w:type="pct"/>
            <w:tcBorders>
              <w:top w:val="nil"/>
              <w:left w:val="nil"/>
              <w:bottom w:val="single" w:sz="4" w:space="0" w:color="auto"/>
              <w:right w:val="nil"/>
            </w:tcBorders>
            <w:shd w:val="clear" w:color="auto" w:fill="auto"/>
            <w:noWrap/>
            <w:hideMark/>
          </w:tcPr>
          <w:p w14:paraId="73E138E4" w14:textId="77777777" w:rsidR="00A227CE" w:rsidRPr="00C0591E" w:rsidRDefault="00A227CE" w:rsidP="00E40D44">
            <w:pPr>
              <w:spacing w:line="276" w:lineRule="auto"/>
              <w:jc w:val="center"/>
            </w:pPr>
            <w:r w:rsidRPr="00C0591E">
              <w:t>4.72</w:t>
            </w:r>
          </w:p>
        </w:tc>
      </w:tr>
    </w:tbl>
    <w:p w14:paraId="057A9EC3" w14:textId="77777777" w:rsidR="00A227CE" w:rsidRPr="00C0591E" w:rsidRDefault="00A227CE" w:rsidP="00A227CE"/>
    <w:p w14:paraId="4C2948A6" w14:textId="42797F36" w:rsidR="00A227CE" w:rsidRPr="00C0591E" w:rsidRDefault="00A227CE" w:rsidP="00A227CE">
      <w:pPr>
        <w:rPr>
          <w:kern w:val="32"/>
          <w:szCs w:val="24"/>
        </w:rPr>
      </w:pPr>
      <w:r w:rsidRPr="00C0591E">
        <w:t xml:space="preserve">From the findings above all the variables had tolerance values &gt;0.2 and VIF values &lt;10 as shown in Table </w:t>
      </w:r>
      <w:r w:rsidR="00191F36" w:rsidRPr="00C0591E">
        <w:t>16</w:t>
      </w:r>
      <w:r w:rsidRPr="00C0591E">
        <w:t xml:space="preserve"> and thus </w:t>
      </w:r>
      <w:r w:rsidRPr="00C0591E">
        <w:rPr>
          <w:kern w:val="32"/>
          <w:szCs w:val="24"/>
        </w:rPr>
        <w:t xml:space="preserve">according to Myres (2015) who indicated that where VIF ≥ 10 indicate presence of Multicollinearity, </w:t>
      </w:r>
      <w:r w:rsidRPr="00C0591E">
        <w:t>there was no multicollinearity among the independent variables.</w:t>
      </w:r>
    </w:p>
    <w:p w14:paraId="66D4EFC7" w14:textId="698BADCD" w:rsidR="00A227CE" w:rsidRPr="00C0591E" w:rsidRDefault="00C1099B" w:rsidP="00A227CE">
      <w:pPr>
        <w:keepNext/>
        <w:keepLines/>
        <w:outlineLvl w:val="2"/>
        <w:rPr>
          <w:rFonts w:eastAsiaTheme="majorEastAsia" w:cstheme="majorBidi"/>
          <w:b/>
          <w:szCs w:val="24"/>
        </w:rPr>
      </w:pPr>
      <w:bookmarkStart w:id="201" w:name="_Toc507861164"/>
      <w:bookmarkStart w:id="202" w:name="_Toc512000194"/>
      <w:bookmarkStart w:id="203" w:name="_Toc514675173"/>
      <w:bookmarkStart w:id="204" w:name="_Toc534798573"/>
      <w:bookmarkStart w:id="205" w:name="_Toc534904552"/>
      <w:bookmarkStart w:id="206" w:name="_Toc10827059"/>
      <w:bookmarkStart w:id="207" w:name="_Toc20424342"/>
      <w:r w:rsidRPr="00C0591E">
        <w:rPr>
          <w:rFonts w:eastAsiaTheme="majorEastAsia" w:cstheme="majorBidi"/>
          <w:b/>
          <w:szCs w:val="24"/>
        </w:rPr>
        <w:t>4.4.3.3</w:t>
      </w:r>
      <w:r w:rsidR="00A227CE" w:rsidRPr="00C0591E">
        <w:rPr>
          <w:rFonts w:eastAsiaTheme="majorEastAsia" w:cstheme="majorBidi"/>
          <w:b/>
          <w:szCs w:val="24"/>
        </w:rPr>
        <w:t xml:space="preserve"> Test for Het</w:t>
      </w:r>
      <w:r w:rsidR="00A227CE" w:rsidRPr="00C0591E">
        <w:rPr>
          <w:rFonts w:eastAsiaTheme="majorEastAsia" w:cstheme="majorBidi"/>
          <w:szCs w:val="24"/>
        </w:rPr>
        <w:t>ero</w:t>
      </w:r>
      <w:r w:rsidR="00A227CE" w:rsidRPr="00C0591E">
        <w:rPr>
          <w:rFonts w:eastAsiaTheme="majorEastAsia" w:cstheme="majorBidi"/>
          <w:b/>
          <w:szCs w:val="24"/>
        </w:rPr>
        <w:t>scedasticity</w:t>
      </w:r>
      <w:bookmarkEnd w:id="201"/>
      <w:bookmarkEnd w:id="202"/>
      <w:bookmarkEnd w:id="203"/>
      <w:bookmarkEnd w:id="204"/>
      <w:bookmarkEnd w:id="205"/>
      <w:bookmarkEnd w:id="206"/>
      <w:bookmarkEnd w:id="207"/>
    </w:p>
    <w:p w14:paraId="11FF9F94" w14:textId="77777777" w:rsidR="00A227CE" w:rsidRPr="00C0591E" w:rsidRDefault="00A227CE" w:rsidP="00A227CE">
      <w:bookmarkStart w:id="208" w:name="_Hlk5276236"/>
      <w:r w:rsidRPr="00C0591E">
        <w:t>Heteroscedasticity is the circumstance in which the variability of a variable is unequal across the range of values of a second variable that predicts it. Running a regression model without accounting for heteroscedasticity would lead to unbiased parameter estimates. To test for heteroscedasticity, the Breusch-Pagan/Godfrey test was used. Heteroscedasticity test was run using</w:t>
      </w:r>
      <w:r w:rsidRPr="00C0591E">
        <w:rPr>
          <w:rFonts w:eastAsia="Times New Roman"/>
          <w:color w:val="000000"/>
          <w:szCs w:val="24"/>
        </w:rPr>
        <w:t xml:space="preserve"> Breusch</w:t>
      </w:r>
      <w:r w:rsidRPr="00C0591E">
        <w:rPr>
          <w:rFonts w:eastAsia="Times New Roman"/>
          <w:color w:val="000000"/>
        </w:rPr>
        <w:t xml:space="preserve">-Pagan / Cook-Weisberg test </w:t>
      </w:r>
      <w:r w:rsidRPr="00C0591E">
        <w:t xml:space="preserve">in order to test whether the error terms are correlated across observations in the cross sectional of the data </w:t>
      </w:r>
      <w:r w:rsidRPr="00C0591E">
        <w:rPr>
          <w:color w:val="222222"/>
          <w:szCs w:val="24"/>
          <w:shd w:val="clear" w:color="auto" w:fill="FFFFFF"/>
        </w:rPr>
        <w:t>(Long &amp; Ervin, 2000)</w:t>
      </w:r>
      <w:r w:rsidRPr="00C0591E">
        <w:t xml:space="preserve">. </w:t>
      </w:r>
      <w:bookmarkEnd w:id="208"/>
      <w:r w:rsidRPr="00C0591E">
        <w:t>The hypothesis was that;</w:t>
      </w:r>
    </w:p>
    <w:p w14:paraId="1699B507" w14:textId="77777777" w:rsidR="00A227CE" w:rsidRPr="00C0591E" w:rsidRDefault="00A227CE" w:rsidP="00A227CE">
      <w:r w:rsidRPr="00C0591E">
        <w:t>H</w:t>
      </w:r>
      <w:r w:rsidRPr="00C0591E">
        <w:rPr>
          <w:vertAlign w:val="subscript"/>
        </w:rPr>
        <w:t>o</w:t>
      </w:r>
      <w:r w:rsidRPr="00C0591E">
        <w:t xml:space="preserve">: Data does not suffer from Heteroscedasticity. </w:t>
      </w:r>
    </w:p>
    <w:p w14:paraId="21C2933A" w14:textId="2B2AD992" w:rsidR="00A227CE" w:rsidRPr="00C0591E" w:rsidRDefault="00A227CE" w:rsidP="00A227CE">
      <w:r w:rsidRPr="00C0591E">
        <w:t xml:space="preserve">If the p-value is less than 0.05, the null hypothesis is rejected. Results are presented in Table </w:t>
      </w:r>
      <w:r w:rsidR="00191F36" w:rsidRPr="00C0591E">
        <w:t>17</w:t>
      </w:r>
      <w:r w:rsidRPr="00C0591E">
        <w:t>.</w:t>
      </w:r>
    </w:p>
    <w:p w14:paraId="4096EF10" w14:textId="421DDE36" w:rsidR="00A227CE" w:rsidRPr="00C0591E" w:rsidRDefault="00A227CE" w:rsidP="006F2377">
      <w:pPr>
        <w:pStyle w:val="Heading4"/>
      </w:pPr>
      <w:bookmarkStart w:id="209" w:name="_Toc512000279"/>
      <w:bookmarkStart w:id="210" w:name="_Toc514179838"/>
      <w:bookmarkStart w:id="211" w:name="_Toc534903912"/>
      <w:bookmarkStart w:id="212" w:name="_Toc7534691"/>
      <w:bookmarkStart w:id="213" w:name="_Toc13905798"/>
      <w:bookmarkStart w:id="214" w:name="_Toc113125152"/>
      <w:r w:rsidRPr="00C0591E">
        <w:t xml:space="preserve">Table </w:t>
      </w:r>
      <w:r w:rsidR="00191F36" w:rsidRPr="00C0591E">
        <w:t>17</w:t>
      </w:r>
      <w:r w:rsidRPr="00C0591E">
        <w:t>: Heteroscedasticity Results</w:t>
      </w:r>
      <w:bookmarkEnd w:id="209"/>
      <w:bookmarkEnd w:id="210"/>
      <w:bookmarkEnd w:id="211"/>
      <w:bookmarkEnd w:id="212"/>
      <w:bookmarkEnd w:id="213"/>
      <w:bookmarkEnd w:id="214"/>
    </w:p>
    <w:tbl>
      <w:tblPr>
        <w:tblW w:w="5000" w:type="pct"/>
        <w:tblLook w:val="04A0" w:firstRow="1" w:lastRow="0" w:firstColumn="1" w:lastColumn="0" w:noHBand="0" w:noVBand="1"/>
      </w:tblPr>
      <w:tblGrid>
        <w:gridCol w:w="5130"/>
        <w:gridCol w:w="697"/>
        <w:gridCol w:w="3199"/>
      </w:tblGrid>
      <w:tr w:rsidR="00A227CE" w:rsidRPr="00C0591E" w14:paraId="2854C9F9" w14:textId="77777777" w:rsidTr="00E40D44">
        <w:trPr>
          <w:trHeight w:val="300"/>
        </w:trPr>
        <w:tc>
          <w:tcPr>
            <w:tcW w:w="5000" w:type="pct"/>
            <w:gridSpan w:val="3"/>
            <w:tcBorders>
              <w:top w:val="single" w:sz="4" w:space="0" w:color="auto"/>
            </w:tcBorders>
            <w:shd w:val="clear" w:color="auto" w:fill="auto"/>
            <w:noWrap/>
            <w:vAlign w:val="bottom"/>
            <w:hideMark/>
          </w:tcPr>
          <w:p w14:paraId="795E0E3A" w14:textId="77777777" w:rsidR="00A227CE" w:rsidRPr="00C0591E" w:rsidRDefault="00A227CE" w:rsidP="00E40D44">
            <w:pPr>
              <w:spacing w:after="0" w:line="240" w:lineRule="auto"/>
              <w:jc w:val="left"/>
              <w:rPr>
                <w:rFonts w:eastAsia="Times New Roman"/>
                <w:color w:val="000000"/>
                <w:sz w:val="20"/>
                <w:szCs w:val="20"/>
              </w:rPr>
            </w:pPr>
            <w:r w:rsidRPr="00C0591E">
              <w:rPr>
                <w:rFonts w:eastAsia="Times New Roman"/>
                <w:color w:val="000000"/>
                <w:szCs w:val="24"/>
              </w:rPr>
              <w:t>Breusch</w:t>
            </w:r>
            <w:r w:rsidRPr="00C0591E">
              <w:rPr>
                <w:rFonts w:eastAsia="Times New Roman"/>
                <w:color w:val="000000"/>
              </w:rPr>
              <w:t xml:space="preserve">-Pagan / Cook-Weisberg test for heteroscedasticity </w:t>
            </w:r>
          </w:p>
        </w:tc>
      </w:tr>
      <w:tr w:rsidR="00A227CE" w:rsidRPr="00C0591E" w14:paraId="47378128" w14:textId="77777777" w:rsidTr="00E40D44">
        <w:trPr>
          <w:trHeight w:val="300"/>
        </w:trPr>
        <w:tc>
          <w:tcPr>
            <w:tcW w:w="5000" w:type="pct"/>
            <w:gridSpan w:val="3"/>
            <w:shd w:val="clear" w:color="auto" w:fill="auto"/>
            <w:noWrap/>
            <w:vAlign w:val="bottom"/>
            <w:hideMark/>
          </w:tcPr>
          <w:p w14:paraId="57D51585" w14:textId="77777777" w:rsidR="00A227CE" w:rsidRPr="00C0591E" w:rsidRDefault="00A227CE" w:rsidP="00E40D44">
            <w:pPr>
              <w:spacing w:after="0" w:line="240" w:lineRule="auto"/>
              <w:jc w:val="left"/>
              <w:rPr>
                <w:rFonts w:eastAsia="Times New Roman"/>
                <w:color w:val="000000"/>
              </w:rPr>
            </w:pPr>
            <w:r w:rsidRPr="00C0591E">
              <w:rPr>
                <w:rFonts w:eastAsia="Times New Roman"/>
                <w:color w:val="000000"/>
                <w:sz w:val="20"/>
                <w:szCs w:val="20"/>
              </w:rPr>
              <w:t xml:space="preserve">         Ho: </w:t>
            </w:r>
            <w:r w:rsidRPr="00C0591E">
              <w:rPr>
                <w:rFonts w:eastAsia="Times New Roman"/>
                <w:color w:val="000000"/>
              </w:rPr>
              <w:t>Constant</w:t>
            </w:r>
            <w:r w:rsidRPr="00C0591E">
              <w:rPr>
                <w:rFonts w:eastAsia="Times New Roman"/>
                <w:color w:val="000000"/>
                <w:sz w:val="20"/>
                <w:szCs w:val="20"/>
              </w:rPr>
              <w:t xml:space="preserve"> </w:t>
            </w:r>
            <w:r w:rsidRPr="00C0591E">
              <w:rPr>
                <w:rFonts w:eastAsia="Times New Roman"/>
                <w:color w:val="000000"/>
              </w:rPr>
              <w:t>variance</w:t>
            </w:r>
          </w:p>
          <w:p w14:paraId="24A774C5" w14:textId="77777777" w:rsidR="00A227CE" w:rsidRPr="00C0591E" w:rsidRDefault="00A227CE" w:rsidP="00E40D44">
            <w:pPr>
              <w:spacing w:after="0" w:line="240" w:lineRule="auto"/>
              <w:jc w:val="left"/>
              <w:rPr>
                <w:rFonts w:eastAsia="Times New Roman"/>
                <w:color w:val="000000"/>
                <w:sz w:val="20"/>
                <w:szCs w:val="20"/>
              </w:rPr>
            </w:pPr>
            <w:r w:rsidRPr="00C0591E">
              <w:rPr>
                <w:rFonts w:eastAsia="Times New Roman"/>
                <w:color w:val="000000"/>
              </w:rPr>
              <w:t>Variable: fitted values of Performance</w:t>
            </w:r>
          </w:p>
        </w:tc>
      </w:tr>
      <w:tr w:rsidR="00A227CE" w:rsidRPr="00C0591E" w14:paraId="34AC3189" w14:textId="77777777" w:rsidTr="00E40D44">
        <w:trPr>
          <w:trHeight w:val="300"/>
        </w:trPr>
        <w:tc>
          <w:tcPr>
            <w:tcW w:w="2842" w:type="pct"/>
            <w:tcBorders>
              <w:top w:val="single" w:sz="4" w:space="0" w:color="auto"/>
            </w:tcBorders>
            <w:shd w:val="clear" w:color="auto" w:fill="auto"/>
            <w:noWrap/>
            <w:vAlign w:val="bottom"/>
            <w:hideMark/>
          </w:tcPr>
          <w:p w14:paraId="3762C255" w14:textId="77777777" w:rsidR="00A227CE" w:rsidRPr="00C0591E" w:rsidRDefault="00A227CE" w:rsidP="00E40D44">
            <w:pPr>
              <w:spacing w:after="0"/>
              <w:jc w:val="left"/>
              <w:rPr>
                <w:rFonts w:eastAsia="Times New Roman"/>
              </w:rPr>
            </w:pPr>
            <w:r w:rsidRPr="00C0591E">
              <w:rPr>
                <w:rFonts w:eastAsia="Times New Roman"/>
              </w:rPr>
              <w:t>chi2(1)</w:t>
            </w:r>
          </w:p>
        </w:tc>
        <w:tc>
          <w:tcPr>
            <w:tcW w:w="386" w:type="pct"/>
            <w:tcBorders>
              <w:top w:val="single" w:sz="4" w:space="0" w:color="auto"/>
            </w:tcBorders>
            <w:shd w:val="clear" w:color="auto" w:fill="auto"/>
            <w:noWrap/>
            <w:vAlign w:val="bottom"/>
            <w:hideMark/>
          </w:tcPr>
          <w:p w14:paraId="62C618CF" w14:textId="77777777" w:rsidR="00A227CE" w:rsidRPr="00C0591E" w:rsidRDefault="00A227CE" w:rsidP="00E40D44">
            <w:pPr>
              <w:spacing w:after="0"/>
              <w:jc w:val="left"/>
              <w:rPr>
                <w:rFonts w:eastAsia="Times New Roman"/>
              </w:rPr>
            </w:pPr>
            <w:r w:rsidRPr="00C0591E">
              <w:rPr>
                <w:rFonts w:eastAsia="Times New Roman"/>
              </w:rPr>
              <w:t>=</w:t>
            </w:r>
          </w:p>
        </w:tc>
        <w:tc>
          <w:tcPr>
            <w:tcW w:w="1772" w:type="pct"/>
            <w:tcBorders>
              <w:top w:val="single" w:sz="4" w:space="0" w:color="auto"/>
            </w:tcBorders>
            <w:shd w:val="clear" w:color="auto" w:fill="auto"/>
            <w:noWrap/>
            <w:vAlign w:val="bottom"/>
            <w:hideMark/>
          </w:tcPr>
          <w:p w14:paraId="64B2A68C" w14:textId="77777777" w:rsidR="00A227CE" w:rsidRPr="00C0591E" w:rsidRDefault="00A227CE" w:rsidP="00E40D44">
            <w:pPr>
              <w:spacing w:after="0"/>
              <w:jc w:val="center"/>
              <w:rPr>
                <w:rFonts w:eastAsia="Times New Roman"/>
              </w:rPr>
            </w:pPr>
            <w:r w:rsidRPr="00C0591E">
              <w:rPr>
                <w:rFonts w:eastAsia="Times New Roman"/>
              </w:rPr>
              <w:t>10.05</w:t>
            </w:r>
          </w:p>
        </w:tc>
      </w:tr>
      <w:tr w:rsidR="00A227CE" w:rsidRPr="00C0591E" w14:paraId="7B193B0B" w14:textId="77777777" w:rsidTr="00E40D44">
        <w:trPr>
          <w:trHeight w:val="300"/>
        </w:trPr>
        <w:tc>
          <w:tcPr>
            <w:tcW w:w="2842" w:type="pct"/>
            <w:tcBorders>
              <w:bottom w:val="single" w:sz="4" w:space="0" w:color="auto"/>
            </w:tcBorders>
            <w:shd w:val="clear" w:color="auto" w:fill="auto"/>
            <w:noWrap/>
            <w:vAlign w:val="bottom"/>
            <w:hideMark/>
          </w:tcPr>
          <w:p w14:paraId="4CF52518" w14:textId="77777777" w:rsidR="00A227CE" w:rsidRPr="00C0591E" w:rsidRDefault="00A227CE" w:rsidP="00E40D44">
            <w:pPr>
              <w:spacing w:after="0"/>
              <w:jc w:val="left"/>
              <w:rPr>
                <w:rFonts w:eastAsia="Times New Roman"/>
              </w:rPr>
            </w:pPr>
            <w:r w:rsidRPr="00C0591E">
              <w:rPr>
                <w:rFonts w:eastAsia="Times New Roman"/>
              </w:rPr>
              <w:t>Prob &gt; chi2</w:t>
            </w:r>
          </w:p>
        </w:tc>
        <w:tc>
          <w:tcPr>
            <w:tcW w:w="386" w:type="pct"/>
            <w:tcBorders>
              <w:bottom w:val="single" w:sz="4" w:space="0" w:color="auto"/>
            </w:tcBorders>
            <w:shd w:val="clear" w:color="auto" w:fill="auto"/>
            <w:noWrap/>
            <w:vAlign w:val="bottom"/>
            <w:hideMark/>
          </w:tcPr>
          <w:p w14:paraId="739CD8C4" w14:textId="77777777" w:rsidR="00A227CE" w:rsidRPr="00C0591E" w:rsidRDefault="00A227CE" w:rsidP="00E40D44">
            <w:pPr>
              <w:spacing w:after="0"/>
              <w:jc w:val="left"/>
              <w:rPr>
                <w:rFonts w:eastAsia="Times New Roman"/>
              </w:rPr>
            </w:pPr>
            <w:r w:rsidRPr="00C0591E">
              <w:rPr>
                <w:rFonts w:eastAsia="Times New Roman"/>
              </w:rPr>
              <w:t>=</w:t>
            </w:r>
          </w:p>
        </w:tc>
        <w:tc>
          <w:tcPr>
            <w:tcW w:w="1772" w:type="pct"/>
            <w:tcBorders>
              <w:bottom w:val="single" w:sz="4" w:space="0" w:color="auto"/>
            </w:tcBorders>
            <w:shd w:val="clear" w:color="auto" w:fill="auto"/>
            <w:noWrap/>
            <w:vAlign w:val="bottom"/>
            <w:hideMark/>
          </w:tcPr>
          <w:p w14:paraId="6334C93E" w14:textId="77777777" w:rsidR="00A227CE" w:rsidRPr="00C0591E" w:rsidRDefault="00A227CE" w:rsidP="00E40D44">
            <w:pPr>
              <w:spacing w:after="0"/>
              <w:jc w:val="center"/>
              <w:rPr>
                <w:rFonts w:eastAsia="Times New Roman"/>
              </w:rPr>
            </w:pPr>
            <w:r w:rsidRPr="00C0591E">
              <w:rPr>
                <w:rFonts w:eastAsia="Times New Roman"/>
              </w:rPr>
              <w:t>0.150</w:t>
            </w:r>
          </w:p>
        </w:tc>
      </w:tr>
    </w:tbl>
    <w:p w14:paraId="11FB07F0" w14:textId="0AF9429C" w:rsidR="00A227CE" w:rsidRPr="00C0591E" w:rsidRDefault="00A227CE" w:rsidP="00A227CE">
      <w:r w:rsidRPr="00C0591E">
        <w:t>Results in Table</w:t>
      </w:r>
      <w:r w:rsidR="00191F36" w:rsidRPr="00C0591E">
        <w:t>17</w:t>
      </w:r>
      <w:r w:rsidRPr="00C0591E">
        <w:rPr>
          <w:color w:val="FF0000"/>
        </w:rPr>
        <w:t xml:space="preserve"> </w:t>
      </w:r>
      <w:r w:rsidRPr="00C0591E">
        <w:t xml:space="preserve">show that the p-value is greater than the 5%. Then the alternative hypothesis was rejected at a critical p value of 0.05 since the reported value was </w:t>
      </w:r>
      <w:r w:rsidRPr="00C0591E">
        <w:rPr>
          <w:rFonts w:eastAsia="Times New Roman"/>
        </w:rPr>
        <w:t>0.150</w:t>
      </w:r>
      <w:r w:rsidRPr="00C0591E">
        <w:t>&gt;0.05 and thus the data did not suffer from heteroscedasticity.</w:t>
      </w:r>
    </w:p>
    <w:p w14:paraId="666C4E3D" w14:textId="300FF024" w:rsidR="00A227CE" w:rsidRPr="00C0591E" w:rsidRDefault="00C1099B" w:rsidP="00A227CE">
      <w:pPr>
        <w:keepNext/>
        <w:keepLines/>
        <w:outlineLvl w:val="2"/>
        <w:rPr>
          <w:rFonts w:eastAsiaTheme="majorEastAsia" w:cstheme="majorBidi"/>
          <w:b/>
          <w:color w:val="FF0000"/>
          <w:szCs w:val="24"/>
        </w:rPr>
      </w:pPr>
      <w:bookmarkStart w:id="215" w:name="_Toc507861163"/>
      <w:bookmarkStart w:id="216" w:name="_Toc512000193"/>
      <w:bookmarkStart w:id="217" w:name="_Toc514675172"/>
      <w:bookmarkStart w:id="218" w:name="_Toc534798572"/>
      <w:bookmarkStart w:id="219" w:name="_Toc534904551"/>
      <w:bookmarkStart w:id="220" w:name="_Toc10827060"/>
      <w:bookmarkStart w:id="221" w:name="_Toc20424343"/>
      <w:r w:rsidRPr="00C0591E">
        <w:rPr>
          <w:rFonts w:eastAsiaTheme="majorEastAsia" w:cstheme="majorBidi"/>
          <w:b/>
          <w:szCs w:val="24"/>
        </w:rPr>
        <w:t>4.4.3.4</w:t>
      </w:r>
      <w:r w:rsidR="00A227CE" w:rsidRPr="00C0591E">
        <w:rPr>
          <w:rFonts w:eastAsiaTheme="majorEastAsia" w:cstheme="majorBidi"/>
          <w:b/>
          <w:szCs w:val="24"/>
        </w:rPr>
        <w:t xml:space="preserve"> Test for Linearity</w:t>
      </w:r>
      <w:bookmarkEnd w:id="215"/>
      <w:bookmarkEnd w:id="216"/>
      <w:bookmarkEnd w:id="217"/>
      <w:bookmarkEnd w:id="218"/>
      <w:bookmarkEnd w:id="219"/>
      <w:bookmarkEnd w:id="220"/>
      <w:bookmarkEnd w:id="221"/>
      <w:r w:rsidR="00A227CE" w:rsidRPr="00C0591E">
        <w:rPr>
          <w:rFonts w:eastAsiaTheme="majorEastAsia" w:cstheme="majorBidi"/>
          <w:b/>
          <w:szCs w:val="24"/>
        </w:rPr>
        <w:t xml:space="preserve"> </w:t>
      </w:r>
    </w:p>
    <w:p w14:paraId="40977585" w14:textId="729830E2" w:rsidR="00A227CE" w:rsidRPr="00C0591E" w:rsidRDefault="00A227CE" w:rsidP="00A227CE">
      <w:r w:rsidRPr="00C0591E">
        <w:rPr>
          <w:szCs w:val="24"/>
        </w:rPr>
        <w:t>Linearity assumes a straight-line relationship between the predictor variables and the criterion variable. This was assessed by examination of a scatter plot of all the independent variables against the dependent variable to measure if there is a straight-line relationship</w:t>
      </w:r>
      <w:r w:rsidRPr="00C0591E">
        <w:rPr>
          <w:rFonts w:eastAsia="Times New Roman"/>
          <w:bCs/>
          <w:szCs w:val="24"/>
          <w:lang w:eastAsia="ar-SA"/>
        </w:rPr>
        <w:t xml:space="preserve">. All the independent variables depicted a straight-line relationship with the dependent variable as shown </w:t>
      </w:r>
      <w:r w:rsidRPr="00C0591E">
        <w:t xml:space="preserve">in Figure </w:t>
      </w:r>
      <w:r w:rsidR="00EA178E" w:rsidRPr="00C0591E">
        <w:t>2</w:t>
      </w:r>
      <w:r w:rsidRPr="00C0591E">
        <w:t xml:space="preserve">. </w:t>
      </w:r>
    </w:p>
    <w:p w14:paraId="0DA3715A" w14:textId="3BB9ADF9" w:rsidR="00A227CE" w:rsidRPr="00C0591E" w:rsidRDefault="00EA178E" w:rsidP="00A227CE">
      <w:r w:rsidRPr="00C0591E">
        <w:rPr>
          <w:noProof/>
        </w:rPr>
        <mc:AlternateContent>
          <mc:Choice Requires="wps">
            <w:drawing>
              <wp:anchor distT="0" distB="0" distL="114300" distR="114300" simplePos="0" relativeHeight="251727872" behindDoc="0" locked="0" layoutInCell="1" allowOverlap="1" wp14:anchorId="6FD80CC1" wp14:editId="3178DE2D">
                <wp:simplePos x="0" y="0"/>
                <wp:positionH relativeFrom="column">
                  <wp:posOffset>0</wp:posOffset>
                </wp:positionH>
                <wp:positionV relativeFrom="paragraph">
                  <wp:posOffset>335280</wp:posOffset>
                </wp:positionV>
                <wp:extent cx="6195060" cy="7475220"/>
                <wp:effectExtent l="0" t="0" r="15240" b="114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95060" cy="7475220"/>
                        </a:xfrm>
                        <a:prstGeom prst="rect">
                          <a:avLst/>
                        </a:prstGeom>
                        <a:solidFill>
                          <a:sysClr val="window" lastClr="FFFFFF"/>
                        </a:solidFill>
                        <a:ln w="6350">
                          <a:solidFill>
                            <a:prstClr val="black"/>
                          </a:solidFill>
                        </a:ln>
                      </wps:spPr>
                      <wps:txbx>
                        <w:txbxContent>
                          <w:p w14:paraId="11AC015D" w14:textId="77777777" w:rsidR="003A104A" w:rsidRDefault="003A104A" w:rsidP="00A227CE">
                            <w:pPr>
                              <w:autoSpaceDE w:val="0"/>
                              <w:autoSpaceDN w:val="0"/>
                              <w:adjustRightInd w:val="0"/>
                              <w:spacing w:before="0" w:after="0" w:line="240" w:lineRule="auto"/>
                              <w:jc w:val="center"/>
                              <w:rPr>
                                <w:rFonts w:cs="Times New Roman"/>
                                <w:szCs w:val="24"/>
                              </w:rPr>
                            </w:pPr>
                          </w:p>
                          <w:p w14:paraId="0EBD1AB7" w14:textId="77777777" w:rsidR="003A104A" w:rsidRDefault="003A104A" w:rsidP="00A227CE">
                            <w:pPr>
                              <w:autoSpaceDE w:val="0"/>
                              <w:autoSpaceDN w:val="0"/>
                              <w:adjustRightInd w:val="0"/>
                              <w:spacing w:before="0" w:after="0" w:line="240" w:lineRule="auto"/>
                              <w:jc w:val="center"/>
                              <w:rPr>
                                <w:rFonts w:cs="Times New Roman"/>
                                <w:szCs w:val="24"/>
                              </w:rPr>
                            </w:pPr>
                            <w:r>
                              <w:rPr>
                                <w:rFonts w:cs="Times New Roman"/>
                                <w:noProof/>
                                <w:szCs w:val="24"/>
                              </w:rPr>
                              <w:drawing>
                                <wp:inline distT="0" distB="0" distL="0" distR="0" wp14:anchorId="65DF5C52" wp14:editId="44E5AE33">
                                  <wp:extent cx="5943600" cy="280416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2804160"/>
                                          </a:xfrm>
                                          <a:prstGeom prst="rect">
                                            <a:avLst/>
                                          </a:prstGeom>
                                          <a:noFill/>
                                          <a:ln>
                                            <a:noFill/>
                                          </a:ln>
                                        </pic:spPr>
                                      </pic:pic>
                                    </a:graphicData>
                                  </a:graphic>
                                </wp:inline>
                              </w:drawing>
                            </w:r>
                          </w:p>
                          <w:p w14:paraId="07B68E5D" w14:textId="77777777" w:rsidR="003A104A" w:rsidRDefault="003A104A" w:rsidP="00A227CE">
                            <w:pPr>
                              <w:autoSpaceDE w:val="0"/>
                              <w:autoSpaceDN w:val="0"/>
                              <w:adjustRightInd w:val="0"/>
                              <w:spacing w:before="0" w:after="0" w:line="240" w:lineRule="auto"/>
                              <w:jc w:val="left"/>
                              <w:rPr>
                                <w:rFonts w:cs="Times New Roman"/>
                                <w:szCs w:val="24"/>
                              </w:rPr>
                            </w:pPr>
                          </w:p>
                          <w:p w14:paraId="01803BE3" w14:textId="77777777" w:rsidR="003A104A" w:rsidRDefault="003A104A" w:rsidP="00A227CE">
                            <w:pPr>
                              <w:autoSpaceDE w:val="0"/>
                              <w:autoSpaceDN w:val="0"/>
                              <w:adjustRightInd w:val="0"/>
                              <w:spacing w:before="0" w:after="0" w:line="240" w:lineRule="auto"/>
                              <w:jc w:val="center"/>
                              <w:rPr>
                                <w:rFonts w:cs="Times New Roman"/>
                                <w:szCs w:val="24"/>
                              </w:rPr>
                            </w:pPr>
                            <w:r>
                              <w:rPr>
                                <w:rFonts w:cs="Times New Roman"/>
                                <w:noProof/>
                                <w:szCs w:val="24"/>
                              </w:rPr>
                              <w:drawing>
                                <wp:inline distT="0" distB="0" distL="0" distR="0" wp14:anchorId="3A58B065" wp14:editId="7773F2AC">
                                  <wp:extent cx="5943600" cy="225552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2255520"/>
                                          </a:xfrm>
                                          <a:prstGeom prst="rect">
                                            <a:avLst/>
                                          </a:prstGeom>
                                          <a:noFill/>
                                          <a:ln>
                                            <a:noFill/>
                                          </a:ln>
                                        </pic:spPr>
                                      </pic:pic>
                                    </a:graphicData>
                                  </a:graphic>
                                </wp:inline>
                              </w:drawing>
                            </w:r>
                          </w:p>
                          <w:p w14:paraId="2F862C7D" w14:textId="77777777" w:rsidR="003A104A" w:rsidRDefault="003A104A" w:rsidP="00A227CE">
                            <w:pPr>
                              <w:autoSpaceDE w:val="0"/>
                              <w:autoSpaceDN w:val="0"/>
                              <w:adjustRightInd w:val="0"/>
                              <w:spacing w:before="0" w:after="0" w:line="240" w:lineRule="auto"/>
                              <w:jc w:val="center"/>
                              <w:rPr>
                                <w:rFonts w:cs="Times New Roman"/>
                                <w:szCs w:val="24"/>
                              </w:rPr>
                            </w:pPr>
                            <w:r>
                              <w:rPr>
                                <w:rFonts w:cs="Times New Roman"/>
                                <w:noProof/>
                                <w:szCs w:val="24"/>
                              </w:rPr>
                              <w:drawing>
                                <wp:inline distT="0" distB="0" distL="0" distR="0" wp14:anchorId="3631A479" wp14:editId="297F96B1">
                                  <wp:extent cx="5943600" cy="244602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2446020"/>
                                          </a:xfrm>
                                          <a:prstGeom prst="rect">
                                            <a:avLst/>
                                          </a:prstGeom>
                                          <a:noFill/>
                                          <a:ln>
                                            <a:noFill/>
                                          </a:ln>
                                        </pic:spPr>
                                      </pic:pic>
                                    </a:graphicData>
                                  </a:graphic>
                                </wp:inline>
                              </w:drawing>
                            </w:r>
                          </w:p>
                          <w:p w14:paraId="496573A7" w14:textId="77777777" w:rsidR="003A104A" w:rsidRDefault="003A104A" w:rsidP="00A227CE">
                            <w:pPr>
                              <w:autoSpaceDE w:val="0"/>
                              <w:autoSpaceDN w:val="0"/>
                              <w:adjustRightInd w:val="0"/>
                              <w:spacing w:before="0" w:after="0" w:line="240" w:lineRule="auto"/>
                              <w:jc w:val="left"/>
                              <w:rPr>
                                <w:rFonts w:cs="Times New Roman"/>
                                <w:szCs w:val="24"/>
                              </w:rPr>
                            </w:pPr>
                          </w:p>
                          <w:p w14:paraId="5412B482" w14:textId="77777777" w:rsidR="003A104A" w:rsidRDefault="003A104A" w:rsidP="00A227CE">
                            <w:pPr>
                              <w:autoSpaceDE w:val="0"/>
                              <w:autoSpaceDN w:val="0"/>
                              <w:adjustRightInd w:val="0"/>
                              <w:spacing w:before="0" w:after="0" w:line="400" w:lineRule="atLeast"/>
                              <w:jc w:val="left"/>
                              <w:rPr>
                                <w:rFonts w:cs="Times New Roman"/>
                                <w:szCs w:val="24"/>
                              </w:rPr>
                            </w:pPr>
                          </w:p>
                          <w:p w14:paraId="6CA3B17F" w14:textId="77777777" w:rsidR="003A104A" w:rsidRDefault="003A104A" w:rsidP="00A227CE">
                            <w:pPr>
                              <w:autoSpaceDE w:val="0"/>
                              <w:autoSpaceDN w:val="0"/>
                              <w:adjustRightInd w:val="0"/>
                              <w:spacing w:before="0" w:after="0" w:line="400" w:lineRule="atLeast"/>
                              <w:jc w:val="left"/>
                              <w:rPr>
                                <w:rFonts w:cs="Times New Roman"/>
                                <w:szCs w:val="24"/>
                              </w:rPr>
                            </w:pPr>
                          </w:p>
                          <w:p w14:paraId="5EDD3FE8" w14:textId="77777777" w:rsidR="003A104A" w:rsidRDefault="003A104A" w:rsidP="00A227CE">
                            <w:pPr>
                              <w:autoSpaceDE w:val="0"/>
                              <w:autoSpaceDN w:val="0"/>
                              <w:adjustRightInd w:val="0"/>
                              <w:spacing w:before="0" w:after="0" w:line="400" w:lineRule="atLeast"/>
                              <w:jc w:val="center"/>
                              <w:rPr>
                                <w:rFonts w:cs="Times New Roman"/>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D80CC1" id="Text Box 2" o:spid="_x0000_s1051" type="#_x0000_t202" style="position:absolute;left:0;text-align:left;margin-left:0;margin-top:26.4pt;width:487.8pt;height:588.6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" fillcolor="window" strokeweight=".5pt">
                <v:path arrowok="t"/>
                <v:textbox>
                  <w:txbxContent>
                    <w:p w14:paraId="11AC015D" w14:textId="77777777" w:rsidR="003A104A" w:rsidRDefault="003A104A" w:rsidP="00A227CE">
                      <w:pPr>
                        <w:autoSpaceDE w:val="0"/>
                        <w:autoSpaceDN w:val="0"/>
                        <w:adjustRightInd w:val="0"/>
                        <w:spacing w:before="0" w:after="0" w:line="240" w:lineRule="auto"/>
                        <w:jc w:val="center"/>
                        <w:rPr>
                          <w:rFonts w:cs="Times New Roman"/>
                          <w:szCs w:val="24"/>
                        </w:rPr>
                      </w:pPr>
                    </w:p>
                    <w:p w14:paraId="0EBD1AB7" w14:textId="77777777" w:rsidR="003A104A" w:rsidRDefault="003A104A" w:rsidP="00A227CE">
                      <w:pPr>
                        <w:autoSpaceDE w:val="0"/>
                        <w:autoSpaceDN w:val="0"/>
                        <w:adjustRightInd w:val="0"/>
                        <w:spacing w:before="0" w:after="0" w:line="240" w:lineRule="auto"/>
                        <w:jc w:val="center"/>
                        <w:rPr>
                          <w:rFonts w:cs="Times New Roman"/>
                          <w:szCs w:val="24"/>
                        </w:rPr>
                      </w:pPr>
                      <w:r>
                        <w:rPr>
                          <w:rFonts w:cs="Times New Roman"/>
                          <w:noProof/>
                          <w:szCs w:val="24"/>
                        </w:rPr>
                        <w:drawing>
                          <wp:inline distT="0" distB="0" distL="0" distR="0" wp14:anchorId="65DF5C52" wp14:editId="44E5AE33">
                            <wp:extent cx="5943600" cy="280416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2804160"/>
                                    </a:xfrm>
                                    <a:prstGeom prst="rect">
                                      <a:avLst/>
                                    </a:prstGeom>
                                    <a:noFill/>
                                    <a:ln>
                                      <a:noFill/>
                                    </a:ln>
                                  </pic:spPr>
                                </pic:pic>
                              </a:graphicData>
                            </a:graphic>
                          </wp:inline>
                        </w:drawing>
                      </w:r>
                    </w:p>
                    <w:p w14:paraId="07B68E5D" w14:textId="77777777" w:rsidR="003A104A" w:rsidRDefault="003A104A" w:rsidP="00A227CE">
                      <w:pPr>
                        <w:autoSpaceDE w:val="0"/>
                        <w:autoSpaceDN w:val="0"/>
                        <w:adjustRightInd w:val="0"/>
                        <w:spacing w:before="0" w:after="0" w:line="240" w:lineRule="auto"/>
                        <w:jc w:val="left"/>
                        <w:rPr>
                          <w:rFonts w:cs="Times New Roman"/>
                          <w:szCs w:val="24"/>
                        </w:rPr>
                      </w:pPr>
                    </w:p>
                    <w:p w14:paraId="01803BE3" w14:textId="77777777" w:rsidR="003A104A" w:rsidRDefault="003A104A" w:rsidP="00A227CE">
                      <w:pPr>
                        <w:autoSpaceDE w:val="0"/>
                        <w:autoSpaceDN w:val="0"/>
                        <w:adjustRightInd w:val="0"/>
                        <w:spacing w:before="0" w:after="0" w:line="240" w:lineRule="auto"/>
                        <w:jc w:val="center"/>
                        <w:rPr>
                          <w:rFonts w:cs="Times New Roman"/>
                          <w:szCs w:val="24"/>
                        </w:rPr>
                      </w:pPr>
                      <w:r>
                        <w:rPr>
                          <w:rFonts w:cs="Times New Roman"/>
                          <w:noProof/>
                          <w:szCs w:val="24"/>
                        </w:rPr>
                        <w:drawing>
                          <wp:inline distT="0" distB="0" distL="0" distR="0" wp14:anchorId="3A58B065" wp14:editId="7773F2AC">
                            <wp:extent cx="5943600" cy="225552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2255520"/>
                                    </a:xfrm>
                                    <a:prstGeom prst="rect">
                                      <a:avLst/>
                                    </a:prstGeom>
                                    <a:noFill/>
                                    <a:ln>
                                      <a:noFill/>
                                    </a:ln>
                                  </pic:spPr>
                                </pic:pic>
                              </a:graphicData>
                            </a:graphic>
                          </wp:inline>
                        </w:drawing>
                      </w:r>
                    </w:p>
                    <w:p w14:paraId="2F862C7D" w14:textId="77777777" w:rsidR="003A104A" w:rsidRDefault="003A104A" w:rsidP="00A227CE">
                      <w:pPr>
                        <w:autoSpaceDE w:val="0"/>
                        <w:autoSpaceDN w:val="0"/>
                        <w:adjustRightInd w:val="0"/>
                        <w:spacing w:before="0" w:after="0" w:line="240" w:lineRule="auto"/>
                        <w:jc w:val="center"/>
                        <w:rPr>
                          <w:rFonts w:cs="Times New Roman"/>
                          <w:szCs w:val="24"/>
                        </w:rPr>
                      </w:pPr>
                      <w:r>
                        <w:rPr>
                          <w:rFonts w:cs="Times New Roman"/>
                          <w:noProof/>
                          <w:szCs w:val="24"/>
                        </w:rPr>
                        <w:drawing>
                          <wp:inline distT="0" distB="0" distL="0" distR="0" wp14:anchorId="3631A479" wp14:editId="297F96B1">
                            <wp:extent cx="5943600" cy="244602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2446020"/>
                                    </a:xfrm>
                                    <a:prstGeom prst="rect">
                                      <a:avLst/>
                                    </a:prstGeom>
                                    <a:noFill/>
                                    <a:ln>
                                      <a:noFill/>
                                    </a:ln>
                                  </pic:spPr>
                                </pic:pic>
                              </a:graphicData>
                            </a:graphic>
                          </wp:inline>
                        </w:drawing>
                      </w:r>
                    </w:p>
                    <w:p w14:paraId="496573A7" w14:textId="77777777" w:rsidR="003A104A" w:rsidRDefault="003A104A" w:rsidP="00A227CE">
                      <w:pPr>
                        <w:autoSpaceDE w:val="0"/>
                        <w:autoSpaceDN w:val="0"/>
                        <w:adjustRightInd w:val="0"/>
                        <w:spacing w:before="0" w:after="0" w:line="240" w:lineRule="auto"/>
                        <w:jc w:val="left"/>
                        <w:rPr>
                          <w:rFonts w:cs="Times New Roman"/>
                          <w:szCs w:val="24"/>
                        </w:rPr>
                      </w:pPr>
                    </w:p>
                    <w:p w14:paraId="5412B482" w14:textId="77777777" w:rsidR="003A104A" w:rsidRDefault="003A104A" w:rsidP="00A227CE">
                      <w:pPr>
                        <w:autoSpaceDE w:val="0"/>
                        <w:autoSpaceDN w:val="0"/>
                        <w:adjustRightInd w:val="0"/>
                        <w:spacing w:before="0" w:after="0" w:line="400" w:lineRule="atLeast"/>
                        <w:jc w:val="left"/>
                        <w:rPr>
                          <w:rFonts w:cs="Times New Roman"/>
                          <w:szCs w:val="24"/>
                        </w:rPr>
                      </w:pPr>
                    </w:p>
                    <w:p w14:paraId="6CA3B17F" w14:textId="77777777" w:rsidR="003A104A" w:rsidRDefault="003A104A" w:rsidP="00A227CE">
                      <w:pPr>
                        <w:autoSpaceDE w:val="0"/>
                        <w:autoSpaceDN w:val="0"/>
                        <w:adjustRightInd w:val="0"/>
                        <w:spacing w:before="0" w:after="0" w:line="400" w:lineRule="atLeast"/>
                        <w:jc w:val="left"/>
                        <w:rPr>
                          <w:rFonts w:cs="Times New Roman"/>
                          <w:szCs w:val="24"/>
                        </w:rPr>
                      </w:pPr>
                    </w:p>
                    <w:p w14:paraId="5EDD3FE8" w14:textId="77777777" w:rsidR="003A104A" w:rsidRDefault="003A104A" w:rsidP="00A227CE">
                      <w:pPr>
                        <w:autoSpaceDE w:val="0"/>
                        <w:autoSpaceDN w:val="0"/>
                        <w:adjustRightInd w:val="0"/>
                        <w:spacing w:before="0" w:after="0" w:line="400" w:lineRule="atLeast"/>
                        <w:jc w:val="center"/>
                        <w:rPr>
                          <w:rFonts w:cs="Times New Roman"/>
                          <w:szCs w:val="24"/>
                        </w:rPr>
                      </w:pPr>
                    </w:p>
                  </w:txbxContent>
                </v:textbox>
              </v:shape>
            </w:pict>
          </mc:Fallback>
        </mc:AlternateContent>
      </w:r>
    </w:p>
    <w:p w14:paraId="52404AE2" w14:textId="77777777" w:rsidR="00A227CE" w:rsidRPr="00C0591E" w:rsidRDefault="00A227CE" w:rsidP="00A227CE"/>
    <w:p w14:paraId="07859AFE" w14:textId="77777777" w:rsidR="00A227CE" w:rsidRPr="00C0591E" w:rsidRDefault="00A227CE" w:rsidP="00A227CE"/>
    <w:p w14:paraId="2B97C26A" w14:textId="77777777" w:rsidR="00A227CE" w:rsidRPr="00C0591E" w:rsidRDefault="00A227CE" w:rsidP="00A227CE"/>
    <w:p w14:paraId="780A2290" w14:textId="77777777" w:rsidR="00A227CE" w:rsidRPr="00C0591E" w:rsidRDefault="00A227CE" w:rsidP="00A227CE"/>
    <w:p w14:paraId="37DCE826" w14:textId="77777777" w:rsidR="00A227CE" w:rsidRPr="00C0591E" w:rsidRDefault="00A227CE" w:rsidP="00A227CE"/>
    <w:p w14:paraId="30C2BAC5" w14:textId="77777777" w:rsidR="00A227CE" w:rsidRPr="00C0591E" w:rsidRDefault="00A227CE" w:rsidP="00A227CE"/>
    <w:p w14:paraId="3983DD8D" w14:textId="77777777" w:rsidR="00A227CE" w:rsidRPr="00C0591E" w:rsidRDefault="00A227CE" w:rsidP="00A227CE"/>
    <w:p w14:paraId="12D736BA" w14:textId="77777777" w:rsidR="00A227CE" w:rsidRPr="00C0591E" w:rsidRDefault="00A227CE" w:rsidP="00A227CE"/>
    <w:p w14:paraId="655B4281" w14:textId="77777777" w:rsidR="00A227CE" w:rsidRPr="00C0591E" w:rsidRDefault="00A227CE" w:rsidP="00A227CE"/>
    <w:p w14:paraId="79132CE5" w14:textId="77777777" w:rsidR="00A227CE" w:rsidRPr="00C0591E" w:rsidRDefault="00A227CE" w:rsidP="00A227CE"/>
    <w:p w14:paraId="6FAE4BD1" w14:textId="77777777" w:rsidR="00A227CE" w:rsidRPr="00C0591E" w:rsidRDefault="00A227CE" w:rsidP="00A227CE"/>
    <w:p w14:paraId="0C9F903B" w14:textId="77777777" w:rsidR="00A227CE" w:rsidRPr="00C0591E" w:rsidRDefault="00A227CE" w:rsidP="00A227CE"/>
    <w:p w14:paraId="606CF249" w14:textId="77777777" w:rsidR="00A227CE" w:rsidRPr="00C0591E" w:rsidRDefault="00A227CE" w:rsidP="00A227CE"/>
    <w:p w14:paraId="4E97C5F7" w14:textId="77777777" w:rsidR="00A227CE" w:rsidRPr="00C0591E" w:rsidRDefault="00A227CE" w:rsidP="00A227CE"/>
    <w:p w14:paraId="2F9280B4" w14:textId="77777777" w:rsidR="00A227CE" w:rsidRPr="00C0591E" w:rsidRDefault="00A227CE" w:rsidP="00A227CE"/>
    <w:p w14:paraId="2260496B" w14:textId="77777777" w:rsidR="00A227CE" w:rsidRPr="00C0591E" w:rsidRDefault="00A227CE" w:rsidP="00A227CE"/>
    <w:p w14:paraId="62ED410C" w14:textId="77777777" w:rsidR="00A227CE" w:rsidRPr="00C0591E" w:rsidRDefault="00A227CE" w:rsidP="00A227CE"/>
    <w:p w14:paraId="42E54585" w14:textId="77777777" w:rsidR="00A227CE" w:rsidRPr="00C0591E" w:rsidRDefault="00A227CE" w:rsidP="00A227CE"/>
    <w:p w14:paraId="70A8E930" w14:textId="77777777" w:rsidR="00A227CE" w:rsidRPr="00C0591E" w:rsidRDefault="00A227CE" w:rsidP="00A227CE"/>
    <w:p w14:paraId="5C0D394C" w14:textId="32CC132F" w:rsidR="00EA178E" w:rsidRPr="00C0591E" w:rsidRDefault="00EA178E" w:rsidP="00A227CE"/>
    <w:p w14:paraId="5A08B608" w14:textId="2D6534DC" w:rsidR="009213B7" w:rsidRPr="00C0591E" w:rsidRDefault="009213B7" w:rsidP="00A227CE"/>
    <w:p w14:paraId="1EA9A907" w14:textId="60F93FE6" w:rsidR="009213B7" w:rsidRPr="00C0591E" w:rsidRDefault="009213B7" w:rsidP="00A227CE"/>
    <w:p w14:paraId="3F1391B7" w14:textId="0F26E201" w:rsidR="009213B7" w:rsidRPr="00C0591E" w:rsidRDefault="009213B7" w:rsidP="00A227CE"/>
    <w:p w14:paraId="7F56EB83" w14:textId="2698F0D5" w:rsidR="001633DA" w:rsidRPr="00C0591E" w:rsidRDefault="00EA178E" w:rsidP="001633DA">
      <w:pPr>
        <w:pStyle w:val="Heading5"/>
        <w:framePr w:wrap="around"/>
      </w:pPr>
      <w:bookmarkStart w:id="222" w:name="_Toc113125171"/>
      <w:r w:rsidRPr="00C0591E">
        <w:t>Figure 2</w:t>
      </w:r>
      <w:r w:rsidR="001633DA" w:rsidRPr="00C0591E">
        <w:t>:</w:t>
      </w:r>
      <w:r w:rsidR="001633DA" w:rsidRPr="00C0591E">
        <w:rPr>
          <w:rFonts w:eastAsiaTheme="majorEastAsia" w:cstheme="majorBidi"/>
          <w:szCs w:val="24"/>
        </w:rPr>
        <w:t xml:space="preserve"> Linearity for </w:t>
      </w:r>
      <w:r w:rsidR="00173C67">
        <w:t>pillars of corporate governance</w:t>
      </w:r>
      <w:r w:rsidR="001633DA" w:rsidRPr="00C0591E">
        <w:t>, investment policies and government regulation</w:t>
      </w:r>
      <w:bookmarkEnd w:id="222"/>
      <w:r w:rsidR="001633DA" w:rsidRPr="00C0591E">
        <w:t xml:space="preserve"> </w:t>
      </w:r>
    </w:p>
    <w:p w14:paraId="0653905D" w14:textId="0EE23BED" w:rsidR="001633DA" w:rsidRPr="00C0591E" w:rsidRDefault="001633DA" w:rsidP="001633DA"/>
    <w:p w14:paraId="191583A0" w14:textId="77777777" w:rsidR="001633DA" w:rsidRPr="00C0591E" w:rsidRDefault="001633DA" w:rsidP="00C1099B">
      <w:pPr>
        <w:rPr>
          <w:lang w:eastAsia="ar-SA"/>
        </w:rPr>
      </w:pPr>
    </w:p>
    <w:p w14:paraId="0D00B979" w14:textId="4C197C31" w:rsidR="00A227CE" w:rsidRPr="00C0591E" w:rsidRDefault="00A227CE" w:rsidP="00C1099B">
      <w:r w:rsidRPr="00C0591E">
        <w:rPr>
          <w:lang w:eastAsia="ar-SA"/>
        </w:rPr>
        <w:t xml:space="preserve">Figure </w:t>
      </w:r>
      <w:r w:rsidR="00EA178E" w:rsidRPr="00C0591E">
        <w:rPr>
          <w:lang w:eastAsia="ar-SA"/>
        </w:rPr>
        <w:t>2</w:t>
      </w:r>
      <w:r w:rsidRPr="00C0591E">
        <w:rPr>
          <w:lang w:eastAsia="ar-SA"/>
        </w:rPr>
        <w:t xml:space="preserve"> shows that the independent variables </w:t>
      </w:r>
      <w:r w:rsidR="00173C67">
        <w:t>pillars of corporate governance</w:t>
      </w:r>
      <w:r w:rsidRPr="00C0591E">
        <w:t xml:space="preserve">, investment policies and government regulation </w:t>
      </w:r>
      <w:r w:rsidRPr="00C0591E">
        <w:rPr>
          <w:lang w:eastAsia="ar-SA"/>
        </w:rPr>
        <w:t>depicted a straight-line relationship with the dependent variable performance</w:t>
      </w:r>
      <w:r w:rsidRPr="00C0591E">
        <w:t>.</w:t>
      </w:r>
    </w:p>
    <w:p w14:paraId="38C7C077" w14:textId="77777777" w:rsidR="00B61F0B" w:rsidRPr="00C0591E" w:rsidRDefault="00B61F0B" w:rsidP="00B61F0B">
      <w:pPr>
        <w:pStyle w:val="Heading2"/>
      </w:pPr>
      <w:bookmarkStart w:id="223" w:name="_Toc10827066"/>
      <w:bookmarkStart w:id="224" w:name="_Toc20424349"/>
      <w:bookmarkStart w:id="225" w:name="_Toc39669971"/>
      <w:bookmarkStart w:id="226" w:name="_Toc46240565"/>
      <w:bookmarkStart w:id="227" w:name="_Toc113125109"/>
      <w:r w:rsidRPr="00C0591E">
        <w:t>4.5 Descriptive Statistics</w:t>
      </w:r>
      <w:bookmarkEnd w:id="223"/>
      <w:bookmarkEnd w:id="224"/>
      <w:bookmarkEnd w:id="225"/>
      <w:bookmarkEnd w:id="226"/>
      <w:bookmarkEnd w:id="227"/>
      <w:r w:rsidRPr="00C0591E">
        <w:t xml:space="preserve"> </w:t>
      </w:r>
    </w:p>
    <w:p w14:paraId="622F58D0" w14:textId="3E4ACD73" w:rsidR="00B61F0B" w:rsidRPr="00C0591E" w:rsidRDefault="00B61F0B" w:rsidP="00B61F0B">
      <w:r w:rsidRPr="00C0591E">
        <w:t xml:space="preserve">The purpose of descriptive statistics was to enable the study to meaningfully describe a distribution of scores or measurements using indices or statistics. The type of statistics or indices used depends on the type of variables in the study and the scale of the measurements. This section contains descriptive analysis for </w:t>
      </w:r>
      <w:r w:rsidR="00173C67">
        <w:t>pillars of corporate governance</w:t>
      </w:r>
      <w:r w:rsidRPr="00C0591E">
        <w:t>, investment policies, government regulations and performance.</w:t>
      </w:r>
    </w:p>
    <w:p w14:paraId="12C8EA33" w14:textId="7E9517E2" w:rsidR="00B61F0B" w:rsidRPr="00C0591E" w:rsidRDefault="00B61F0B" w:rsidP="00B61F0B">
      <w:pPr>
        <w:pStyle w:val="Heading3"/>
      </w:pPr>
      <w:bookmarkStart w:id="228" w:name="_Toc10827067"/>
      <w:bookmarkStart w:id="229" w:name="_Toc20424350"/>
      <w:bookmarkStart w:id="230" w:name="_Toc22319978"/>
      <w:r w:rsidRPr="00C0591E">
        <w:t xml:space="preserve">4.5.1 Descriptive Statistics for </w:t>
      </w:r>
      <w:bookmarkEnd w:id="228"/>
      <w:bookmarkEnd w:id="229"/>
      <w:bookmarkEnd w:id="230"/>
      <w:r w:rsidR="00173C67">
        <w:t>Pillars of corporate governance</w:t>
      </w:r>
    </w:p>
    <w:p w14:paraId="40CD55CF" w14:textId="1C0AAB4C" w:rsidR="00B61F0B" w:rsidRPr="00C0591E" w:rsidRDefault="00B61F0B" w:rsidP="00B61F0B">
      <w:r w:rsidRPr="00C0591E">
        <w:t xml:space="preserve">The descriptive statistics were analysed using the mean statements on transparency, structure, accountability and participation. The descriptive statistics were run using SPSS software. The first objective of the study was to establish the relationship between </w:t>
      </w:r>
      <w:r w:rsidR="00173C67">
        <w:t>pillars of corporate governance</w:t>
      </w:r>
      <w:r w:rsidRPr="00C0591E">
        <w:t xml:space="preserve"> and performance of pension fund managers. The results are as depicted in Table </w:t>
      </w:r>
      <w:r w:rsidR="00191F36" w:rsidRPr="00C0591E">
        <w:t>18</w:t>
      </w:r>
      <w:r w:rsidRPr="00C0591E">
        <w:t>.</w:t>
      </w:r>
    </w:p>
    <w:p w14:paraId="2061B148" w14:textId="6552193F" w:rsidR="00B61F0B" w:rsidRPr="00C0591E" w:rsidRDefault="00B61F0B" w:rsidP="006F2377">
      <w:pPr>
        <w:pStyle w:val="Heading4"/>
      </w:pPr>
      <w:bookmarkStart w:id="231" w:name="_Toc7534696"/>
      <w:bookmarkStart w:id="232" w:name="_Toc13905803"/>
      <w:bookmarkStart w:id="233" w:name="_Toc39670024"/>
      <w:bookmarkStart w:id="234" w:name="_Toc46234221"/>
      <w:bookmarkStart w:id="235" w:name="_Toc113125153"/>
      <w:r w:rsidRPr="00C0591E">
        <w:t xml:space="preserve">Table </w:t>
      </w:r>
      <w:r w:rsidR="00191F36" w:rsidRPr="00C0591E">
        <w:t>18</w:t>
      </w:r>
      <w:r w:rsidRPr="00C0591E">
        <w:t xml:space="preserve">: Descriptive Statistics for </w:t>
      </w:r>
      <w:bookmarkEnd w:id="231"/>
      <w:bookmarkEnd w:id="232"/>
      <w:bookmarkEnd w:id="233"/>
      <w:bookmarkEnd w:id="234"/>
      <w:r w:rsidR="00173C67">
        <w:t>Pillars of corporate governance</w:t>
      </w:r>
      <w:bookmarkEnd w:id="235"/>
    </w:p>
    <w:tbl>
      <w:tblPr>
        <w:tblW w:w="5000" w:type="pct"/>
        <w:tblLook w:val="04A0" w:firstRow="1" w:lastRow="0" w:firstColumn="1" w:lastColumn="0" w:noHBand="0" w:noVBand="1"/>
      </w:tblPr>
      <w:tblGrid>
        <w:gridCol w:w="1688"/>
        <w:gridCol w:w="1656"/>
        <w:gridCol w:w="2396"/>
        <w:gridCol w:w="1723"/>
        <w:gridCol w:w="1563"/>
      </w:tblGrid>
      <w:tr w:rsidR="002F361F" w:rsidRPr="00C0591E" w14:paraId="5F96FF71" w14:textId="77777777" w:rsidTr="002F361F">
        <w:trPr>
          <w:trHeight w:val="288"/>
        </w:trPr>
        <w:tc>
          <w:tcPr>
            <w:tcW w:w="1336" w:type="pct"/>
            <w:tcBorders>
              <w:top w:val="single" w:sz="4" w:space="0" w:color="auto"/>
              <w:left w:val="nil"/>
              <w:bottom w:val="single" w:sz="4" w:space="0" w:color="auto"/>
              <w:right w:val="nil"/>
            </w:tcBorders>
            <w:shd w:val="clear" w:color="auto" w:fill="auto"/>
            <w:noWrap/>
            <w:vAlign w:val="bottom"/>
            <w:hideMark/>
          </w:tcPr>
          <w:p w14:paraId="51DFFD39" w14:textId="77777777" w:rsidR="002F361F" w:rsidRPr="00C0591E" w:rsidRDefault="002F361F" w:rsidP="000B750D">
            <w:pPr>
              <w:spacing w:after="0"/>
              <w:rPr>
                <w:rFonts w:eastAsia="Times New Roman"/>
                <w:b/>
              </w:rPr>
            </w:pPr>
            <w:r w:rsidRPr="00C0591E">
              <w:rPr>
                <w:rFonts w:eastAsia="Times New Roman"/>
                <w:b/>
              </w:rPr>
              <w:t> </w:t>
            </w:r>
          </w:p>
        </w:tc>
        <w:tc>
          <w:tcPr>
            <w:tcW w:w="978" w:type="pct"/>
            <w:tcBorders>
              <w:top w:val="single" w:sz="4" w:space="0" w:color="auto"/>
              <w:left w:val="nil"/>
              <w:bottom w:val="single" w:sz="4" w:space="0" w:color="auto"/>
              <w:right w:val="nil"/>
            </w:tcBorders>
            <w:shd w:val="clear" w:color="auto" w:fill="auto"/>
            <w:noWrap/>
            <w:vAlign w:val="bottom"/>
            <w:hideMark/>
          </w:tcPr>
          <w:p w14:paraId="1902659A" w14:textId="77777777" w:rsidR="002F361F" w:rsidRPr="00C0591E" w:rsidRDefault="002F361F" w:rsidP="000B750D">
            <w:pPr>
              <w:spacing w:after="0"/>
              <w:jc w:val="center"/>
              <w:rPr>
                <w:rFonts w:eastAsia="Times New Roman"/>
                <w:b/>
              </w:rPr>
            </w:pPr>
            <w:r w:rsidRPr="00C0591E">
              <w:rPr>
                <w:rFonts w:eastAsia="Times New Roman"/>
                <w:b/>
              </w:rPr>
              <w:t>Transparency</w:t>
            </w:r>
          </w:p>
        </w:tc>
        <w:tc>
          <w:tcPr>
            <w:tcW w:w="704" w:type="pct"/>
            <w:tcBorders>
              <w:top w:val="single" w:sz="4" w:space="0" w:color="auto"/>
              <w:left w:val="nil"/>
              <w:bottom w:val="single" w:sz="4" w:space="0" w:color="auto"/>
              <w:right w:val="nil"/>
            </w:tcBorders>
            <w:shd w:val="clear" w:color="auto" w:fill="auto"/>
            <w:noWrap/>
            <w:vAlign w:val="bottom"/>
            <w:hideMark/>
          </w:tcPr>
          <w:p w14:paraId="0C007C05" w14:textId="5A83532E" w:rsidR="002F361F" w:rsidRPr="00C0591E" w:rsidRDefault="004C68CD" w:rsidP="000B750D">
            <w:pPr>
              <w:spacing w:after="0"/>
              <w:jc w:val="center"/>
              <w:rPr>
                <w:rFonts w:eastAsia="Times New Roman"/>
                <w:b/>
              </w:rPr>
            </w:pPr>
            <w:r w:rsidRPr="00C0591E">
              <w:rPr>
                <w:b/>
                <w:lang w:eastAsia="ar-SA"/>
              </w:rPr>
              <w:t>Ownership</w:t>
            </w:r>
            <w:r w:rsidRPr="00C0591E">
              <w:rPr>
                <w:lang w:eastAsia="ar-SA"/>
              </w:rPr>
              <w:t xml:space="preserve"> </w:t>
            </w:r>
            <w:r w:rsidR="002F361F" w:rsidRPr="00C0591E">
              <w:rPr>
                <w:rFonts w:eastAsia="Times New Roman"/>
                <w:b/>
              </w:rPr>
              <w:t>Structure</w:t>
            </w:r>
          </w:p>
        </w:tc>
        <w:tc>
          <w:tcPr>
            <w:tcW w:w="1055" w:type="pct"/>
            <w:tcBorders>
              <w:top w:val="single" w:sz="4" w:space="0" w:color="auto"/>
              <w:left w:val="nil"/>
              <w:bottom w:val="single" w:sz="4" w:space="0" w:color="auto"/>
              <w:right w:val="nil"/>
            </w:tcBorders>
            <w:shd w:val="clear" w:color="auto" w:fill="auto"/>
            <w:noWrap/>
            <w:vAlign w:val="bottom"/>
            <w:hideMark/>
          </w:tcPr>
          <w:p w14:paraId="09A292B4" w14:textId="77777777" w:rsidR="002F361F" w:rsidRPr="00C0591E" w:rsidRDefault="002F361F" w:rsidP="000B750D">
            <w:pPr>
              <w:spacing w:after="0"/>
              <w:jc w:val="center"/>
              <w:rPr>
                <w:rFonts w:eastAsia="Times New Roman"/>
                <w:b/>
              </w:rPr>
            </w:pPr>
            <w:r w:rsidRPr="00C0591E">
              <w:rPr>
                <w:rFonts w:eastAsia="Times New Roman"/>
                <w:b/>
              </w:rPr>
              <w:t>Accountability</w:t>
            </w:r>
          </w:p>
        </w:tc>
        <w:tc>
          <w:tcPr>
            <w:tcW w:w="927" w:type="pct"/>
            <w:tcBorders>
              <w:top w:val="single" w:sz="4" w:space="0" w:color="auto"/>
              <w:left w:val="nil"/>
              <w:bottom w:val="single" w:sz="4" w:space="0" w:color="auto"/>
              <w:right w:val="nil"/>
            </w:tcBorders>
            <w:shd w:val="clear" w:color="auto" w:fill="auto"/>
            <w:noWrap/>
            <w:vAlign w:val="bottom"/>
            <w:hideMark/>
          </w:tcPr>
          <w:p w14:paraId="3CE2B06C" w14:textId="77777777" w:rsidR="002F361F" w:rsidRPr="00C0591E" w:rsidRDefault="002F361F" w:rsidP="000B750D">
            <w:pPr>
              <w:spacing w:after="0"/>
              <w:jc w:val="center"/>
              <w:rPr>
                <w:rFonts w:eastAsia="Times New Roman"/>
                <w:b/>
              </w:rPr>
            </w:pPr>
            <w:r w:rsidRPr="00C0591E">
              <w:rPr>
                <w:rFonts w:eastAsia="Times New Roman"/>
                <w:b/>
              </w:rPr>
              <w:t>Participation</w:t>
            </w:r>
          </w:p>
        </w:tc>
      </w:tr>
      <w:tr w:rsidR="002F361F" w:rsidRPr="00C0591E" w14:paraId="14B3983C" w14:textId="77777777" w:rsidTr="002F361F">
        <w:trPr>
          <w:trHeight w:val="288"/>
        </w:trPr>
        <w:tc>
          <w:tcPr>
            <w:tcW w:w="1336" w:type="pct"/>
            <w:tcBorders>
              <w:top w:val="nil"/>
              <w:left w:val="nil"/>
              <w:bottom w:val="nil"/>
              <w:right w:val="nil"/>
            </w:tcBorders>
            <w:shd w:val="clear" w:color="auto" w:fill="auto"/>
            <w:noWrap/>
            <w:vAlign w:val="bottom"/>
            <w:hideMark/>
          </w:tcPr>
          <w:p w14:paraId="3ED27495" w14:textId="77777777" w:rsidR="002F361F" w:rsidRPr="00C0591E" w:rsidRDefault="002F361F" w:rsidP="000B750D">
            <w:pPr>
              <w:spacing w:after="0"/>
              <w:rPr>
                <w:rFonts w:eastAsia="Times New Roman"/>
              </w:rPr>
            </w:pPr>
            <w:r w:rsidRPr="00C0591E">
              <w:rPr>
                <w:rFonts w:eastAsia="Times New Roman"/>
              </w:rPr>
              <w:t>N</w:t>
            </w:r>
          </w:p>
        </w:tc>
        <w:tc>
          <w:tcPr>
            <w:tcW w:w="978" w:type="pct"/>
            <w:tcBorders>
              <w:top w:val="nil"/>
              <w:left w:val="nil"/>
              <w:bottom w:val="nil"/>
              <w:right w:val="nil"/>
            </w:tcBorders>
            <w:shd w:val="clear" w:color="auto" w:fill="auto"/>
            <w:noWrap/>
            <w:vAlign w:val="bottom"/>
            <w:hideMark/>
          </w:tcPr>
          <w:p w14:paraId="2ACF4C80" w14:textId="77777777" w:rsidR="002F361F" w:rsidRPr="00C0591E" w:rsidRDefault="002F361F" w:rsidP="000B750D">
            <w:pPr>
              <w:spacing w:after="0"/>
              <w:jc w:val="center"/>
              <w:rPr>
                <w:rFonts w:eastAsia="Times New Roman"/>
              </w:rPr>
            </w:pPr>
            <w:r w:rsidRPr="00C0591E">
              <w:rPr>
                <w:rFonts w:eastAsia="Times New Roman"/>
              </w:rPr>
              <w:t>296</w:t>
            </w:r>
          </w:p>
        </w:tc>
        <w:tc>
          <w:tcPr>
            <w:tcW w:w="704" w:type="pct"/>
            <w:tcBorders>
              <w:top w:val="nil"/>
              <w:left w:val="nil"/>
              <w:bottom w:val="nil"/>
              <w:right w:val="nil"/>
            </w:tcBorders>
            <w:shd w:val="clear" w:color="auto" w:fill="auto"/>
            <w:noWrap/>
            <w:vAlign w:val="bottom"/>
            <w:hideMark/>
          </w:tcPr>
          <w:p w14:paraId="6DB69234" w14:textId="77777777" w:rsidR="002F361F" w:rsidRPr="00C0591E" w:rsidRDefault="002F361F" w:rsidP="000B750D">
            <w:pPr>
              <w:spacing w:after="0"/>
              <w:jc w:val="center"/>
              <w:rPr>
                <w:rFonts w:eastAsia="Times New Roman"/>
              </w:rPr>
            </w:pPr>
            <w:r w:rsidRPr="00C0591E">
              <w:rPr>
                <w:rFonts w:eastAsia="Times New Roman"/>
              </w:rPr>
              <w:t>296</w:t>
            </w:r>
          </w:p>
        </w:tc>
        <w:tc>
          <w:tcPr>
            <w:tcW w:w="1055" w:type="pct"/>
            <w:tcBorders>
              <w:top w:val="nil"/>
              <w:left w:val="nil"/>
              <w:bottom w:val="nil"/>
              <w:right w:val="nil"/>
            </w:tcBorders>
            <w:shd w:val="clear" w:color="auto" w:fill="auto"/>
            <w:noWrap/>
            <w:vAlign w:val="bottom"/>
            <w:hideMark/>
          </w:tcPr>
          <w:p w14:paraId="1013CE94" w14:textId="77777777" w:rsidR="002F361F" w:rsidRPr="00C0591E" w:rsidRDefault="002F361F" w:rsidP="000B750D">
            <w:pPr>
              <w:spacing w:after="0"/>
              <w:jc w:val="center"/>
              <w:rPr>
                <w:rFonts w:eastAsia="Times New Roman"/>
              </w:rPr>
            </w:pPr>
            <w:r w:rsidRPr="00C0591E">
              <w:rPr>
                <w:rFonts w:eastAsia="Times New Roman"/>
              </w:rPr>
              <w:t>296</w:t>
            </w:r>
          </w:p>
        </w:tc>
        <w:tc>
          <w:tcPr>
            <w:tcW w:w="927" w:type="pct"/>
            <w:tcBorders>
              <w:top w:val="nil"/>
              <w:left w:val="nil"/>
              <w:bottom w:val="nil"/>
              <w:right w:val="nil"/>
            </w:tcBorders>
            <w:shd w:val="clear" w:color="auto" w:fill="auto"/>
            <w:noWrap/>
            <w:vAlign w:val="bottom"/>
            <w:hideMark/>
          </w:tcPr>
          <w:p w14:paraId="62E8B6A4" w14:textId="77777777" w:rsidR="002F361F" w:rsidRPr="00C0591E" w:rsidRDefault="002F361F" w:rsidP="000B750D">
            <w:pPr>
              <w:spacing w:after="0"/>
              <w:jc w:val="center"/>
              <w:rPr>
                <w:rFonts w:eastAsia="Times New Roman"/>
              </w:rPr>
            </w:pPr>
            <w:r w:rsidRPr="00C0591E">
              <w:rPr>
                <w:rFonts w:eastAsia="Times New Roman"/>
              </w:rPr>
              <w:t>296</w:t>
            </w:r>
          </w:p>
        </w:tc>
      </w:tr>
      <w:tr w:rsidR="002F361F" w:rsidRPr="00C0591E" w14:paraId="7C15F01B" w14:textId="77777777" w:rsidTr="002F361F">
        <w:trPr>
          <w:trHeight w:val="288"/>
        </w:trPr>
        <w:tc>
          <w:tcPr>
            <w:tcW w:w="1336" w:type="pct"/>
            <w:tcBorders>
              <w:top w:val="nil"/>
              <w:left w:val="nil"/>
              <w:bottom w:val="nil"/>
              <w:right w:val="nil"/>
            </w:tcBorders>
            <w:shd w:val="clear" w:color="auto" w:fill="auto"/>
            <w:noWrap/>
            <w:vAlign w:val="bottom"/>
            <w:hideMark/>
          </w:tcPr>
          <w:p w14:paraId="48E3E36E" w14:textId="77777777" w:rsidR="002F361F" w:rsidRPr="00C0591E" w:rsidRDefault="002F361F" w:rsidP="000B750D">
            <w:pPr>
              <w:spacing w:after="0"/>
              <w:rPr>
                <w:rFonts w:eastAsia="Times New Roman"/>
              </w:rPr>
            </w:pPr>
            <w:r w:rsidRPr="00C0591E">
              <w:rPr>
                <w:rFonts w:eastAsia="Times New Roman"/>
              </w:rPr>
              <w:t>Mean</w:t>
            </w:r>
          </w:p>
        </w:tc>
        <w:tc>
          <w:tcPr>
            <w:tcW w:w="978" w:type="pct"/>
            <w:tcBorders>
              <w:top w:val="nil"/>
              <w:left w:val="nil"/>
              <w:bottom w:val="nil"/>
              <w:right w:val="nil"/>
            </w:tcBorders>
            <w:shd w:val="clear" w:color="auto" w:fill="auto"/>
            <w:noWrap/>
            <w:vAlign w:val="bottom"/>
            <w:hideMark/>
          </w:tcPr>
          <w:p w14:paraId="6998BE30" w14:textId="77777777" w:rsidR="002F361F" w:rsidRPr="00C0591E" w:rsidRDefault="002F361F" w:rsidP="000B750D">
            <w:pPr>
              <w:spacing w:after="0"/>
              <w:jc w:val="center"/>
              <w:rPr>
                <w:rFonts w:eastAsia="Times New Roman"/>
              </w:rPr>
            </w:pPr>
            <w:r w:rsidRPr="00C0591E">
              <w:rPr>
                <w:rFonts w:eastAsia="Times New Roman"/>
              </w:rPr>
              <w:t>3.073</w:t>
            </w:r>
          </w:p>
        </w:tc>
        <w:tc>
          <w:tcPr>
            <w:tcW w:w="704" w:type="pct"/>
            <w:tcBorders>
              <w:top w:val="nil"/>
              <w:left w:val="nil"/>
              <w:bottom w:val="nil"/>
              <w:right w:val="nil"/>
            </w:tcBorders>
            <w:shd w:val="clear" w:color="auto" w:fill="auto"/>
            <w:noWrap/>
            <w:vAlign w:val="bottom"/>
            <w:hideMark/>
          </w:tcPr>
          <w:p w14:paraId="23C51F5D" w14:textId="77777777" w:rsidR="002F361F" w:rsidRPr="00C0591E" w:rsidRDefault="002F361F" w:rsidP="000B750D">
            <w:pPr>
              <w:spacing w:after="0"/>
              <w:jc w:val="center"/>
              <w:rPr>
                <w:rFonts w:eastAsia="Times New Roman"/>
              </w:rPr>
            </w:pPr>
            <w:r w:rsidRPr="00C0591E">
              <w:rPr>
                <w:rFonts w:eastAsia="Times New Roman"/>
              </w:rPr>
              <w:t>3.107</w:t>
            </w:r>
          </w:p>
        </w:tc>
        <w:tc>
          <w:tcPr>
            <w:tcW w:w="1055" w:type="pct"/>
            <w:tcBorders>
              <w:top w:val="nil"/>
              <w:left w:val="nil"/>
              <w:bottom w:val="nil"/>
              <w:right w:val="nil"/>
            </w:tcBorders>
            <w:shd w:val="clear" w:color="auto" w:fill="auto"/>
            <w:noWrap/>
            <w:vAlign w:val="bottom"/>
            <w:hideMark/>
          </w:tcPr>
          <w:p w14:paraId="5C510A26" w14:textId="77777777" w:rsidR="002F361F" w:rsidRPr="00C0591E" w:rsidRDefault="002F361F" w:rsidP="000B750D">
            <w:pPr>
              <w:spacing w:after="0"/>
              <w:jc w:val="center"/>
              <w:rPr>
                <w:rFonts w:eastAsia="Times New Roman"/>
              </w:rPr>
            </w:pPr>
            <w:r w:rsidRPr="00C0591E">
              <w:rPr>
                <w:rFonts w:eastAsia="Times New Roman"/>
              </w:rPr>
              <w:t>3.156</w:t>
            </w:r>
          </w:p>
        </w:tc>
        <w:tc>
          <w:tcPr>
            <w:tcW w:w="927" w:type="pct"/>
            <w:tcBorders>
              <w:top w:val="nil"/>
              <w:left w:val="nil"/>
              <w:bottom w:val="nil"/>
              <w:right w:val="nil"/>
            </w:tcBorders>
            <w:shd w:val="clear" w:color="auto" w:fill="auto"/>
            <w:noWrap/>
            <w:vAlign w:val="bottom"/>
            <w:hideMark/>
          </w:tcPr>
          <w:p w14:paraId="2BFF4C11" w14:textId="77777777" w:rsidR="002F361F" w:rsidRPr="00C0591E" w:rsidRDefault="002F361F" w:rsidP="000B750D">
            <w:pPr>
              <w:spacing w:after="0"/>
              <w:jc w:val="center"/>
              <w:rPr>
                <w:rFonts w:eastAsia="Times New Roman"/>
              </w:rPr>
            </w:pPr>
            <w:r w:rsidRPr="00C0591E">
              <w:rPr>
                <w:rFonts w:eastAsia="Times New Roman"/>
              </w:rPr>
              <w:t>3.043</w:t>
            </w:r>
          </w:p>
        </w:tc>
      </w:tr>
      <w:tr w:rsidR="002F361F" w:rsidRPr="00C0591E" w14:paraId="093E3D4C" w14:textId="77777777" w:rsidTr="002F361F">
        <w:trPr>
          <w:trHeight w:val="288"/>
        </w:trPr>
        <w:tc>
          <w:tcPr>
            <w:tcW w:w="1336" w:type="pct"/>
            <w:tcBorders>
              <w:top w:val="nil"/>
              <w:left w:val="nil"/>
              <w:bottom w:val="nil"/>
              <w:right w:val="nil"/>
            </w:tcBorders>
            <w:shd w:val="clear" w:color="auto" w:fill="auto"/>
            <w:noWrap/>
            <w:vAlign w:val="bottom"/>
            <w:hideMark/>
          </w:tcPr>
          <w:p w14:paraId="70A92408" w14:textId="77777777" w:rsidR="002F361F" w:rsidRPr="00C0591E" w:rsidRDefault="002F361F" w:rsidP="000B750D">
            <w:pPr>
              <w:spacing w:after="0"/>
              <w:rPr>
                <w:rFonts w:eastAsia="Times New Roman"/>
              </w:rPr>
            </w:pPr>
            <w:r w:rsidRPr="00C0591E">
              <w:rPr>
                <w:rFonts w:eastAsia="Times New Roman"/>
              </w:rPr>
              <w:t>Median</w:t>
            </w:r>
          </w:p>
        </w:tc>
        <w:tc>
          <w:tcPr>
            <w:tcW w:w="978" w:type="pct"/>
            <w:tcBorders>
              <w:top w:val="nil"/>
              <w:left w:val="nil"/>
              <w:bottom w:val="nil"/>
              <w:right w:val="nil"/>
            </w:tcBorders>
            <w:shd w:val="clear" w:color="auto" w:fill="auto"/>
            <w:noWrap/>
            <w:vAlign w:val="bottom"/>
            <w:hideMark/>
          </w:tcPr>
          <w:p w14:paraId="23D83A39" w14:textId="77777777" w:rsidR="002F361F" w:rsidRPr="00C0591E" w:rsidRDefault="002F361F" w:rsidP="000B750D">
            <w:pPr>
              <w:spacing w:after="0"/>
              <w:jc w:val="center"/>
              <w:rPr>
                <w:rFonts w:eastAsia="Times New Roman"/>
              </w:rPr>
            </w:pPr>
            <w:r w:rsidRPr="00C0591E">
              <w:rPr>
                <w:rFonts w:eastAsia="Times New Roman"/>
              </w:rPr>
              <w:t>3.200</w:t>
            </w:r>
          </w:p>
        </w:tc>
        <w:tc>
          <w:tcPr>
            <w:tcW w:w="704" w:type="pct"/>
            <w:tcBorders>
              <w:top w:val="nil"/>
              <w:left w:val="nil"/>
              <w:bottom w:val="nil"/>
              <w:right w:val="nil"/>
            </w:tcBorders>
            <w:shd w:val="clear" w:color="auto" w:fill="auto"/>
            <w:noWrap/>
            <w:vAlign w:val="bottom"/>
            <w:hideMark/>
          </w:tcPr>
          <w:p w14:paraId="393E652A" w14:textId="77777777" w:rsidR="002F361F" w:rsidRPr="00C0591E" w:rsidRDefault="002F361F" w:rsidP="000B750D">
            <w:pPr>
              <w:spacing w:after="0"/>
              <w:jc w:val="center"/>
              <w:rPr>
                <w:rFonts w:eastAsia="Times New Roman"/>
              </w:rPr>
            </w:pPr>
            <w:r w:rsidRPr="00C0591E">
              <w:rPr>
                <w:rFonts w:eastAsia="Times New Roman"/>
              </w:rPr>
              <w:t>3.100</w:t>
            </w:r>
          </w:p>
        </w:tc>
        <w:tc>
          <w:tcPr>
            <w:tcW w:w="1055" w:type="pct"/>
            <w:tcBorders>
              <w:top w:val="nil"/>
              <w:left w:val="nil"/>
              <w:bottom w:val="nil"/>
              <w:right w:val="nil"/>
            </w:tcBorders>
            <w:shd w:val="clear" w:color="auto" w:fill="auto"/>
            <w:noWrap/>
            <w:vAlign w:val="bottom"/>
            <w:hideMark/>
          </w:tcPr>
          <w:p w14:paraId="29BBC889" w14:textId="77777777" w:rsidR="002F361F" w:rsidRPr="00C0591E" w:rsidRDefault="002F361F" w:rsidP="000B750D">
            <w:pPr>
              <w:spacing w:after="0"/>
              <w:jc w:val="center"/>
              <w:rPr>
                <w:rFonts w:eastAsia="Times New Roman"/>
              </w:rPr>
            </w:pPr>
            <w:r w:rsidRPr="00C0591E">
              <w:rPr>
                <w:rFonts w:eastAsia="Times New Roman"/>
              </w:rPr>
              <w:t>3.100</w:t>
            </w:r>
          </w:p>
        </w:tc>
        <w:tc>
          <w:tcPr>
            <w:tcW w:w="927" w:type="pct"/>
            <w:tcBorders>
              <w:top w:val="nil"/>
              <w:left w:val="nil"/>
              <w:bottom w:val="nil"/>
              <w:right w:val="nil"/>
            </w:tcBorders>
            <w:shd w:val="clear" w:color="auto" w:fill="auto"/>
            <w:noWrap/>
            <w:vAlign w:val="bottom"/>
            <w:hideMark/>
          </w:tcPr>
          <w:p w14:paraId="2409062A" w14:textId="77777777" w:rsidR="002F361F" w:rsidRPr="00C0591E" w:rsidRDefault="002F361F" w:rsidP="000B750D">
            <w:pPr>
              <w:spacing w:after="0"/>
              <w:jc w:val="center"/>
              <w:rPr>
                <w:rFonts w:eastAsia="Times New Roman"/>
              </w:rPr>
            </w:pPr>
            <w:r w:rsidRPr="00C0591E">
              <w:rPr>
                <w:rFonts w:eastAsia="Times New Roman"/>
              </w:rPr>
              <w:t>3.100</w:t>
            </w:r>
          </w:p>
        </w:tc>
      </w:tr>
      <w:tr w:rsidR="002F361F" w:rsidRPr="00C0591E" w14:paraId="65D408D0" w14:textId="77777777" w:rsidTr="002F361F">
        <w:trPr>
          <w:trHeight w:val="288"/>
        </w:trPr>
        <w:tc>
          <w:tcPr>
            <w:tcW w:w="1336" w:type="pct"/>
            <w:tcBorders>
              <w:top w:val="nil"/>
              <w:left w:val="nil"/>
              <w:bottom w:val="nil"/>
              <w:right w:val="nil"/>
            </w:tcBorders>
            <w:shd w:val="clear" w:color="auto" w:fill="auto"/>
            <w:noWrap/>
            <w:vAlign w:val="bottom"/>
            <w:hideMark/>
          </w:tcPr>
          <w:p w14:paraId="33C23D64" w14:textId="77777777" w:rsidR="002F361F" w:rsidRPr="00C0591E" w:rsidRDefault="002F361F" w:rsidP="000B750D">
            <w:pPr>
              <w:spacing w:after="0"/>
              <w:rPr>
                <w:rFonts w:eastAsia="Times New Roman"/>
              </w:rPr>
            </w:pPr>
            <w:r w:rsidRPr="00C0591E">
              <w:rPr>
                <w:rFonts w:eastAsia="Times New Roman"/>
              </w:rPr>
              <w:t>Std. Deviation</w:t>
            </w:r>
          </w:p>
        </w:tc>
        <w:tc>
          <w:tcPr>
            <w:tcW w:w="978" w:type="pct"/>
            <w:tcBorders>
              <w:top w:val="nil"/>
              <w:left w:val="nil"/>
              <w:bottom w:val="nil"/>
              <w:right w:val="nil"/>
            </w:tcBorders>
            <w:shd w:val="clear" w:color="auto" w:fill="auto"/>
            <w:noWrap/>
            <w:vAlign w:val="bottom"/>
            <w:hideMark/>
          </w:tcPr>
          <w:p w14:paraId="3DB9E252" w14:textId="4A9A007D" w:rsidR="002F361F" w:rsidRPr="00C0591E" w:rsidRDefault="00E40D44" w:rsidP="000B750D">
            <w:pPr>
              <w:spacing w:after="0"/>
              <w:jc w:val="center"/>
              <w:rPr>
                <w:rFonts w:eastAsia="Times New Roman"/>
              </w:rPr>
            </w:pPr>
            <w:r w:rsidRPr="00C0591E">
              <w:rPr>
                <w:rFonts w:eastAsia="Times New Roman"/>
              </w:rPr>
              <w:t>0</w:t>
            </w:r>
            <w:r w:rsidR="002F361F" w:rsidRPr="00C0591E">
              <w:rPr>
                <w:rFonts w:eastAsia="Times New Roman"/>
              </w:rPr>
              <w:t>.098</w:t>
            </w:r>
          </w:p>
        </w:tc>
        <w:tc>
          <w:tcPr>
            <w:tcW w:w="704" w:type="pct"/>
            <w:tcBorders>
              <w:top w:val="nil"/>
              <w:left w:val="nil"/>
              <w:bottom w:val="nil"/>
              <w:right w:val="nil"/>
            </w:tcBorders>
            <w:shd w:val="clear" w:color="auto" w:fill="auto"/>
            <w:noWrap/>
            <w:vAlign w:val="bottom"/>
            <w:hideMark/>
          </w:tcPr>
          <w:p w14:paraId="1F2C3816" w14:textId="11B1502D" w:rsidR="002F361F" w:rsidRPr="00C0591E" w:rsidRDefault="00E40D44" w:rsidP="000B750D">
            <w:pPr>
              <w:spacing w:after="0"/>
              <w:jc w:val="center"/>
              <w:rPr>
                <w:rFonts w:eastAsia="Times New Roman"/>
              </w:rPr>
            </w:pPr>
            <w:r w:rsidRPr="00C0591E">
              <w:rPr>
                <w:rFonts w:eastAsia="Times New Roman"/>
              </w:rPr>
              <w:t>0</w:t>
            </w:r>
            <w:r w:rsidR="002F361F" w:rsidRPr="00C0591E">
              <w:rPr>
                <w:rFonts w:eastAsia="Times New Roman"/>
              </w:rPr>
              <w:t>.203</w:t>
            </w:r>
          </w:p>
        </w:tc>
        <w:tc>
          <w:tcPr>
            <w:tcW w:w="1055" w:type="pct"/>
            <w:tcBorders>
              <w:top w:val="nil"/>
              <w:left w:val="nil"/>
              <w:bottom w:val="nil"/>
              <w:right w:val="nil"/>
            </w:tcBorders>
            <w:shd w:val="clear" w:color="auto" w:fill="auto"/>
            <w:noWrap/>
            <w:vAlign w:val="bottom"/>
            <w:hideMark/>
          </w:tcPr>
          <w:p w14:paraId="7E7064BA" w14:textId="7A3A0040" w:rsidR="002F361F" w:rsidRPr="00C0591E" w:rsidRDefault="00E40D44" w:rsidP="000B750D">
            <w:pPr>
              <w:spacing w:after="0"/>
              <w:jc w:val="center"/>
              <w:rPr>
                <w:rFonts w:eastAsia="Times New Roman"/>
              </w:rPr>
            </w:pPr>
            <w:r w:rsidRPr="00C0591E">
              <w:rPr>
                <w:rFonts w:eastAsia="Times New Roman"/>
              </w:rPr>
              <w:t>0</w:t>
            </w:r>
            <w:r w:rsidR="002F361F" w:rsidRPr="00C0591E">
              <w:rPr>
                <w:rFonts w:eastAsia="Times New Roman"/>
              </w:rPr>
              <w:t>.134</w:t>
            </w:r>
          </w:p>
        </w:tc>
        <w:tc>
          <w:tcPr>
            <w:tcW w:w="927" w:type="pct"/>
            <w:tcBorders>
              <w:top w:val="nil"/>
              <w:left w:val="nil"/>
              <w:bottom w:val="nil"/>
              <w:right w:val="nil"/>
            </w:tcBorders>
            <w:shd w:val="clear" w:color="auto" w:fill="auto"/>
            <w:noWrap/>
            <w:vAlign w:val="bottom"/>
            <w:hideMark/>
          </w:tcPr>
          <w:p w14:paraId="38D53160" w14:textId="5B7C6C9D" w:rsidR="002F361F" w:rsidRPr="00C0591E" w:rsidRDefault="00E40D44" w:rsidP="000B750D">
            <w:pPr>
              <w:spacing w:after="0"/>
              <w:jc w:val="center"/>
              <w:rPr>
                <w:rFonts w:eastAsia="Times New Roman"/>
              </w:rPr>
            </w:pPr>
            <w:r w:rsidRPr="00C0591E">
              <w:rPr>
                <w:rFonts w:eastAsia="Times New Roman"/>
              </w:rPr>
              <w:t>0</w:t>
            </w:r>
            <w:r w:rsidR="002F361F" w:rsidRPr="00C0591E">
              <w:rPr>
                <w:rFonts w:eastAsia="Times New Roman"/>
              </w:rPr>
              <w:t>.160</w:t>
            </w:r>
          </w:p>
        </w:tc>
      </w:tr>
      <w:tr w:rsidR="002F361F" w:rsidRPr="00C0591E" w14:paraId="0086A96B" w14:textId="77777777" w:rsidTr="002F361F">
        <w:trPr>
          <w:trHeight w:val="288"/>
        </w:trPr>
        <w:tc>
          <w:tcPr>
            <w:tcW w:w="1336" w:type="pct"/>
            <w:tcBorders>
              <w:top w:val="nil"/>
              <w:left w:val="nil"/>
              <w:bottom w:val="nil"/>
              <w:right w:val="nil"/>
            </w:tcBorders>
            <w:shd w:val="clear" w:color="auto" w:fill="auto"/>
            <w:noWrap/>
            <w:vAlign w:val="bottom"/>
            <w:hideMark/>
          </w:tcPr>
          <w:p w14:paraId="126304B5" w14:textId="77777777" w:rsidR="002F361F" w:rsidRPr="00C0591E" w:rsidRDefault="002F361F" w:rsidP="000B750D">
            <w:pPr>
              <w:spacing w:after="0"/>
              <w:rPr>
                <w:rFonts w:eastAsia="Times New Roman"/>
              </w:rPr>
            </w:pPr>
            <w:r w:rsidRPr="00C0591E">
              <w:rPr>
                <w:rFonts w:eastAsia="Times New Roman"/>
              </w:rPr>
              <w:t>Skewness</w:t>
            </w:r>
          </w:p>
        </w:tc>
        <w:tc>
          <w:tcPr>
            <w:tcW w:w="978" w:type="pct"/>
            <w:tcBorders>
              <w:top w:val="nil"/>
              <w:left w:val="nil"/>
              <w:bottom w:val="nil"/>
              <w:right w:val="nil"/>
            </w:tcBorders>
            <w:shd w:val="clear" w:color="auto" w:fill="auto"/>
            <w:noWrap/>
            <w:vAlign w:val="bottom"/>
            <w:hideMark/>
          </w:tcPr>
          <w:p w14:paraId="7BB851DE" w14:textId="77777777" w:rsidR="002F361F" w:rsidRPr="00C0591E" w:rsidRDefault="002F361F" w:rsidP="000B750D">
            <w:pPr>
              <w:spacing w:after="0"/>
              <w:jc w:val="center"/>
              <w:rPr>
                <w:rFonts w:eastAsia="Times New Roman"/>
              </w:rPr>
            </w:pPr>
            <w:r w:rsidRPr="00C0591E">
              <w:rPr>
                <w:rFonts w:eastAsia="Times New Roman"/>
              </w:rPr>
              <w:t>-0.166</w:t>
            </w:r>
          </w:p>
        </w:tc>
        <w:tc>
          <w:tcPr>
            <w:tcW w:w="704" w:type="pct"/>
            <w:tcBorders>
              <w:top w:val="nil"/>
              <w:left w:val="nil"/>
              <w:bottom w:val="nil"/>
              <w:right w:val="nil"/>
            </w:tcBorders>
            <w:shd w:val="clear" w:color="auto" w:fill="auto"/>
            <w:noWrap/>
            <w:vAlign w:val="bottom"/>
            <w:hideMark/>
          </w:tcPr>
          <w:p w14:paraId="6929A1BD" w14:textId="77777777" w:rsidR="002F361F" w:rsidRPr="00C0591E" w:rsidRDefault="002F361F" w:rsidP="000B750D">
            <w:pPr>
              <w:spacing w:after="0"/>
              <w:jc w:val="center"/>
              <w:rPr>
                <w:rFonts w:eastAsia="Times New Roman"/>
              </w:rPr>
            </w:pPr>
            <w:r w:rsidRPr="00C0591E">
              <w:rPr>
                <w:rFonts w:eastAsia="Times New Roman"/>
              </w:rPr>
              <w:t>-0.035</w:t>
            </w:r>
          </w:p>
        </w:tc>
        <w:tc>
          <w:tcPr>
            <w:tcW w:w="1055" w:type="pct"/>
            <w:tcBorders>
              <w:top w:val="nil"/>
              <w:left w:val="nil"/>
              <w:bottom w:val="nil"/>
              <w:right w:val="nil"/>
            </w:tcBorders>
            <w:shd w:val="clear" w:color="auto" w:fill="auto"/>
            <w:noWrap/>
            <w:vAlign w:val="bottom"/>
            <w:hideMark/>
          </w:tcPr>
          <w:p w14:paraId="7D2EC5AB" w14:textId="77777777" w:rsidR="002F361F" w:rsidRPr="00C0591E" w:rsidRDefault="002F361F" w:rsidP="000B750D">
            <w:pPr>
              <w:spacing w:after="0"/>
              <w:jc w:val="center"/>
              <w:rPr>
                <w:rFonts w:eastAsia="Times New Roman"/>
              </w:rPr>
            </w:pPr>
            <w:r w:rsidRPr="00C0591E">
              <w:rPr>
                <w:rFonts w:eastAsia="Times New Roman"/>
              </w:rPr>
              <w:t>-0.209</w:t>
            </w:r>
          </w:p>
        </w:tc>
        <w:tc>
          <w:tcPr>
            <w:tcW w:w="927" w:type="pct"/>
            <w:tcBorders>
              <w:top w:val="nil"/>
              <w:left w:val="nil"/>
              <w:bottom w:val="nil"/>
              <w:right w:val="nil"/>
            </w:tcBorders>
            <w:shd w:val="clear" w:color="auto" w:fill="auto"/>
            <w:noWrap/>
            <w:vAlign w:val="bottom"/>
            <w:hideMark/>
          </w:tcPr>
          <w:p w14:paraId="0662348D" w14:textId="77777777" w:rsidR="002F361F" w:rsidRPr="00C0591E" w:rsidRDefault="002F361F" w:rsidP="000B750D">
            <w:pPr>
              <w:spacing w:after="0"/>
              <w:jc w:val="center"/>
              <w:rPr>
                <w:rFonts w:eastAsia="Times New Roman"/>
              </w:rPr>
            </w:pPr>
            <w:r w:rsidRPr="00C0591E">
              <w:rPr>
                <w:rFonts w:eastAsia="Times New Roman"/>
              </w:rPr>
              <w:t>-0.230</w:t>
            </w:r>
          </w:p>
        </w:tc>
      </w:tr>
      <w:tr w:rsidR="002F361F" w:rsidRPr="00C0591E" w14:paraId="2C1E513E" w14:textId="77777777" w:rsidTr="002F361F">
        <w:trPr>
          <w:trHeight w:val="288"/>
        </w:trPr>
        <w:tc>
          <w:tcPr>
            <w:tcW w:w="1336" w:type="pct"/>
            <w:tcBorders>
              <w:top w:val="nil"/>
              <w:left w:val="nil"/>
              <w:bottom w:val="single" w:sz="4" w:space="0" w:color="auto"/>
              <w:right w:val="nil"/>
            </w:tcBorders>
            <w:shd w:val="clear" w:color="auto" w:fill="auto"/>
            <w:noWrap/>
            <w:vAlign w:val="bottom"/>
            <w:hideMark/>
          </w:tcPr>
          <w:p w14:paraId="491E1715" w14:textId="77777777" w:rsidR="002F361F" w:rsidRPr="00C0591E" w:rsidRDefault="002F361F" w:rsidP="000B750D">
            <w:pPr>
              <w:spacing w:after="0"/>
              <w:rPr>
                <w:rFonts w:eastAsia="Times New Roman"/>
              </w:rPr>
            </w:pPr>
            <w:r w:rsidRPr="00C0591E">
              <w:rPr>
                <w:rFonts w:eastAsia="Times New Roman"/>
              </w:rPr>
              <w:t>Kurtosis</w:t>
            </w:r>
          </w:p>
        </w:tc>
        <w:tc>
          <w:tcPr>
            <w:tcW w:w="978" w:type="pct"/>
            <w:tcBorders>
              <w:top w:val="nil"/>
              <w:left w:val="nil"/>
              <w:bottom w:val="single" w:sz="4" w:space="0" w:color="auto"/>
              <w:right w:val="nil"/>
            </w:tcBorders>
            <w:shd w:val="clear" w:color="auto" w:fill="auto"/>
            <w:noWrap/>
            <w:vAlign w:val="bottom"/>
            <w:hideMark/>
          </w:tcPr>
          <w:p w14:paraId="226856BA" w14:textId="77777777" w:rsidR="002F361F" w:rsidRPr="00C0591E" w:rsidRDefault="002F361F" w:rsidP="000B750D">
            <w:pPr>
              <w:spacing w:after="0"/>
              <w:jc w:val="center"/>
              <w:rPr>
                <w:rFonts w:eastAsia="Times New Roman"/>
              </w:rPr>
            </w:pPr>
            <w:r w:rsidRPr="00C0591E">
              <w:rPr>
                <w:rFonts w:eastAsia="Times New Roman"/>
              </w:rPr>
              <w:t>-0.918</w:t>
            </w:r>
          </w:p>
        </w:tc>
        <w:tc>
          <w:tcPr>
            <w:tcW w:w="704" w:type="pct"/>
            <w:tcBorders>
              <w:top w:val="nil"/>
              <w:left w:val="nil"/>
              <w:bottom w:val="single" w:sz="4" w:space="0" w:color="auto"/>
              <w:right w:val="nil"/>
            </w:tcBorders>
            <w:shd w:val="clear" w:color="auto" w:fill="auto"/>
            <w:noWrap/>
            <w:vAlign w:val="bottom"/>
            <w:hideMark/>
          </w:tcPr>
          <w:p w14:paraId="17D3D133" w14:textId="77777777" w:rsidR="002F361F" w:rsidRPr="00C0591E" w:rsidRDefault="002F361F" w:rsidP="000B750D">
            <w:pPr>
              <w:spacing w:after="0"/>
              <w:jc w:val="center"/>
              <w:rPr>
                <w:rFonts w:eastAsia="Times New Roman"/>
              </w:rPr>
            </w:pPr>
            <w:r w:rsidRPr="00C0591E">
              <w:rPr>
                <w:rFonts w:eastAsia="Times New Roman"/>
              </w:rPr>
              <w:t>-1.225</w:t>
            </w:r>
          </w:p>
        </w:tc>
        <w:tc>
          <w:tcPr>
            <w:tcW w:w="1055" w:type="pct"/>
            <w:tcBorders>
              <w:top w:val="nil"/>
              <w:left w:val="nil"/>
              <w:bottom w:val="single" w:sz="4" w:space="0" w:color="auto"/>
              <w:right w:val="nil"/>
            </w:tcBorders>
            <w:shd w:val="clear" w:color="auto" w:fill="auto"/>
            <w:noWrap/>
            <w:vAlign w:val="bottom"/>
            <w:hideMark/>
          </w:tcPr>
          <w:p w14:paraId="340D4AC6" w14:textId="77777777" w:rsidR="002F361F" w:rsidRPr="00C0591E" w:rsidRDefault="002F361F" w:rsidP="000B750D">
            <w:pPr>
              <w:spacing w:after="0"/>
              <w:jc w:val="center"/>
              <w:rPr>
                <w:rFonts w:eastAsia="Times New Roman"/>
              </w:rPr>
            </w:pPr>
            <w:r w:rsidRPr="00C0591E">
              <w:rPr>
                <w:rFonts w:eastAsia="Times New Roman"/>
              </w:rPr>
              <w:t>-0.929</w:t>
            </w:r>
          </w:p>
        </w:tc>
        <w:tc>
          <w:tcPr>
            <w:tcW w:w="927" w:type="pct"/>
            <w:tcBorders>
              <w:top w:val="nil"/>
              <w:left w:val="nil"/>
              <w:bottom w:val="single" w:sz="4" w:space="0" w:color="auto"/>
              <w:right w:val="nil"/>
            </w:tcBorders>
            <w:shd w:val="clear" w:color="auto" w:fill="auto"/>
            <w:noWrap/>
            <w:vAlign w:val="bottom"/>
            <w:hideMark/>
          </w:tcPr>
          <w:p w14:paraId="7CFA5F13" w14:textId="77777777" w:rsidR="002F361F" w:rsidRPr="00C0591E" w:rsidRDefault="002F361F" w:rsidP="000B750D">
            <w:pPr>
              <w:spacing w:after="0"/>
              <w:jc w:val="center"/>
              <w:rPr>
                <w:rFonts w:eastAsia="Times New Roman"/>
              </w:rPr>
            </w:pPr>
            <w:r w:rsidRPr="00C0591E">
              <w:rPr>
                <w:rFonts w:eastAsia="Times New Roman"/>
              </w:rPr>
              <w:t>-1.149</w:t>
            </w:r>
          </w:p>
        </w:tc>
      </w:tr>
    </w:tbl>
    <w:p w14:paraId="689D2949" w14:textId="77C4CE60" w:rsidR="00526305" w:rsidRPr="00C0591E" w:rsidRDefault="00526305" w:rsidP="00E40D44">
      <w:r w:rsidRPr="00C0591E">
        <w:t xml:space="preserve">The results from the Table </w:t>
      </w:r>
      <w:r w:rsidR="00191F36" w:rsidRPr="00C0591E">
        <w:t>18</w:t>
      </w:r>
      <w:r w:rsidRPr="00C0591E">
        <w:t xml:space="preserve"> shows the descriptive statistics that indicates central tendency and dispersion of all the measures of </w:t>
      </w:r>
      <w:r w:rsidR="00173C67">
        <w:t>pillars of corporate governance</w:t>
      </w:r>
      <w:r w:rsidRPr="00C0591E">
        <w:t xml:space="preserve">. The total number of respondents in each measured was 296. Distribution of data was measured using skewness and kurtosis whereas central tenancy was measured using mean, median and mode. The standard deviation was used to measure dispersion. The results show that transparency had a mean of 3.073 and median of 3.2. The standard deviation of </w:t>
      </w:r>
      <w:r w:rsidR="00E40D44" w:rsidRPr="00C0591E">
        <w:rPr>
          <w:rFonts w:eastAsia="Times New Roman"/>
        </w:rPr>
        <w:t xml:space="preserve">0.098 </w:t>
      </w:r>
      <w:r w:rsidRPr="00C0591E">
        <w:t xml:space="preserve">showed that the members of the group differed from the mean value of </w:t>
      </w:r>
      <w:r w:rsidR="00E40D44" w:rsidRPr="00C0591E">
        <w:t>3.07</w:t>
      </w:r>
      <w:r w:rsidRPr="00C0591E">
        <w:t xml:space="preserve"> for the group in the observation. </w:t>
      </w:r>
    </w:p>
    <w:p w14:paraId="77F474FC" w14:textId="49743FE3" w:rsidR="00E40D44" w:rsidRPr="00C0591E" w:rsidRDefault="00E40D44" w:rsidP="00E40D44">
      <w:pPr>
        <w:rPr>
          <w:rFonts w:eastAsia="Calibri" w:cs="Times New Roman"/>
          <w:lang w:val="en-GB"/>
        </w:rPr>
      </w:pPr>
      <w:r w:rsidRPr="00C0591E">
        <w:rPr>
          <w:rFonts w:eastAsia="Calibri" w:cs="Times New Roman"/>
          <w:lang w:val="en-GB"/>
        </w:rPr>
        <w:t xml:space="preserve">The measures of kurtosis and skewness are used to determine if indicators met normality assumptions (Kline, 2005). According to Bai and Ng (2005), if skewness is less than -1 or greater than 1, the distribution is highly skewed, if skewness is between -1 and -0.5 or between 0.5 and 1, the distribution is moderately skewed, if skewness is between -0.5 and 0.5, the distribution is approximately symmetric. Skewness for </w:t>
      </w:r>
      <w:r w:rsidRPr="00C0591E">
        <w:t xml:space="preserve">transparency </w:t>
      </w:r>
      <w:r w:rsidRPr="00C0591E">
        <w:rPr>
          <w:rFonts w:eastAsia="Calibri" w:cs="Times New Roman"/>
          <w:lang w:val="en-GB"/>
        </w:rPr>
        <w:t xml:space="preserve">was </w:t>
      </w:r>
      <w:r w:rsidRPr="00C0591E">
        <w:rPr>
          <w:rFonts w:eastAsia="Times New Roman"/>
        </w:rPr>
        <w:t>-0.166</w:t>
      </w:r>
      <w:r w:rsidRPr="00C0591E">
        <w:rPr>
          <w:rFonts w:eastAsia="Calibri" w:cs="Times New Roman"/>
          <w:lang w:val="en-GB"/>
        </w:rPr>
        <w:t xml:space="preserve">. Since the values were between -0.5 and 0.5, we thus conclude that the distribution is approximately symmetric. Kurtosis results showed that </w:t>
      </w:r>
      <w:r w:rsidRPr="00C0591E">
        <w:rPr>
          <w:rFonts w:eastAsia="Calibri" w:cs="Times New Roman"/>
        </w:rPr>
        <w:t>Idealized Influence</w:t>
      </w:r>
      <w:r w:rsidRPr="00C0591E">
        <w:rPr>
          <w:rFonts w:eastAsia="Calibri" w:cs="Times New Roman"/>
          <w:lang w:val="en-GB"/>
        </w:rPr>
        <w:t xml:space="preserve"> had </w:t>
      </w:r>
      <w:r w:rsidRPr="00C0591E">
        <w:rPr>
          <w:rFonts w:eastAsia="Times New Roman"/>
        </w:rPr>
        <w:t>-0.918</w:t>
      </w:r>
      <w:r w:rsidRPr="00C0591E">
        <w:rPr>
          <w:rFonts w:eastAsia="Calibri" w:cs="Times New Roman"/>
          <w:lang w:val="en-GB"/>
        </w:rPr>
        <w:t>. Thus, we can conclude that the values were platykurtic since they are less than 3 and thus had a broad tail distribution and no outliers.</w:t>
      </w:r>
    </w:p>
    <w:p w14:paraId="580D7DD1" w14:textId="063C1A2B" w:rsidR="00E40D44" w:rsidRPr="00C0591E" w:rsidRDefault="00E40D44" w:rsidP="00E40D44">
      <w:r w:rsidRPr="00C0591E">
        <w:t xml:space="preserve">The results </w:t>
      </w:r>
      <w:r w:rsidR="000B750D" w:rsidRPr="00C0591E">
        <w:t>indicated</w:t>
      </w:r>
      <w:r w:rsidRPr="00C0591E">
        <w:t xml:space="preserve"> that corporate structure had a mean of </w:t>
      </w:r>
      <w:r w:rsidR="000B750D" w:rsidRPr="00C0591E">
        <w:rPr>
          <w:rFonts w:eastAsia="Times New Roman"/>
        </w:rPr>
        <w:t xml:space="preserve">3.107 </w:t>
      </w:r>
      <w:r w:rsidRPr="00C0591E">
        <w:t xml:space="preserve">and a median of </w:t>
      </w:r>
      <w:r w:rsidRPr="00C0591E">
        <w:rPr>
          <w:rFonts w:eastAsia="Times New Roman"/>
        </w:rPr>
        <w:t>3.1</w:t>
      </w:r>
      <w:r w:rsidRPr="00C0591E">
        <w:t xml:space="preserve">. The standard deviation of </w:t>
      </w:r>
      <w:r w:rsidRPr="00C0591E">
        <w:rPr>
          <w:rFonts w:eastAsia="Times New Roman"/>
        </w:rPr>
        <w:t xml:space="preserve">0.203 </w:t>
      </w:r>
      <w:r w:rsidRPr="00C0591E">
        <w:t xml:space="preserve">showed that the members of the group differed from the mean value of </w:t>
      </w:r>
      <w:r w:rsidR="000B750D" w:rsidRPr="00C0591E">
        <w:t>3.107 for</w:t>
      </w:r>
      <w:r w:rsidRPr="00C0591E">
        <w:t xml:space="preserve"> the group in the observation. Skewness for corporate structure was </w:t>
      </w:r>
      <w:r w:rsidRPr="00C0591E">
        <w:rPr>
          <w:rFonts w:eastAsia="Times New Roman"/>
        </w:rPr>
        <w:t>-0.035</w:t>
      </w:r>
      <w:r w:rsidRPr="00C0591E">
        <w:t>. Since the values were between -0.5 and 0.5, we thus conclude that the distribution is approximately symmetric. Kurtosis results showed that corporate structure had -1.225. Thus, we can conclude that the values were platykurtic since they are less than 3 and thus had a broad tail distribution and no outliers and met normality assumptions.</w:t>
      </w:r>
    </w:p>
    <w:p w14:paraId="76C6E4EC" w14:textId="14249994" w:rsidR="00E40D44" w:rsidRPr="00C0591E" w:rsidRDefault="000B750D" w:rsidP="000B750D">
      <w:r w:rsidRPr="00C0591E">
        <w:t>Further, t</w:t>
      </w:r>
      <w:r w:rsidR="00E40D44" w:rsidRPr="00C0591E">
        <w:t xml:space="preserve">he results </w:t>
      </w:r>
      <w:r w:rsidRPr="00C0591E">
        <w:t>indicated</w:t>
      </w:r>
      <w:r w:rsidR="00E40D44" w:rsidRPr="00C0591E">
        <w:t xml:space="preserve"> that </w:t>
      </w:r>
      <w:r w:rsidRPr="00C0591E">
        <w:t xml:space="preserve">participation </w:t>
      </w:r>
      <w:r w:rsidR="00E40D44" w:rsidRPr="00C0591E">
        <w:t xml:space="preserve">had a mean of </w:t>
      </w:r>
      <w:r w:rsidR="00E40D44" w:rsidRPr="00C0591E">
        <w:rPr>
          <w:rFonts w:eastAsia="Times New Roman"/>
        </w:rPr>
        <w:t xml:space="preserve">3.156 </w:t>
      </w:r>
      <w:r w:rsidR="00E40D44" w:rsidRPr="00C0591E">
        <w:t xml:space="preserve">and a median of </w:t>
      </w:r>
      <w:r w:rsidR="00E40D44" w:rsidRPr="00C0591E">
        <w:rPr>
          <w:rFonts w:eastAsia="Times New Roman"/>
        </w:rPr>
        <w:t>3.1</w:t>
      </w:r>
      <w:r w:rsidR="00E40D44" w:rsidRPr="00C0591E">
        <w:t xml:space="preserve">. The standard deviation of </w:t>
      </w:r>
      <w:r w:rsidRPr="00C0591E">
        <w:rPr>
          <w:rFonts w:eastAsia="Times New Roman"/>
        </w:rPr>
        <w:t>0.160</w:t>
      </w:r>
      <w:r w:rsidR="00E40D44" w:rsidRPr="00C0591E">
        <w:rPr>
          <w:rFonts w:eastAsia="Times New Roman"/>
        </w:rPr>
        <w:t xml:space="preserve"> </w:t>
      </w:r>
      <w:r w:rsidR="00E40D44" w:rsidRPr="00C0591E">
        <w:t>showed that the members of the group differed from the mean value of 3.</w:t>
      </w:r>
      <w:r w:rsidRPr="00C0591E">
        <w:t>1</w:t>
      </w:r>
      <w:r w:rsidR="00E40D44" w:rsidRPr="00C0591E">
        <w:t>5</w:t>
      </w:r>
      <w:r w:rsidRPr="00C0591E">
        <w:t>6</w:t>
      </w:r>
      <w:r w:rsidR="00E40D44" w:rsidRPr="00C0591E">
        <w:t xml:space="preserve"> for the group in the observation. Skewness for </w:t>
      </w:r>
      <w:r w:rsidRPr="00C0591E">
        <w:t xml:space="preserve">participation </w:t>
      </w:r>
      <w:r w:rsidR="00E40D44" w:rsidRPr="00C0591E">
        <w:t xml:space="preserve">was </w:t>
      </w:r>
      <w:r w:rsidRPr="00C0591E">
        <w:rPr>
          <w:rFonts w:eastAsia="Times New Roman"/>
        </w:rPr>
        <w:t>-0.209</w:t>
      </w:r>
      <w:r w:rsidR="00E40D44" w:rsidRPr="00C0591E">
        <w:t xml:space="preserve">. Since the values were between -0.5 and 0.5, we thus conclude that the distribution is approximately symmetric. Kurtosis results showed that </w:t>
      </w:r>
      <w:r w:rsidRPr="00C0591E">
        <w:t xml:space="preserve">participation </w:t>
      </w:r>
      <w:r w:rsidR="00E40D44" w:rsidRPr="00C0591E">
        <w:t xml:space="preserve">had </w:t>
      </w:r>
      <w:r w:rsidRPr="00C0591E">
        <w:t>-0.929</w:t>
      </w:r>
      <w:r w:rsidR="00E40D44" w:rsidRPr="00C0591E">
        <w:t>. Thus, we can conclude that the values were platykurtic since they are less than 3 and thus had a broad tail distribution and no outliers and met normality assumptions.</w:t>
      </w:r>
    </w:p>
    <w:p w14:paraId="70DD844C" w14:textId="52570C60" w:rsidR="000B750D" w:rsidRPr="00C0591E" w:rsidRDefault="000B750D" w:rsidP="000B750D">
      <w:r w:rsidRPr="00C0591E">
        <w:t xml:space="preserve">Lastly, the results indicated that accountability had a mean of </w:t>
      </w:r>
      <w:r w:rsidRPr="00C0591E">
        <w:rPr>
          <w:rFonts w:eastAsia="Times New Roman"/>
        </w:rPr>
        <w:t xml:space="preserve">3.043 </w:t>
      </w:r>
      <w:r w:rsidRPr="00C0591E">
        <w:t xml:space="preserve">and a median of </w:t>
      </w:r>
      <w:r w:rsidRPr="00C0591E">
        <w:rPr>
          <w:rFonts w:eastAsia="Times New Roman"/>
        </w:rPr>
        <w:t>3.1</w:t>
      </w:r>
      <w:r w:rsidRPr="00C0591E">
        <w:t xml:space="preserve">. The standard deviation of </w:t>
      </w:r>
      <w:r w:rsidRPr="00C0591E">
        <w:rPr>
          <w:rFonts w:eastAsia="Times New Roman"/>
        </w:rPr>
        <w:t xml:space="preserve">0.160 </w:t>
      </w:r>
      <w:r w:rsidRPr="00C0591E">
        <w:t xml:space="preserve">showed that the members of the group differed from the mean value of 3.156 for the group in the observation. Skewness for accountability was </w:t>
      </w:r>
      <w:r w:rsidRPr="00C0591E">
        <w:rPr>
          <w:rFonts w:eastAsia="Times New Roman"/>
        </w:rPr>
        <w:t>-0.230</w:t>
      </w:r>
      <w:r w:rsidRPr="00C0591E">
        <w:t>. Since the values were between -0.5 and 0.5, we thus conclude that the distribution is approximately symmetric. Kurtosis results showed that accountability had -1.149. Thus, we can conclude that the values were platykurtic since they are less than 3 and thus had a broad tail distribution and no outliers and met normality assumptions.</w:t>
      </w:r>
    </w:p>
    <w:p w14:paraId="4BE3F6F7" w14:textId="44199F48" w:rsidR="000B750D" w:rsidRPr="00C0591E" w:rsidRDefault="000B750D" w:rsidP="000B750D">
      <w:pPr>
        <w:pStyle w:val="Heading3"/>
      </w:pPr>
      <w:bookmarkStart w:id="236" w:name="_Toc20424351"/>
      <w:bookmarkStart w:id="237" w:name="_Toc22319979"/>
      <w:r w:rsidRPr="00C0591E">
        <w:t xml:space="preserve">4.5.2 Descriptive Statistics for </w:t>
      </w:r>
      <w:bookmarkEnd w:id="236"/>
      <w:bookmarkEnd w:id="237"/>
      <w:r w:rsidRPr="00C0591E">
        <w:t>Investment Policies</w:t>
      </w:r>
    </w:p>
    <w:p w14:paraId="03864397" w14:textId="32F9A2B1" w:rsidR="000B750D" w:rsidRPr="00C0591E" w:rsidRDefault="000B750D" w:rsidP="00550A2E">
      <w:bookmarkStart w:id="238" w:name="_Hlk5280702"/>
      <w:r w:rsidRPr="00C0591E">
        <w:t>The second objective of the study was to</w:t>
      </w:r>
      <w:bookmarkEnd w:id="238"/>
      <w:r w:rsidRPr="00C0591E">
        <w:t xml:space="preserve"> evaluate </w:t>
      </w:r>
      <w:r w:rsidR="00EC4AF0" w:rsidRPr="00C0591E">
        <w:t xml:space="preserve">the intervening effect of investment policies on the relationship between </w:t>
      </w:r>
      <w:r w:rsidR="00173C67">
        <w:t>pillars of corporate governance</w:t>
      </w:r>
      <w:r w:rsidR="00EC4AF0" w:rsidRPr="00C0591E">
        <w:t xml:space="preserve"> and performance of pension fund managers in Kenya.</w:t>
      </w:r>
      <w:r w:rsidRPr="00C0591E">
        <w:t xml:space="preserve"> Descriptive statistics were carried out on </w:t>
      </w:r>
      <w:r w:rsidR="00EC4AF0" w:rsidRPr="00C0591E">
        <w:t xml:space="preserve">investment policies </w:t>
      </w:r>
      <w:r w:rsidRPr="00C0591E">
        <w:t xml:space="preserve">and the results are shown in Table </w:t>
      </w:r>
      <w:r w:rsidR="00191F36" w:rsidRPr="00C0591E">
        <w:t>19</w:t>
      </w:r>
      <w:r w:rsidRPr="00C0591E">
        <w:t>.</w:t>
      </w:r>
    </w:p>
    <w:p w14:paraId="17905ECF" w14:textId="78417D4E" w:rsidR="000B750D" w:rsidRPr="00C0591E" w:rsidRDefault="000B750D" w:rsidP="000B750D">
      <w:pPr>
        <w:pStyle w:val="Heading4"/>
      </w:pPr>
      <w:bookmarkStart w:id="239" w:name="_Toc46234222"/>
      <w:bookmarkStart w:id="240" w:name="_Toc113125154"/>
      <w:r w:rsidRPr="00C0591E">
        <w:t xml:space="preserve">Table </w:t>
      </w:r>
      <w:r w:rsidR="00191F36" w:rsidRPr="00C0591E">
        <w:t>19</w:t>
      </w:r>
      <w:r w:rsidRPr="00C0591E">
        <w:t xml:space="preserve">: Descriptive Statistics for </w:t>
      </w:r>
      <w:bookmarkEnd w:id="239"/>
      <w:r w:rsidR="00EC4AF0" w:rsidRPr="00C0591E">
        <w:t>Investment Policies</w:t>
      </w:r>
      <w:bookmarkEnd w:id="240"/>
    </w:p>
    <w:tbl>
      <w:tblPr>
        <w:tblW w:w="5000" w:type="pct"/>
        <w:tblLook w:val="04A0" w:firstRow="1" w:lastRow="0" w:firstColumn="1" w:lastColumn="0" w:noHBand="0" w:noVBand="1"/>
      </w:tblPr>
      <w:tblGrid>
        <w:gridCol w:w="4425"/>
        <w:gridCol w:w="4601"/>
      </w:tblGrid>
      <w:tr w:rsidR="00697E11" w:rsidRPr="00C0591E" w14:paraId="3FDD2210" w14:textId="77777777" w:rsidTr="00697E11">
        <w:trPr>
          <w:trHeight w:val="288"/>
        </w:trPr>
        <w:tc>
          <w:tcPr>
            <w:tcW w:w="2451" w:type="pct"/>
            <w:tcBorders>
              <w:top w:val="single" w:sz="4" w:space="0" w:color="auto"/>
              <w:left w:val="nil"/>
              <w:bottom w:val="single" w:sz="4" w:space="0" w:color="auto"/>
              <w:right w:val="nil"/>
            </w:tcBorders>
            <w:shd w:val="clear" w:color="auto" w:fill="auto"/>
            <w:noWrap/>
            <w:vAlign w:val="bottom"/>
            <w:hideMark/>
          </w:tcPr>
          <w:p w14:paraId="5BA0C7D5" w14:textId="77777777" w:rsidR="00697E11" w:rsidRPr="00C0591E" w:rsidRDefault="00697E11" w:rsidP="00EC4AF0">
            <w:pPr>
              <w:spacing w:before="0" w:line="276" w:lineRule="auto"/>
              <w:rPr>
                <w:rFonts w:eastAsia="Times New Roman"/>
                <w:b/>
              </w:rPr>
            </w:pPr>
            <w:r w:rsidRPr="00C0591E">
              <w:rPr>
                <w:rFonts w:eastAsia="Times New Roman"/>
                <w:b/>
              </w:rPr>
              <w:t> </w:t>
            </w:r>
          </w:p>
        </w:tc>
        <w:tc>
          <w:tcPr>
            <w:tcW w:w="2549" w:type="pct"/>
            <w:tcBorders>
              <w:top w:val="single" w:sz="4" w:space="0" w:color="auto"/>
              <w:left w:val="nil"/>
              <w:bottom w:val="single" w:sz="4" w:space="0" w:color="auto"/>
              <w:right w:val="nil"/>
            </w:tcBorders>
            <w:shd w:val="clear" w:color="auto" w:fill="auto"/>
            <w:noWrap/>
            <w:vAlign w:val="bottom"/>
            <w:hideMark/>
          </w:tcPr>
          <w:p w14:paraId="421F250C" w14:textId="1F1573DC" w:rsidR="00697E11" w:rsidRPr="00C0591E" w:rsidRDefault="00697E11" w:rsidP="00EC4AF0">
            <w:pPr>
              <w:spacing w:before="0" w:line="276" w:lineRule="auto"/>
              <w:jc w:val="center"/>
              <w:rPr>
                <w:rFonts w:eastAsia="Times New Roman"/>
                <w:b/>
              </w:rPr>
            </w:pPr>
            <w:r w:rsidRPr="00C0591E">
              <w:rPr>
                <w:rFonts w:eastAsia="Times New Roman"/>
                <w:b/>
              </w:rPr>
              <w:t>Investment Policies</w:t>
            </w:r>
          </w:p>
        </w:tc>
      </w:tr>
      <w:tr w:rsidR="00697E11" w:rsidRPr="00C0591E" w14:paraId="30E0F500" w14:textId="77777777" w:rsidTr="00697E11">
        <w:trPr>
          <w:trHeight w:val="288"/>
        </w:trPr>
        <w:tc>
          <w:tcPr>
            <w:tcW w:w="2451" w:type="pct"/>
            <w:tcBorders>
              <w:top w:val="nil"/>
              <w:left w:val="nil"/>
              <w:bottom w:val="nil"/>
              <w:right w:val="nil"/>
            </w:tcBorders>
            <w:shd w:val="clear" w:color="auto" w:fill="auto"/>
            <w:noWrap/>
            <w:vAlign w:val="bottom"/>
            <w:hideMark/>
          </w:tcPr>
          <w:p w14:paraId="21709E73" w14:textId="77777777" w:rsidR="00697E11" w:rsidRPr="00C0591E" w:rsidRDefault="00697E11" w:rsidP="00EC4AF0">
            <w:pPr>
              <w:spacing w:before="0" w:line="276" w:lineRule="auto"/>
              <w:rPr>
                <w:rFonts w:eastAsia="Times New Roman"/>
              </w:rPr>
            </w:pPr>
            <w:r w:rsidRPr="00C0591E">
              <w:rPr>
                <w:rFonts w:eastAsia="Times New Roman"/>
              </w:rPr>
              <w:t>N</w:t>
            </w:r>
          </w:p>
        </w:tc>
        <w:tc>
          <w:tcPr>
            <w:tcW w:w="2549" w:type="pct"/>
            <w:tcBorders>
              <w:top w:val="nil"/>
              <w:left w:val="nil"/>
              <w:bottom w:val="nil"/>
              <w:right w:val="nil"/>
            </w:tcBorders>
            <w:shd w:val="clear" w:color="auto" w:fill="auto"/>
            <w:noWrap/>
            <w:vAlign w:val="bottom"/>
            <w:hideMark/>
          </w:tcPr>
          <w:p w14:paraId="787B650F" w14:textId="77777777" w:rsidR="00697E11" w:rsidRPr="00C0591E" w:rsidRDefault="00697E11" w:rsidP="00EC4AF0">
            <w:pPr>
              <w:spacing w:before="0" w:line="276" w:lineRule="auto"/>
              <w:jc w:val="center"/>
              <w:rPr>
                <w:rFonts w:eastAsia="Times New Roman"/>
              </w:rPr>
            </w:pPr>
            <w:r w:rsidRPr="00C0591E">
              <w:rPr>
                <w:rFonts w:eastAsia="Times New Roman"/>
              </w:rPr>
              <w:t>296</w:t>
            </w:r>
          </w:p>
        </w:tc>
      </w:tr>
      <w:tr w:rsidR="00697E11" w:rsidRPr="00C0591E" w14:paraId="61C9FC83" w14:textId="77777777" w:rsidTr="00697E11">
        <w:trPr>
          <w:trHeight w:val="288"/>
        </w:trPr>
        <w:tc>
          <w:tcPr>
            <w:tcW w:w="2451" w:type="pct"/>
            <w:tcBorders>
              <w:top w:val="nil"/>
              <w:left w:val="nil"/>
              <w:bottom w:val="nil"/>
              <w:right w:val="nil"/>
            </w:tcBorders>
            <w:shd w:val="clear" w:color="auto" w:fill="auto"/>
            <w:noWrap/>
            <w:vAlign w:val="bottom"/>
            <w:hideMark/>
          </w:tcPr>
          <w:p w14:paraId="4123C0EA" w14:textId="77777777" w:rsidR="00697E11" w:rsidRPr="00C0591E" w:rsidRDefault="00697E11" w:rsidP="00EC4AF0">
            <w:pPr>
              <w:spacing w:before="0" w:line="276" w:lineRule="auto"/>
              <w:rPr>
                <w:rFonts w:eastAsia="Times New Roman"/>
              </w:rPr>
            </w:pPr>
            <w:r w:rsidRPr="00C0591E">
              <w:rPr>
                <w:rFonts w:eastAsia="Times New Roman"/>
              </w:rPr>
              <w:t>Mean</w:t>
            </w:r>
          </w:p>
        </w:tc>
        <w:tc>
          <w:tcPr>
            <w:tcW w:w="2549" w:type="pct"/>
            <w:tcBorders>
              <w:top w:val="nil"/>
              <w:left w:val="nil"/>
              <w:bottom w:val="nil"/>
              <w:right w:val="nil"/>
            </w:tcBorders>
            <w:shd w:val="clear" w:color="auto" w:fill="auto"/>
            <w:noWrap/>
            <w:vAlign w:val="bottom"/>
            <w:hideMark/>
          </w:tcPr>
          <w:p w14:paraId="13ACA887" w14:textId="3BAF36C5" w:rsidR="00697E11" w:rsidRPr="00C0591E" w:rsidRDefault="00550A2E" w:rsidP="00EC4AF0">
            <w:pPr>
              <w:spacing w:before="0" w:line="276" w:lineRule="auto"/>
              <w:jc w:val="center"/>
              <w:rPr>
                <w:rFonts w:eastAsia="Times New Roman"/>
              </w:rPr>
            </w:pPr>
            <w:r w:rsidRPr="00C0591E">
              <w:rPr>
                <w:rFonts w:eastAsia="Times New Roman"/>
              </w:rPr>
              <w:t>3</w:t>
            </w:r>
            <w:r w:rsidR="00697E11" w:rsidRPr="00C0591E">
              <w:rPr>
                <w:rFonts w:eastAsia="Times New Roman"/>
              </w:rPr>
              <w:t>.928</w:t>
            </w:r>
          </w:p>
        </w:tc>
      </w:tr>
      <w:tr w:rsidR="00697E11" w:rsidRPr="00C0591E" w14:paraId="7B2F046A" w14:textId="77777777" w:rsidTr="00697E11">
        <w:trPr>
          <w:trHeight w:val="288"/>
        </w:trPr>
        <w:tc>
          <w:tcPr>
            <w:tcW w:w="2451" w:type="pct"/>
            <w:tcBorders>
              <w:top w:val="nil"/>
              <w:left w:val="nil"/>
              <w:bottom w:val="nil"/>
              <w:right w:val="nil"/>
            </w:tcBorders>
            <w:shd w:val="clear" w:color="auto" w:fill="auto"/>
            <w:noWrap/>
            <w:vAlign w:val="bottom"/>
            <w:hideMark/>
          </w:tcPr>
          <w:p w14:paraId="1CE913A5" w14:textId="77777777" w:rsidR="00697E11" w:rsidRPr="00C0591E" w:rsidRDefault="00697E11" w:rsidP="00EC4AF0">
            <w:pPr>
              <w:spacing w:before="0" w:line="276" w:lineRule="auto"/>
              <w:rPr>
                <w:rFonts w:eastAsia="Times New Roman"/>
              </w:rPr>
            </w:pPr>
            <w:r w:rsidRPr="00C0591E">
              <w:rPr>
                <w:rFonts w:eastAsia="Times New Roman"/>
              </w:rPr>
              <w:t>Median</w:t>
            </w:r>
          </w:p>
        </w:tc>
        <w:tc>
          <w:tcPr>
            <w:tcW w:w="2549" w:type="pct"/>
            <w:tcBorders>
              <w:top w:val="nil"/>
              <w:left w:val="nil"/>
              <w:bottom w:val="nil"/>
              <w:right w:val="nil"/>
            </w:tcBorders>
            <w:shd w:val="clear" w:color="auto" w:fill="auto"/>
            <w:noWrap/>
            <w:vAlign w:val="bottom"/>
            <w:hideMark/>
          </w:tcPr>
          <w:p w14:paraId="34A3638E" w14:textId="3975D266" w:rsidR="00697E11" w:rsidRPr="00C0591E" w:rsidRDefault="00697E11" w:rsidP="00EC4AF0">
            <w:pPr>
              <w:spacing w:before="0" w:line="276" w:lineRule="auto"/>
              <w:jc w:val="center"/>
              <w:rPr>
                <w:rFonts w:eastAsia="Times New Roman"/>
              </w:rPr>
            </w:pPr>
            <w:r w:rsidRPr="00C0591E">
              <w:rPr>
                <w:rFonts w:eastAsia="Times New Roman"/>
              </w:rPr>
              <w:t>3.2</w:t>
            </w:r>
            <w:r w:rsidR="00EC4AF0" w:rsidRPr="00C0591E">
              <w:rPr>
                <w:rFonts w:eastAsia="Times New Roman"/>
              </w:rPr>
              <w:t>0</w:t>
            </w:r>
            <w:r w:rsidR="00550A2E" w:rsidRPr="00C0591E">
              <w:rPr>
                <w:rFonts w:eastAsia="Times New Roman"/>
              </w:rPr>
              <w:t>0</w:t>
            </w:r>
          </w:p>
        </w:tc>
      </w:tr>
      <w:tr w:rsidR="00697E11" w:rsidRPr="00C0591E" w14:paraId="56701776" w14:textId="77777777" w:rsidTr="00697E11">
        <w:trPr>
          <w:trHeight w:val="288"/>
        </w:trPr>
        <w:tc>
          <w:tcPr>
            <w:tcW w:w="2451" w:type="pct"/>
            <w:tcBorders>
              <w:top w:val="nil"/>
              <w:left w:val="nil"/>
              <w:bottom w:val="nil"/>
              <w:right w:val="nil"/>
            </w:tcBorders>
            <w:shd w:val="clear" w:color="auto" w:fill="auto"/>
            <w:noWrap/>
            <w:vAlign w:val="bottom"/>
            <w:hideMark/>
          </w:tcPr>
          <w:p w14:paraId="55C961CC" w14:textId="77777777" w:rsidR="00697E11" w:rsidRPr="00C0591E" w:rsidRDefault="00697E11" w:rsidP="00EC4AF0">
            <w:pPr>
              <w:spacing w:before="0" w:line="276" w:lineRule="auto"/>
              <w:rPr>
                <w:rFonts w:eastAsia="Times New Roman"/>
              </w:rPr>
            </w:pPr>
            <w:r w:rsidRPr="00C0591E">
              <w:rPr>
                <w:rFonts w:eastAsia="Times New Roman"/>
              </w:rPr>
              <w:t>Std. Deviation</w:t>
            </w:r>
          </w:p>
        </w:tc>
        <w:tc>
          <w:tcPr>
            <w:tcW w:w="2549" w:type="pct"/>
            <w:tcBorders>
              <w:top w:val="nil"/>
              <w:left w:val="nil"/>
              <w:bottom w:val="nil"/>
              <w:right w:val="nil"/>
            </w:tcBorders>
            <w:shd w:val="clear" w:color="auto" w:fill="auto"/>
            <w:noWrap/>
            <w:vAlign w:val="bottom"/>
            <w:hideMark/>
          </w:tcPr>
          <w:p w14:paraId="29B9C2BA" w14:textId="20FD7504" w:rsidR="00697E11" w:rsidRPr="00C0591E" w:rsidRDefault="00550A2E" w:rsidP="00EC4AF0">
            <w:pPr>
              <w:spacing w:before="0" w:line="276" w:lineRule="auto"/>
              <w:jc w:val="center"/>
              <w:rPr>
                <w:rFonts w:eastAsia="Times New Roman"/>
              </w:rPr>
            </w:pPr>
            <w:r w:rsidRPr="00C0591E">
              <w:rPr>
                <w:rFonts w:eastAsia="Times New Roman"/>
              </w:rPr>
              <w:t>0.337</w:t>
            </w:r>
          </w:p>
        </w:tc>
      </w:tr>
      <w:tr w:rsidR="00697E11" w:rsidRPr="00C0591E" w14:paraId="2BE26905" w14:textId="77777777" w:rsidTr="00697E11">
        <w:trPr>
          <w:trHeight w:val="288"/>
        </w:trPr>
        <w:tc>
          <w:tcPr>
            <w:tcW w:w="2451" w:type="pct"/>
            <w:tcBorders>
              <w:top w:val="nil"/>
              <w:left w:val="nil"/>
              <w:bottom w:val="nil"/>
              <w:right w:val="nil"/>
            </w:tcBorders>
            <w:shd w:val="clear" w:color="auto" w:fill="auto"/>
            <w:noWrap/>
            <w:vAlign w:val="bottom"/>
            <w:hideMark/>
          </w:tcPr>
          <w:p w14:paraId="2540E50F" w14:textId="77777777" w:rsidR="00697E11" w:rsidRPr="00C0591E" w:rsidRDefault="00697E11" w:rsidP="00EC4AF0">
            <w:pPr>
              <w:spacing w:before="0" w:line="276" w:lineRule="auto"/>
              <w:rPr>
                <w:rFonts w:eastAsia="Times New Roman"/>
              </w:rPr>
            </w:pPr>
            <w:r w:rsidRPr="00C0591E">
              <w:rPr>
                <w:rFonts w:eastAsia="Times New Roman"/>
              </w:rPr>
              <w:t>Skewness</w:t>
            </w:r>
          </w:p>
        </w:tc>
        <w:tc>
          <w:tcPr>
            <w:tcW w:w="2549" w:type="pct"/>
            <w:tcBorders>
              <w:top w:val="nil"/>
              <w:left w:val="nil"/>
              <w:bottom w:val="nil"/>
              <w:right w:val="nil"/>
            </w:tcBorders>
            <w:shd w:val="clear" w:color="auto" w:fill="auto"/>
            <w:noWrap/>
            <w:vAlign w:val="bottom"/>
            <w:hideMark/>
          </w:tcPr>
          <w:p w14:paraId="45A02619" w14:textId="77777777" w:rsidR="00697E11" w:rsidRPr="00C0591E" w:rsidRDefault="00697E11" w:rsidP="00EC4AF0">
            <w:pPr>
              <w:spacing w:before="0" w:line="276" w:lineRule="auto"/>
              <w:jc w:val="center"/>
              <w:rPr>
                <w:rFonts w:eastAsia="Times New Roman"/>
              </w:rPr>
            </w:pPr>
            <w:r w:rsidRPr="00C0591E">
              <w:rPr>
                <w:rFonts w:eastAsia="Times New Roman"/>
              </w:rPr>
              <w:t>0.078</w:t>
            </w:r>
          </w:p>
        </w:tc>
      </w:tr>
      <w:tr w:rsidR="00697E11" w:rsidRPr="00C0591E" w14:paraId="52DE63E3" w14:textId="77777777" w:rsidTr="00697E11">
        <w:trPr>
          <w:trHeight w:val="288"/>
        </w:trPr>
        <w:tc>
          <w:tcPr>
            <w:tcW w:w="2451" w:type="pct"/>
            <w:tcBorders>
              <w:top w:val="nil"/>
              <w:left w:val="nil"/>
              <w:bottom w:val="single" w:sz="4" w:space="0" w:color="auto"/>
              <w:right w:val="nil"/>
            </w:tcBorders>
            <w:shd w:val="clear" w:color="auto" w:fill="auto"/>
            <w:noWrap/>
            <w:vAlign w:val="bottom"/>
            <w:hideMark/>
          </w:tcPr>
          <w:p w14:paraId="27E3B9C9" w14:textId="77777777" w:rsidR="00697E11" w:rsidRPr="00C0591E" w:rsidRDefault="00697E11" w:rsidP="00EC4AF0">
            <w:pPr>
              <w:spacing w:before="0" w:line="276" w:lineRule="auto"/>
              <w:rPr>
                <w:rFonts w:eastAsia="Times New Roman"/>
              </w:rPr>
            </w:pPr>
            <w:r w:rsidRPr="00C0591E">
              <w:rPr>
                <w:rFonts w:eastAsia="Times New Roman"/>
              </w:rPr>
              <w:t>Kurtosis</w:t>
            </w:r>
          </w:p>
        </w:tc>
        <w:tc>
          <w:tcPr>
            <w:tcW w:w="2549" w:type="pct"/>
            <w:tcBorders>
              <w:top w:val="nil"/>
              <w:left w:val="nil"/>
              <w:bottom w:val="single" w:sz="4" w:space="0" w:color="auto"/>
              <w:right w:val="nil"/>
            </w:tcBorders>
            <w:shd w:val="clear" w:color="auto" w:fill="auto"/>
            <w:noWrap/>
            <w:vAlign w:val="bottom"/>
            <w:hideMark/>
          </w:tcPr>
          <w:p w14:paraId="665B2D1B" w14:textId="77777777" w:rsidR="00697E11" w:rsidRPr="00C0591E" w:rsidRDefault="00697E11" w:rsidP="00EC4AF0">
            <w:pPr>
              <w:spacing w:before="0" w:line="276" w:lineRule="auto"/>
              <w:jc w:val="center"/>
              <w:rPr>
                <w:rFonts w:eastAsia="Times New Roman"/>
              </w:rPr>
            </w:pPr>
            <w:r w:rsidRPr="00C0591E">
              <w:rPr>
                <w:rFonts w:eastAsia="Times New Roman"/>
              </w:rPr>
              <w:t>-1.552</w:t>
            </w:r>
          </w:p>
        </w:tc>
      </w:tr>
    </w:tbl>
    <w:p w14:paraId="6E2B617D" w14:textId="77777777" w:rsidR="00F05265" w:rsidRPr="00C0591E" w:rsidRDefault="00F05265" w:rsidP="0027404A">
      <w:pPr>
        <w:rPr>
          <w:lang w:val="en-GB"/>
        </w:rPr>
      </w:pPr>
    </w:p>
    <w:p w14:paraId="231E465C" w14:textId="770B6316" w:rsidR="00550A2E" w:rsidRPr="00C0591E" w:rsidRDefault="00550A2E" w:rsidP="00550A2E">
      <w:r w:rsidRPr="00C0591E">
        <w:t xml:space="preserve">The results from the Table </w:t>
      </w:r>
      <w:r w:rsidR="00191F36" w:rsidRPr="00C0591E">
        <w:t>19</w:t>
      </w:r>
      <w:r w:rsidRPr="00C0591E">
        <w:t xml:space="preserve"> shows the descriptive statistics for investment policies. The total number of respondents in each measured was 296. Distribution of data was measured using skewness and kurtosis whereas central tenancy was measured using mean, median and mode. The standard deviation was used to measure dispersion. The results show that </w:t>
      </w:r>
      <w:r w:rsidRPr="00C0591E">
        <w:rPr>
          <w:rFonts w:cstheme="majorBidi"/>
        </w:rPr>
        <w:t xml:space="preserve">investment policies </w:t>
      </w:r>
      <w:r w:rsidRPr="00C0591E">
        <w:t xml:space="preserve">had a mean of 3.928 and median of 3.2. The standard deviation of </w:t>
      </w:r>
      <w:r w:rsidRPr="00C0591E">
        <w:rPr>
          <w:rFonts w:eastAsia="Times New Roman"/>
        </w:rPr>
        <w:t xml:space="preserve">0.337 </w:t>
      </w:r>
      <w:r w:rsidRPr="00C0591E">
        <w:t>showed that the members of the group differed from the mean value of 3.928 for the group in the observation. The standard deviation of 0.337 further implies that the data points tend to be very close to the mean of the data and a high standard deviation implies that the data points are spread over a wide range of the values.</w:t>
      </w:r>
    </w:p>
    <w:p w14:paraId="5B7DEFEB" w14:textId="41C162A4" w:rsidR="00550A2E" w:rsidRPr="00C0591E" w:rsidRDefault="00550A2E" w:rsidP="00550A2E">
      <w:r w:rsidRPr="00C0591E">
        <w:t xml:space="preserve">Skewness for </w:t>
      </w:r>
      <w:r w:rsidRPr="00C0591E">
        <w:rPr>
          <w:rFonts w:cstheme="majorBidi"/>
        </w:rPr>
        <w:t xml:space="preserve">investment policies </w:t>
      </w:r>
      <w:r w:rsidRPr="00C0591E">
        <w:t xml:space="preserve">was </w:t>
      </w:r>
      <w:r w:rsidRPr="00C0591E">
        <w:rPr>
          <w:rFonts w:eastAsia="Times New Roman"/>
        </w:rPr>
        <w:t>0.078</w:t>
      </w:r>
      <w:r w:rsidRPr="00C0591E">
        <w:t xml:space="preserve">. Since the values were between -0.5 and 0.5, we thus conclude that the distribution is approximately symmetric. Kurtosis results showed that </w:t>
      </w:r>
      <w:r w:rsidRPr="00C0591E">
        <w:rPr>
          <w:rFonts w:cstheme="majorBidi"/>
        </w:rPr>
        <w:t xml:space="preserve">investment policies </w:t>
      </w:r>
      <w:r w:rsidRPr="00C0591E">
        <w:t xml:space="preserve">had </w:t>
      </w:r>
      <w:r w:rsidRPr="00C0591E">
        <w:rPr>
          <w:rFonts w:eastAsia="Times New Roman"/>
        </w:rPr>
        <w:t>-1.552</w:t>
      </w:r>
      <w:r w:rsidRPr="00C0591E">
        <w:t xml:space="preserve">. Thus, we can conclude that the values were platykurtic since they are less than 3 and thus had a broad tail distribution and no outliers and met normality assumptions. </w:t>
      </w:r>
      <w:r w:rsidRPr="00C0591E">
        <w:rPr>
          <w:rFonts w:cstheme="majorBidi"/>
        </w:rPr>
        <w:t xml:space="preserve">Investment policies </w:t>
      </w:r>
      <w:r w:rsidRPr="00C0591E">
        <w:t xml:space="preserve">was evenly distributed and the measure between the high and low score was small and exhibits normality in </w:t>
      </w:r>
      <w:r w:rsidRPr="00C0591E">
        <w:rPr>
          <w:rFonts w:cstheme="majorBidi"/>
        </w:rPr>
        <w:t>investment policies</w:t>
      </w:r>
      <w:r w:rsidRPr="00C0591E">
        <w:t>.</w:t>
      </w:r>
    </w:p>
    <w:p w14:paraId="2B97B1C0" w14:textId="796FFE55" w:rsidR="00550A2E" w:rsidRPr="00C0591E" w:rsidRDefault="00550A2E" w:rsidP="00550A2E">
      <w:pPr>
        <w:pStyle w:val="Heading3"/>
      </w:pPr>
      <w:bookmarkStart w:id="241" w:name="_Toc22319980"/>
      <w:r w:rsidRPr="00C0591E">
        <w:t xml:space="preserve">4.5.3 Descriptive Statistics for </w:t>
      </w:r>
      <w:bookmarkEnd w:id="241"/>
      <w:r w:rsidRPr="00C0591E">
        <w:t>Regulation</w:t>
      </w:r>
    </w:p>
    <w:p w14:paraId="758AEAA3" w14:textId="513AF486" w:rsidR="00550A2E" w:rsidRPr="00C0591E" w:rsidRDefault="00550A2E" w:rsidP="00EC1DFC">
      <w:r w:rsidRPr="00C0591E">
        <w:t xml:space="preserve">The third objective of the study was to assess the moderating effect of government regulations on the relationship between </w:t>
      </w:r>
      <w:r w:rsidR="00173C67">
        <w:t>pillars of corporate governance</w:t>
      </w:r>
      <w:r w:rsidRPr="00C0591E">
        <w:t xml:space="preserve"> and performance of pension fund managers in Kenya. Descriptive statistics were carried out on government regulations and the results are shown in Table </w:t>
      </w:r>
      <w:r w:rsidR="00191F36" w:rsidRPr="00C0591E">
        <w:t>20</w:t>
      </w:r>
      <w:r w:rsidRPr="00C0591E">
        <w:t>.</w:t>
      </w:r>
    </w:p>
    <w:p w14:paraId="76B59876" w14:textId="0683032E" w:rsidR="00550A2E" w:rsidRPr="00C0591E" w:rsidRDefault="00550A2E" w:rsidP="00550A2E">
      <w:pPr>
        <w:pStyle w:val="Heading4"/>
      </w:pPr>
      <w:bookmarkStart w:id="242" w:name="_Toc46234223"/>
      <w:bookmarkStart w:id="243" w:name="_Toc113125155"/>
      <w:r w:rsidRPr="00C0591E">
        <w:t xml:space="preserve">Table </w:t>
      </w:r>
      <w:r w:rsidR="00191F36" w:rsidRPr="00C0591E">
        <w:t>20</w:t>
      </w:r>
      <w:r w:rsidRPr="00C0591E">
        <w:t xml:space="preserve">: Descriptive Statistics for </w:t>
      </w:r>
      <w:bookmarkEnd w:id="242"/>
      <w:r w:rsidRPr="00C0591E">
        <w:t>Regulation</w:t>
      </w:r>
      <w:bookmarkEnd w:id="243"/>
    </w:p>
    <w:tbl>
      <w:tblPr>
        <w:tblW w:w="5000" w:type="pct"/>
        <w:tblLook w:val="04A0" w:firstRow="1" w:lastRow="0" w:firstColumn="1" w:lastColumn="0" w:noHBand="0" w:noVBand="1"/>
      </w:tblPr>
      <w:tblGrid>
        <w:gridCol w:w="4286"/>
        <w:gridCol w:w="4740"/>
      </w:tblGrid>
      <w:tr w:rsidR="00697E11" w:rsidRPr="00C0591E" w14:paraId="31D21069" w14:textId="77777777" w:rsidTr="00697E11">
        <w:trPr>
          <w:trHeight w:val="288"/>
        </w:trPr>
        <w:tc>
          <w:tcPr>
            <w:tcW w:w="2374" w:type="pct"/>
            <w:tcBorders>
              <w:top w:val="single" w:sz="4" w:space="0" w:color="auto"/>
              <w:left w:val="nil"/>
              <w:bottom w:val="single" w:sz="4" w:space="0" w:color="auto"/>
              <w:right w:val="nil"/>
            </w:tcBorders>
            <w:shd w:val="clear" w:color="auto" w:fill="auto"/>
            <w:noWrap/>
            <w:vAlign w:val="bottom"/>
            <w:hideMark/>
          </w:tcPr>
          <w:p w14:paraId="46E36BDD" w14:textId="77777777" w:rsidR="00697E11" w:rsidRPr="00C0591E" w:rsidRDefault="00697E11" w:rsidP="00550A2E">
            <w:pPr>
              <w:spacing w:before="0" w:line="276" w:lineRule="auto"/>
              <w:rPr>
                <w:rFonts w:eastAsia="Times New Roman"/>
                <w:b/>
              </w:rPr>
            </w:pPr>
            <w:r w:rsidRPr="00C0591E">
              <w:rPr>
                <w:rFonts w:eastAsia="Times New Roman"/>
                <w:b/>
              </w:rPr>
              <w:t> </w:t>
            </w:r>
          </w:p>
        </w:tc>
        <w:tc>
          <w:tcPr>
            <w:tcW w:w="2626" w:type="pct"/>
            <w:tcBorders>
              <w:top w:val="single" w:sz="4" w:space="0" w:color="auto"/>
              <w:left w:val="nil"/>
              <w:bottom w:val="single" w:sz="4" w:space="0" w:color="auto"/>
              <w:right w:val="nil"/>
            </w:tcBorders>
            <w:shd w:val="clear" w:color="auto" w:fill="auto"/>
            <w:noWrap/>
            <w:vAlign w:val="bottom"/>
            <w:hideMark/>
          </w:tcPr>
          <w:p w14:paraId="1DADDBB2" w14:textId="2A9ADA41" w:rsidR="00697E11" w:rsidRPr="00C0591E" w:rsidRDefault="00697E11" w:rsidP="00550A2E">
            <w:pPr>
              <w:spacing w:before="0" w:line="276" w:lineRule="auto"/>
              <w:jc w:val="center"/>
              <w:rPr>
                <w:rFonts w:eastAsia="Times New Roman"/>
                <w:b/>
              </w:rPr>
            </w:pPr>
            <w:r w:rsidRPr="00C0591E">
              <w:rPr>
                <w:rFonts w:eastAsia="Times New Roman"/>
                <w:b/>
              </w:rPr>
              <w:t>Government Regulation</w:t>
            </w:r>
          </w:p>
        </w:tc>
      </w:tr>
      <w:tr w:rsidR="00697E11" w:rsidRPr="00C0591E" w14:paraId="55222155" w14:textId="77777777" w:rsidTr="00697E11">
        <w:trPr>
          <w:trHeight w:val="288"/>
        </w:trPr>
        <w:tc>
          <w:tcPr>
            <w:tcW w:w="2374" w:type="pct"/>
            <w:tcBorders>
              <w:top w:val="nil"/>
              <w:left w:val="nil"/>
              <w:bottom w:val="nil"/>
              <w:right w:val="nil"/>
            </w:tcBorders>
            <w:shd w:val="clear" w:color="auto" w:fill="auto"/>
            <w:noWrap/>
            <w:vAlign w:val="bottom"/>
            <w:hideMark/>
          </w:tcPr>
          <w:p w14:paraId="62CC5054" w14:textId="77777777" w:rsidR="00697E11" w:rsidRPr="00C0591E" w:rsidRDefault="00697E11" w:rsidP="00550A2E">
            <w:pPr>
              <w:spacing w:before="0" w:line="276" w:lineRule="auto"/>
              <w:rPr>
                <w:rFonts w:eastAsia="Times New Roman"/>
              </w:rPr>
            </w:pPr>
            <w:r w:rsidRPr="00C0591E">
              <w:rPr>
                <w:rFonts w:eastAsia="Times New Roman"/>
              </w:rPr>
              <w:t>N</w:t>
            </w:r>
          </w:p>
        </w:tc>
        <w:tc>
          <w:tcPr>
            <w:tcW w:w="2626" w:type="pct"/>
            <w:tcBorders>
              <w:top w:val="nil"/>
              <w:left w:val="nil"/>
              <w:bottom w:val="nil"/>
              <w:right w:val="nil"/>
            </w:tcBorders>
            <w:shd w:val="clear" w:color="auto" w:fill="auto"/>
            <w:noWrap/>
            <w:vAlign w:val="bottom"/>
            <w:hideMark/>
          </w:tcPr>
          <w:p w14:paraId="53328B98" w14:textId="77777777" w:rsidR="00697E11" w:rsidRPr="00C0591E" w:rsidRDefault="00697E11" w:rsidP="00550A2E">
            <w:pPr>
              <w:spacing w:before="0" w:line="276" w:lineRule="auto"/>
              <w:jc w:val="center"/>
              <w:rPr>
                <w:rFonts w:eastAsia="Times New Roman"/>
              </w:rPr>
            </w:pPr>
            <w:r w:rsidRPr="00C0591E">
              <w:rPr>
                <w:rFonts w:eastAsia="Times New Roman"/>
              </w:rPr>
              <w:t>296</w:t>
            </w:r>
          </w:p>
        </w:tc>
      </w:tr>
      <w:tr w:rsidR="00697E11" w:rsidRPr="00C0591E" w14:paraId="0151E758" w14:textId="77777777" w:rsidTr="00697E11">
        <w:trPr>
          <w:trHeight w:val="288"/>
        </w:trPr>
        <w:tc>
          <w:tcPr>
            <w:tcW w:w="2374" w:type="pct"/>
            <w:tcBorders>
              <w:top w:val="nil"/>
              <w:left w:val="nil"/>
              <w:bottom w:val="nil"/>
              <w:right w:val="nil"/>
            </w:tcBorders>
            <w:shd w:val="clear" w:color="auto" w:fill="auto"/>
            <w:noWrap/>
            <w:vAlign w:val="bottom"/>
            <w:hideMark/>
          </w:tcPr>
          <w:p w14:paraId="19658EED" w14:textId="77777777" w:rsidR="00697E11" w:rsidRPr="00C0591E" w:rsidRDefault="00697E11" w:rsidP="00550A2E">
            <w:pPr>
              <w:spacing w:before="0" w:line="276" w:lineRule="auto"/>
              <w:rPr>
                <w:rFonts w:eastAsia="Times New Roman"/>
              </w:rPr>
            </w:pPr>
            <w:r w:rsidRPr="00C0591E">
              <w:rPr>
                <w:rFonts w:eastAsia="Times New Roman"/>
              </w:rPr>
              <w:t>Mean</w:t>
            </w:r>
          </w:p>
        </w:tc>
        <w:tc>
          <w:tcPr>
            <w:tcW w:w="2626" w:type="pct"/>
            <w:tcBorders>
              <w:top w:val="nil"/>
              <w:left w:val="nil"/>
              <w:bottom w:val="nil"/>
              <w:right w:val="nil"/>
            </w:tcBorders>
            <w:shd w:val="clear" w:color="auto" w:fill="auto"/>
            <w:noWrap/>
            <w:vAlign w:val="bottom"/>
            <w:hideMark/>
          </w:tcPr>
          <w:p w14:paraId="6828D3CA" w14:textId="11A950DD" w:rsidR="00697E11" w:rsidRPr="00C0591E" w:rsidRDefault="00EC1DFC" w:rsidP="00550A2E">
            <w:pPr>
              <w:spacing w:before="0" w:line="276" w:lineRule="auto"/>
              <w:jc w:val="center"/>
              <w:rPr>
                <w:rFonts w:eastAsia="Times New Roman"/>
              </w:rPr>
            </w:pPr>
            <w:r w:rsidRPr="00C0591E">
              <w:rPr>
                <w:rFonts w:eastAsia="Times New Roman"/>
              </w:rPr>
              <w:t>3</w:t>
            </w:r>
            <w:r w:rsidR="00697E11" w:rsidRPr="00C0591E">
              <w:rPr>
                <w:rFonts w:eastAsia="Times New Roman"/>
              </w:rPr>
              <w:t>.865</w:t>
            </w:r>
          </w:p>
        </w:tc>
      </w:tr>
      <w:tr w:rsidR="00697E11" w:rsidRPr="00C0591E" w14:paraId="7E6027CC" w14:textId="77777777" w:rsidTr="00697E11">
        <w:trPr>
          <w:trHeight w:val="288"/>
        </w:trPr>
        <w:tc>
          <w:tcPr>
            <w:tcW w:w="2374" w:type="pct"/>
            <w:tcBorders>
              <w:top w:val="nil"/>
              <w:left w:val="nil"/>
              <w:bottom w:val="nil"/>
              <w:right w:val="nil"/>
            </w:tcBorders>
            <w:shd w:val="clear" w:color="auto" w:fill="auto"/>
            <w:noWrap/>
            <w:vAlign w:val="bottom"/>
            <w:hideMark/>
          </w:tcPr>
          <w:p w14:paraId="3E24D138" w14:textId="77777777" w:rsidR="00697E11" w:rsidRPr="00C0591E" w:rsidRDefault="00697E11" w:rsidP="00550A2E">
            <w:pPr>
              <w:spacing w:before="0" w:line="276" w:lineRule="auto"/>
              <w:rPr>
                <w:rFonts w:eastAsia="Times New Roman"/>
              </w:rPr>
            </w:pPr>
            <w:r w:rsidRPr="00C0591E">
              <w:rPr>
                <w:rFonts w:eastAsia="Times New Roman"/>
              </w:rPr>
              <w:t>Median</w:t>
            </w:r>
          </w:p>
        </w:tc>
        <w:tc>
          <w:tcPr>
            <w:tcW w:w="2626" w:type="pct"/>
            <w:tcBorders>
              <w:top w:val="nil"/>
              <w:left w:val="nil"/>
              <w:bottom w:val="nil"/>
              <w:right w:val="nil"/>
            </w:tcBorders>
            <w:shd w:val="clear" w:color="auto" w:fill="auto"/>
            <w:noWrap/>
            <w:vAlign w:val="bottom"/>
            <w:hideMark/>
          </w:tcPr>
          <w:p w14:paraId="257B184E" w14:textId="77777777" w:rsidR="00697E11" w:rsidRPr="00C0591E" w:rsidRDefault="00697E11" w:rsidP="00550A2E">
            <w:pPr>
              <w:spacing w:before="0" w:line="276" w:lineRule="auto"/>
              <w:jc w:val="center"/>
              <w:rPr>
                <w:rFonts w:eastAsia="Times New Roman"/>
              </w:rPr>
            </w:pPr>
            <w:r w:rsidRPr="00C0591E">
              <w:rPr>
                <w:rFonts w:eastAsia="Times New Roman"/>
              </w:rPr>
              <w:t>3.100</w:t>
            </w:r>
          </w:p>
        </w:tc>
      </w:tr>
      <w:tr w:rsidR="00697E11" w:rsidRPr="00C0591E" w14:paraId="1FF026D9" w14:textId="77777777" w:rsidTr="00697E11">
        <w:trPr>
          <w:trHeight w:val="288"/>
        </w:trPr>
        <w:tc>
          <w:tcPr>
            <w:tcW w:w="2374" w:type="pct"/>
            <w:tcBorders>
              <w:top w:val="nil"/>
              <w:left w:val="nil"/>
              <w:bottom w:val="nil"/>
              <w:right w:val="nil"/>
            </w:tcBorders>
            <w:shd w:val="clear" w:color="auto" w:fill="auto"/>
            <w:noWrap/>
            <w:vAlign w:val="bottom"/>
            <w:hideMark/>
          </w:tcPr>
          <w:p w14:paraId="49E3B78B" w14:textId="77777777" w:rsidR="00697E11" w:rsidRPr="00C0591E" w:rsidRDefault="00697E11" w:rsidP="00550A2E">
            <w:pPr>
              <w:spacing w:before="0" w:line="276" w:lineRule="auto"/>
              <w:rPr>
                <w:rFonts w:eastAsia="Times New Roman"/>
              </w:rPr>
            </w:pPr>
            <w:r w:rsidRPr="00C0591E">
              <w:rPr>
                <w:rFonts w:eastAsia="Times New Roman"/>
              </w:rPr>
              <w:t>Std. Deviation</w:t>
            </w:r>
          </w:p>
        </w:tc>
        <w:tc>
          <w:tcPr>
            <w:tcW w:w="2626" w:type="pct"/>
            <w:tcBorders>
              <w:top w:val="nil"/>
              <w:left w:val="nil"/>
              <w:bottom w:val="nil"/>
              <w:right w:val="nil"/>
            </w:tcBorders>
            <w:shd w:val="clear" w:color="auto" w:fill="auto"/>
            <w:noWrap/>
            <w:vAlign w:val="bottom"/>
            <w:hideMark/>
          </w:tcPr>
          <w:p w14:paraId="400521D8" w14:textId="77777777" w:rsidR="00697E11" w:rsidRPr="00C0591E" w:rsidRDefault="00697E11" w:rsidP="00550A2E">
            <w:pPr>
              <w:spacing w:before="0" w:line="276" w:lineRule="auto"/>
              <w:jc w:val="center"/>
              <w:rPr>
                <w:rFonts w:eastAsia="Times New Roman"/>
              </w:rPr>
            </w:pPr>
            <w:r w:rsidRPr="00C0591E">
              <w:rPr>
                <w:rFonts w:eastAsia="Times New Roman"/>
              </w:rPr>
              <w:t>1.291</w:t>
            </w:r>
          </w:p>
        </w:tc>
      </w:tr>
      <w:tr w:rsidR="00697E11" w:rsidRPr="00C0591E" w14:paraId="47188702" w14:textId="77777777" w:rsidTr="00697E11">
        <w:trPr>
          <w:trHeight w:val="288"/>
        </w:trPr>
        <w:tc>
          <w:tcPr>
            <w:tcW w:w="2374" w:type="pct"/>
            <w:tcBorders>
              <w:top w:val="nil"/>
              <w:left w:val="nil"/>
              <w:bottom w:val="nil"/>
              <w:right w:val="nil"/>
            </w:tcBorders>
            <w:shd w:val="clear" w:color="auto" w:fill="auto"/>
            <w:noWrap/>
            <w:vAlign w:val="bottom"/>
            <w:hideMark/>
          </w:tcPr>
          <w:p w14:paraId="5B0F2254" w14:textId="77777777" w:rsidR="00697E11" w:rsidRPr="00C0591E" w:rsidRDefault="00697E11" w:rsidP="00550A2E">
            <w:pPr>
              <w:spacing w:before="0" w:line="276" w:lineRule="auto"/>
              <w:rPr>
                <w:rFonts w:eastAsia="Times New Roman"/>
              </w:rPr>
            </w:pPr>
            <w:r w:rsidRPr="00C0591E">
              <w:rPr>
                <w:rFonts w:eastAsia="Times New Roman"/>
              </w:rPr>
              <w:t>Skewness</w:t>
            </w:r>
          </w:p>
        </w:tc>
        <w:tc>
          <w:tcPr>
            <w:tcW w:w="2626" w:type="pct"/>
            <w:tcBorders>
              <w:top w:val="nil"/>
              <w:left w:val="nil"/>
              <w:bottom w:val="nil"/>
              <w:right w:val="nil"/>
            </w:tcBorders>
            <w:shd w:val="clear" w:color="auto" w:fill="auto"/>
            <w:noWrap/>
            <w:vAlign w:val="bottom"/>
            <w:hideMark/>
          </w:tcPr>
          <w:p w14:paraId="6EA4E600" w14:textId="77777777" w:rsidR="00697E11" w:rsidRPr="00C0591E" w:rsidRDefault="00697E11" w:rsidP="00550A2E">
            <w:pPr>
              <w:spacing w:before="0" w:line="276" w:lineRule="auto"/>
              <w:jc w:val="center"/>
              <w:rPr>
                <w:rFonts w:eastAsia="Times New Roman"/>
              </w:rPr>
            </w:pPr>
            <w:r w:rsidRPr="00C0591E">
              <w:rPr>
                <w:rFonts w:eastAsia="Times New Roman"/>
              </w:rPr>
              <w:t>0.010</w:t>
            </w:r>
          </w:p>
        </w:tc>
      </w:tr>
      <w:tr w:rsidR="00697E11" w:rsidRPr="00C0591E" w14:paraId="3F44F90B" w14:textId="77777777" w:rsidTr="00697E11">
        <w:trPr>
          <w:trHeight w:val="288"/>
        </w:trPr>
        <w:tc>
          <w:tcPr>
            <w:tcW w:w="2374" w:type="pct"/>
            <w:tcBorders>
              <w:top w:val="nil"/>
              <w:left w:val="nil"/>
              <w:bottom w:val="single" w:sz="4" w:space="0" w:color="auto"/>
              <w:right w:val="nil"/>
            </w:tcBorders>
            <w:shd w:val="clear" w:color="auto" w:fill="auto"/>
            <w:noWrap/>
            <w:vAlign w:val="bottom"/>
            <w:hideMark/>
          </w:tcPr>
          <w:p w14:paraId="13003F0E" w14:textId="77777777" w:rsidR="00697E11" w:rsidRPr="00C0591E" w:rsidRDefault="00697E11" w:rsidP="00550A2E">
            <w:pPr>
              <w:spacing w:before="0" w:line="276" w:lineRule="auto"/>
              <w:rPr>
                <w:rFonts w:eastAsia="Times New Roman"/>
              </w:rPr>
            </w:pPr>
            <w:r w:rsidRPr="00C0591E">
              <w:rPr>
                <w:rFonts w:eastAsia="Times New Roman"/>
              </w:rPr>
              <w:t>Kurtosis</w:t>
            </w:r>
          </w:p>
        </w:tc>
        <w:tc>
          <w:tcPr>
            <w:tcW w:w="2626" w:type="pct"/>
            <w:tcBorders>
              <w:top w:val="nil"/>
              <w:left w:val="nil"/>
              <w:bottom w:val="single" w:sz="4" w:space="0" w:color="auto"/>
              <w:right w:val="nil"/>
            </w:tcBorders>
            <w:shd w:val="clear" w:color="auto" w:fill="auto"/>
            <w:noWrap/>
            <w:vAlign w:val="bottom"/>
            <w:hideMark/>
          </w:tcPr>
          <w:p w14:paraId="0B7FC213" w14:textId="77777777" w:rsidR="00697E11" w:rsidRPr="00C0591E" w:rsidRDefault="00697E11" w:rsidP="00550A2E">
            <w:pPr>
              <w:spacing w:before="0" w:line="276" w:lineRule="auto"/>
              <w:jc w:val="center"/>
              <w:rPr>
                <w:rFonts w:eastAsia="Times New Roman"/>
              </w:rPr>
            </w:pPr>
            <w:r w:rsidRPr="00C0591E">
              <w:rPr>
                <w:rFonts w:eastAsia="Times New Roman"/>
              </w:rPr>
              <w:t>-1.514</w:t>
            </w:r>
          </w:p>
        </w:tc>
      </w:tr>
    </w:tbl>
    <w:p w14:paraId="4EF64C79" w14:textId="1895D96E" w:rsidR="00212CF7" w:rsidRPr="00C0591E" w:rsidRDefault="00212CF7" w:rsidP="0027404A">
      <w:pPr>
        <w:rPr>
          <w:lang w:val="en-GB"/>
        </w:rPr>
      </w:pPr>
    </w:p>
    <w:p w14:paraId="26DB23B1" w14:textId="278F7623" w:rsidR="009C121B" w:rsidRPr="00C0591E" w:rsidRDefault="009C121B" w:rsidP="00366AA3">
      <w:r w:rsidRPr="00C0591E">
        <w:t xml:space="preserve">The results from the Table </w:t>
      </w:r>
      <w:r w:rsidR="00191F36" w:rsidRPr="00C0591E">
        <w:t>20</w:t>
      </w:r>
      <w:r w:rsidRPr="00C0591E">
        <w:t xml:space="preserve"> shows the descriptive statistics for government regulations. The total number of respondents in each measured was </w:t>
      </w:r>
      <w:r w:rsidR="00EC1DFC" w:rsidRPr="00C0591E">
        <w:t>296</w:t>
      </w:r>
      <w:r w:rsidRPr="00C0591E">
        <w:t xml:space="preserve">. Distribution of data was measured using skewness and kurtosis whereas central tenancy was measured using mean, median and mode. The standard deviation was used to measure dispersion. The results show that </w:t>
      </w:r>
      <w:r w:rsidRPr="00C0591E">
        <w:rPr>
          <w:rFonts w:cstheme="majorBidi"/>
        </w:rPr>
        <w:t xml:space="preserve">government regulations </w:t>
      </w:r>
      <w:r w:rsidRPr="00C0591E">
        <w:t xml:space="preserve">had a mean of </w:t>
      </w:r>
      <w:r w:rsidR="00EC1DFC" w:rsidRPr="00C0591E">
        <w:t xml:space="preserve">3.865 </w:t>
      </w:r>
      <w:r w:rsidRPr="00C0591E">
        <w:t xml:space="preserve">and median of 3.1. The standard deviation of </w:t>
      </w:r>
      <w:r w:rsidR="00EC1DFC" w:rsidRPr="00C0591E">
        <w:t>1.291</w:t>
      </w:r>
      <w:r w:rsidRPr="00C0591E">
        <w:t xml:space="preserve"> showed that the members of the group differed from the mean value of </w:t>
      </w:r>
      <w:r w:rsidR="00EC1DFC" w:rsidRPr="00C0591E">
        <w:t>3.865</w:t>
      </w:r>
      <w:r w:rsidRPr="00C0591E">
        <w:t xml:space="preserve"> for the group in the observation. The standard deviation of </w:t>
      </w:r>
      <w:r w:rsidR="00EC1DFC" w:rsidRPr="00C0591E">
        <w:t>1.291</w:t>
      </w:r>
      <w:r w:rsidRPr="00C0591E">
        <w:t xml:space="preserve"> further implies that the data points tend to be very close to the mean of the data and a high standard deviation implies that the data points are spread over a wide range of the values.</w:t>
      </w:r>
    </w:p>
    <w:p w14:paraId="3FF509E1" w14:textId="0C4E86C4" w:rsidR="009C121B" w:rsidRPr="00C0591E" w:rsidRDefault="009C121B" w:rsidP="00EC1DFC">
      <w:r w:rsidRPr="00C0591E">
        <w:t xml:space="preserve">Skewness for </w:t>
      </w:r>
      <w:r w:rsidRPr="00C0591E">
        <w:rPr>
          <w:rFonts w:cstheme="majorBidi"/>
        </w:rPr>
        <w:t xml:space="preserve">government regulations </w:t>
      </w:r>
      <w:r w:rsidRPr="00C0591E">
        <w:t>was 0.</w:t>
      </w:r>
      <w:r w:rsidR="00EC1DFC" w:rsidRPr="00C0591E">
        <w:t>01</w:t>
      </w:r>
      <w:r w:rsidRPr="00C0591E">
        <w:t xml:space="preserve">. Since the values were between -0.5 and 0.5, we thus conclude that the distribution is approximately symmetric. Kurtosis results showed that </w:t>
      </w:r>
      <w:r w:rsidRPr="00C0591E">
        <w:rPr>
          <w:rFonts w:cstheme="majorBidi"/>
        </w:rPr>
        <w:t xml:space="preserve">government regulations </w:t>
      </w:r>
      <w:r w:rsidRPr="00C0591E">
        <w:t xml:space="preserve">had </w:t>
      </w:r>
      <w:r w:rsidR="00EC1DFC" w:rsidRPr="00C0591E">
        <w:t>-1.514</w:t>
      </w:r>
      <w:r w:rsidRPr="00C0591E">
        <w:t xml:space="preserve">. Thus, we can conclude that the values were platykurtic since they are less than 3 and thus had a broad tail distribution and no outliers. </w:t>
      </w:r>
      <w:r w:rsidR="00EC1DFC" w:rsidRPr="00C0591E">
        <w:rPr>
          <w:rFonts w:cstheme="majorBidi"/>
        </w:rPr>
        <w:t>Government</w:t>
      </w:r>
      <w:r w:rsidRPr="00C0591E">
        <w:rPr>
          <w:rFonts w:cstheme="majorBidi"/>
        </w:rPr>
        <w:t xml:space="preserve"> regulations </w:t>
      </w:r>
      <w:r w:rsidRPr="00C0591E">
        <w:t xml:space="preserve">was evenly distributed and the measure between the high and low score was small and exhibits normality in </w:t>
      </w:r>
      <w:r w:rsidRPr="00C0591E">
        <w:rPr>
          <w:rFonts w:cstheme="majorBidi"/>
        </w:rPr>
        <w:t>government regulations.</w:t>
      </w:r>
    </w:p>
    <w:p w14:paraId="096A970D" w14:textId="77777777" w:rsidR="00EC1DFC" w:rsidRPr="00C0591E" w:rsidRDefault="00EC1DFC" w:rsidP="00EC1DFC">
      <w:pPr>
        <w:pStyle w:val="Heading3"/>
      </w:pPr>
      <w:bookmarkStart w:id="244" w:name="_Toc20424353"/>
      <w:bookmarkStart w:id="245" w:name="_Toc22319981"/>
      <w:r w:rsidRPr="00C0591E">
        <w:t xml:space="preserve">4.5.4 Descriptive Statistics for </w:t>
      </w:r>
      <w:bookmarkEnd w:id="244"/>
      <w:r w:rsidRPr="00C0591E">
        <w:t>Performance</w:t>
      </w:r>
      <w:bookmarkEnd w:id="245"/>
    </w:p>
    <w:p w14:paraId="3E4FF2DF" w14:textId="470F8A64" w:rsidR="00EC1DFC" w:rsidRPr="00C0591E" w:rsidRDefault="00EC1DFC" w:rsidP="00EC1DFC">
      <w:r w:rsidRPr="00C0591E">
        <w:t xml:space="preserve">Descriptive statistics were carried out on performance of pension fund managers in Kenya and the results are shown in Table </w:t>
      </w:r>
      <w:r w:rsidR="00191F36" w:rsidRPr="00C0591E">
        <w:t>21</w:t>
      </w:r>
      <w:r w:rsidRPr="00C0591E">
        <w:t>.</w:t>
      </w:r>
    </w:p>
    <w:p w14:paraId="1C25311A" w14:textId="74779C4E" w:rsidR="00EC1DFC" w:rsidRPr="00C0591E" w:rsidRDefault="00EC1DFC" w:rsidP="00EC1DFC">
      <w:pPr>
        <w:pStyle w:val="Heading4"/>
      </w:pPr>
      <w:bookmarkStart w:id="246" w:name="_Toc46234224"/>
      <w:bookmarkStart w:id="247" w:name="_Toc113125156"/>
      <w:r w:rsidRPr="00C0591E">
        <w:t xml:space="preserve">Table </w:t>
      </w:r>
      <w:r w:rsidR="00191F36" w:rsidRPr="00C0591E">
        <w:t>21</w:t>
      </w:r>
      <w:r w:rsidRPr="00C0591E">
        <w:t xml:space="preserve">: Descriptive Statistics for Performance </w:t>
      </w:r>
      <w:bookmarkEnd w:id="246"/>
      <w:r w:rsidR="0081009E" w:rsidRPr="00C0591E">
        <w:t xml:space="preserve">of </w:t>
      </w:r>
      <w:r w:rsidRPr="00C0591E">
        <w:t>Pension Fund Managers</w:t>
      </w:r>
      <w:bookmarkEnd w:id="247"/>
    </w:p>
    <w:tbl>
      <w:tblPr>
        <w:tblW w:w="5000" w:type="pct"/>
        <w:tblLook w:val="04A0" w:firstRow="1" w:lastRow="0" w:firstColumn="1" w:lastColumn="0" w:noHBand="0" w:noVBand="1"/>
      </w:tblPr>
      <w:tblGrid>
        <w:gridCol w:w="5329"/>
        <w:gridCol w:w="3697"/>
      </w:tblGrid>
      <w:tr w:rsidR="00697E11" w:rsidRPr="00C0591E" w14:paraId="0E666C43" w14:textId="77777777" w:rsidTr="00697E11">
        <w:trPr>
          <w:trHeight w:val="288"/>
        </w:trPr>
        <w:tc>
          <w:tcPr>
            <w:tcW w:w="2952" w:type="pct"/>
            <w:tcBorders>
              <w:top w:val="single" w:sz="4" w:space="0" w:color="auto"/>
              <w:left w:val="nil"/>
              <w:bottom w:val="single" w:sz="4" w:space="0" w:color="auto"/>
              <w:right w:val="nil"/>
            </w:tcBorders>
            <w:shd w:val="clear" w:color="auto" w:fill="auto"/>
            <w:noWrap/>
            <w:vAlign w:val="bottom"/>
            <w:hideMark/>
          </w:tcPr>
          <w:p w14:paraId="33F12245" w14:textId="77777777" w:rsidR="00697E11" w:rsidRPr="00C0591E" w:rsidRDefault="00697E11" w:rsidP="00EC1DFC">
            <w:pPr>
              <w:spacing w:before="0" w:line="276" w:lineRule="auto"/>
              <w:rPr>
                <w:rFonts w:eastAsia="Times New Roman"/>
                <w:b/>
              </w:rPr>
            </w:pPr>
            <w:r w:rsidRPr="00C0591E">
              <w:rPr>
                <w:rFonts w:eastAsia="Times New Roman"/>
                <w:b/>
              </w:rPr>
              <w:t> </w:t>
            </w:r>
          </w:p>
        </w:tc>
        <w:tc>
          <w:tcPr>
            <w:tcW w:w="2048" w:type="pct"/>
            <w:tcBorders>
              <w:top w:val="single" w:sz="4" w:space="0" w:color="auto"/>
              <w:left w:val="nil"/>
              <w:bottom w:val="single" w:sz="4" w:space="0" w:color="auto"/>
              <w:right w:val="nil"/>
            </w:tcBorders>
            <w:shd w:val="clear" w:color="auto" w:fill="auto"/>
            <w:noWrap/>
            <w:vAlign w:val="bottom"/>
            <w:hideMark/>
          </w:tcPr>
          <w:p w14:paraId="44BC7F24" w14:textId="77777777" w:rsidR="00697E11" w:rsidRPr="00C0591E" w:rsidRDefault="00697E11" w:rsidP="00EC1DFC">
            <w:pPr>
              <w:spacing w:before="0" w:line="276" w:lineRule="auto"/>
              <w:jc w:val="center"/>
              <w:rPr>
                <w:rFonts w:eastAsia="Times New Roman"/>
                <w:b/>
              </w:rPr>
            </w:pPr>
            <w:r w:rsidRPr="00C0591E">
              <w:rPr>
                <w:rFonts w:eastAsia="Times New Roman"/>
                <w:b/>
              </w:rPr>
              <w:t>Performance</w:t>
            </w:r>
          </w:p>
        </w:tc>
      </w:tr>
      <w:tr w:rsidR="00697E11" w:rsidRPr="00C0591E" w14:paraId="1A80F92D" w14:textId="77777777" w:rsidTr="00697E11">
        <w:trPr>
          <w:trHeight w:val="288"/>
        </w:trPr>
        <w:tc>
          <w:tcPr>
            <w:tcW w:w="2952" w:type="pct"/>
            <w:tcBorders>
              <w:top w:val="nil"/>
              <w:left w:val="nil"/>
              <w:bottom w:val="nil"/>
              <w:right w:val="nil"/>
            </w:tcBorders>
            <w:shd w:val="clear" w:color="auto" w:fill="auto"/>
            <w:noWrap/>
            <w:vAlign w:val="bottom"/>
            <w:hideMark/>
          </w:tcPr>
          <w:p w14:paraId="0A53F433" w14:textId="77777777" w:rsidR="00697E11" w:rsidRPr="00C0591E" w:rsidRDefault="00697E11" w:rsidP="00EC1DFC">
            <w:pPr>
              <w:spacing w:before="0" w:line="276" w:lineRule="auto"/>
              <w:rPr>
                <w:rFonts w:eastAsia="Times New Roman"/>
              </w:rPr>
            </w:pPr>
            <w:r w:rsidRPr="00C0591E">
              <w:rPr>
                <w:rFonts w:eastAsia="Times New Roman"/>
              </w:rPr>
              <w:t>N</w:t>
            </w:r>
          </w:p>
        </w:tc>
        <w:tc>
          <w:tcPr>
            <w:tcW w:w="2048" w:type="pct"/>
            <w:tcBorders>
              <w:top w:val="nil"/>
              <w:left w:val="nil"/>
              <w:bottom w:val="nil"/>
              <w:right w:val="nil"/>
            </w:tcBorders>
            <w:shd w:val="clear" w:color="auto" w:fill="auto"/>
            <w:noWrap/>
            <w:vAlign w:val="bottom"/>
            <w:hideMark/>
          </w:tcPr>
          <w:p w14:paraId="51CC024C" w14:textId="77777777" w:rsidR="00697E11" w:rsidRPr="00C0591E" w:rsidRDefault="00697E11" w:rsidP="00EC1DFC">
            <w:pPr>
              <w:spacing w:before="0" w:line="276" w:lineRule="auto"/>
              <w:jc w:val="center"/>
              <w:rPr>
                <w:rFonts w:eastAsia="Times New Roman"/>
              </w:rPr>
            </w:pPr>
            <w:r w:rsidRPr="00C0591E">
              <w:rPr>
                <w:rFonts w:eastAsia="Times New Roman"/>
              </w:rPr>
              <w:t>296</w:t>
            </w:r>
          </w:p>
        </w:tc>
      </w:tr>
      <w:tr w:rsidR="00697E11" w:rsidRPr="00C0591E" w14:paraId="3FA81D83" w14:textId="77777777" w:rsidTr="00697E11">
        <w:trPr>
          <w:trHeight w:val="288"/>
        </w:trPr>
        <w:tc>
          <w:tcPr>
            <w:tcW w:w="2952" w:type="pct"/>
            <w:tcBorders>
              <w:top w:val="nil"/>
              <w:left w:val="nil"/>
              <w:bottom w:val="nil"/>
              <w:right w:val="nil"/>
            </w:tcBorders>
            <w:shd w:val="clear" w:color="auto" w:fill="auto"/>
            <w:noWrap/>
            <w:vAlign w:val="bottom"/>
            <w:hideMark/>
          </w:tcPr>
          <w:p w14:paraId="60E3E579" w14:textId="77777777" w:rsidR="00697E11" w:rsidRPr="00C0591E" w:rsidRDefault="00697E11" w:rsidP="00EC1DFC">
            <w:pPr>
              <w:spacing w:before="0" w:line="276" w:lineRule="auto"/>
              <w:rPr>
                <w:rFonts w:eastAsia="Times New Roman"/>
              </w:rPr>
            </w:pPr>
            <w:r w:rsidRPr="00C0591E">
              <w:rPr>
                <w:rFonts w:eastAsia="Times New Roman"/>
              </w:rPr>
              <w:t>Mean</w:t>
            </w:r>
          </w:p>
        </w:tc>
        <w:tc>
          <w:tcPr>
            <w:tcW w:w="2048" w:type="pct"/>
            <w:tcBorders>
              <w:top w:val="nil"/>
              <w:left w:val="nil"/>
              <w:bottom w:val="nil"/>
              <w:right w:val="nil"/>
            </w:tcBorders>
            <w:shd w:val="clear" w:color="auto" w:fill="auto"/>
            <w:noWrap/>
            <w:vAlign w:val="bottom"/>
            <w:hideMark/>
          </w:tcPr>
          <w:p w14:paraId="21E740A7" w14:textId="77777777" w:rsidR="00697E11" w:rsidRPr="00C0591E" w:rsidRDefault="00697E11" w:rsidP="00EC1DFC">
            <w:pPr>
              <w:spacing w:before="0" w:line="276" w:lineRule="auto"/>
              <w:jc w:val="center"/>
              <w:rPr>
                <w:rFonts w:eastAsia="Times New Roman"/>
              </w:rPr>
            </w:pPr>
            <w:r w:rsidRPr="00C0591E">
              <w:rPr>
                <w:rFonts w:eastAsia="Times New Roman"/>
              </w:rPr>
              <w:t>3.460</w:t>
            </w:r>
          </w:p>
        </w:tc>
      </w:tr>
      <w:tr w:rsidR="00697E11" w:rsidRPr="00C0591E" w14:paraId="4D14E607" w14:textId="77777777" w:rsidTr="00697E11">
        <w:trPr>
          <w:trHeight w:val="288"/>
        </w:trPr>
        <w:tc>
          <w:tcPr>
            <w:tcW w:w="2952" w:type="pct"/>
            <w:tcBorders>
              <w:top w:val="nil"/>
              <w:left w:val="nil"/>
              <w:bottom w:val="nil"/>
              <w:right w:val="nil"/>
            </w:tcBorders>
            <w:shd w:val="clear" w:color="auto" w:fill="auto"/>
            <w:noWrap/>
            <w:vAlign w:val="bottom"/>
            <w:hideMark/>
          </w:tcPr>
          <w:p w14:paraId="2F80F213" w14:textId="77777777" w:rsidR="00697E11" w:rsidRPr="00C0591E" w:rsidRDefault="00697E11" w:rsidP="00EC1DFC">
            <w:pPr>
              <w:spacing w:before="0" w:line="276" w:lineRule="auto"/>
              <w:rPr>
                <w:rFonts w:eastAsia="Times New Roman"/>
              </w:rPr>
            </w:pPr>
            <w:r w:rsidRPr="00C0591E">
              <w:rPr>
                <w:rFonts w:eastAsia="Times New Roman"/>
              </w:rPr>
              <w:t>Median</w:t>
            </w:r>
          </w:p>
        </w:tc>
        <w:tc>
          <w:tcPr>
            <w:tcW w:w="2048" w:type="pct"/>
            <w:tcBorders>
              <w:top w:val="nil"/>
              <w:left w:val="nil"/>
              <w:bottom w:val="nil"/>
              <w:right w:val="nil"/>
            </w:tcBorders>
            <w:shd w:val="clear" w:color="auto" w:fill="auto"/>
            <w:noWrap/>
            <w:vAlign w:val="bottom"/>
            <w:hideMark/>
          </w:tcPr>
          <w:p w14:paraId="00D38152" w14:textId="77777777" w:rsidR="00697E11" w:rsidRPr="00C0591E" w:rsidRDefault="00697E11" w:rsidP="00EC1DFC">
            <w:pPr>
              <w:spacing w:before="0" w:line="276" w:lineRule="auto"/>
              <w:jc w:val="center"/>
              <w:rPr>
                <w:rFonts w:eastAsia="Times New Roman"/>
              </w:rPr>
            </w:pPr>
            <w:r w:rsidRPr="00C0591E">
              <w:rPr>
                <w:rFonts w:eastAsia="Times New Roman"/>
              </w:rPr>
              <w:t>3.500</w:t>
            </w:r>
          </w:p>
        </w:tc>
      </w:tr>
      <w:tr w:rsidR="00697E11" w:rsidRPr="00C0591E" w14:paraId="3FAB9AFA" w14:textId="77777777" w:rsidTr="00697E11">
        <w:trPr>
          <w:trHeight w:val="288"/>
        </w:trPr>
        <w:tc>
          <w:tcPr>
            <w:tcW w:w="2952" w:type="pct"/>
            <w:tcBorders>
              <w:top w:val="nil"/>
              <w:left w:val="nil"/>
              <w:bottom w:val="nil"/>
              <w:right w:val="nil"/>
            </w:tcBorders>
            <w:shd w:val="clear" w:color="auto" w:fill="auto"/>
            <w:noWrap/>
            <w:vAlign w:val="bottom"/>
            <w:hideMark/>
          </w:tcPr>
          <w:p w14:paraId="35C98013" w14:textId="77777777" w:rsidR="00697E11" w:rsidRPr="00C0591E" w:rsidRDefault="00697E11" w:rsidP="00EC1DFC">
            <w:pPr>
              <w:spacing w:before="0" w:line="276" w:lineRule="auto"/>
              <w:rPr>
                <w:rFonts w:eastAsia="Times New Roman"/>
              </w:rPr>
            </w:pPr>
            <w:r w:rsidRPr="00C0591E">
              <w:rPr>
                <w:rFonts w:eastAsia="Times New Roman"/>
              </w:rPr>
              <w:t>Std. Deviation</w:t>
            </w:r>
          </w:p>
        </w:tc>
        <w:tc>
          <w:tcPr>
            <w:tcW w:w="2048" w:type="pct"/>
            <w:tcBorders>
              <w:top w:val="nil"/>
              <w:left w:val="nil"/>
              <w:bottom w:val="nil"/>
              <w:right w:val="nil"/>
            </w:tcBorders>
            <w:shd w:val="clear" w:color="auto" w:fill="auto"/>
            <w:noWrap/>
            <w:vAlign w:val="bottom"/>
            <w:hideMark/>
          </w:tcPr>
          <w:p w14:paraId="0E431C91" w14:textId="77777777" w:rsidR="00697E11" w:rsidRPr="00C0591E" w:rsidRDefault="00697E11" w:rsidP="00EC1DFC">
            <w:pPr>
              <w:spacing w:before="0" w:line="276" w:lineRule="auto"/>
              <w:jc w:val="center"/>
              <w:rPr>
                <w:rFonts w:eastAsia="Times New Roman"/>
              </w:rPr>
            </w:pPr>
            <w:r w:rsidRPr="00C0591E">
              <w:rPr>
                <w:rFonts w:eastAsia="Times New Roman"/>
              </w:rPr>
              <w:t>0.398</w:t>
            </w:r>
          </w:p>
        </w:tc>
      </w:tr>
      <w:tr w:rsidR="00697E11" w:rsidRPr="00C0591E" w14:paraId="2B622898" w14:textId="77777777" w:rsidTr="00697E11">
        <w:trPr>
          <w:trHeight w:val="288"/>
        </w:trPr>
        <w:tc>
          <w:tcPr>
            <w:tcW w:w="2952" w:type="pct"/>
            <w:tcBorders>
              <w:top w:val="nil"/>
              <w:left w:val="nil"/>
              <w:bottom w:val="nil"/>
              <w:right w:val="nil"/>
            </w:tcBorders>
            <w:shd w:val="clear" w:color="auto" w:fill="auto"/>
            <w:noWrap/>
            <w:vAlign w:val="bottom"/>
            <w:hideMark/>
          </w:tcPr>
          <w:p w14:paraId="35653A6B" w14:textId="77777777" w:rsidR="00697E11" w:rsidRPr="00C0591E" w:rsidRDefault="00697E11" w:rsidP="00EC1DFC">
            <w:pPr>
              <w:spacing w:before="0" w:line="276" w:lineRule="auto"/>
              <w:rPr>
                <w:rFonts w:eastAsia="Times New Roman"/>
              </w:rPr>
            </w:pPr>
            <w:r w:rsidRPr="00C0591E">
              <w:rPr>
                <w:rFonts w:eastAsia="Times New Roman"/>
              </w:rPr>
              <w:t>Skewness</w:t>
            </w:r>
          </w:p>
        </w:tc>
        <w:tc>
          <w:tcPr>
            <w:tcW w:w="2048" w:type="pct"/>
            <w:tcBorders>
              <w:top w:val="nil"/>
              <w:left w:val="nil"/>
              <w:bottom w:val="nil"/>
              <w:right w:val="nil"/>
            </w:tcBorders>
            <w:shd w:val="clear" w:color="auto" w:fill="auto"/>
            <w:noWrap/>
            <w:vAlign w:val="bottom"/>
            <w:hideMark/>
          </w:tcPr>
          <w:p w14:paraId="077EED4C" w14:textId="77777777" w:rsidR="00697E11" w:rsidRPr="00C0591E" w:rsidRDefault="00697E11" w:rsidP="00EC1DFC">
            <w:pPr>
              <w:spacing w:before="0" w:line="276" w:lineRule="auto"/>
              <w:jc w:val="center"/>
              <w:rPr>
                <w:rFonts w:eastAsia="Times New Roman"/>
              </w:rPr>
            </w:pPr>
            <w:r w:rsidRPr="00C0591E">
              <w:rPr>
                <w:rFonts w:eastAsia="Times New Roman"/>
              </w:rPr>
              <w:t>0.187</w:t>
            </w:r>
          </w:p>
        </w:tc>
      </w:tr>
      <w:tr w:rsidR="00697E11" w:rsidRPr="00C0591E" w14:paraId="44FC07D4" w14:textId="77777777" w:rsidTr="00697E11">
        <w:trPr>
          <w:trHeight w:val="288"/>
        </w:trPr>
        <w:tc>
          <w:tcPr>
            <w:tcW w:w="2952" w:type="pct"/>
            <w:tcBorders>
              <w:top w:val="nil"/>
              <w:left w:val="nil"/>
              <w:bottom w:val="single" w:sz="4" w:space="0" w:color="auto"/>
              <w:right w:val="nil"/>
            </w:tcBorders>
            <w:shd w:val="clear" w:color="auto" w:fill="auto"/>
            <w:noWrap/>
            <w:vAlign w:val="bottom"/>
            <w:hideMark/>
          </w:tcPr>
          <w:p w14:paraId="6FBC1A98" w14:textId="77777777" w:rsidR="00697E11" w:rsidRPr="00C0591E" w:rsidRDefault="00697E11" w:rsidP="00EC1DFC">
            <w:pPr>
              <w:spacing w:before="0" w:line="276" w:lineRule="auto"/>
              <w:rPr>
                <w:rFonts w:eastAsia="Times New Roman"/>
              </w:rPr>
            </w:pPr>
            <w:r w:rsidRPr="00C0591E">
              <w:rPr>
                <w:rFonts w:eastAsia="Times New Roman"/>
              </w:rPr>
              <w:t>Kurtosis</w:t>
            </w:r>
          </w:p>
        </w:tc>
        <w:tc>
          <w:tcPr>
            <w:tcW w:w="2048" w:type="pct"/>
            <w:tcBorders>
              <w:top w:val="nil"/>
              <w:left w:val="nil"/>
              <w:bottom w:val="single" w:sz="4" w:space="0" w:color="auto"/>
              <w:right w:val="nil"/>
            </w:tcBorders>
            <w:shd w:val="clear" w:color="auto" w:fill="auto"/>
            <w:noWrap/>
            <w:vAlign w:val="bottom"/>
            <w:hideMark/>
          </w:tcPr>
          <w:p w14:paraId="1E552F15" w14:textId="77777777" w:rsidR="00697E11" w:rsidRPr="00C0591E" w:rsidRDefault="00697E11" w:rsidP="00EC1DFC">
            <w:pPr>
              <w:spacing w:before="0" w:line="276" w:lineRule="auto"/>
              <w:jc w:val="center"/>
              <w:rPr>
                <w:rFonts w:eastAsia="Times New Roman"/>
              </w:rPr>
            </w:pPr>
            <w:r w:rsidRPr="00C0591E">
              <w:rPr>
                <w:rFonts w:eastAsia="Times New Roman"/>
              </w:rPr>
              <w:t>-0.219</w:t>
            </w:r>
          </w:p>
        </w:tc>
      </w:tr>
    </w:tbl>
    <w:p w14:paraId="68E0E21B" w14:textId="7DF9473D" w:rsidR="00AA0ED4" w:rsidRPr="00C0591E" w:rsidRDefault="00AA0ED4" w:rsidP="00AA0ED4">
      <w:r w:rsidRPr="00C0591E">
        <w:t xml:space="preserve">The results from the Table </w:t>
      </w:r>
      <w:r w:rsidR="00191F36" w:rsidRPr="00C0591E">
        <w:t xml:space="preserve">21 </w:t>
      </w:r>
      <w:r w:rsidRPr="00C0591E">
        <w:t xml:space="preserve">shows the descriptive statistics for </w:t>
      </w:r>
      <w:r w:rsidR="00A50A1A" w:rsidRPr="00C0591E">
        <w:t>pension fund managers in</w:t>
      </w:r>
      <w:r w:rsidRPr="00C0591E">
        <w:t>. The total number of respondents in each measured was 296. Distribution of data was measured using skewness and kurtosis whereas central tenancy was measured using mean, median and mode. The standard deviation was used to measure dispersion. The results show that performance of pension fund managers had a mean of 3.46 and median of 3.5. The standard deviation of 0.398 showed that the members of the group differed from the mean value of 3.46 for the group in the observation. The standard deviation of 0.398 further implies that the data points tend to be very close to the mean of the data and a high standard deviation implies that the data points are spread over a wide range of the values.</w:t>
      </w:r>
    </w:p>
    <w:p w14:paraId="164F233E" w14:textId="0B97B322" w:rsidR="00AA0ED4" w:rsidRPr="00C0591E" w:rsidRDefault="00AA0ED4" w:rsidP="00AA0ED4">
      <w:r w:rsidRPr="00C0591E">
        <w:t xml:space="preserve">Skewness for performance in </w:t>
      </w:r>
      <w:r w:rsidR="00A50A1A" w:rsidRPr="00C0591E">
        <w:t xml:space="preserve">pension fund managers </w:t>
      </w:r>
      <w:r w:rsidRPr="00C0591E">
        <w:t>was 0.187. Since the values were between -0.5 and 0.5, we thus conclude that the distribution is approximately symmetric. Kurtosis results showed that performance of pension fund managers had -0.219. Thus, we can conclude that the values were platykurtic since they are less than 3 and thus had a broad tail distribution and no outliers. Performance of pension fund managers was evenly distributed and the measure between the high and low score was small and exhibits normality in performance of pension fund managers.</w:t>
      </w:r>
    </w:p>
    <w:p w14:paraId="161E1DE1" w14:textId="77777777" w:rsidR="002A226D" w:rsidRPr="00C0591E" w:rsidRDefault="002A226D" w:rsidP="002A226D">
      <w:pPr>
        <w:pStyle w:val="Heading2"/>
      </w:pPr>
      <w:bookmarkStart w:id="248" w:name="_Toc10827071"/>
      <w:bookmarkStart w:id="249" w:name="_Toc20424354"/>
      <w:bookmarkStart w:id="250" w:name="_Toc39669972"/>
      <w:bookmarkStart w:id="251" w:name="_Toc46240566"/>
      <w:bookmarkStart w:id="252" w:name="_Toc113125110"/>
      <w:r w:rsidRPr="00C0591E">
        <w:t>4.6 Correlation Analysis</w:t>
      </w:r>
      <w:bookmarkEnd w:id="248"/>
      <w:bookmarkEnd w:id="249"/>
      <w:bookmarkEnd w:id="250"/>
      <w:bookmarkEnd w:id="251"/>
      <w:bookmarkEnd w:id="252"/>
    </w:p>
    <w:p w14:paraId="1C6CF617" w14:textId="5839CFE4" w:rsidR="002A226D" w:rsidRPr="00C0591E" w:rsidRDefault="002A226D" w:rsidP="005A2955">
      <w:r w:rsidRPr="00C0591E">
        <w:t xml:space="preserve">Correlation analysis was carried out to determine the association between the variables; </w:t>
      </w:r>
      <w:r w:rsidR="00173C67">
        <w:t>pillars of corporate governance</w:t>
      </w:r>
      <w:r w:rsidRPr="00C0591E">
        <w:t xml:space="preserve">, </w:t>
      </w:r>
      <w:r w:rsidR="005A2955" w:rsidRPr="00C0591E">
        <w:t>investment pol</w:t>
      </w:r>
      <w:r w:rsidRPr="00C0591E">
        <w:t>icies, Government regulations and performance</w:t>
      </w:r>
      <w:r w:rsidRPr="00C0591E">
        <w:rPr>
          <w:lang w:eastAsia="ar-SA"/>
        </w:rPr>
        <w:t xml:space="preserve">. </w:t>
      </w:r>
      <w:r w:rsidRPr="00C0591E">
        <w:t xml:space="preserve">The mean score for each of the independent variables was calculated and the Pearson’s correlation obtained using SPSS. The correlations were done at 0.05 significance level with one asterisk (*) or a 0.01 significance level with two asterisks. To determine whether the correlation between variables is significant, one needs to compare the p-value to the significance level used. A significance level (denoted as α or alpha) of 0.05 works well. An alpha of 0.05 indicates that the risk of concluding that a correlation exists when, actually, no correlation exists is 5%. The p-value indicate whether the correlation coefficient is significantly different from 0 or not. When the p-value is less than or equal to 0.05 the correlation is statistically significant. However, if the p-value is greater than 0.05 or the significant level then correlation is not statistically significant (Statistics Solution, 2018). The correlation results are presented in Table </w:t>
      </w:r>
      <w:r w:rsidR="00191F36" w:rsidRPr="00C0591E">
        <w:t>22</w:t>
      </w:r>
      <w:r w:rsidRPr="00C0591E">
        <w:t>.</w:t>
      </w:r>
    </w:p>
    <w:p w14:paraId="1B29906C" w14:textId="215690B5" w:rsidR="002A226D" w:rsidRPr="00C0591E" w:rsidRDefault="002A226D" w:rsidP="002A226D">
      <w:pPr>
        <w:pStyle w:val="Heading4"/>
      </w:pPr>
      <w:bookmarkStart w:id="253" w:name="_Toc7534701"/>
      <w:bookmarkStart w:id="254" w:name="_Toc13905807"/>
      <w:bookmarkStart w:id="255" w:name="_Toc39670029"/>
      <w:bookmarkStart w:id="256" w:name="_Toc46234225"/>
      <w:bookmarkStart w:id="257" w:name="_Toc113125157"/>
      <w:r w:rsidRPr="00C0591E">
        <w:t xml:space="preserve">Table </w:t>
      </w:r>
      <w:r w:rsidR="00191F36" w:rsidRPr="00C0591E">
        <w:t>22</w:t>
      </w:r>
      <w:r w:rsidRPr="00C0591E">
        <w:t>: Correlation Matrix</w:t>
      </w:r>
      <w:bookmarkEnd w:id="253"/>
      <w:bookmarkEnd w:id="254"/>
      <w:bookmarkEnd w:id="255"/>
      <w:bookmarkEnd w:id="256"/>
      <w:bookmarkEnd w:id="257"/>
    </w:p>
    <w:tbl>
      <w:tblPr>
        <w:tblW w:w="5000" w:type="pct"/>
        <w:tblLayout w:type="fixed"/>
        <w:tblLook w:val="04A0" w:firstRow="1" w:lastRow="0" w:firstColumn="1" w:lastColumn="0" w:noHBand="0" w:noVBand="1"/>
      </w:tblPr>
      <w:tblGrid>
        <w:gridCol w:w="1660"/>
        <w:gridCol w:w="1580"/>
        <w:gridCol w:w="1080"/>
        <w:gridCol w:w="1493"/>
        <w:gridCol w:w="1451"/>
        <w:gridCol w:w="1762"/>
      </w:tblGrid>
      <w:tr w:rsidR="005C174E" w:rsidRPr="00C0591E" w14:paraId="29BE6078" w14:textId="77777777" w:rsidTr="005A2955">
        <w:trPr>
          <w:trHeight w:val="288"/>
        </w:trPr>
        <w:tc>
          <w:tcPr>
            <w:tcW w:w="920" w:type="pct"/>
            <w:tcBorders>
              <w:top w:val="single" w:sz="4" w:space="0" w:color="auto"/>
              <w:left w:val="nil"/>
              <w:bottom w:val="single" w:sz="4" w:space="0" w:color="auto"/>
              <w:right w:val="nil"/>
            </w:tcBorders>
            <w:shd w:val="clear" w:color="auto" w:fill="auto"/>
            <w:noWrap/>
            <w:vAlign w:val="bottom"/>
            <w:hideMark/>
          </w:tcPr>
          <w:p w14:paraId="079E70D8" w14:textId="77777777" w:rsidR="005C174E" w:rsidRPr="00C0591E" w:rsidRDefault="005C174E" w:rsidP="005C174E">
            <w:pPr>
              <w:spacing w:after="0" w:line="240" w:lineRule="auto"/>
              <w:rPr>
                <w:rFonts w:eastAsia="Times New Roman"/>
                <w:b/>
              </w:rPr>
            </w:pPr>
            <w:r w:rsidRPr="00C0591E">
              <w:rPr>
                <w:rFonts w:eastAsia="Times New Roman"/>
                <w:b/>
              </w:rPr>
              <w:t>Variables</w:t>
            </w:r>
          </w:p>
        </w:tc>
        <w:tc>
          <w:tcPr>
            <w:tcW w:w="875" w:type="pct"/>
            <w:tcBorders>
              <w:top w:val="single" w:sz="4" w:space="0" w:color="auto"/>
              <w:left w:val="nil"/>
              <w:bottom w:val="single" w:sz="4" w:space="0" w:color="auto"/>
              <w:right w:val="nil"/>
            </w:tcBorders>
            <w:shd w:val="clear" w:color="auto" w:fill="auto"/>
            <w:noWrap/>
            <w:vAlign w:val="bottom"/>
            <w:hideMark/>
          </w:tcPr>
          <w:p w14:paraId="645BB0C9" w14:textId="77777777" w:rsidR="005C174E" w:rsidRPr="00C0591E" w:rsidRDefault="005C174E" w:rsidP="005C174E">
            <w:pPr>
              <w:spacing w:after="0" w:line="240" w:lineRule="auto"/>
              <w:rPr>
                <w:rFonts w:eastAsia="Times New Roman"/>
                <w:b/>
              </w:rPr>
            </w:pPr>
            <w:r w:rsidRPr="00C0591E">
              <w:rPr>
                <w:rFonts w:eastAsia="Times New Roman"/>
                <w:b/>
              </w:rPr>
              <w:t> </w:t>
            </w:r>
          </w:p>
        </w:tc>
        <w:tc>
          <w:tcPr>
            <w:tcW w:w="598" w:type="pct"/>
            <w:tcBorders>
              <w:top w:val="single" w:sz="4" w:space="0" w:color="auto"/>
              <w:left w:val="nil"/>
              <w:bottom w:val="single" w:sz="4" w:space="0" w:color="auto"/>
              <w:right w:val="nil"/>
            </w:tcBorders>
            <w:shd w:val="clear" w:color="auto" w:fill="auto"/>
            <w:noWrap/>
            <w:vAlign w:val="bottom"/>
            <w:hideMark/>
          </w:tcPr>
          <w:p w14:paraId="2C99F034" w14:textId="77777777" w:rsidR="005C174E" w:rsidRPr="00C0591E" w:rsidRDefault="005C174E" w:rsidP="005C174E">
            <w:pPr>
              <w:spacing w:after="0" w:line="240" w:lineRule="auto"/>
              <w:jc w:val="center"/>
              <w:rPr>
                <w:rFonts w:eastAsia="Times New Roman"/>
                <w:b/>
              </w:rPr>
            </w:pPr>
            <w:r w:rsidRPr="00C0591E">
              <w:rPr>
                <w:rFonts w:eastAsia="Times New Roman"/>
                <w:b/>
              </w:rPr>
              <w:t>Performance</w:t>
            </w:r>
          </w:p>
        </w:tc>
        <w:tc>
          <w:tcPr>
            <w:tcW w:w="827" w:type="pct"/>
            <w:tcBorders>
              <w:top w:val="single" w:sz="4" w:space="0" w:color="auto"/>
              <w:left w:val="nil"/>
              <w:bottom w:val="single" w:sz="4" w:space="0" w:color="auto"/>
              <w:right w:val="nil"/>
            </w:tcBorders>
            <w:shd w:val="clear" w:color="auto" w:fill="auto"/>
            <w:noWrap/>
            <w:vAlign w:val="bottom"/>
            <w:hideMark/>
          </w:tcPr>
          <w:p w14:paraId="28A0C4EC" w14:textId="0FA4C71B" w:rsidR="005C174E" w:rsidRPr="00C0591E" w:rsidRDefault="00173C67" w:rsidP="005C174E">
            <w:pPr>
              <w:spacing w:after="0" w:line="240" w:lineRule="auto"/>
              <w:jc w:val="center"/>
              <w:rPr>
                <w:rFonts w:eastAsia="Times New Roman"/>
                <w:b/>
              </w:rPr>
            </w:pPr>
            <w:r>
              <w:rPr>
                <w:rFonts w:eastAsia="Times New Roman"/>
                <w:b/>
              </w:rPr>
              <w:t>Pillars of corporate governance</w:t>
            </w:r>
          </w:p>
        </w:tc>
        <w:tc>
          <w:tcPr>
            <w:tcW w:w="804" w:type="pct"/>
            <w:tcBorders>
              <w:top w:val="single" w:sz="4" w:space="0" w:color="auto"/>
              <w:left w:val="nil"/>
              <w:bottom w:val="single" w:sz="4" w:space="0" w:color="auto"/>
              <w:right w:val="nil"/>
            </w:tcBorders>
            <w:shd w:val="clear" w:color="auto" w:fill="auto"/>
            <w:noWrap/>
            <w:vAlign w:val="bottom"/>
            <w:hideMark/>
          </w:tcPr>
          <w:p w14:paraId="3AAF56E5" w14:textId="4E29647B" w:rsidR="005C174E" w:rsidRPr="00C0591E" w:rsidRDefault="005C174E" w:rsidP="005C174E">
            <w:pPr>
              <w:spacing w:after="0" w:line="240" w:lineRule="auto"/>
              <w:jc w:val="center"/>
              <w:rPr>
                <w:rFonts w:eastAsia="Times New Roman"/>
                <w:b/>
              </w:rPr>
            </w:pPr>
            <w:r w:rsidRPr="00C0591E">
              <w:rPr>
                <w:rFonts w:eastAsia="Times New Roman"/>
                <w:b/>
              </w:rPr>
              <w:t>Investment Policies</w:t>
            </w:r>
          </w:p>
        </w:tc>
        <w:tc>
          <w:tcPr>
            <w:tcW w:w="976" w:type="pct"/>
            <w:tcBorders>
              <w:top w:val="single" w:sz="4" w:space="0" w:color="auto"/>
              <w:left w:val="nil"/>
              <w:bottom w:val="single" w:sz="4" w:space="0" w:color="auto"/>
              <w:right w:val="nil"/>
            </w:tcBorders>
            <w:shd w:val="clear" w:color="auto" w:fill="auto"/>
            <w:noWrap/>
            <w:vAlign w:val="bottom"/>
            <w:hideMark/>
          </w:tcPr>
          <w:p w14:paraId="73A55BC4" w14:textId="5A7A33CC" w:rsidR="005C174E" w:rsidRPr="00C0591E" w:rsidRDefault="005C174E" w:rsidP="005C174E">
            <w:pPr>
              <w:spacing w:after="0" w:line="240" w:lineRule="auto"/>
              <w:jc w:val="center"/>
              <w:rPr>
                <w:rFonts w:eastAsia="Times New Roman"/>
                <w:b/>
              </w:rPr>
            </w:pPr>
            <w:r w:rsidRPr="00C0591E">
              <w:rPr>
                <w:rFonts w:eastAsia="Times New Roman"/>
                <w:b/>
              </w:rPr>
              <w:t>Government Regulation</w:t>
            </w:r>
          </w:p>
        </w:tc>
      </w:tr>
      <w:tr w:rsidR="005C174E" w:rsidRPr="00C0591E" w14:paraId="5B9EC099" w14:textId="77777777" w:rsidTr="005A2955">
        <w:trPr>
          <w:trHeight w:val="288"/>
        </w:trPr>
        <w:tc>
          <w:tcPr>
            <w:tcW w:w="920" w:type="pct"/>
            <w:tcBorders>
              <w:top w:val="nil"/>
              <w:left w:val="nil"/>
              <w:bottom w:val="nil"/>
              <w:right w:val="nil"/>
            </w:tcBorders>
            <w:shd w:val="clear" w:color="auto" w:fill="auto"/>
            <w:noWrap/>
            <w:vAlign w:val="bottom"/>
            <w:hideMark/>
          </w:tcPr>
          <w:p w14:paraId="0787B596" w14:textId="77777777" w:rsidR="005C174E" w:rsidRPr="00C0591E" w:rsidRDefault="005C174E" w:rsidP="005C174E">
            <w:pPr>
              <w:spacing w:after="0" w:line="240" w:lineRule="auto"/>
              <w:rPr>
                <w:rFonts w:eastAsia="Times New Roman"/>
              </w:rPr>
            </w:pPr>
            <w:r w:rsidRPr="00C0591E">
              <w:rPr>
                <w:rFonts w:eastAsia="Times New Roman"/>
              </w:rPr>
              <w:t>Performance</w:t>
            </w:r>
          </w:p>
        </w:tc>
        <w:tc>
          <w:tcPr>
            <w:tcW w:w="875" w:type="pct"/>
            <w:tcBorders>
              <w:top w:val="nil"/>
              <w:left w:val="nil"/>
              <w:bottom w:val="nil"/>
              <w:right w:val="nil"/>
            </w:tcBorders>
            <w:shd w:val="clear" w:color="auto" w:fill="auto"/>
            <w:noWrap/>
            <w:vAlign w:val="bottom"/>
            <w:hideMark/>
          </w:tcPr>
          <w:p w14:paraId="7C4DF4BC" w14:textId="77777777" w:rsidR="005C174E" w:rsidRPr="00C0591E" w:rsidRDefault="005C174E" w:rsidP="005C174E">
            <w:pPr>
              <w:spacing w:after="0" w:line="240" w:lineRule="auto"/>
              <w:rPr>
                <w:rFonts w:eastAsia="Times New Roman"/>
              </w:rPr>
            </w:pPr>
            <w:r w:rsidRPr="00C0591E">
              <w:rPr>
                <w:rFonts w:eastAsia="Times New Roman"/>
              </w:rPr>
              <w:t>Pearson Correlation</w:t>
            </w:r>
          </w:p>
        </w:tc>
        <w:tc>
          <w:tcPr>
            <w:tcW w:w="598" w:type="pct"/>
            <w:tcBorders>
              <w:top w:val="nil"/>
              <w:left w:val="nil"/>
              <w:bottom w:val="nil"/>
              <w:right w:val="nil"/>
            </w:tcBorders>
            <w:shd w:val="clear" w:color="auto" w:fill="auto"/>
            <w:noWrap/>
            <w:vAlign w:val="bottom"/>
            <w:hideMark/>
          </w:tcPr>
          <w:p w14:paraId="55B2C7CE" w14:textId="77777777" w:rsidR="005C174E" w:rsidRPr="00C0591E" w:rsidRDefault="005C174E" w:rsidP="005C174E">
            <w:pPr>
              <w:spacing w:after="0" w:line="240" w:lineRule="auto"/>
              <w:jc w:val="center"/>
              <w:rPr>
                <w:rFonts w:eastAsia="Times New Roman"/>
              </w:rPr>
            </w:pPr>
            <w:r w:rsidRPr="00C0591E">
              <w:rPr>
                <w:rFonts w:eastAsia="Times New Roman"/>
              </w:rPr>
              <w:t>1.000</w:t>
            </w:r>
          </w:p>
        </w:tc>
        <w:tc>
          <w:tcPr>
            <w:tcW w:w="827" w:type="pct"/>
            <w:tcBorders>
              <w:top w:val="nil"/>
              <w:left w:val="nil"/>
              <w:bottom w:val="nil"/>
              <w:right w:val="nil"/>
            </w:tcBorders>
            <w:shd w:val="clear" w:color="auto" w:fill="auto"/>
            <w:noWrap/>
            <w:vAlign w:val="bottom"/>
            <w:hideMark/>
          </w:tcPr>
          <w:p w14:paraId="46A81F40" w14:textId="77777777" w:rsidR="005C174E" w:rsidRPr="00C0591E" w:rsidRDefault="005C174E" w:rsidP="005C174E">
            <w:pPr>
              <w:spacing w:after="0" w:line="240" w:lineRule="auto"/>
              <w:jc w:val="center"/>
              <w:rPr>
                <w:rFonts w:eastAsia="Times New Roman"/>
              </w:rPr>
            </w:pPr>
          </w:p>
        </w:tc>
        <w:tc>
          <w:tcPr>
            <w:tcW w:w="804" w:type="pct"/>
            <w:tcBorders>
              <w:top w:val="nil"/>
              <w:left w:val="nil"/>
              <w:bottom w:val="nil"/>
              <w:right w:val="nil"/>
            </w:tcBorders>
            <w:shd w:val="clear" w:color="auto" w:fill="auto"/>
            <w:noWrap/>
            <w:vAlign w:val="bottom"/>
            <w:hideMark/>
          </w:tcPr>
          <w:p w14:paraId="3AC3A5EE" w14:textId="77777777" w:rsidR="005C174E" w:rsidRPr="00C0591E" w:rsidRDefault="005C174E" w:rsidP="005C174E">
            <w:pPr>
              <w:spacing w:after="0" w:line="240" w:lineRule="auto"/>
              <w:jc w:val="center"/>
              <w:rPr>
                <w:rFonts w:eastAsia="Times New Roman" w:cs="Times New Roman"/>
                <w:sz w:val="20"/>
                <w:szCs w:val="20"/>
              </w:rPr>
            </w:pPr>
          </w:p>
        </w:tc>
        <w:tc>
          <w:tcPr>
            <w:tcW w:w="976" w:type="pct"/>
            <w:tcBorders>
              <w:top w:val="nil"/>
              <w:left w:val="nil"/>
              <w:bottom w:val="nil"/>
              <w:right w:val="nil"/>
            </w:tcBorders>
            <w:shd w:val="clear" w:color="auto" w:fill="auto"/>
            <w:noWrap/>
            <w:vAlign w:val="bottom"/>
            <w:hideMark/>
          </w:tcPr>
          <w:p w14:paraId="7EC16077" w14:textId="77777777" w:rsidR="005C174E" w:rsidRPr="00C0591E" w:rsidRDefault="005C174E" w:rsidP="005C174E">
            <w:pPr>
              <w:spacing w:after="0" w:line="240" w:lineRule="auto"/>
              <w:jc w:val="center"/>
              <w:rPr>
                <w:rFonts w:eastAsia="Times New Roman" w:cs="Times New Roman"/>
                <w:sz w:val="20"/>
                <w:szCs w:val="20"/>
              </w:rPr>
            </w:pPr>
          </w:p>
        </w:tc>
      </w:tr>
      <w:tr w:rsidR="005C174E" w:rsidRPr="00C0591E" w14:paraId="13D684AA" w14:textId="77777777" w:rsidTr="005A2955">
        <w:trPr>
          <w:trHeight w:val="288"/>
        </w:trPr>
        <w:tc>
          <w:tcPr>
            <w:tcW w:w="920" w:type="pct"/>
            <w:tcBorders>
              <w:top w:val="nil"/>
              <w:left w:val="nil"/>
              <w:bottom w:val="nil"/>
              <w:right w:val="nil"/>
            </w:tcBorders>
            <w:shd w:val="clear" w:color="auto" w:fill="auto"/>
            <w:noWrap/>
            <w:vAlign w:val="bottom"/>
            <w:hideMark/>
          </w:tcPr>
          <w:p w14:paraId="744F81B9" w14:textId="77777777" w:rsidR="005C174E" w:rsidRPr="00C0591E" w:rsidRDefault="005C174E" w:rsidP="005C174E">
            <w:pPr>
              <w:spacing w:after="0" w:line="240" w:lineRule="auto"/>
              <w:rPr>
                <w:rFonts w:eastAsia="Times New Roman" w:cs="Times New Roman"/>
                <w:sz w:val="20"/>
                <w:szCs w:val="20"/>
              </w:rPr>
            </w:pPr>
          </w:p>
        </w:tc>
        <w:tc>
          <w:tcPr>
            <w:tcW w:w="875" w:type="pct"/>
            <w:tcBorders>
              <w:top w:val="nil"/>
              <w:left w:val="nil"/>
              <w:bottom w:val="nil"/>
              <w:right w:val="nil"/>
            </w:tcBorders>
            <w:shd w:val="clear" w:color="auto" w:fill="auto"/>
            <w:noWrap/>
            <w:vAlign w:val="bottom"/>
            <w:hideMark/>
          </w:tcPr>
          <w:p w14:paraId="293095BD" w14:textId="77777777" w:rsidR="005C174E" w:rsidRPr="00C0591E" w:rsidRDefault="005C174E" w:rsidP="005C174E">
            <w:pPr>
              <w:spacing w:after="0" w:line="240" w:lineRule="auto"/>
              <w:rPr>
                <w:rFonts w:eastAsia="Times New Roman"/>
              </w:rPr>
            </w:pPr>
            <w:r w:rsidRPr="00C0591E">
              <w:rPr>
                <w:rFonts w:eastAsia="Times New Roman"/>
              </w:rPr>
              <w:t>Sig. (2-tailed)</w:t>
            </w:r>
          </w:p>
        </w:tc>
        <w:tc>
          <w:tcPr>
            <w:tcW w:w="598" w:type="pct"/>
            <w:tcBorders>
              <w:top w:val="nil"/>
              <w:left w:val="nil"/>
              <w:bottom w:val="nil"/>
              <w:right w:val="nil"/>
            </w:tcBorders>
            <w:shd w:val="clear" w:color="auto" w:fill="auto"/>
            <w:noWrap/>
            <w:vAlign w:val="bottom"/>
            <w:hideMark/>
          </w:tcPr>
          <w:p w14:paraId="47ED2D21" w14:textId="77777777" w:rsidR="005C174E" w:rsidRPr="00C0591E" w:rsidRDefault="005C174E" w:rsidP="005C174E">
            <w:pPr>
              <w:spacing w:after="0" w:line="240" w:lineRule="auto"/>
              <w:jc w:val="center"/>
              <w:rPr>
                <w:rFonts w:eastAsia="Times New Roman"/>
              </w:rPr>
            </w:pPr>
          </w:p>
        </w:tc>
        <w:tc>
          <w:tcPr>
            <w:tcW w:w="827" w:type="pct"/>
            <w:tcBorders>
              <w:top w:val="nil"/>
              <w:left w:val="nil"/>
              <w:bottom w:val="nil"/>
              <w:right w:val="nil"/>
            </w:tcBorders>
            <w:shd w:val="clear" w:color="auto" w:fill="auto"/>
            <w:noWrap/>
            <w:vAlign w:val="bottom"/>
            <w:hideMark/>
          </w:tcPr>
          <w:p w14:paraId="70E9310A" w14:textId="77777777" w:rsidR="005C174E" w:rsidRPr="00C0591E" w:rsidRDefault="005C174E" w:rsidP="005C174E">
            <w:pPr>
              <w:spacing w:after="0" w:line="240" w:lineRule="auto"/>
              <w:jc w:val="center"/>
              <w:rPr>
                <w:rFonts w:eastAsia="Times New Roman" w:cs="Times New Roman"/>
                <w:sz w:val="20"/>
                <w:szCs w:val="20"/>
              </w:rPr>
            </w:pPr>
          </w:p>
        </w:tc>
        <w:tc>
          <w:tcPr>
            <w:tcW w:w="804" w:type="pct"/>
            <w:tcBorders>
              <w:top w:val="nil"/>
              <w:left w:val="nil"/>
              <w:bottom w:val="nil"/>
              <w:right w:val="nil"/>
            </w:tcBorders>
            <w:shd w:val="clear" w:color="auto" w:fill="auto"/>
            <w:noWrap/>
            <w:vAlign w:val="bottom"/>
            <w:hideMark/>
          </w:tcPr>
          <w:p w14:paraId="3D0B359C" w14:textId="77777777" w:rsidR="005C174E" w:rsidRPr="00C0591E" w:rsidRDefault="005C174E" w:rsidP="005C174E">
            <w:pPr>
              <w:spacing w:after="0" w:line="240" w:lineRule="auto"/>
              <w:jc w:val="center"/>
              <w:rPr>
                <w:rFonts w:eastAsia="Times New Roman" w:cs="Times New Roman"/>
                <w:sz w:val="20"/>
                <w:szCs w:val="20"/>
              </w:rPr>
            </w:pPr>
          </w:p>
        </w:tc>
        <w:tc>
          <w:tcPr>
            <w:tcW w:w="976" w:type="pct"/>
            <w:tcBorders>
              <w:top w:val="nil"/>
              <w:left w:val="nil"/>
              <w:bottom w:val="nil"/>
              <w:right w:val="nil"/>
            </w:tcBorders>
            <w:shd w:val="clear" w:color="auto" w:fill="auto"/>
            <w:noWrap/>
            <w:vAlign w:val="bottom"/>
            <w:hideMark/>
          </w:tcPr>
          <w:p w14:paraId="72146794" w14:textId="77777777" w:rsidR="005C174E" w:rsidRPr="00C0591E" w:rsidRDefault="005C174E" w:rsidP="005C174E">
            <w:pPr>
              <w:spacing w:after="0" w:line="240" w:lineRule="auto"/>
              <w:jc w:val="center"/>
              <w:rPr>
                <w:rFonts w:eastAsia="Times New Roman" w:cs="Times New Roman"/>
                <w:sz w:val="20"/>
                <w:szCs w:val="20"/>
              </w:rPr>
            </w:pPr>
          </w:p>
        </w:tc>
      </w:tr>
      <w:tr w:rsidR="005C174E" w:rsidRPr="00C0591E" w14:paraId="72273F16" w14:textId="77777777" w:rsidTr="005A2955">
        <w:trPr>
          <w:trHeight w:val="288"/>
        </w:trPr>
        <w:tc>
          <w:tcPr>
            <w:tcW w:w="920" w:type="pct"/>
            <w:tcBorders>
              <w:top w:val="nil"/>
              <w:left w:val="nil"/>
              <w:bottom w:val="nil"/>
              <w:right w:val="nil"/>
            </w:tcBorders>
            <w:shd w:val="clear" w:color="auto" w:fill="auto"/>
            <w:noWrap/>
            <w:vAlign w:val="bottom"/>
            <w:hideMark/>
          </w:tcPr>
          <w:p w14:paraId="27AC36D1" w14:textId="1380BA64" w:rsidR="005C174E" w:rsidRPr="00C0591E" w:rsidRDefault="00173C67" w:rsidP="005C174E">
            <w:pPr>
              <w:spacing w:after="0" w:line="240" w:lineRule="auto"/>
              <w:rPr>
                <w:rFonts w:eastAsia="Times New Roman"/>
              </w:rPr>
            </w:pPr>
            <w:r>
              <w:rPr>
                <w:rFonts w:eastAsia="Times New Roman"/>
              </w:rPr>
              <w:t>Pillars of corporate governance</w:t>
            </w:r>
          </w:p>
        </w:tc>
        <w:tc>
          <w:tcPr>
            <w:tcW w:w="875" w:type="pct"/>
            <w:tcBorders>
              <w:top w:val="nil"/>
              <w:left w:val="nil"/>
              <w:bottom w:val="nil"/>
              <w:right w:val="nil"/>
            </w:tcBorders>
            <w:shd w:val="clear" w:color="auto" w:fill="auto"/>
            <w:noWrap/>
            <w:vAlign w:val="bottom"/>
            <w:hideMark/>
          </w:tcPr>
          <w:p w14:paraId="14BFA73A" w14:textId="77777777" w:rsidR="005C174E" w:rsidRPr="00C0591E" w:rsidRDefault="005C174E" w:rsidP="005C174E">
            <w:pPr>
              <w:spacing w:after="0" w:line="240" w:lineRule="auto"/>
              <w:rPr>
                <w:rFonts w:eastAsia="Times New Roman"/>
              </w:rPr>
            </w:pPr>
            <w:r w:rsidRPr="00C0591E">
              <w:rPr>
                <w:rFonts w:eastAsia="Times New Roman"/>
              </w:rPr>
              <w:t>Pearson Correlation</w:t>
            </w:r>
          </w:p>
        </w:tc>
        <w:tc>
          <w:tcPr>
            <w:tcW w:w="598" w:type="pct"/>
            <w:tcBorders>
              <w:top w:val="nil"/>
              <w:left w:val="nil"/>
              <w:bottom w:val="nil"/>
              <w:right w:val="nil"/>
            </w:tcBorders>
            <w:shd w:val="clear" w:color="auto" w:fill="auto"/>
            <w:noWrap/>
            <w:vAlign w:val="bottom"/>
            <w:hideMark/>
          </w:tcPr>
          <w:p w14:paraId="177F117F" w14:textId="77777777" w:rsidR="005C174E" w:rsidRPr="00C0591E" w:rsidRDefault="005C174E" w:rsidP="005C174E">
            <w:pPr>
              <w:spacing w:after="0" w:line="240" w:lineRule="auto"/>
              <w:jc w:val="center"/>
              <w:rPr>
                <w:rFonts w:eastAsia="Times New Roman"/>
              </w:rPr>
            </w:pPr>
            <w:r w:rsidRPr="00C0591E">
              <w:rPr>
                <w:rFonts w:eastAsia="Times New Roman"/>
              </w:rPr>
              <w:t>.743**</w:t>
            </w:r>
          </w:p>
        </w:tc>
        <w:tc>
          <w:tcPr>
            <w:tcW w:w="827" w:type="pct"/>
            <w:tcBorders>
              <w:top w:val="nil"/>
              <w:left w:val="nil"/>
              <w:bottom w:val="nil"/>
              <w:right w:val="nil"/>
            </w:tcBorders>
            <w:shd w:val="clear" w:color="auto" w:fill="auto"/>
            <w:noWrap/>
            <w:vAlign w:val="bottom"/>
            <w:hideMark/>
          </w:tcPr>
          <w:p w14:paraId="00CEFC2C" w14:textId="77777777" w:rsidR="005C174E" w:rsidRPr="00C0591E" w:rsidRDefault="005C174E" w:rsidP="005C174E">
            <w:pPr>
              <w:spacing w:after="0" w:line="240" w:lineRule="auto"/>
              <w:jc w:val="center"/>
              <w:rPr>
                <w:rFonts w:eastAsia="Times New Roman"/>
              </w:rPr>
            </w:pPr>
            <w:r w:rsidRPr="00C0591E">
              <w:rPr>
                <w:rFonts w:eastAsia="Times New Roman"/>
              </w:rPr>
              <w:t>1.000</w:t>
            </w:r>
          </w:p>
        </w:tc>
        <w:tc>
          <w:tcPr>
            <w:tcW w:w="804" w:type="pct"/>
            <w:tcBorders>
              <w:top w:val="nil"/>
              <w:left w:val="nil"/>
              <w:bottom w:val="nil"/>
              <w:right w:val="nil"/>
            </w:tcBorders>
            <w:shd w:val="clear" w:color="auto" w:fill="auto"/>
            <w:noWrap/>
            <w:vAlign w:val="bottom"/>
            <w:hideMark/>
          </w:tcPr>
          <w:p w14:paraId="1FACDEF5" w14:textId="77777777" w:rsidR="005C174E" w:rsidRPr="00C0591E" w:rsidRDefault="005C174E" w:rsidP="005C174E">
            <w:pPr>
              <w:spacing w:after="0" w:line="240" w:lineRule="auto"/>
              <w:jc w:val="center"/>
              <w:rPr>
                <w:rFonts w:eastAsia="Times New Roman"/>
              </w:rPr>
            </w:pPr>
          </w:p>
        </w:tc>
        <w:tc>
          <w:tcPr>
            <w:tcW w:w="976" w:type="pct"/>
            <w:tcBorders>
              <w:top w:val="nil"/>
              <w:left w:val="nil"/>
              <w:bottom w:val="nil"/>
              <w:right w:val="nil"/>
            </w:tcBorders>
            <w:shd w:val="clear" w:color="auto" w:fill="auto"/>
            <w:noWrap/>
            <w:vAlign w:val="bottom"/>
            <w:hideMark/>
          </w:tcPr>
          <w:p w14:paraId="45F20E9C" w14:textId="77777777" w:rsidR="005C174E" w:rsidRPr="00C0591E" w:rsidRDefault="005C174E" w:rsidP="005C174E">
            <w:pPr>
              <w:spacing w:after="0" w:line="240" w:lineRule="auto"/>
              <w:jc w:val="center"/>
              <w:rPr>
                <w:rFonts w:eastAsia="Times New Roman" w:cs="Times New Roman"/>
                <w:sz w:val="20"/>
                <w:szCs w:val="20"/>
              </w:rPr>
            </w:pPr>
          </w:p>
        </w:tc>
      </w:tr>
      <w:tr w:rsidR="005C174E" w:rsidRPr="00C0591E" w14:paraId="6DEE68C1" w14:textId="77777777" w:rsidTr="005A2955">
        <w:trPr>
          <w:trHeight w:val="288"/>
        </w:trPr>
        <w:tc>
          <w:tcPr>
            <w:tcW w:w="920" w:type="pct"/>
            <w:tcBorders>
              <w:top w:val="nil"/>
              <w:left w:val="nil"/>
              <w:bottom w:val="nil"/>
              <w:right w:val="nil"/>
            </w:tcBorders>
            <w:shd w:val="clear" w:color="auto" w:fill="auto"/>
            <w:noWrap/>
            <w:vAlign w:val="bottom"/>
            <w:hideMark/>
          </w:tcPr>
          <w:p w14:paraId="66AC315E" w14:textId="77777777" w:rsidR="005C174E" w:rsidRPr="00C0591E" w:rsidRDefault="005C174E" w:rsidP="005C174E">
            <w:pPr>
              <w:spacing w:after="0" w:line="240" w:lineRule="auto"/>
              <w:rPr>
                <w:rFonts w:eastAsia="Times New Roman" w:cs="Times New Roman"/>
                <w:sz w:val="20"/>
                <w:szCs w:val="20"/>
              </w:rPr>
            </w:pPr>
          </w:p>
        </w:tc>
        <w:tc>
          <w:tcPr>
            <w:tcW w:w="875" w:type="pct"/>
            <w:tcBorders>
              <w:top w:val="nil"/>
              <w:left w:val="nil"/>
              <w:bottom w:val="nil"/>
              <w:right w:val="nil"/>
            </w:tcBorders>
            <w:shd w:val="clear" w:color="auto" w:fill="auto"/>
            <w:noWrap/>
            <w:vAlign w:val="bottom"/>
            <w:hideMark/>
          </w:tcPr>
          <w:p w14:paraId="76EEBF15" w14:textId="77777777" w:rsidR="005C174E" w:rsidRPr="00C0591E" w:rsidRDefault="005C174E" w:rsidP="005C174E">
            <w:pPr>
              <w:spacing w:after="0" w:line="240" w:lineRule="auto"/>
              <w:rPr>
                <w:rFonts w:eastAsia="Times New Roman"/>
              </w:rPr>
            </w:pPr>
            <w:r w:rsidRPr="00C0591E">
              <w:rPr>
                <w:rFonts w:eastAsia="Times New Roman"/>
              </w:rPr>
              <w:t>Sig. (2-tailed)</w:t>
            </w:r>
          </w:p>
        </w:tc>
        <w:tc>
          <w:tcPr>
            <w:tcW w:w="598" w:type="pct"/>
            <w:tcBorders>
              <w:top w:val="nil"/>
              <w:left w:val="nil"/>
              <w:bottom w:val="nil"/>
              <w:right w:val="nil"/>
            </w:tcBorders>
            <w:shd w:val="clear" w:color="auto" w:fill="auto"/>
            <w:noWrap/>
            <w:vAlign w:val="bottom"/>
            <w:hideMark/>
          </w:tcPr>
          <w:p w14:paraId="402583F6" w14:textId="77777777" w:rsidR="005C174E" w:rsidRPr="00C0591E" w:rsidRDefault="005C174E" w:rsidP="005C174E">
            <w:pPr>
              <w:spacing w:after="0" w:line="240" w:lineRule="auto"/>
              <w:jc w:val="center"/>
              <w:rPr>
                <w:rFonts w:eastAsia="Times New Roman"/>
              </w:rPr>
            </w:pPr>
            <w:r w:rsidRPr="00C0591E">
              <w:rPr>
                <w:rFonts w:eastAsia="Times New Roman"/>
              </w:rPr>
              <w:t>0.000</w:t>
            </w:r>
          </w:p>
        </w:tc>
        <w:tc>
          <w:tcPr>
            <w:tcW w:w="827" w:type="pct"/>
            <w:tcBorders>
              <w:top w:val="nil"/>
              <w:left w:val="nil"/>
              <w:bottom w:val="nil"/>
              <w:right w:val="nil"/>
            </w:tcBorders>
            <w:shd w:val="clear" w:color="auto" w:fill="auto"/>
            <w:noWrap/>
            <w:vAlign w:val="bottom"/>
            <w:hideMark/>
          </w:tcPr>
          <w:p w14:paraId="7A444D9B" w14:textId="77777777" w:rsidR="005C174E" w:rsidRPr="00C0591E" w:rsidRDefault="005C174E" w:rsidP="005C174E">
            <w:pPr>
              <w:spacing w:after="0" w:line="240" w:lineRule="auto"/>
              <w:jc w:val="center"/>
              <w:rPr>
                <w:rFonts w:eastAsia="Times New Roman"/>
              </w:rPr>
            </w:pPr>
          </w:p>
        </w:tc>
        <w:tc>
          <w:tcPr>
            <w:tcW w:w="804" w:type="pct"/>
            <w:tcBorders>
              <w:top w:val="nil"/>
              <w:left w:val="nil"/>
              <w:bottom w:val="nil"/>
              <w:right w:val="nil"/>
            </w:tcBorders>
            <w:shd w:val="clear" w:color="auto" w:fill="auto"/>
            <w:noWrap/>
            <w:vAlign w:val="bottom"/>
            <w:hideMark/>
          </w:tcPr>
          <w:p w14:paraId="296219F6" w14:textId="77777777" w:rsidR="005C174E" w:rsidRPr="00C0591E" w:rsidRDefault="005C174E" w:rsidP="005C174E">
            <w:pPr>
              <w:spacing w:after="0" w:line="240" w:lineRule="auto"/>
              <w:jc w:val="center"/>
              <w:rPr>
                <w:rFonts w:eastAsia="Times New Roman" w:cs="Times New Roman"/>
                <w:sz w:val="20"/>
                <w:szCs w:val="20"/>
              </w:rPr>
            </w:pPr>
          </w:p>
        </w:tc>
        <w:tc>
          <w:tcPr>
            <w:tcW w:w="976" w:type="pct"/>
            <w:tcBorders>
              <w:top w:val="nil"/>
              <w:left w:val="nil"/>
              <w:bottom w:val="nil"/>
              <w:right w:val="nil"/>
            </w:tcBorders>
            <w:shd w:val="clear" w:color="auto" w:fill="auto"/>
            <w:noWrap/>
            <w:vAlign w:val="bottom"/>
            <w:hideMark/>
          </w:tcPr>
          <w:p w14:paraId="338AC683" w14:textId="77777777" w:rsidR="005C174E" w:rsidRPr="00C0591E" w:rsidRDefault="005C174E" w:rsidP="005C174E">
            <w:pPr>
              <w:spacing w:after="0" w:line="240" w:lineRule="auto"/>
              <w:jc w:val="center"/>
              <w:rPr>
                <w:rFonts w:eastAsia="Times New Roman" w:cs="Times New Roman"/>
                <w:sz w:val="20"/>
                <w:szCs w:val="20"/>
              </w:rPr>
            </w:pPr>
          </w:p>
        </w:tc>
      </w:tr>
      <w:tr w:rsidR="005C174E" w:rsidRPr="00C0591E" w14:paraId="7181CB65" w14:textId="77777777" w:rsidTr="005A2955">
        <w:trPr>
          <w:trHeight w:val="288"/>
        </w:trPr>
        <w:tc>
          <w:tcPr>
            <w:tcW w:w="920" w:type="pct"/>
            <w:tcBorders>
              <w:top w:val="nil"/>
              <w:left w:val="nil"/>
              <w:bottom w:val="nil"/>
              <w:right w:val="nil"/>
            </w:tcBorders>
            <w:shd w:val="clear" w:color="auto" w:fill="auto"/>
            <w:noWrap/>
            <w:vAlign w:val="bottom"/>
            <w:hideMark/>
          </w:tcPr>
          <w:p w14:paraId="6E3593CB" w14:textId="5D08FDB3" w:rsidR="005C174E" w:rsidRPr="00C0591E" w:rsidRDefault="005C174E" w:rsidP="005C174E">
            <w:pPr>
              <w:spacing w:after="0" w:line="240" w:lineRule="auto"/>
              <w:rPr>
                <w:rFonts w:eastAsia="Times New Roman"/>
              </w:rPr>
            </w:pPr>
            <w:r w:rsidRPr="00C0591E">
              <w:rPr>
                <w:rFonts w:eastAsia="Times New Roman"/>
              </w:rPr>
              <w:t>Investment Policies</w:t>
            </w:r>
          </w:p>
        </w:tc>
        <w:tc>
          <w:tcPr>
            <w:tcW w:w="875" w:type="pct"/>
            <w:tcBorders>
              <w:top w:val="nil"/>
              <w:left w:val="nil"/>
              <w:bottom w:val="nil"/>
              <w:right w:val="nil"/>
            </w:tcBorders>
            <w:shd w:val="clear" w:color="auto" w:fill="auto"/>
            <w:noWrap/>
            <w:vAlign w:val="bottom"/>
            <w:hideMark/>
          </w:tcPr>
          <w:p w14:paraId="1873D14D" w14:textId="77777777" w:rsidR="005C174E" w:rsidRPr="00C0591E" w:rsidRDefault="005C174E" w:rsidP="005C174E">
            <w:pPr>
              <w:spacing w:after="0" w:line="240" w:lineRule="auto"/>
              <w:rPr>
                <w:rFonts w:eastAsia="Times New Roman"/>
              </w:rPr>
            </w:pPr>
            <w:r w:rsidRPr="00C0591E">
              <w:rPr>
                <w:rFonts w:eastAsia="Times New Roman"/>
              </w:rPr>
              <w:t>Pearson Correlation</w:t>
            </w:r>
          </w:p>
        </w:tc>
        <w:tc>
          <w:tcPr>
            <w:tcW w:w="598" w:type="pct"/>
            <w:tcBorders>
              <w:top w:val="nil"/>
              <w:left w:val="nil"/>
              <w:bottom w:val="nil"/>
              <w:right w:val="nil"/>
            </w:tcBorders>
            <w:shd w:val="clear" w:color="auto" w:fill="auto"/>
            <w:noWrap/>
            <w:vAlign w:val="bottom"/>
            <w:hideMark/>
          </w:tcPr>
          <w:p w14:paraId="2E3148DF" w14:textId="77777777" w:rsidR="005C174E" w:rsidRPr="00C0591E" w:rsidRDefault="005C174E" w:rsidP="005C174E">
            <w:pPr>
              <w:spacing w:after="0" w:line="240" w:lineRule="auto"/>
              <w:jc w:val="center"/>
              <w:rPr>
                <w:rFonts w:eastAsia="Times New Roman"/>
              </w:rPr>
            </w:pPr>
            <w:r w:rsidRPr="00C0591E">
              <w:rPr>
                <w:rFonts w:eastAsia="Times New Roman"/>
              </w:rPr>
              <w:t>.728**</w:t>
            </w:r>
          </w:p>
        </w:tc>
        <w:tc>
          <w:tcPr>
            <w:tcW w:w="827" w:type="pct"/>
            <w:tcBorders>
              <w:top w:val="nil"/>
              <w:left w:val="nil"/>
              <w:bottom w:val="nil"/>
              <w:right w:val="nil"/>
            </w:tcBorders>
            <w:shd w:val="clear" w:color="auto" w:fill="auto"/>
            <w:noWrap/>
            <w:vAlign w:val="bottom"/>
            <w:hideMark/>
          </w:tcPr>
          <w:p w14:paraId="33C55AF2" w14:textId="77777777" w:rsidR="005C174E" w:rsidRPr="00C0591E" w:rsidRDefault="005C174E" w:rsidP="005C174E">
            <w:pPr>
              <w:spacing w:after="0" w:line="240" w:lineRule="auto"/>
              <w:jc w:val="center"/>
              <w:rPr>
                <w:rFonts w:eastAsia="Times New Roman"/>
              </w:rPr>
            </w:pPr>
            <w:r w:rsidRPr="00C0591E">
              <w:rPr>
                <w:rFonts w:eastAsia="Times New Roman"/>
              </w:rPr>
              <w:t>.816**</w:t>
            </w:r>
          </w:p>
        </w:tc>
        <w:tc>
          <w:tcPr>
            <w:tcW w:w="804" w:type="pct"/>
            <w:tcBorders>
              <w:top w:val="nil"/>
              <w:left w:val="nil"/>
              <w:bottom w:val="nil"/>
              <w:right w:val="nil"/>
            </w:tcBorders>
            <w:shd w:val="clear" w:color="auto" w:fill="auto"/>
            <w:noWrap/>
            <w:vAlign w:val="bottom"/>
            <w:hideMark/>
          </w:tcPr>
          <w:p w14:paraId="353EB7C7" w14:textId="77777777" w:rsidR="005C174E" w:rsidRPr="00C0591E" w:rsidRDefault="005C174E" w:rsidP="005C174E">
            <w:pPr>
              <w:spacing w:after="0" w:line="240" w:lineRule="auto"/>
              <w:jc w:val="center"/>
              <w:rPr>
                <w:rFonts w:eastAsia="Times New Roman"/>
              </w:rPr>
            </w:pPr>
            <w:r w:rsidRPr="00C0591E">
              <w:rPr>
                <w:rFonts w:eastAsia="Times New Roman"/>
              </w:rPr>
              <w:t>1.000</w:t>
            </w:r>
          </w:p>
        </w:tc>
        <w:tc>
          <w:tcPr>
            <w:tcW w:w="976" w:type="pct"/>
            <w:tcBorders>
              <w:top w:val="nil"/>
              <w:left w:val="nil"/>
              <w:bottom w:val="nil"/>
              <w:right w:val="nil"/>
            </w:tcBorders>
            <w:shd w:val="clear" w:color="auto" w:fill="auto"/>
            <w:noWrap/>
            <w:vAlign w:val="bottom"/>
            <w:hideMark/>
          </w:tcPr>
          <w:p w14:paraId="421D1A2B" w14:textId="77777777" w:rsidR="005C174E" w:rsidRPr="00C0591E" w:rsidRDefault="005C174E" w:rsidP="005C174E">
            <w:pPr>
              <w:spacing w:after="0" w:line="240" w:lineRule="auto"/>
              <w:jc w:val="center"/>
              <w:rPr>
                <w:rFonts w:eastAsia="Times New Roman"/>
              </w:rPr>
            </w:pPr>
          </w:p>
        </w:tc>
      </w:tr>
      <w:tr w:rsidR="005C174E" w:rsidRPr="00C0591E" w14:paraId="4BB62FAC" w14:textId="77777777" w:rsidTr="005A2955">
        <w:trPr>
          <w:trHeight w:val="288"/>
        </w:trPr>
        <w:tc>
          <w:tcPr>
            <w:tcW w:w="920" w:type="pct"/>
            <w:tcBorders>
              <w:top w:val="nil"/>
              <w:left w:val="nil"/>
              <w:bottom w:val="nil"/>
              <w:right w:val="nil"/>
            </w:tcBorders>
            <w:shd w:val="clear" w:color="auto" w:fill="auto"/>
            <w:noWrap/>
            <w:vAlign w:val="bottom"/>
            <w:hideMark/>
          </w:tcPr>
          <w:p w14:paraId="1B64D17D" w14:textId="77777777" w:rsidR="005C174E" w:rsidRPr="00C0591E" w:rsidRDefault="005C174E" w:rsidP="005C174E">
            <w:pPr>
              <w:spacing w:after="0" w:line="240" w:lineRule="auto"/>
              <w:rPr>
                <w:rFonts w:eastAsia="Times New Roman" w:cs="Times New Roman"/>
                <w:sz w:val="20"/>
                <w:szCs w:val="20"/>
              </w:rPr>
            </w:pPr>
          </w:p>
        </w:tc>
        <w:tc>
          <w:tcPr>
            <w:tcW w:w="875" w:type="pct"/>
            <w:tcBorders>
              <w:top w:val="nil"/>
              <w:left w:val="nil"/>
              <w:bottom w:val="nil"/>
              <w:right w:val="nil"/>
            </w:tcBorders>
            <w:shd w:val="clear" w:color="auto" w:fill="auto"/>
            <w:noWrap/>
            <w:vAlign w:val="bottom"/>
            <w:hideMark/>
          </w:tcPr>
          <w:p w14:paraId="05C55C31" w14:textId="77777777" w:rsidR="005C174E" w:rsidRPr="00C0591E" w:rsidRDefault="005C174E" w:rsidP="005C174E">
            <w:pPr>
              <w:spacing w:after="0" w:line="240" w:lineRule="auto"/>
              <w:rPr>
                <w:rFonts w:eastAsia="Times New Roman"/>
              </w:rPr>
            </w:pPr>
            <w:r w:rsidRPr="00C0591E">
              <w:rPr>
                <w:rFonts w:eastAsia="Times New Roman"/>
              </w:rPr>
              <w:t>Sig. (2-tailed)</w:t>
            </w:r>
          </w:p>
        </w:tc>
        <w:tc>
          <w:tcPr>
            <w:tcW w:w="598" w:type="pct"/>
            <w:tcBorders>
              <w:top w:val="nil"/>
              <w:left w:val="nil"/>
              <w:bottom w:val="nil"/>
              <w:right w:val="nil"/>
            </w:tcBorders>
            <w:shd w:val="clear" w:color="auto" w:fill="auto"/>
            <w:noWrap/>
            <w:vAlign w:val="bottom"/>
            <w:hideMark/>
          </w:tcPr>
          <w:p w14:paraId="7F6E649E" w14:textId="77777777" w:rsidR="005C174E" w:rsidRPr="00C0591E" w:rsidRDefault="005C174E" w:rsidP="005C174E">
            <w:pPr>
              <w:spacing w:after="0" w:line="240" w:lineRule="auto"/>
              <w:jc w:val="center"/>
              <w:rPr>
                <w:rFonts w:eastAsia="Times New Roman"/>
              </w:rPr>
            </w:pPr>
            <w:r w:rsidRPr="00C0591E">
              <w:rPr>
                <w:rFonts w:eastAsia="Times New Roman"/>
              </w:rPr>
              <w:t>0.000</w:t>
            </w:r>
          </w:p>
        </w:tc>
        <w:tc>
          <w:tcPr>
            <w:tcW w:w="827" w:type="pct"/>
            <w:tcBorders>
              <w:top w:val="nil"/>
              <w:left w:val="nil"/>
              <w:bottom w:val="nil"/>
              <w:right w:val="nil"/>
            </w:tcBorders>
            <w:shd w:val="clear" w:color="auto" w:fill="auto"/>
            <w:noWrap/>
            <w:vAlign w:val="bottom"/>
            <w:hideMark/>
          </w:tcPr>
          <w:p w14:paraId="4916F0AB" w14:textId="77777777" w:rsidR="005C174E" w:rsidRPr="00C0591E" w:rsidRDefault="005C174E" w:rsidP="005C174E">
            <w:pPr>
              <w:spacing w:after="0" w:line="240" w:lineRule="auto"/>
              <w:jc w:val="center"/>
              <w:rPr>
                <w:rFonts w:eastAsia="Times New Roman"/>
              </w:rPr>
            </w:pPr>
            <w:r w:rsidRPr="00C0591E">
              <w:rPr>
                <w:rFonts w:eastAsia="Times New Roman"/>
              </w:rPr>
              <w:t>0.000</w:t>
            </w:r>
          </w:p>
        </w:tc>
        <w:tc>
          <w:tcPr>
            <w:tcW w:w="804" w:type="pct"/>
            <w:tcBorders>
              <w:top w:val="nil"/>
              <w:left w:val="nil"/>
              <w:bottom w:val="nil"/>
              <w:right w:val="nil"/>
            </w:tcBorders>
            <w:shd w:val="clear" w:color="auto" w:fill="auto"/>
            <w:noWrap/>
            <w:vAlign w:val="bottom"/>
            <w:hideMark/>
          </w:tcPr>
          <w:p w14:paraId="101B9FEC" w14:textId="77777777" w:rsidR="005C174E" w:rsidRPr="00C0591E" w:rsidRDefault="005C174E" w:rsidP="005C174E">
            <w:pPr>
              <w:spacing w:after="0" w:line="240" w:lineRule="auto"/>
              <w:jc w:val="center"/>
              <w:rPr>
                <w:rFonts w:eastAsia="Times New Roman"/>
              </w:rPr>
            </w:pPr>
          </w:p>
        </w:tc>
        <w:tc>
          <w:tcPr>
            <w:tcW w:w="976" w:type="pct"/>
            <w:tcBorders>
              <w:top w:val="nil"/>
              <w:left w:val="nil"/>
              <w:bottom w:val="nil"/>
              <w:right w:val="nil"/>
            </w:tcBorders>
            <w:shd w:val="clear" w:color="auto" w:fill="auto"/>
            <w:noWrap/>
            <w:vAlign w:val="bottom"/>
            <w:hideMark/>
          </w:tcPr>
          <w:p w14:paraId="0ED2E55F" w14:textId="77777777" w:rsidR="005C174E" w:rsidRPr="00C0591E" w:rsidRDefault="005C174E" w:rsidP="005C174E">
            <w:pPr>
              <w:spacing w:after="0" w:line="240" w:lineRule="auto"/>
              <w:jc w:val="center"/>
              <w:rPr>
                <w:rFonts w:eastAsia="Times New Roman" w:cs="Times New Roman"/>
                <w:sz w:val="20"/>
                <w:szCs w:val="20"/>
              </w:rPr>
            </w:pPr>
          </w:p>
        </w:tc>
      </w:tr>
      <w:tr w:rsidR="005C174E" w:rsidRPr="00C0591E" w14:paraId="3F8F5A17" w14:textId="77777777" w:rsidTr="005A2955">
        <w:trPr>
          <w:trHeight w:val="288"/>
        </w:trPr>
        <w:tc>
          <w:tcPr>
            <w:tcW w:w="920" w:type="pct"/>
            <w:tcBorders>
              <w:top w:val="nil"/>
              <w:left w:val="nil"/>
              <w:bottom w:val="nil"/>
              <w:right w:val="nil"/>
            </w:tcBorders>
            <w:shd w:val="clear" w:color="auto" w:fill="auto"/>
            <w:noWrap/>
            <w:vAlign w:val="bottom"/>
            <w:hideMark/>
          </w:tcPr>
          <w:p w14:paraId="274FC23C" w14:textId="11114439" w:rsidR="005C174E" w:rsidRPr="00C0591E" w:rsidRDefault="005C174E" w:rsidP="005C174E">
            <w:pPr>
              <w:spacing w:after="0" w:line="240" w:lineRule="auto"/>
              <w:rPr>
                <w:rFonts w:eastAsia="Times New Roman"/>
              </w:rPr>
            </w:pPr>
            <w:r w:rsidRPr="00C0591E">
              <w:rPr>
                <w:rFonts w:eastAsia="Times New Roman"/>
              </w:rPr>
              <w:t>Government Regulation</w:t>
            </w:r>
          </w:p>
        </w:tc>
        <w:tc>
          <w:tcPr>
            <w:tcW w:w="875" w:type="pct"/>
            <w:tcBorders>
              <w:top w:val="nil"/>
              <w:left w:val="nil"/>
              <w:bottom w:val="nil"/>
              <w:right w:val="nil"/>
            </w:tcBorders>
            <w:shd w:val="clear" w:color="auto" w:fill="auto"/>
            <w:noWrap/>
            <w:vAlign w:val="bottom"/>
            <w:hideMark/>
          </w:tcPr>
          <w:p w14:paraId="39DB4F17" w14:textId="77777777" w:rsidR="005C174E" w:rsidRPr="00C0591E" w:rsidRDefault="005C174E" w:rsidP="005C174E">
            <w:pPr>
              <w:spacing w:after="0" w:line="240" w:lineRule="auto"/>
              <w:rPr>
                <w:rFonts w:eastAsia="Times New Roman"/>
              </w:rPr>
            </w:pPr>
            <w:r w:rsidRPr="00C0591E">
              <w:rPr>
                <w:rFonts w:eastAsia="Times New Roman"/>
              </w:rPr>
              <w:t>Pearson Correlation</w:t>
            </w:r>
          </w:p>
        </w:tc>
        <w:tc>
          <w:tcPr>
            <w:tcW w:w="598" w:type="pct"/>
            <w:tcBorders>
              <w:top w:val="nil"/>
              <w:left w:val="nil"/>
              <w:bottom w:val="nil"/>
              <w:right w:val="nil"/>
            </w:tcBorders>
            <w:shd w:val="clear" w:color="auto" w:fill="auto"/>
            <w:noWrap/>
            <w:vAlign w:val="bottom"/>
            <w:hideMark/>
          </w:tcPr>
          <w:p w14:paraId="2D75F049" w14:textId="77777777" w:rsidR="005C174E" w:rsidRPr="00C0591E" w:rsidRDefault="005C174E" w:rsidP="005C174E">
            <w:pPr>
              <w:spacing w:after="0" w:line="240" w:lineRule="auto"/>
              <w:jc w:val="center"/>
              <w:rPr>
                <w:rFonts w:eastAsia="Times New Roman"/>
              </w:rPr>
            </w:pPr>
            <w:r w:rsidRPr="00C0591E">
              <w:rPr>
                <w:rFonts w:eastAsia="Times New Roman"/>
              </w:rPr>
              <w:t>.759**</w:t>
            </w:r>
          </w:p>
        </w:tc>
        <w:tc>
          <w:tcPr>
            <w:tcW w:w="827" w:type="pct"/>
            <w:tcBorders>
              <w:top w:val="nil"/>
              <w:left w:val="nil"/>
              <w:bottom w:val="nil"/>
              <w:right w:val="nil"/>
            </w:tcBorders>
            <w:shd w:val="clear" w:color="auto" w:fill="auto"/>
            <w:noWrap/>
            <w:vAlign w:val="bottom"/>
            <w:hideMark/>
          </w:tcPr>
          <w:p w14:paraId="208FEC93" w14:textId="77777777" w:rsidR="005C174E" w:rsidRPr="00C0591E" w:rsidRDefault="005C174E" w:rsidP="005C174E">
            <w:pPr>
              <w:spacing w:after="0" w:line="240" w:lineRule="auto"/>
              <w:jc w:val="center"/>
              <w:rPr>
                <w:rFonts w:eastAsia="Times New Roman"/>
              </w:rPr>
            </w:pPr>
            <w:r w:rsidRPr="00C0591E">
              <w:rPr>
                <w:rFonts w:eastAsia="Times New Roman"/>
              </w:rPr>
              <w:t>.852**</w:t>
            </w:r>
          </w:p>
        </w:tc>
        <w:tc>
          <w:tcPr>
            <w:tcW w:w="804" w:type="pct"/>
            <w:tcBorders>
              <w:top w:val="nil"/>
              <w:left w:val="nil"/>
              <w:bottom w:val="nil"/>
              <w:right w:val="nil"/>
            </w:tcBorders>
            <w:shd w:val="clear" w:color="auto" w:fill="auto"/>
            <w:noWrap/>
            <w:vAlign w:val="bottom"/>
            <w:hideMark/>
          </w:tcPr>
          <w:p w14:paraId="4C7384E4" w14:textId="77777777" w:rsidR="005C174E" w:rsidRPr="00C0591E" w:rsidRDefault="005C174E" w:rsidP="005C174E">
            <w:pPr>
              <w:spacing w:after="0" w:line="240" w:lineRule="auto"/>
              <w:jc w:val="center"/>
              <w:rPr>
                <w:rFonts w:eastAsia="Times New Roman"/>
              </w:rPr>
            </w:pPr>
            <w:r w:rsidRPr="00C0591E">
              <w:rPr>
                <w:rFonts w:eastAsia="Times New Roman"/>
              </w:rPr>
              <w:t>.840**</w:t>
            </w:r>
          </w:p>
        </w:tc>
        <w:tc>
          <w:tcPr>
            <w:tcW w:w="976" w:type="pct"/>
            <w:tcBorders>
              <w:top w:val="nil"/>
              <w:left w:val="nil"/>
              <w:bottom w:val="nil"/>
              <w:right w:val="nil"/>
            </w:tcBorders>
            <w:shd w:val="clear" w:color="auto" w:fill="auto"/>
            <w:noWrap/>
            <w:vAlign w:val="bottom"/>
            <w:hideMark/>
          </w:tcPr>
          <w:p w14:paraId="06BDEF3B" w14:textId="77777777" w:rsidR="005C174E" w:rsidRPr="00C0591E" w:rsidRDefault="005C174E" w:rsidP="005C174E">
            <w:pPr>
              <w:spacing w:after="0" w:line="240" w:lineRule="auto"/>
              <w:jc w:val="center"/>
              <w:rPr>
                <w:rFonts w:eastAsia="Times New Roman"/>
              </w:rPr>
            </w:pPr>
            <w:r w:rsidRPr="00C0591E">
              <w:rPr>
                <w:rFonts w:eastAsia="Times New Roman"/>
              </w:rPr>
              <w:t>1.000</w:t>
            </w:r>
          </w:p>
        </w:tc>
      </w:tr>
      <w:tr w:rsidR="005C174E" w:rsidRPr="00C0591E" w14:paraId="2D50042E" w14:textId="77777777" w:rsidTr="005A2955">
        <w:trPr>
          <w:trHeight w:val="288"/>
        </w:trPr>
        <w:tc>
          <w:tcPr>
            <w:tcW w:w="920" w:type="pct"/>
            <w:tcBorders>
              <w:top w:val="nil"/>
              <w:left w:val="nil"/>
              <w:bottom w:val="single" w:sz="4" w:space="0" w:color="auto"/>
              <w:right w:val="nil"/>
            </w:tcBorders>
            <w:shd w:val="clear" w:color="auto" w:fill="auto"/>
            <w:noWrap/>
            <w:vAlign w:val="bottom"/>
            <w:hideMark/>
          </w:tcPr>
          <w:p w14:paraId="797FEBE9" w14:textId="77777777" w:rsidR="005C174E" w:rsidRPr="00C0591E" w:rsidRDefault="005C174E" w:rsidP="005C174E">
            <w:pPr>
              <w:spacing w:after="0" w:line="240" w:lineRule="auto"/>
              <w:rPr>
                <w:rFonts w:eastAsia="Times New Roman"/>
              </w:rPr>
            </w:pPr>
            <w:r w:rsidRPr="00C0591E">
              <w:rPr>
                <w:rFonts w:eastAsia="Times New Roman"/>
              </w:rPr>
              <w:t> </w:t>
            </w:r>
          </w:p>
        </w:tc>
        <w:tc>
          <w:tcPr>
            <w:tcW w:w="875" w:type="pct"/>
            <w:tcBorders>
              <w:top w:val="nil"/>
              <w:left w:val="nil"/>
              <w:bottom w:val="single" w:sz="4" w:space="0" w:color="auto"/>
              <w:right w:val="nil"/>
            </w:tcBorders>
            <w:shd w:val="clear" w:color="auto" w:fill="auto"/>
            <w:noWrap/>
            <w:vAlign w:val="bottom"/>
            <w:hideMark/>
          </w:tcPr>
          <w:p w14:paraId="3B8A3564" w14:textId="77777777" w:rsidR="005C174E" w:rsidRPr="00C0591E" w:rsidRDefault="005C174E" w:rsidP="005C174E">
            <w:pPr>
              <w:spacing w:after="0" w:line="240" w:lineRule="auto"/>
              <w:rPr>
                <w:rFonts w:eastAsia="Times New Roman"/>
              </w:rPr>
            </w:pPr>
            <w:r w:rsidRPr="00C0591E">
              <w:rPr>
                <w:rFonts w:eastAsia="Times New Roman"/>
              </w:rPr>
              <w:t>Sig. (2-tailed)</w:t>
            </w:r>
          </w:p>
        </w:tc>
        <w:tc>
          <w:tcPr>
            <w:tcW w:w="598" w:type="pct"/>
            <w:tcBorders>
              <w:top w:val="nil"/>
              <w:left w:val="nil"/>
              <w:bottom w:val="single" w:sz="4" w:space="0" w:color="auto"/>
              <w:right w:val="nil"/>
            </w:tcBorders>
            <w:shd w:val="clear" w:color="auto" w:fill="auto"/>
            <w:noWrap/>
            <w:vAlign w:val="bottom"/>
            <w:hideMark/>
          </w:tcPr>
          <w:p w14:paraId="402F1EF6" w14:textId="77777777" w:rsidR="005C174E" w:rsidRPr="00C0591E" w:rsidRDefault="005C174E" w:rsidP="005C174E">
            <w:pPr>
              <w:spacing w:after="0" w:line="240" w:lineRule="auto"/>
              <w:jc w:val="center"/>
              <w:rPr>
                <w:rFonts w:eastAsia="Times New Roman"/>
              </w:rPr>
            </w:pPr>
            <w:r w:rsidRPr="00C0591E">
              <w:rPr>
                <w:rFonts w:eastAsia="Times New Roman"/>
              </w:rPr>
              <w:t>0.000</w:t>
            </w:r>
          </w:p>
        </w:tc>
        <w:tc>
          <w:tcPr>
            <w:tcW w:w="827" w:type="pct"/>
            <w:tcBorders>
              <w:top w:val="nil"/>
              <w:left w:val="nil"/>
              <w:bottom w:val="single" w:sz="4" w:space="0" w:color="auto"/>
              <w:right w:val="nil"/>
            </w:tcBorders>
            <w:shd w:val="clear" w:color="auto" w:fill="auto"/>
            <w:noWrap/>
            <w:vAlign w:val="bottom"/>
            <w:hideMark/>
          </w:tcPr>
          <w:p w14:paraId="6AC390D7" w14:textId="77777777" w:rsidR="005C174E" w:rsidRPr="00C0591E" w:rsidRDefault="005C174E" w:rsidP="005C174E">
            <w:pPr>
              <w:spacing w:after="0" w:line="240" w:lineRule="auto"/>
              <w:jc w:val="center"/>
              <w:rPr>
                <w:rFonts w:eastAsia="Times New Roman"/>
              </w:rPr>
            </w:pPr>
            <w:r w:rsidRPr="00C0591E">
              <w:rPr>
                <w:rFonts w:eastAsia="Times New Roman"/>
              </w:rPr>
              <w:t>0.000</w:t>
            </w:r>
          </w:p>
        </w:tc>
        <w:tc>
          <w:tcPr>
            <w:tcW w:w="804" w:type="pct"/>
            <w:tcBorders>
              <w:top w:val="nil"/>
              <w:left w:val="nil"/>
              <w:bottom w:val="single" w:sz="4" w:space="0" w:color="auto"/>
              <w:right w:val="nil"/>
            </w:tcBorders>
            <w:shd w:val="clear" w:color="auto" w:fill="auto"/>
            <w:noWrap/>
            <w:vAlign w:val="bottom"/>
            <w:hideMark/>
          </w:tcPr>
          <w:p w14:paraId="6B988143" w14:textId="77777777" w:rsidR="005C174E" w:rsidRPr="00C0591E" w:rsidRDefault="005C174E" w:rsidP="005C174E">
            <w:pPr>
              <w:spacing w:after="0" w:line="240" w:lineRule="auto"/>
              <w:jc w:val="center"/>
              <w:rPr>
                <w:rFonts w:eastAsia="Times New Roman"/>
              </w:rPr>
            </w:pPr>
            <w:r w:rsidRPr="00C0591E">
              <w:rPr>
                <w:rFonts w:eastAsia="Times New Roman"/>
              </w:rPr>
              <w:t>0.000</w:t>
            </w:r>
          </w:p>
        </w:tc>
        <w:tc>
          <w:tcPr>
            <w:tcW w:w="976" w:type="pct"/>
            <w:tcBorders>
              <w:top w:val="nil"/>
              <w:left w:val="nil"/>
              <w:bottom w:val="single" w:sz="4" w:space="0" w:color="auto"/>
              <w:right w:val="nil"/>
            </w:tcBorders>
            <w:shd w:val="clear" w:color="auto" w:fill="auto"/>
            <w:noWrap/>
            <w:vAlign w:val="bottom"/>
            <w:hideMark/>
          </w:tcPr>
          <w:p w14:paraId="54A3DC87" w14:textId="2A33809B" w:rsidR="005C174E" w:rsidRPr="00C0591E" w:rsidRDefault="005C174E" w:rsidP="005C174E">
            <w:pPr>
              <w:spacing w:after="0" w:line="240" w:lineRule="auto"/>
              <w:jc w:val="center"/>
              <w:rPr>
                <w:rFonts w:eastAsia="Times New Roman"/>
              </w:rPr>
            </w:pPr>
          </w:p>
        </w:tc>
      </w:tr>
    </w:tbl>
    <w:p w14:paraId="134810CD" w14:textId="2A377183" w:rsidR="00212CF7" w:rsidRPr="00C0591E" w:rsidRDefault="00212CF7" w:rsidP="0027404A">
      <w:pPr>
        <w:rPr>
          <w:lang w:val="en-GB"/>
        </w:rPr>
      </w:pPr>
    </w:p>
    <w:p w14:paraId="596D6F1C" w14:textId="5494C574" w:rsidR="00F06C39" w:rsidRPr="00C0591E" w:rsidRDefault="00191F36" w:rsidP="008425EC">
      <w:r w:rsidRPr="00C0591E">
        <w:t>The results in Table 22</w:t>
      </w:r>
      <w:r w:rsidR="00F06C39" w:rsidRPr="00C0591E">
        <w:t xml:space="preserve"> indicated that </w:t>
      </w:r>
      <w:r w:rsidR="00173C67">
        <w:t>pillars of corporate governance</w:t>
      </w:r>
      <w:r w:rsidR="00B13762" w:rsidRPr="00C0591E">
        <w:t xml:space="preserve"> </w:t>
      </w:r>
      <w:r w:rsidR="00F06C39" w:rsidRPr="00C0591E">
        <w:t xml:space="preserve">was positively and significantly associated to </w:t>
      </w:r>
      <w:r w:rsidR="005A2955" w:rsidRPr="00C0591E">
        <w:t xml:space="preserve">performance of pension fund managers </w:t>
      </w:r>
      <w:r w:rsidR="00F06C39" w:rsidRPr="00C0591E">
        <w:t xml:space="preserve">(r= </w:t>
      </w:r>
      <w:r w:rsidR="005A2955" w:rsidRPr="00C0591E">
        <w:t>0</w:t>
      </w:r>
      <w:r w:rsidR="005A2955" w:rsidRPr="00C0591E">
        <w:rPr>
          <w:rFonts w:eastAsia="Times New Roman"/>
        </w:rPr>
        <w:t>.743**</w:t>
      </w:r>
      <w:r w:rsidR="00F06C39" w:rsidRPr="00C0591E">
        <w:t xml:space="preserve">, p=0.00&lt;0.05). This implied that since </w:t>
      </w:r>
      <w:r w:rsidR="00173C67">
        <w:t>pillars of corporate governance</w:t>
      </w:r>
      <w:r w:rsidR="005A2955" w:rsidRPr="00C0591E">
        <w:t xml:space="preserve"> </w:t>
      </w:r>
      <w:r w:rsidR="00F06C39" w:rsidRPr="00C0591E">
        <w:t xml:space="preserve">had a positive and significant effect thus an improvement </w:t>
      </w:r>
      <w:r w:rsidR="00C813FD" w:rsidRPr="00C0591E">
        <w:t>would</w:t>
      </w:r>
      <w:r w:rsidR="00F06C39" w:rsidRPr="00C0591E">
        <w:t xml:space="preserve"> lead to improvement in </w:t>
      </w:r>
      <w:r w:rsidR="005A2955" w:rsidRPr="00C0591E">
        <w:t>performance of pension fund managers</w:t>
      </w:r>
      <w:r w:rsidR="00F06C39" w:rsidRPr="00C0591E">
        <w:t xml:space="preserve">. </w:t>
      </w:r>
      <w:r w:rsidR="005A2955" w:rsidRPr="00C0591E">
        <w:t xml:space="preserve">Investment policies </w:t>
      </w:r>
      <w:r w:rsidR="00F06C39" w:rsidRPr="00C0591E">
        <w:t xml:space="preserve">was positively and significantly associated to </w:t>
      </w:r>
      <w:r w:rsidR="005A2955" w:rsidRPr="00C0591E">
        <w:t xml:space="preserve">performance of pension fund managers </w:t>
      </w:r>
      <w:r w:rsidR="00F06C39" w:rsidRPr="00C0591E">
        <w:t xml:space="preserve">(r= </w:t>
      </w:r>
      <w:r w:rsidR="005A2955" w:rsidRPr="00C0591E">
        <w:t>0</w:t>
      </w:r>
      <w:r w:rsidR="005A2955" w:rsidRPr="00C0591E">
        <w:rPr>
          <w:rFonts w:eastAsia="Times New Roman"/>
        </w:rPr>
        <w:t>.728**</w:t>
      </w:r>
      <w:r w:rsidR="00F06C39" w:rsidRPr="00C0591E">
        <w:t xml:space="preserve">, p=0.00&lt;0.05). This </w:t>
      </w:r>
      <w:r w:rsidR="008425EC" w:rsidRPr="00C0591E">
        <w:t>meant</w:t>
      </w:r>
      <w:r w:rsidR="00F06C39" w:rsidRPr="00C0591E">
        <w:t xml:space="preserve"> that since </w:t>
      </w:r>
      <w:r w:rsidR="005A2955" w:rsidRPr="00C0591E">
        <w:t xml:space="preserve">Investment policies </w:t>
      </w:r>
      <w:r w:rsidR="00F06C39" w:rsidRPr="00C0591E">
        <w:t xml:space="preserve">had a positive and significant effect thus its improvement </w:t>
      </w:r>
      <w:r w:rsidR="00C813FD" w:rsidRPr="00C0591E">
        <w:t>would</w:t>
      </w:r>
      <w:r w:rsidR="00F06C39" w:rsidRPr="00C0591E">
        <w:t xml:space="preserve"> lead to improvement in </w:t>
      </w:r>
      <w:r w:rsidR="005A2955" w:rsidRPr="00C0591E">
        <w:t>performance of pension fund managers</w:t>
      </w:r>
      <w:r w:rsidR="00F06C39" w:rsidRPr="00C0591E">
        <w:t xml:space="preserve">. Lastly, </w:t>
      </w:r>
      <w:r w:rsidR="005A2955" w:rsidRPr="00C0591E">
        <w:t xml:space="preserve">Government regulation </w:t>
      </w:r>
      <w:r w:rsidR="00F06C39" w:rsidRPr="00C0591E">
        <w:t xml:space="preserve">was positively and significantly associated to </w:t>
      </w:r>
      <w:r w:rsidR="005A2955" w:rsidRPr="00C0591E">
        <w:t xml:space="preserve">performance of pension fund managers </w:t>
      </w:r>
      <w:r w:rsidR="00F06C39" w:rsidRPr="00C0591E">
        <w:t xml:space="preserve">(r= </w:t>
      </w:r>
      <w:r w:rsidR="005A2955" w:rsidRPr="00C0591E">
        <w:t>0</w:t>
      </w:r>
      <w:r w:rsidR="005A2955" w:rsidRPr="00C0591E">
        <w:rPr>
          <w:rFonts w:eastAsia="Times New Roman"/>
        </w:rPr>
        <w:t>.759**</w:t>
      </w:r>
      <w:r w:rsidR="00F06C39" w:rsidRPr="00C0591E">
        <w:t xml:space="preserve">, p=0.00&lt;0.05). This </w:t>
      </w:r>
      <w:r w:rsidR="008425EC" w:rsidRPr="00C0591E">
        <w:t>was an indication</w:t>
      </w:r>
      <w:r w:rsidR="00F06C39" w:rsidRPr="00C0591E">
        <w:t xml:space="preserve"> that an improvement in </w:t>
      </w:r>
      <w:r w:rsidR="005A2955" w:rsidRPr="00C0591E">
        <w:t xml:space="preserve">Government regulations </w:t>
      </w:r>
      <w:r w:rsidR="00F06C39" w:rsidRPr="00C0591E">
        <w:t xml:space="preserve">will lead to improvement in </w:t>
      </w:r>
      <w:r w:rsidR="005A2955" w:rsidRPr="00C0591E">
        <w:t>performance of pension fund managers</w:t>
      </w:r>
      <w:r w:rsidR="00F06C39" w:rsidRPr="00C0591E">
        <w:t xml:space="preserve">. In addition, this was an indication that </w:t>
      </w:r>
      <w:r w:rsidR="00173C67">
        <w:t>pillars of corporate governance</w:t>
      </w:r>
      <w:r w:rsidR="005A2955" w:rsidRPr="00C0591E">
        <w:t xml:space="preserve">, investment policies and Government regulations </w:t>
      </w:r>
      <w:r w:rsidR="00F06C39" w:rsidRPr="00C0591E">
        <w:t xml:space="preserve">portrayed a strong connection with and </w:t>
      </w:r>
      <w:r w:rsidR="005A2955" w:rsidRPr="00C0591E">
        <w:t>performance of pension fund managers</w:t>
      </w:r>
      <w:r w:rsidR="00F06C39" w:rsidRPr="00C0591E">
        <w:t>.</w:t>
      </w:r>
    </w:p>
    <w:p w14:paraId="6CE41352" w14:textId="77777777" w:rsidR="005A2955" w:rsidRPr="00C0591E" w:rsidRDefault="005A2955" w:rsidP="005A2955">
      <w:pPr>
        <w:pStyle w:val="Heading2"/>
      </w:pPr>
      <w:bookmarkStart w:id="258" w:name="_Toc10827072"/>
      <w:bookmarkStart w:id="259" w:name="_Toc20424355"/>
      <w:bookmarkStart w:id="260" w:name="_Toc39669973"/>
      <w:bookmarkStart w:id="261" w:name="_Toc46240567"/>
      <w:bookmarkStart w:id="262" w:name="_Toc113125111"/>
      <w:r w:rsidRPr="00C0591E">
        <w:t>4.7 Hypotheses Testing</w:t>
      </w:r>
      <w:bookmarkEnd w:id="258"/>
      <w:bookmarkEnd w:id="259"/>
      <w:bookmarkEnd w:id="260"/>
      <w:bookmarkEnd w:id="261"/>
      <w:bookmarkEnd w:id="262"/>
    </w:p>
    <w:p w14:paraId="04C62096" w14:textId="665758EE" w:rsidR="005A2955" w:rsidRPr="00C0591E" w:rsidRDefault="005A2955" w:rsidP="005A2955">
      <w:pPr>
        <w:rPr>
          <w:color w:val="FF0000"/>
        </w:rPr>
      </w:pPr>
      <w:r w:rsidRPr="00C0591E">
        <w:t xml:space="preserve">This section presents the findings of tests of hypotheses of the study. The hypotheses describe the relationship between variables of the study as conceptualized and presented in the conceptual model. The study focused on four objectives and four corresponding hypotheses. The hypotheses which were tested related to the influence of </w:t>
      </w:r>
      <w:r w:rsidR="00173C67">
        <w:t>pillars of corporate governance</w:t>
      </w:r>
      <w:r w:rsidRPr="00C0591E">
        <w:t xml:space="preserve"> (independent variable) on </w:t>
      </w:r>
      <w:r w:rsidRPr="00C0591E">
        <w:rPr>
          <w:szCs w:val="24"/>
        </w:rPr>
        <w:t xml:space="preserve">performance of pension fund managers </w:t>
      </w:r>
      <w:r w:rsidRPr="00C0591E">
        <w:t xml:space="preserve">(dependent variable); </w:t>
      </w:r>
      <w:r w:rsidR="00392C54" w:rsidRPr="00C0591E">
        <w:t xml:space="preserve">the intervening effect of investment policies on the relationship between </w:t>
      </w:r>
      <w:r w:rsidR="00173C67">
        <w:t>pillars of corporate governance</w:t>
      </w:r>
      <w:r w:rsidR="00392C54" w:rsidRPr="00C0591E">
        <w:t xml:space="preserve"> and performance of pension fund managers in Kenya</w:t>
      </w:r>
      <w:r w:rsidRPr="00C0591E">
        <w:t xml:space="preserve">; </w:t>
      </w:r>
      <w:r w:rsidR="00392C54" w:rsidRPr="00C0591E">
        <w:t xml:space="preserve">the moderating effect of government regulations on the relationship between </w:t>
      </w:r>
      <w:r w:rsidR="00173C67">
        <w:t>pillars of corporate governance</w:t>
      </w:r>
      <w:r w:rsidR="00392C54" w:rsidRPr="00C0591E">
        <w:t xml:space="preserve"> and performance of pension fund managers in Kenya</w:t>
      </w:r>
      <w:r w:rsidRPr="00C0591E">
        <w:t>; and establishing</w:t>
      </w:r>
      <w:r w:rsidR="00392C54" w:rsidRPr="00C0591E">
        <w:t xml:space="preserve"> if</w:t>
      </w:r>
      <w:r w:rsidRPr="00C0591E">
        <w:t xml:space="preserve"> the </w:t>
      </w:r>
      <w:r w:rsidR="006124BD" w:rsidRPr="00C0591E">
        <w:t xml:space="preserve">moderation - mediator effect on the relationship between </w:t>
      </w:r>
      <w:r w:rsidR="00173C67">
        <w:t>pillars of corporate governance</w:t>
      </w:r>
      <w:r w:rsidR="006124BD" w:rsidRPr="00C0591E">
        <w:t xml:space="preserve"> and performance of pension fund managers in Kenya</w:t>
      </w:r>
      <w:r w:rsidRPr="00C0591E">
        <w:t>.</w:t>
      </w:r>
      <w:r w:rsidRPr="00C0591E">
        <w:rPr>
          <w:color w:val="FF0000"/>
        </w:rPr>
        <w:t xml:space="preserve"> </w:t>
      </w:r>
    </w:p>
    <w:p w14:paraId="3FDCCE45" w14:textId="4EB223E0" w:rsidR="005A2955" w:rsidRPr="00C0591E" w:rsidRDefault="005A2955" w:rsidP="00392C54">
      <w:r w:rsidRPr="00C0591E">
        <w:t xml:space="preserve">The first hypothesis was tested using simple regression model. While the second and third hypotheses for mediation and moderation models respectively were tested using </w:t>
      </w:r>
      <w:r w:rsidRPr="00C0591E">
        <w:rPr>
          <w:color w:val="000000"/>
          <w:szCs w:val="24"/>
        </w:rPr>
        <w:t>stepwise regression as suggested by Baron and Kenny (1986). Lastly, the fourth hypothesis was tested using step wise simple regression models with the last step being a multiple regression model.</w:t>
      </w:r>
      <w:r w:rsidRPr="00C0591E">
        <w:rPr>
          <w:color w:val="000000"/>
        </w:rPr>
        <w:t xml:space="preserve"> The tests were done at 5% significance level (α = 0.05). The evaluation focused on the hypotheses derived from the objectives of the study.</w:t>
      </w:r>
    </w:p>
    <w:p w14:paraId="14E1F440" w14:textId="75CB84E6" w:rsidR="005A2955" w:rsidRPr="00C0591E" w:rsidRDefault="005A2955" w:rsidP="005A2955">
      <w:pPr>
        <w:pStyle w:val="Heading3"/>
      </w:pPr>
      <w:bookmarkStart w:id="263" w:name="_Toc10827073"/>
      <w:bookmarkStart w:id="264" w:name="_Toc20424356"/>
      <w:bookmarkStart w:id="265" w:name="_Toc22319984"/>
      <w:r w:rsidRPr="00C0591E">
        <w:t xml:space="preserve">4.7.1 </w:t>
      </w:r>
      <w:bookmarkEnd w:id="263"/>
      <w:bookmarkEnd w:id="264"/>
      <w:r w:rsidR="00173C67">
        <w:t>Pillars of corporate governance</w:t>
      </w:r>
      <w:r w:rsidRPr="00C0591E">
        <w:t xml:space="preserve"> and </w:t>
      </w:r>
      <w:bookmarkEnd w:id="265"/>
      <w:r w:rsidRPr="00C0591E">
        <w:t xml:space="preserve">Performance </w:t>
      </w:r>
      <w:r w:rsidR="00CD4DEC" w:rsidRPr="00C0591E">
        <w:t xml:space="preserve">of </w:t>
      </w:r>
      <w:r w:rsidR="00392C54" w:rsidRPr="00C0591E">
        <w:t>Pension Fund Managers</w:t>
      </w:r>
    </w:p>
    <w:p w14:paraId="22B83614" w14:textId="5243CEEB" w:rsidR="00CD4DEC" w:rsidRPr="00C0591E" w:rsidRDefault="00CD4DEC" w:rsidP="00CD4DEC">
      <w:r w:rsidRPr="00C0591E">
        <w:t xml:space="preserve">The first objective of the study was to establish the relationship between </w:t>
      </w:r>
      <w:r w:rsidR="00173C67">
        <w:t>pillars of corporate governance</w:t>
      </w:r>
      <w:r w:rsidRPr="00C0591E">
        <w:t xml:space="preserve"> and performance </w:t>
      </w:r>
      <w:r w:rsidR="0081009E" w:rsidRPr="00C0591E">
        <w:t xml:space="preserve">of </w:t>
      </w:r>
      <w:r w:rsidRPr="00C0591E">
        <w:t>pension fund managers. A simple regression model was used to test the statistical significance of the independent variable (</w:t>
      </w:r>
      <w:r w:rsidR="00173C67">
        <w:t>pillars of corporate governance</w:t>
      </w:r>
      <w:r w:rsidRPr="00C0591E">
        <w:t xml:space="preserve">) on the dependent variable (performance) of pension fund managers in Kenya. </w:t>
      </w:r>
      <w:r w:rsidRPr="00C0591E">
        <w:rPr>
          <w:color w:val="000000"/>
        </w:rPr>
        <w:t>The first hypothesis stated in the null form is as follows:</w:t>
      </w:r>
    </w:p>
    <w:p w14:paraId="5EB97AC0" w14:textId="135CAEF9" w:rsidR="00CD4DEC" w:rsidRPr="00C0591E" w:rsidRDefault="00CD4DEC" w:rsidP="00CD4DEC">
      <w:pPr>
        <w:rPr>
          <w:rFonts w:cs="Times New Roman"/>
          <w:b/>
          <w:szCs w:val="24"/>
        </w:rPr>
      </w:pPr>
      <w:r w:rsidRPr="00C0591E">
        <w:rPr>
          <w:rFonts w:eastAsia="Times New Roman"/>
          <w:b/>
          <w:szCs w:val="24"/>
        </w:rPr>
        <w:t>H</w:t>
      </w:r>
      <w:r w:rsidRPr="00C0591E">
        <w:rPr>
          <w:rFonts w:eastAsia="Times New Roman"/>
          <w:b/>
          <w:szCs w:val="24"/>
          <w:vertAlign w:val="subscript"/>
        </w:rPr>
        <w:t>01</w:t>
      </w:r>
      <w:r w:rsidRPr="00C0591E">
        <w:rPr>
          <w:rFonts w:eastAsia="Times New Roman"/>
          <w:b/>
          <w:szCs w:val="24"/>
        </w:rPr>
        <w:t xml:space="preserve">: There is no significant relationship between </w:t>
      </w:r>
      <w:r w:rsidR="00173C67">
        <w:rPr>
          <w:rFonts w:eastAsia="Times New Roman"/>
          <w:b/>
          <w:szCs w:val="24"/>
        </w:rPr>
        <w:t>pillars of corporate governance</w:t>
      </w:r>
      <w:r w:rsidRPr="00C0591E">
        <w:rPr>
          <w:rFonts w:eastAsia="Times New Roman"/>
          <w:b/>
          <w:szCs w:val="24"/>
        </w:rPr>
        <w:t xml:space="preserve"> and </w:t>
      </w:r>
      <w:r w:rsidRPr="00C0591E">
        <w:rPr>
          <w:rFonts w:cs="Times New Roman"/>
          <w:b/>
          <w:szCs w:val="24"/>
        </w:rPr>
        <w:t>performance of pension fund managers in Kenya.</w:t>
      </w:r>
    </w:p>
    <w:p w14:paraId="04F54B54" w14:textId="6A2D4E56" w:rsidR="00CD4DEC" w:rsidRPr="00C0591E" w:rsidRDefault="00CD4DEC" w:rsidP="00993FDE">
      <w:pPr>
        <w:rPr>
          <w:color w:val="000000"/>
        </w:rPr>
      </w:pPr>
      <w:r w:rsidRPr="00C0591E">
        <w:rPr>
          <w:color w:val="000000"/>
        </w:rPr>
        <w:t xml:space="preserve">Hypothesis 1 sought to establish the relationship between </w:t>
      </w:r>
      <w:r w:rsidR="00173C67">
        <w:rPr>
          <w:color w:val="000000"/>
        </w:rPr>
        <w:t>pillars of corporate governance</w:t>
      </w:r>
      <w:r w:rsidR="00A0371A" w:rsidRPr="00A0371A">
        <w:rPr>
          <w:color w:val="000000"/>
        </w:rPr>
        <w:t xml:space="preserve"> </w:t>
      </w:r>
      <w:r w:rsidRPr="00C0591E">
        <w:rPr>
          <w:color w:val="000000"/>
        </w:rPr>
        <w:t xml:space="preserve">and </w:t>
      </w:r>
      <w:r w:rsidR="00A50A1A" w:rsidRPr="00C0591E">
        <w:rPr>
          <w:color w:val="000000"/>
        </w:rPr>
        <w:t>performance of pension fund managers in Kenya</w:t>
      </w:r>
      <w:r w:rsidRPr="00C0591E">
        <w:rPr>
          <w:color w:val="000000"/>
        </w:rPr>
        <w:t xml:space="preserve">. </w:t>
      </w:r>
    </w:p>
    <w:p w14:paraId="7240D00B" w14:textId="682C07FD" w:rsidR="0015383C" w:rsidRPr="00C0591E" w:rsidRDefault="0015383C" w:rsidP="006529EE">
      <w:pPr>
        <w:pStyle w:val="Heading4"/>
      </w:pPr>
      <w:bookmarkStart w:id="266" w:name="_Toc495325788"/>
      <w:bookmarkStart w:id="267" w:name="_Toc511923153"/>
      <w:bookmarkStart w:id="268" w:name="_Toc514179841"/>
      <w:bookmarkStart w:id="269" w:name="_Toc534903915"/>
      <w:bookmarkStart w:id="270" w:name="_Toc7534702"/>
      <w:bookmarkStart w:id="271" w:name="_Toc13905808"/>
      <w:bookmarkStart w:id="272" w:name="_Toc39670030"/>
      <w:bookmarkStart w:id="273" w:name="_Toc46234226"/>
      <w:bookmarkStart w:id="274" w:name="_Toc113125158"/>
      <w:r w:rsidRPr="00C0591E">
        <w:t xml:space="preserve">Table </w:t>
      </w:r>
      <w:r w:rsidR="00191F36" w:rsidRPr="00C0591E">
        <w:t>23</w:t>
      </w:r>
      <w:r w:rsidRPr="00C0591E">
        <w:t>: Model Fitness</w:t>
      </w:r>
      <w:bookmarkEnd w:id="266"/>
      <w:bookmarkEnd w:id="267"/>
      <w:r w:rsidRPr="00C0591E">
        <w:t xml:space="preserve"> for </w:t>
      </w:r>
      <w:bookmarkEnd w:id="268"/>
      <w:bookmarkEnd w:id="269"/>
      <w:bookmarkEnd w:id="270"/>
      <w:bookmarkEnd w:id="271"/>
      <w:bookmarkEnd w:id="272"/>
      <w:bookmarkEnd w:id="273"/>
      <w:r w:rsidR="00173C67">
        <w:t>Pillars of corporate governance</w:t>
      </w:r>
      <w:r w:rsidRPr="00C0591E">
        <w:t xml:space="preserve"> and Performance</w:t>
      </w:r>
      <w:bookmarkEnd w:id="274"/>
      <w:r w:rsidRPr="00C0591E">
        <w:t xml:space="preserve"> </w:t>
      </w:r>
    </w:p>
    <w:tbl>
      <w:tblPr>
        <w:tblW w:w="5000" w:type="pct"/>
        <w:tblLook w:val="04A0" w:firstRow="1" w:lastRow="0" w:firstColumn="1" w:lastColumn="0" w:noHBand="0" w:noVBand="1"/>
      </w:tblPr>
      <w:tblGrid>
        <w:gridCol w:w="1320"/>
        <w:gridCol w:w="1320"/>
        <w:gridCol w:w="1320"/>
        <w:gridCol w:w="2177"/>
        <w:gridCol w:w="2889"/>
      </w:tblGrid>
      <w:tr w:rsidR="00392C54" w:rsidRPr="00C0591E" w14:paraId="79CE1280" w14:textId="77777777" w:rsidTr="0015383C">
        <w:trPr>
          <w:trHeight w:val="288"/>
        </w:trPr>
        <w:tc>
          <w:tcPr>
            <w:tcW w:w="731" w:type="pct"/>
            <w:tcBorders>
              <w:top w:val="single" w:sz="4" w:space="0" w:color="auto"/>
              <w:left w:val="nil"/>
              <w:bottom w:val="single" w:sz="4" w:space="0" w:color="auto"/>
              <w:right w:val="nil"/>
            </w:tcBorders>
            <w:shd w:val="clear" w:color="auto" w:fill="auto"/>
            <w:noWrap/>
            <w:vAlign w:val="bottom"/>
            <w:hideMark/>
          </w:tcPr>
          <w:p w14:paraId="0E23A7C7" w14:textId="77777777" w:rsidR="00392C54" w:rsidRPr="00C0591E" w:rsidRDefault="00392C54" w:rsidP="00392C54">
            <w:pPr>
              <w:spacing w:line="240" w:lineRule="auto"/>
              <w:rPr>
                <w:rFonts w:eastAsia="Times New Roman"/>
                <w:b/>
              </w:rPr>
            </w:pPr>
            <w:r w:rsidRPr="00C0591E">
              <w:rPr>
                <w:rFonts w:eastAsia="Times New Roman"/>
                <w:b/>
              </w:rPr>
              <w:t>Model</w:t>
            </w:r>
          </w:p>
        </w:tc>
        <w:tc>
          <w:tcPr>
            <w:tcW w:w="731" w:type="pct"/>
            <w:tcBorders>
              <w:top w:val="single" w:sz="4" w:space="0" w:color="auto"/>
              <w:left w:val="nil"/>
              <w:bottom w:val="single" w:sz="4" w:space="0" w:color="auto"/>
              <w:right w:val="nil"/>
            </w:tcBorders>
            <w:shd w:val="clear" w:color="auto" w:fill="auto"/>
            <w:noWrap/>
            <w:vAlign w:val="bottom"/>
            <w:hideMark/>
          </w:tcPr>
          <w:p w14:paraId="08E84886" w14:textId="77777777" w:rsidR="00392C54" w:rsidRPr="00C0591E" w:rsidRDefault="00392C54" w:rsidP="00392C54">
            <w:pPr>
              <w:spacing w:line="240" w:lineRule="auto"/>
              <w:jc w:val="center"/>
              <w:rPr>
                <w:rFonts w:eastAsia="Times New Roman"/>
                <w:b/>
              </w:rPr>
            </w:pPr>
            <w:r w:rsidRPr="00C0591E">
              <w:rPr>
                <w:rFonts w:eastAsia="Times New Roman"/>
                <w:b/>
              </w:rPr>
              <w:t>R</w:t>
            </w:r>
          </w:p>
        </w:tc>
        <w:tc>
          <w:tcPr>
            <w:tcW w:w="731" w:type="pct"/>
            <w:tcBorders>
              <w:top w:val="single" w:sz="4" w:space="0" w:color="auto"/>
              <w:left w:val="nil"/>
              <w:bottom w:val="single" w:sz="4" w:space="0" w:color="auto"/>
              <w:right w:val="nil"/>
            </w:tcBorders>
            <w:shd w:val="clear" w:color="auto" w:fill="auto"/>
            <w:noWrap/>
            <w:vAlign w:val="bottom"/>
            <w:hideMark/>
          </w:tcPr>
          <w:p w14:paraId="5232FE3E" w14:textId="77777777" w:rsidR="00392C54" w:rsidRPr="00C0591E" w:rsidRDefault="00392C54" w:rsidP="00392C54">
            <w:pPr>
              <w:spacing w:line="240" w:lineRule="auto"/>
              <w:jc w:val="center"/>
              <w:rPr>
                <w:rFonts w:eastAsia="Times New Roman"/>
                <w:b/>
              </w:rPr>
            </w:pPr>
            <w:r w:rsidRPr="00C0591E">
              <w:rPr>
                <w:rFonts w:eastAsia="Times New Roman"/>
                <w:b/>
              </w:rPr>
              <w:t>R Square</w:t>
            </w:r>
          </w:p>
        </w:tc>
        <w:tc>
          <w:tcPr>
            <w:tcW w:w="1206" w:type="pct"/>
            <w:tcBorders>
              <w:top w:val="single" w:sz="4" w:space="0" w:color="auto"/>
              <w:left w:val="nil"/>
              <w:bottom w:val="single" w:sz="4" w:space="0" w:color="auto"/>
              <w:right w:val="nil"/>
            </w:tcBorders>
            <w:shd w:val="clear" w:color="auto" w:fill="auto"/>
            <w:noWrap/>
            <w:vAlign w:val="bottom"/>
            <w:hideMark/>
          </w:tcPr>
          <w:p w14:paraId="095067E5" w14:textId="77777777" w:rsidR="00392C54" w:rsidRPr="00C0591E" w:rsidRDefault="00392C54" w:rsidP="00392C54">
            <w:pPr>
              <w:spacing w:line="240" w:lineRule="auto"/>
              <w:jc w:val="center"/>
              <w:rPr>
                <w:rFonts w:eastAsia="Times New Roman"/>
                <w:b/>
              </w:rPr>
            </w:pPr>
            <w:r w:rsidRPr="00C0591E">
              <w:rPr>
                <w:rFonts w:eastAsia="Times New Roman"/>
                <w:b/>
              </w:rPr>
              <w:t>Adjusted R Square</w:t>
            </w:r>
          </w:p>
        </w:tc>
        <w:tc>
          <w:tcPr>
            <w:tcW w:w="1600" w:type="pct"/>
            <w:tcBorders>
              <w:top w:val="single" w:sz="4" w:space="0" w:color="auto"/>
              <w:left w:val="nil"/>
              <w:bottom w:val="single" w:sz="4" w:space="0" w:color="auto"/>
              <w:right w:val="nil"/>
            </w:tcBorders>
            <w:shd w:val="clear" w:color="auto" w:fill="auto"/>
            <w:noWrap/>
            <w:vAlign w:val="bottom"/>
            <w:hideMark/>
          </w:tcPr>
          <w:p w14:paraId="6CAE67B9" w14:textId="77777777" w:rsidR="00392C54" w:rsidRPr="00C0591E" w:rsidRDefault="00392C54" w:rsidP="00392C54">
            <w:pPr>
              <w:spacing w:line="240" w:lineRule="auto"/>
              <w:jc w:val="center"/>
              <w:rPr>
                <w:rFonts w:eastAsia="Times New Roman"/>
                <w:b/>
              </w:rPr>
            </w:pPr>
            <w:r w:rsidRPr="00C0591E">
              <w:rPr>
                <w:rFonts w:eastAsia="Times New Roman"/>
                <w:b/>
              </w:rPr>
              <w:t>Std. Error of the Estimate</w:t>
            </w:r>
          </w:p>
        </w:tc>
      </w:tr>
      <w:tr w:rsidR="00392C54" w:rsidRPr="00C0591E" w14:paraId="34EB130C" w14:textId="77777777" w:rsidTr="0015383C">
        <w:trPr>
          <w:trHeight w:val="288"/>
        </w:trPr>
        <w:tc>
          <w:tcPr>
            <w:tcW w:w="731" w:type="pct"/>
            <w:tcBorders>
              <w:top w:val="nil"/>
              <w:left w:val="nil"/>
              <w:bottom w:val="single" w:sz="4" w:space="0" w:color="auto"/>
              <w:right w:val="nil"/>
            </w:tcBorders>
            <w:shd w:val="clear" w:color="auto" w:fill="auto"/>
            <w:noWrap/>
            <w:vAlign w:val="bottom"/>
            <w:hideMark/>
          </w:tcPr>
          <w:p w14:paraId="71A8A0B9" w14:textId="77777777" w:rsidR="00392C54" w:rsidRPr="00C0591E" w:rsidRDefault="00392C54" w:rsidP="00392C54">
            <w:pPr>
              <w:spacing w:line="240" w:lineRule="auto"/>
              <w:rPr>
                <w:rFonts w:eastAsia="Times New Roman"/>
              </w:rPr>
            </w:pPr>
            <w:r w:rsidRPr="00C0591E">
              <w:rPr>
                <w:rFonts w:eastAsia="Times New Roman"/>
              </w:rPr>
              <w:t>1</w:t>
            </w:r>
          </w:p>
        </w:tc>
        <w:tc>
          <w:tcPr>
            <w:tcW w:w="731" w:type="pct"/>
            <w:tcBorders>
              <w:top w:val="nil"/>
              <w:left w:val="nil"/>
              <w:bottom w:val="single" w:sz="4" w:space="0" w:color="auto"/>
              <w:right w:val="nil"/>
            </w:tcBorders>
            <w:shd w:val="clear" w:color="auto" w:fill="auto"/>
            <w:noWrap/>
            <w:vAlign w:val="bottom"/>
            <w:hideMark/>
          </w:tcPr>
          <w:p w14:paraId="6D2ACC85" w14:textId="77777777" w:rsidR="00392C54" w:rsidRPr="00C0591E" w:rsidRDefault="00392C54" w:rsidP="00392C54">
            <w:pPr>
              <w:spacing w:line="240" w:lineRule="auto"/>
              <w:jc w:val="center"/>
              <w:rPr>
                <w:rFonts w:eastAsia="Times New Roman"/>
              </w:rPr>
            </w:pPr>
            <w:r w:rsidRPr="00C0591E">
              <w:rPr>
                <w:rFonts w:eastAsia="Times New Roman"/>
              </w:rPr>
              <w:t>.781a</w:t>
            </w:r>
          </w:p>
        </w:tc>
        <w:tc>
          <w:tcPr>
            <w:tcW w:w="731" w:type="pct"/>
            <w:tcBorders>
              <w:top w:val="nil"/>
              <w:left w:val="nil"/>
              <w:bottom w:val="single" w:sz="4" w:space="0" w:color="auto"/>
              <w:right w:val="nil"/>
            </w:tcBorders>
            <w:shd w:val="clear" w:color="auto" w:fill="auto"/>
            <w:noWrap/>
            <w:vAlign w:val="bottom"/>
            <w:hideMark/>
          </w:tcPr>
          <w:p w14:paraId="1DF4F923" w14:textId="77777777" w:rsidR="00392C54" w:rsidRPr="00C0591E" w:rsidRDefault="00392C54" w:rsidP="00392C54">
            <w:pPr>
              <w:spacing w:line="240" w:lineRule="auto"/>
              <w:jc w:val="center"/>
              <w:rPr>
                <w:rFonts w:eastAsia="Times New Roman"/>
              </w:rPr>
            </w:pPr>
            <w:r w:rsidRPr="00C0591E">
              <w:rPr>
                <w:rFonts w:eastAsia="Times New Roman"/>
              </w:rPr>
              <w:t>0.61</w:t>
            </w:r>
          </w:p>
        </w:tc>
        <w:tc>
          <w:tcPr>
            <w:tcW w:w="1206" w:type="pct"/>
            <w:tcBorders>
              <w:top w:val="nil"/>
              <w:left w:val="nil"/>
              <w:bottom w:val="single" w:sz="4" w:space="0" w:color="auto"/>
              <w:right w:val="nil"/>
            </w:tcBorders>
            <w:shd w:val="clear" w:color="auto" w:fill="auto"/>
            <w:noWrap/>
            <w:vAlign w:val="bottom"/>
            <w:hideMark/>
          </w:tcPr>
          <w:p w14:paraId="5A068011" w14:textId="77777777" w:rsidR="00392C54" w:rsidRPr="00C0591E" w:rsidRDefault="00392C54" w:rsidP="00392C54">
            <w:pPr>
              <w:spacing w:line="240" w:lineRule="auto"/>
              <w:jc w:val="center"/>
              <w:rPr>
                <w:rFonts w:eastAsia="Times New Roman"/>
              </w:rPr>
            </w:pPr>
            <w:r w:rsidRPr="00C0591E">
              <w:rPr>
                <w:rFonts w:eastAsia="Times New Roman"/>
              </w:rPr>
              <w:t>0.605</w:t>
            </w:r>
          </w:p>
        </w:tc>
        <w:tc>
          <w:tcPr>
            <w:tcW w:w="1600" w:type="pct"/>
            <w:tcBorders>
              <w:top w:val="nil"/>
              <w:left w:val="nil"/>
              <w:bottom w:val="single" w:sz="4" w:space="0" w:color="auto"/>
              <w:right w:val="nil"/>
            </w:tcBorders>
            <w:shd w:val="clear" w:color="auto" w:fill="auto"/>
            <w:noWrap/>
            <w:vAlign w:val="bottom"/>
            <w:hideMark/>
          </w:tcPr>
          <w:p w14:paraId="466BE989" w14:textId="77777777" w:rsidR="00392C54" w:rsidRPr="00C0591E" w:rsidRDefault="00392C54" w:rsidP="00392C54">
            <w:pPr>
              <w:spacing w:line="240" w:lineRule="auto"/>
              <w:jc w:val="center"/>
              <w:rPr>
                <w:rFonts w:eastAsia="Times New Roman"/>
              </w:rPr>
            </w:pPr>
            <w:r w:rsidRPr="00C0591E">
              <w:rPr>
                <w:rFonts w:eastAsia="Times New Roman"/>
              </w:rPr>
              <w:t>0.25002</w:t>
            </w:r>
          </w:p>
        </w:tc>
      </w:tr>
    </w:tbl>
    <w:p w14:paraId="616E9040" w14:textId="0F0A305B" w:rsidR="0081009E" w:rsidRPr="00C0591E" w:rsidRDefault="0081009E" w:rsidP="00145EF2">
      <w:r w:rsidRPr="00C0591E">
        <w:t xml:space="preserve">As presented in the Table </w:t>
      </w:r>
      <w:r w:rsidR="00191F36" w:rsidRPr="00C0591E">
        <w:t>23</w:t>
      </w:r>
      <w:r w:rsidRPr="00C0591E">
        <w:t xml:space="preserve"> the coefficient of determination R Square is 0.</w:t>
      </w:r>
      <w:r w:rsidR="007003EF" w:rsidRPr="00C0591E">
        <w:t>6</w:t>
      </w:r>
      <w:r w:rsidRPr="00C0591E">
        <w:t xml:space="preserve">1. The model indicates that </w:t>
      </w:r>
      <w:r w:rsidR="00173C67">
        <w:rPr>
          <w:color w:val="000000"/>
        </w:rPr>
        <w:t>pillars of corporate governance</w:t>
      </w:r>
      <w:r w:rsidRPr="00C0591E">
        <w:rPr>
          <w:color w:val="000000"/>
        </w:rPr>
        <w:t xml:space="preserve"> </w:t>
      </w:r>
      <w:r w:rsidR="007003EF" w:rsidRPr="00C0591E">
        <w:t>explains 61</w:t>
      </w:r>
      <w:r w:rsidRPr="00C0591E">
        <w:t>% of the variation in perfo</w:t>
      </w:r>
      <w:r w:rsidR="00854442">
        <w:t>rmance of pension fund managers</w:t>
      </w:r>
      <w:r w:rsidRPr="00C0591E">
        <w:t xml:space="preserve">. </w:t>
      </w:r>
      <w:r w:rsidR="008425EC" w:rsidRPr="00C0591E">
        <w:t>The adjusted R squared value considered only those independent variables which actually have an effect on the performance of the model.</w:t>
      </w:r>
    </w:p>
    <w:p w14:paraId="41271D85" w14:textId="5110D676" w:rsidR="0015383C" w:rsidRPr="00C0591E" w:rsidRDefault="0015383C" w:rsidP="006529EE">
      <w:pPr>
        <w:rPr>
          <w:b/>
        </w:rPr>
      </w:pPr>
      <w:bookmarkStart w:id="275" w:name="_Toc482803480"/>
      <w:bookmarkStart w:id="276" w:name="_Toc495325789"/>
      <w:bookmarkStart w:id="277" w:name="_Toc511923154"/>
      <w:bookmarkStart w:id="278" w:name="_Toc39670031"/>
      <w:bookmarkStart w:id="279" w:name="_Toc514179842"/>
      <w:bookmarkStart w:id="280" w:name="_Toc534903916"/>
      <w:bookmarkStart w:id="281" w:name="_Toc7534703"/>
      <w:bookmarkStart w:id="282" w:name="_Toc13905809"/>
      <w:bookmarkStart w:id="283" w:name="_Toc46234227"/>
      <w:r w:rsidRPr="00C0591E">
        <w:rPr>
          <w:b/>
        </w:rPr>
        <w:t xml:space="preserve">Table </w:t>
      </w:r>
      <w:r w:rsidR="00191F36" w:rsidRPr="00C0591E">
        <w:rPr>
          <w:b/>
        </w:rPr>
        <w:t>23</w:t>
      </w:r>
      <w:r w:rsidRPr="00C0591E">
        <w:rPr>
          <w:b/>
        </w:rPr>
        <w:t xml:space="preserve">: </w:t>
      </w:r>
      <w:bookmarkEnd w:id="275"/>
      <w:bookmarkEnd w:id="276"/>
      <w:bookmarkEnd w:id="277"/>
      <w:r w:rsidRPr="00C0591E">
        <w:rPr>
          <w:b/>
        </w:rPr>
        <w:t>ANOVA</w:t>
      </w:r>
      <w:bookmarkEnd w:id="278"/>
      <w:r w:rsidRPr="00C0591E">
        <w:rPr>
          <w:b/>
        </w:rPr>
        <w:t xml:space="preserve"> </w:t>
      </w:r>
      <w:bookmarkEnd w:id="279"/>
      <w:bookmarkEnd w:id="280"/>
      <w:bookmarkEnd w:id="281"/>
      <w:bookmarkEnd w:id="282"/>
      <w:r w:rsidRPr="00C0591E">
        <w:rPr>
          <w:b/>
        </w:rPr>
        <w:t xml:space="preserve">for </w:t>
      </w:r>
      <w:r w:rsidR="00173C67">
        <w:rPr>
          <w:b/>
        </w:rPr>
        <w:t>Pillars of corporate governance</w:t>
      </w:r>
      <w:r w:rsidRPr="00C0591E">
        <w:rPr>
          <w:b/>
        </w:rPr>
        <w:t xml:space="preserve"> </w:t>
      </w:r>
      <w:bookmarkEnd w:id="283"/>
      <w:r w:rsidRPr="00C0591E">
        <w:rPr>
          <w:b/>
        </w:rPr>
        <w:t xml:space="preserve">and Performance </w:t>
      </w:r>
    </w:p>
    <w:tbl>
      <w:tblPr>
        <w:tblW w:w="5000" w:type="pct"/>
        <w:tblLook w:val="04A0" w:firstRow="1" w:lastRow="0" w:firstColumn="1" w:lastColumn="0" w:noHBand="0" w:noVBand="1"/>
      </w:tblPr>
      <w:tblGrid>
        <w:gridCol w:w="1116"/>
        <w:gridCol w:w="1536"/>
        <w:gridCol w:w="1886"/>
        <w:gridCol w:w="713"/>
        <w:gridCol w:w="1628"/>
        <w:gridCol w:w="1217"/>
        <w:gridCol w:w="930"/>
      </w:tblGrid>
      <w:tr w:rsidR="00392C54" w:rsidRPr="00C0591E" w14:paraId="03C167DA" w14:textId="77777777" w:rsidTr="0081009E">
        <w:trPr>
          <w:trHeight w:val="288"/>
        </w:trPr>
        <w:tc>
          <w:tcPr>
            <w:tcW w:w="618" w:type="pct"/>
            <w:tcBorders>
              <w:top w:val="single" w:sz="4" w:space="0" w:color="auto"/>
              <w:left w:val="nil"/>
              <w:bottom w:val="single" w:sz="4" w:space="0" w:color="auto"/>
              <w:right w:val="nil"/>
            </w:tcBorders>
            <w:shd w:val="clear" w:color="auto" w:fill="auto"/>
            <w:noWrap/>
            <w:vAlign w:val="bottom"/>
            <w:hideMark/>
          </w:tcPr>
          <w:p w14:paraId="3DAF4C05" w14:textId="77777777" w:rsidR="00392C54" w:rsidRPr="00C0591E" w:rsidRDefault="00392C54" w:rsidP="00392C54">
            <w:pPr>
              <w:spacing w:before="0" w:line="240" w:lineRule="auto"/>
              <w:rPr>
                <w:rFonts w:eastAsia="Times New Roman"/>
                <w:b/>
              </w:rPr>
            </w:pPr>
            <w:r w:rsidRPr="00C0591E">
              <w:rPr>
                <w:rFonts w:eastAsia="Times New Roman"/>
                <w:b/>
              </w:rPr>
              <w:t>Model</w:t>
            </w:r>
          </w:p>
        </w:tc>
        <w:tc>
          <w:tcPr>
            <w:tcW w:w="851" w:type="pct"/>
            <w:tcBorders>
              <w:top w:val="single" w:sz="4" w:space="0" w:color="auto"/>
              <w:left w:val="nil"/>
              <w:bottom w:val="single" w:sz="4" w:space="0" w:color="auto"/>
              <w:right w:val="nil"/>
            </w:tcBorders>
            <w:shd w:val="clear" w:color="auto" w:fill="auto"/>
            <w:noWrap/>
            <w:vAlign w:val="bottom"/>
            <w:hideMark/>
          </w:tcPr>
          <w:p w14:paraId="09042314" w14:textId="77777777" w:rsidR="00392C54" w:rsidRPr="00C0591E" w:rsidRDefault="00392C54" w:rsidP="00392C54">
            <w:pPr>
              <w:spacing w:before="0" w:line="240" w:lineRule="auto"/>
              <w:rPr>
                <w:rFonts w:eastAsia="Times New Roman"/>
                <w:b/>
              </w:rPr>
            </w:pPr>
            <w:r w:rsidRPr="00C0591E">
              <w:rPr>
                <w:rFonts w:eastAsia="Times New Roman"/>
                <w:b/>
              </w:rPr>
              <w:t> </w:t>
            </w:r>
          </w:p>
        </w:tc>
        <w:tc>
          <w:tcPr>
            <w:tcW w:w="1045" w:type="pct"/>
            <w:tcBorders>
              <w:top w:val="single" w:sz="4" w:space="0" w:color="auto"/>
              <w:left w:val="nil"/>
              <w:bottom w:val="single" w:sz="4" w:space="0" w:color="auto"/>
              <w:right w:val="nil"/>
            </w:tcBorders>
            <w:shd w:val="clear" w:color="auto" w:fill="auto"/>
            <w:noWrap/>
            <w:vAlign w:val="bottom"/>
            <w:hideMark/>
          </w:tcPr>
          <w:p w14:paraId="7EC25FC6" w14:textId="77777777" w:rsidR="00392C54" w:rsidRPr="00C0591E" w:rsidRDefault="00392C54" w:rsidP="00392C54">
            <w:pPr>
              <w:spacing w:before="0" w:line="240" w:lineRule="auto"/>
              <w:jc w:val="center"/>
              <w:rPr>
                <w:rFonts w:eastAsia="Times New Roman"/>
                <w:b/>
              </w:rPr>
            </w:pPr>
            <w:r w:rsidRPr="00C0591E">
              <w:rPr>
                <w:rFonts w:eastAsia="Times New Roman"/>
                <w:b/>
              </w:rPr>
              <w:t>Sum of Squares</w:t>
            </w:r>
          </w:p>
        </w:tc>
        <w:tc>
          <w:tcPr>
            <w:tcW w:w="395" w:type="pct"/>
            <w:tcBorders>
              <w:top w:val="single" w:sz="4" w:space="0" w:color="auto"/>
              <w:left w:val="nil"/>
              <w:bottom w:val="single" w:sz="4" w:space="0" w:color="auto"/>
              <w:right w:val="nil"/>
            </w:tcBorders>
            <w:shd w:val="clear" w:color="auto" w:fill="auto"/>
            <w:noWrap/>
            <w:vAlign w:val="bottom"/>
            <w:hideMark/>
          </w:tcPr>
          <w:p w14:paraId="01E120E6" w14:textId="77777777" w:rsidR="00392C54" w:rsidRPr="00C0591E" w:rsidRDefault="00392C54" w:rsidP="00392C54">
            <w:pPr>
              <w:spacing w:before="0" w:line="240" w:lineRule="auto"/>
              <w:jc w:val="center"/>
              <w:rPr>
                <w:rFonts w:eastAsia="Times New Roman"/>
                <w:b/>
              </w:rPr>
            </w:pPr>
            <w:r w:rsidRPr="00C0591E">
              <w:rPr>
                <w:rFonts w:eastAsia="Times New Roman"/>
                <w:b/>
              </w:rPr>
              <w:t>df</w:t>
            </w:r>
          </w:p>
        </w:tc>
        <w:tc>
          <w:tcPr>
            <w:tcW w:w="902" w:type="pct"/>
            <w:tcBorders>
              <w:top w:val="single" w:sz="4" w:space="0" w:color="auto"/>
              <w:left w:val="nil"/>
              <w:bottom w:val="single" w:sz="4" w:space="0" w:color="auto"/>
              <w:right w:val="nil"/>
            </w:tcBorders>
            <w:shd w:val="clear" w:color="auto" w:fill="auto"/>
            <w:noWrap/>
            <w:vAlign w:val="bottom"/>
            <w:hideMark/>
          </w:tcPr>
          <w:p w14:paraId="34B7D5AC" w14:textId="77777777" w:rsidR="00392C54" w:rsidRPr="00C0591E" w:rsidRDefault="00392C54" w:rsidP="00392C54">
            <w:pPr>
              <w:spacing w:before="0" w:line="240" w:lineRule="auto"/>
              <w:jc w:val="center"/>
              <w:rPr>
                <w:rFonts w:eastAsia="Times New Roman"/>
                <w:b/>
              </w:rPr>
            </w:pPr>
            <w:r w:rsidRPr="00C0591E">
              <w:rPr>
                <w:rFonts w:eastAsia="Times New Roman"/>
                <w:b/>
              </w:rPr>
              <w:t>Mean Square</w:t>
            </w:r>
          </w:p>
        </w:tc>
        <w:tc>
          <w:tcPr>
            <w:tcW w:w="674" w:type="pct"/>
            <w:tcBorders>
              <w:top w:val="single" w:sz="4" w:space="0" w:color="auto"/>
              <w:left w:val="nil"/>
              <w:bottom w:val="single" w:sz="4" w:space="0" w:color="auto"/>
              <w:right w:val="nil"/>
            </w:tcBorders>
            <w:shd w:val="clear" w:color="auto" w:fill="auto"/>
            <w:noWrap/>
            <w:vAlign w:val="bottom"/>
            <w:hideMark/>
          </w:tcPr>
          <w:p w14:paraId="0B8CF138" w14:textId="77777777" w:rsidR="00392C54" w:rsidRPr="00C0591E" w:rsidRDefault="00392C54" w:rsidP="00392C54">
            <w:pPr>
              <w:spacing w:before="0" w:line="240" w:lineRule="auto"/>
              <w:jc w:val="center"/>
              <w:rPr>
                <w:rFonts w:eastAsia="Times New Roman"/>
                <w:b/>
              </w:rPr>
            </w:pPr>
            <w:r w:rsidRPr="00C0591E">
              <w:rPr>
                <w:rFonts w:eastAsia="Times New Roman"/>
                <w:b/>
              </w:rPr>
              <w:t>F</w:t>
            </w:r>
          </w:p>
        </w:tc>
        <w:tc>
          <w:tcPr>
            <w:tcW w:w="516" w:type="pct"/>
            <w:tcBorders>
              <w:top w:val="single" w:sz="4" w:space="0" w:color="auto"/>
              <w:left w:val="nil"/>
              <w:bottom w:val="single" w:sz="4" w:space="0" w:color="auto"/>
              <w:right w:val="nil"/>
            </w:tcBorders>
            <w:shd w:val="clear" w:color="auto" w:fill="auto"/>
            <w:noWrap/>
            <w:vAlign w:val="bottom"/>
            <w:hideMark/>
          </w:tcPr>
          <w:p w14:paraId="390EB1A2" w14:textId="77777777" w:rsidR="00392C54" w:rsidRPr="00C0591E" w:rsidRDefault="00392C54" w:rsidP="00392C54">
            <w:pPr>
              <w:spacing w:before="0" w:line="240" w:lineRule="auto"/>
              <w:jc w:val="center"/>
              <w:rPr>
                <w:rFonts w:eastAsia="Times New Roman"/>
                <w:b/>
              </w:rPr>
            </w:pPr>
            <w:r w:rsidRPr="00C0591E">
              <w:rPr>
                <w:rFonts w:eastAsia="Times New Roman"/>
                <w:b/>
              </w:rPr>
              <w:t>Sig.</w:t>
            </w:r>
          </w:p>
        </w:tc>
      </w:tr>
      <w:tr w:rsidR="0015383C" w:rsidRPr="00C0591E" w14:paraId="24791483" w14:textId="77777777" w:rsidTr="0081009E">
        <w:trPr>
          <w:trHeight w:val="288"/>
        </w:trPr>
        <w:tc>
          <w:tcPr>
            <w:tcW w:w="618" w:type="pct"/>
            <w:tcBorders>
              <w:top w:val="nil"/>
              <w:left w:val="nil"/>
              <w:bottom w:val="nil"/>
              <w:right w:val="nil"/>
            </w:tcBorders>
            <w:shd w:val="clear" w:color="auto" w:fill="auto"/>
            <w:noWrap/>
            <w:vAlign w:val="bottom"/>
            <w:hideMark/>
          </w:tcPr>
          <w:p w14:paraId="2DB9BB10" w14:textId="77777777" w:rsidR="00392C54" w:rsidRPr="00C0591E" w:rsidRDefault="00392C54" w:rsidP="00392C54">
            <w:pPr>
              <w:spacing w:before="0" w:line="240" w:lineRule="auto"/>
              <w:rPr>
                <w:rFonts w:eastAsia="Times New Roman"/>
              </w:rPr>
            </w:pPr>
            <w:r w:rsidRPr="00C0591E">
              <w:rPr>
                <w:rFonts w:eastAsia="Times New Roman"/>
              </w:rPr>
              <w:t>1</w:t>
            </w:r>
          </w:p>
        </w:tc>
        <w:tc>
          <w:tcPr>
            <w:tcW w:w="851" w:type="pct"/>
            <w:tcBorders>
              <w:top w:val="nil"/>
              <w:left w:val="nil"/>
              <w:bottom w:val="nil"/>
              <w:right w:val="nil"/>
            </w:tcBorders>
            <w:shd w:val="clear" w:color="auto" w:fill="auto"/>
            <w:noWrap/>
            <w:vAlign w:val="bottom"/>
            <w:hideMark/>
          </w:tcPr>
          <w:p w14:paraId="494A1660" w14:textId="77777777" w:rsidR="00392C54" w:rsidRPr="00C0591E" w:rsidRDefault="00392C54" w:rsidP="00392C54">
            <w:pPr>
              <w:spacing w:before="0" w:line="240" w:lineRule="auto"/>
              <w:rPr>
                <w:rFonts w:eastAsia="Times New Roman"/>
              </w:rPr>
            </w:pPr>
            <w:r w:rsidRPr="00C0591E">
              <w:rPr>
                <w:rFonts w:eastAsia="Times New Roman"/>
              </w:rPr>
              <w:t>Regression</w:t>
            </w:r>
          </w:p>
        </w:tc>
        <w:tc>
          <w:tcPr>
            <w:tcW w:w="1045" w:type="pct"/>
            <w:tcBorders>
              <w:top w:val="nil"/>
              <w:left w:val="nil"/>
              <w:bottom w:val="nil"/>
              <w:right w:val="nil"/>
            </w:tcBorders>
            <w:shd w:val="clear" w:color="auto" w:fill="auto"/>
            <w:noWrap/>
            <w:vAlign w:val="bottom"/>
            <w:hideMark/>
          </w:tcPr>
          <w:p w14:paraId="3A49383E" w14:textId="77777777" w:rsidR="00392C54" w:rsidRPr="00C0591E" w:rsidRDefault="00392C54" w:rsidP="00392C54">
            <w:pPr>
              <w:spacing w:before="0" w:line="240" w:lineRule="auto"/>
              <w:jc w:val="center"/>
              <w:rPr>
                <w:rFonts w:eastAsia="Times New Roman"/>
              </w:rPr>
            </w:pPr>
            <w:r w:rsidRPr="00C0591E">
              <w:rPr>
                <w:rFonts w:eastAsia="Times New Roman"/>
              </w:rPr>
              <w:t>28.479</w:t>
            </w:r>
          </w:p>
        </w:tc>
        <w:tc>
          <w:tcPr>
            <w:tcW w:w="395" w:type="pct"/>
            <w:tcBorders>
              <w:top w:val="nil"/>
              <w:left w:val="nil"/>
              <w:bottom w:val="nil"/>
              <w:right w:val="nil"/>
            </w:tcBorders>
            <w:shd w:val="clear" w:color="auto" w:fill="auto"/>
            <w:noWrap/>
            <w:vAlign w:val="bottom"/>
            <w:hideMark/>
          </w:tcPr>
          <w:p w14:paraId="25FF746C" w14:textId="77777777" w:rsidR="00392C54" w:rsidRPr="00C0591E" w:rsidRDefault="00392C54" w:rsidP="00392C54">
            <w:pPr>
              <w:spacing w:before="0" w:line="240" w:lineRule="auto"/>
              <w:jc w:val="center"/>
              <w:rPr>
                <w:rFonts w:eastAsia="Times New Roman"/>
              </w:rPr>
            </w:pPr>
            <w:r w:rsidRPr="00C0591E">
              <w:rPr>
                <w:rFonts w:eastAsia="Times New Roman"/>
              </w:rPr>
              <w:t>4</w:t>
            </w:r>
          </w:p>
        </w:tc>
        <w:tc>
          <w:tcPr>
            <w:tcW w:w="902" w:type="pct"/>
            <w:tcBorders>
              <w:top w:val="nil"/>
              <w:left w:val="nil"/>
              <w:bottom w:val="nil"/>
              <w:right w:val="nil"/>
            </w:tcBorders>
            <w:shd w:val="clear" w:color="auto" w:fill="auto"/>
            <w:noWrap/>
            <w:vAlign w:val="bottom"/>
            <w:hideMark/>
          </w:tcPr>
          <w:p w14:paraId="54221B2A" w14:textId="77777777" w:rsidR="00392C54" w:rsidRPr="00C0591E" w:rsidRDefault="00392C54" w:rsidP="00392C54">
            <w:pPr>
              <w:spacing w:before="0" w:line="240" w:lineRule="auto"/>
              <w:jc w:val="center"/>
              <w:rPr>
                <w:rFonts w:eastAsia="Times New Roman"/>
              </w:rPr>
            </w:pPr>
            <w:r w:rsidRPr="00C0591E">
              <w:rPr>
                <w:rFonts w:eastAsia="Times New Roman"/>
              </w:rPr>
              <w:t>7.12</w:t>
            </w:r>
          </w:p>
        </w:tc>
        <w:tc>
          <w:tcPr>
            <w:tcW w:w="674" w:type="pct"/>
            <w:tcBorders>
              <w:top w:val="nil"/>
              <w:left w:val="nil"/>
              <w:bottom w:val="nil"/>
              <w:right w:val="nil"/>
            </w:tcBorders>
            <w:shd w:val="clear" w:color="auto" w:fill="auto"/>
            <w:noWrap/>
            <w:vAlign w:val="bottom"/>
            <w:hideMark/>
          </w:tcPr>
          <w:p w14:paraId="3B79027C" w14:textId="77777777" w:rsidR="00392C54" w:rsidRPr="00C0591E" w:rsidRDefault="00392C54" w:rsidP="00392C54">
            <w:pPr>
              <w:spacing w:before="0" w:line="240" w:lineRule="auto"/>
              <w:jc w:val="center"/>
              <w:rPr>
                <w:rFonts w:eastAsia="Times New Roman"/>
              </w:rPr>
            </w:pPr>
            <w:r w:rsidRPr="00C0591E">
              <w:rPr>
                <w:rFonts w:eastAsia="Times New Roman"/>
              </w:rPr>
              <w:t>113.898</w:t>
            </w:r>
          </w:p>
        </w:tc>
        <w:tc>
          <w:tcPr>
            <w:tcW w:w="516" w:type="pct"/>
            <w:tcBorders>
              <w:top w:val="nil"/>
              <w:left w:val="nil"/>
              <w:bottom w:val="nil"/>
              <w:right w:val="nil"/>
            </w:tcBorders>
            <w:shd w:val="clear" w:color="auto" w:fill="auto"/>
            <w:noWrap/>
            <w:vAlign w:val="bottom"/>
            <w:hideMark/>
          </w:tcPr>
          <w:p w14:paraId="2C611BED" w14:textId="77777777" w:rsidR="00392C54" w:rsidRPr="00C0591E" w:rsidRDefault="00392C54" w:rsidP="00392C54">
            <w:pPr>
              <w:spacing w:before="0" w:line="240" w:lineRule="auto"/>
              <w:jc w:val="center"/>
              <w:rPr>
                <w:rFonts w:eastAsia="Times New Roman"/>
              </w:rPr>
            </w:pPr>
            <w:r w:rsidRPr="00C0591E">
              <w:rPr>
                <w:rFonts w:eastAsia="Times New Roman"/>
              </w:rPr>
              <w:t>.000b</w:t>
            </w:r>
          </w:p>
        </w:tc>
      </w:tr>
      <w:tr w:rsidR="0015383C" w:rsidRPr="00C0591E" w14:paraId="454DE545" w14:textId="77777777" w:rsidTr="0081009E">
        <w:trPr>
          <w:trHeight w:val="288"/>
        </w:trPr>
        <w:tc>
          <w:tcPr>
            <w:tcW w:w="618" w:type="pct"/>
            <w:tcBorders>
              <w:top w:val="nil"/>
              <w:left w:val="nil"/>
              <w:bottom w:val="nil"/>
              <w:right w:val="nil"/>
            </w:tcBorders>
            <w:shd w:val="clear" w:color="auto" w:fill="auto"/>
            <w:noWrap/>
            <w:vAlign w:val="bottom"/>
            <w:hideMark/>
          </w:tcPr>
          <w:p w14:paraId="5414AF05" w14:textId="77777777" w:rsidR="00392C54" w:rsidRPr="00C0591E" w:rsidRDefault="00392C54" w:rsidP="00392C54">
            <w:pPr>
              <w:spacing w:before="0" w:line="240" w:lineRule="auto"/>
              <w:rPr>
                <w:rFonts w:eastAsia="Times New Roman"/>
              </w:rPr>
            </w:pPr>
          </w:p>
        </w:tc>
        <w:tc>
          <w:tcPr>
            <w:tcW w:w="851" w:type="pct"/>
            <w:tcBorders>
              <w:top w:val="nil"/>
              <w:left w:val="nil"/>
              <w:bottom w:val="nil"/>
              <w:right w:val="nil"/>
            </w:tcBorders>
            <w:shd w:val="clear" w:color="auto" w:fill="auto"/>
            <w:noWrap/>
            <w:vAlign w:val="bottom"/>
            <w:hideMark/>
          </w:tcPr>
          <w:p w14:paraId="388B2CF5" w14:textId="77777777" w:rsidR="00392C54" w:rsidRPr="00C0591E" w:rsidRDefault="00392C54" w:rsidP="00392C54">
            <w:pPr>
              <w:spacing w:before="0" w:line="240" w:lineRule="auto"/>
              <w:rPr>
                <w:rFonts w:eastAsia="Times New Roman"/>
              </w:rPr>
            </w:pPr>
            <w:r w:rsidRPr="00C0591E">
              <w:rPr>
                <w:rFonts w:eastAsia="Times New Roman"/>
              </w:rPr>
              <w:t>Residual</w:t>
            </w:r>
          </w:p>
        </w:tc>
        <w:tc>
          <w:tcPr>
            <w:tcW w:w="1045" w:type="pct"/>
            <w:tcBorders>
              <w:top w:val="nil"/>
              <w:left w:val="nil"/>
              <w:bottom w:val="nil"/>
              <w:right w:val="nil"/>
            </w:tcBorders>
            <w:shd w:val="clear" w:color="auto" w:fill="auto"/>
            <w:noWrap/>
            <w:vAlign w:val="bottom"/>
            <w:hideMark/>
          </w:tcPr>
          <w:p w14:paraId="4E487A2F" w14:textId="77777777" w:rsidR="00392C54" w:rsidRPr="00C0591E" w:rsidRDefault="00392C54" w:rsidP="00392C54">
            <w:pPr>
              <w:spacing w:before="0" w:line="240" w:lineRule="auto"/>
              <w:jc w:val="center"/>
              <w:rPr>
                <w:rFonts w:eastAsia="Times New Roman"/>
              </w:rPr>
            </w:pPr>
            <w:r w:rsidRPr="00C0591E">
              <w:rPr>
                <w:rFonts w:eastAsia="Times New Roman"/>
              </w:rPr>
              <w:t>18.191</w:t>
            </w:r>
          </w:p>
        </w:tc>
        <w:tc>
          <w:tcPr>
            <w:tcW w:w="395" w:type="pct"/>
            <w:tcBorders>
              <w:top w:val="nil"/>
              <w:left w:val="nil"/>
              <w:bottom w:val="nil"/>
              <w:right w:val="nil"/>
            </w:tcBorders>
            <w:shd w:val="clear" w:color="auto" w:fill="auto"/>
            <w:noWrap/>
            <w:vAlign w:val="bottom"/>
            <w:hideMark/>
          </w:tcPr>
          <w:p w14:paraId="4D844C58" w14:textId="77777777" w:rsidR="00392C54" w:rsidRPr="00C0591E" w:rsidRDefault="00392C54" w:rsidP="00392C54">
            <w:pPr>
              <w:spacing w:before="0" w:line="240" w:lineRule="auto"/>
              <w:jc w:val="center"/>
              <w:rPr>
                <w:rFonts w:eastAsia="Times New Roman"/>
              </w:rPr>
            </w:pPr>
            <w:r w:rsidRPr="00C0591E">
              <w:rPr>
                <w:rFonts w:eastAsia="Times New Roman"/>
              </w:rPr>
              <w:t>291</w:t>
            </w:r>
          </w:p>
        </w:tc>
        <w:tc>
          <w:tcPr>
            <w:tcW w:w="902" w:type="pct"/>
            <w:tcBorders>
              <w:top w:val="nil"/>
              <w:left w:val="nil"/>
              <w:bottom w:val="nil"/>
              <w:right w:val="nil"/>
            </w:tcBorders>
            <w:shd w:val="clear" w:color="auto" w:fill="auto"/>
            <w:noWrap/>
            <w:vAlign w:val="bottom"/>
            <w:hideMark/>
          </w:tcPr>
          <w:p w14:paraId="67719BB1" w14:textId="77777777" w:rsidR="00392C54" w:rsidRPr="00C0591E" w:rsidRDefault="00392C54" w:rsidP="00392C54">
            <w:pPr>
              <w:spacing w:before="0" w:line="240" w:lineRule="auto"/>
              <w:jc w:val="center"/>
              <w:rPr>
                <w:rFonts w:eastAsia="Times New Roman"/>
              </w:rPr>
            </w:pPr>
            <w:r w:rsidRPr="00C0591E">
              <w:rPr>
                <w:rFonts w:eastAsia="Times New Roman"/>
              </w:rPr>
              <w:t>0.063</w:t>
            </w:r>
          </w:p>
        </w:tc>
        <w:tc>
          <w:tcPr>
            <w:tcW w:w="674" w:type="pct"/>
            <w:tcBorders>
              <w:top w:val="nil"/>
              <w:left w:val="nil"/>
              <w:bottom w:val="nil"/>
              <w:right w:val="nil"/>
            </w:tcBorders>
            <w:shd w:val="clear" w:color="auto" w:fill="auto"/>
            <w:noWrap/>
            <w:vAlign w:val="bottom"/>
            <w:hideMark/>
          </w:tcPr>
          <w:p w14:paraId="0C6EB955" w14:textId="77777777" w:rsidR="00392C54" w:rsidRPr="00C0591E" w:rsidRDefault="00392C54" w:rsidP="00392C54">
            <w:pPr>
              <w:spacing w:before="0" w:line="240" w:lineRule="auto"/>
              <w:jc w:val="center"/>
              <w:rPr>
                <w:rFonts w:eastAsia="Times New Roman"/>
              </w:rPr>
            </w:pPr>
          </w:p>
        </w:tc>
        <w:tc>
          <w:tcPr>
            <w:tcW w:w="516" w:type="pct"/>
            <w:tcBorders>
              <w:top w:val="nil"/>
              <w:left w:val="nil"/>
              <w:bottom w:val="nil"/>
              <w:right w:val="nil"/>
            </w:tcBorders>
            <w:shd w:val="clear" w:color="auto" w:fill="auto"/>
            <w:noWrap/>
            <w:vAlign w:val="bottom"/>
            <w:hideMark/>
          </w:tcPr>
          <w:p w14:paraId="0EC8B82A" w14:textId="77777777" w:rsidR="00392C54" w:rsidRPr="00C0591E" w:rsidRDefault="00392C54" w:rsidP="00392C54">
            <w:pPr>
              <w:spacing w:before="0" w:line="240" w:lineRule="auto"/>
              <w:jc w:val="center"/>
              <w:rPr>
                <w:rFonts w:eastAsia="Times New Roman" w:cs="Times New Roman"/>
                <w:sz w:val="20"/>
                <w:szCs w:val="20"/>
              </w:rPr>
            </w:pPr>
          </w:p>
        </w:tc>
      </w:tr>
      <w:tr w:rsidR="0015383C" w:rsidRPr="00C0591E" w14:paraId="12EF9571" w14:textId="77777777" w:rsidTr="0081009E">
        <w:trPr>
          <w:trHeight w:val="288"/>
        </w:trPr>
        <w:tc>
          <w:tcPr>
            <w:tcW w:w="618" w:type="pct"/>
            <w:tcBorders>
              <w:top w:val="nil"/>
              <w:left w:val="nil"/>
              <w:bottom w:val="single" w:sz="4" w:space="0" w:color="auto"/>
              <w:right w:val="nil"/>
            </w:tcBorders>
            <w:shd w:val="clear" w:color="auto" w:fill="auto"/>
            <w:noWrap/>
            <w:vAlign w:val="bottom"/>
            <w:hideMark/>
          </w:tcPr>
          <w:p w14:paraId="586162E1" w14:textId="77777777" w:rsidR="00392C54" w:rsidRPr="00C0591E" w:rsidRDefault="00392C54" w:rsidP="00392C54">
            <w:pPr>
              <w:spacing w:before="0" w:line="240" w:lineRule="auto"/>
              <w:rPr>
                <w:rFonts w:eastAsia="Times New Roman"/>
              </w:rPr>
            </w:pPr>
            <w:r w:rsidRPr="00C0591E">
              <w:rPr>
                <w:rFonts w:eastAsia="Times New Roman"/>
              </w:rPr>
              <w:t> </w:t>
            </w:r>
          </w:p>
        </w:tc>
        <w:tc>
          <w:tcPr>
            <w:tcW w:w="851" w:type="pct"/>
            <w:tcBorders>
              <w:top w:val="nil"/>
              <w:left w:val="nil"/>
              <w:bottom w:val="single" w:sz="4" w:space="0" w:color="auto"/>
              <w:right w:val="nil"/>
            </w:tcBorders>
            <w:shd w:val="clear" w:color="auto" w:fill="auto"/>
            <w:noWrap/>
            <w:vAlign w:val="bottom"/>
            <w:hideMark/>
          </w:tcPr>
          <w:p w14:paraId="2B1B3146" w14:textId="77777777" w:rsidR="00392C54" w:rsidRPr="00C0591E" w:rsidRDefault="00392C54" w:rsidP="00392C54">
            <w:pPr>
              <w:spacing w:before="0" w:line="240" w:lineRule="auto"/>
              <w:rPr>
                <w:rFonts w:eastAsia="Times New Roman"/>
              </w:rPr>
            </w:pPr>
            <w:r w:rsidRPr="00C0591E">
              <w:rPr>
                <w:rFonts w:eastAsia="Times New Roman"/>
              </w:rPr>
              <w:t>Total</w:t>
            </w:r>
          </w:p>
        </w:tc>
        <w:tc>
          <w:tcPr>
            <w:tcW w:w="1045" w:type="pct"/>
            <w:tcBorders>
              <w:top w:val="nil"/>
              <w:left w:val="nil"/>
              <w:bottom w:val="single" w:sz="4" w:space="0" w:color="auto"/>
              <w:right w:val="nil"/>
            </w:tcBorders>
            <w:shd w:val="clear" w:color="auto" w:fill="auto"/>
            <w:noWrap/>
            <w:vAlign w:val="bottom"/>
            <w:hideMark/>
          </w:tcPr>
          <w:p w14:paraId="4D3E149C" w14:textId="77777777" w:rsidR="00392C54" w:rsidRPr="00C0591E" w:rsidRDefault="00392C54" w:rsidP="00392C54">
            <w:pPr>
              <w:spacing w:before="0" w:line="240" w:lineRule="auto"/>
              <w:jc w:val="center"/>
              <w:rPr>
                <w:rFonts w:eastAsia="Times New Roman"/>
              </w:rPr>
            </w:pPr>
            <w:r w:rsidRPr="00C0591E">
              <w:rPr>
                <w:rFonts w:eastAsia="Times New Roman"/>
              </w:rPr>
              <w:t>46.67</w:t>
            </w:r>
          </w:p>
        </w:tc>
        <w:tc>
          <w:tcPr>
            <w:tcW w:w="395" w:type="pct"/>
            <w:tcBorders>
              <w:top w:val="nil"/>
              <w:left w:val="nil"/>
              <w:bottom w:val="single" w:sz="4" w:space="0" w:color="auto"/>
              <w:right w:val="nil"/>
            </w:tcBorders>
            <w:shd w:val="clear" w:color="auto" w:fill="auto"/>
            <w:noWrap/>
            <w:vAlign w:val="bottom"/>
            <w:hideMark/>
          </w:tcPr>
          <w:p w14:paraId="61A977C4" w14:textId="77777777" w:rsidR="00392C54" w:rsidRPr="00C0591E" w:rsidRDefault="00392C54" w:rsidP="00392C54">
            <w:pPr>
              <w:spacing w:before="0" w:line="240" w:lineRule="auto"/>
              <w:jc w:val="center"/>
              <w:rPr>
                <w:rFonts w:eastAsia="Times New Roman"/>
              </w:rPr>
            </w:pPr>
            <w:r w:rsidRPr="00C0591E">
              <w:rPr>
                <w:rFonts w:eastAsia="Times New Roman"/>
              </w:rPr>
              <w:t>295</w:t>
            </w:r>
          </w:p>
        </w:tc>
        <w:tc>
          <w:tcPr>
            <w:tcW w:w="902" w:type="pct"/>
            <w:tcBorders>
              <w:top w:val="nil"/>
              <w:left w:val="nil"/>
              <w:bottom w:val="single" w:sz="4" w:space="0" w:color="auto"/>
              <w:right w:val="nil"/>
            </w:tcBorders>
            <w:shd w:val="clear" w:color="auto" w:fill="auto"/>
            <w:noWrap/>
            <w:vAlign w:val="bottom"/>
            <w:hideMark/>
          </w:tcPr>
          <w:p w14:paraId="3D6484E7" w14:textId="2C2721FA" w:rsidR="00392C54" w:rsidRPr="00C0591E" w:rsidRDefault="00392C54" w:rsidP="00392C54">
            <w:pPr>
              <w:spacing w:before="0" w:line="240" w:lineRule="auto"/>
              <w:jc w:val="center"/>
              <w:rPr>
                <w:rFonts w:eastAsia="Times New Roman"/>
              </w:rPr>
            </w:pPr>
          </w:p>
        </w:tc>
        <w:tc>
          <w:tcPr>
            <w:tcW w:w="674" w:type="pct"/>
            <w:tcBorders>
              <w:top w:val="nil"/>
              <w:left w:val="nil"/>
              <w:bottom w:val="single" w:sz="4" w:space="0" w:color="auto"/>
              <w:right w:val="nil"/>
            </w:tcBorders>
            <w:shd w:val="clear" w:color="auto" w:fill="auto"/>
            <w:noWrap/>
            <w:vAlign w:val="bottom"/>
            <w:hideMark/>
          </w:tcPr>
          <w:p w14:paraId="544B5E92" w14:textId="744F3754" w:rsidR="00392C54" w:rsidRPr="00C0591E" w:rsidRDefault="00392C54" w:rsidP="00392C54">
            <w:pPr>
              <w:spacing w:before="0" w:line="240" w:lineRule="auto"/>
              <w:jc w:val="center"/>
              <w:rPr>
                <w:rFonts w:eastAsia="Times New Roman"/>
              </w:rPr>
            </w:pPr>
          </w:p>
        </w:tc>
        <w:tc>
          <w:tcPr>
            <w:tcW w:w="516" w:type="pct"/>
            <w:tcBorders>
              <w:top w:val="nil"/>
              <w:left w:val="nil"/>
              <w:bottom w:val="single" w:sz="4" w:space="0" w:color="auto"/>
              <w:right w:val="nil"/>
            </w:tcBorders>
            <w:shd w:val="clear" w:color="auto" w:fill="auto"/>
            <w:noWrap/>
            <w:vAlign w:val="bottom"/>
            <w:hideMark/>
          </w:tcPr>
          <w:p w14:paraId="6A77D9E8" w14:textId="1E0A849C" w:rsidR="00392C54" w:rsidRPr="00C0591E" w:rsidRDefault="00392C54" w:rsidP="00392C54">
            <w:pPr>
              <w:spacing w:before="0" w:line="240" w:lineRule="auto"/>
              <w:jc w:val="center"/>
              <w:rPr>
                <w:rFonts w:eastAsia="Times New Roman"/>
              </w:rPr>
            </w:pPr>
          </w:p>
        </w:tc>
      </w:tr>
    </w:tbl>
    <w:p w14:paraId="030775AA" w14:textId="631EFC2E" w:rsidR="003422FA" w:rsidRPr="00C0591E" w:rsidRDefault="0081009E" w:rsidP="0081009E">
      <w:r w:rsidRPr="00C0591E">
        <w:t xml:space="preserve">As shown in Table </w:t>
      </w:r>
      <w:r w:rsidR="006529EE" w:rsidRPr="00C0591E">
        <w:t>23</w:t>
      </w:r>
      <w:r w:rsidRPr="00C0591E">
        <w:t>, F-</w:t>
      </w:r>
      <w:r w:rsidRPr="00C0591E">
        <w:rPr>
          <w:vertAlign w:val="subscript"/>
        </w:rPr>
        <w:t>Calculated</w:t>
      </w:r>
      <w:r w:rsidRPr="00C0591E">
        <w:t xml:space="preserve"> (4, 295) = 113.898 which is greater than F-</w:t>
      </w:r>
      <w:r w:rsidRPr="00C0591E">
        <w:rPr>
          <w:vertAlign w:val="subscript"/>
        </w:rPr>
        <w:t>Critical</w:t>
      </w:r>
      <w:r w:rsidR="00604EFF" w:rsidRPr="00C0591E">
        <w:t xml:space="preserve"> (4</w:t>
      </w:r>
      <w:r w:rsidRPr="00C0591E">
        <w:t xml:space="preserve">, 295) = 3.96 at 95% confidence level. Results also show that p-value = 0.000 &lt; 0.05. This further confirms that </w:t>
      </w:r>
      <w:r w:rsidR="00173C67">
        <w:t>pillars of corporate governance</w:t>
      </w:r>
      <w:r w:rsidRPr="00C0591E">
        <w:t xml:space="preserve"> positively and significantly influences performance of pension fund managers.</w:t>
      </w:r>
    </w:p>
    <w:p w14:paraId="4FA49D46" w14:textId="7695E271" w:rsidR="0015383C" w:rsidRPr="00C0591E" w:rsidRDefault="0015383C" w:rsidP="0015383C">
      <w:pPr>
        <w:pStyle w:val="Heading4"/>
      </w:pPr>
      <w:bookmarkStart w:id="284" w:name="_Toc448592386"/>
      <w:bookmarkStart w:id="285" w:name="_Toc465757161"/>
      <w:bookmarkStart w:id="286" w:name="_Toc484686553"/>
      <w:bookmarkStart w:id="287" w:name="_Toc508902901"/>
      <w:bookmarkStart w:id="288" w:name="_Toc510016622"/>
      <w:bookmarkStart w:id="289" w:name="_Toc511923155"/>
      <w:bookmarkStart w:id="290" w:name="_Toc514179843"/>
      <w:bookmarkStart w:id="291" w:name="_Toc534903917"/>
      <w:bookmarkStart w:id="292" w:name="_Toc7534704"/>
      <w:bookmarkStart w:id="293" w:name="_Toc13905810"/>
      <w:bookmarkStart w:id="294" w:name="_Toc39670032"/>
      <w:bookmarkStart w:id="295" w:name="_Toc46234228"/>
      <w:bookmarkStart w:id="296" w:name="_Toc113125159"/>
      <w:r w:rsidRPr="00C0591E">
        <w:t xml:space="preserve">Table </w:t>
      </w:r>
      <w:r w:rsidR="00191F36" w:rsidRPr="00C0591E">
        <w:t>24</w:t>
      </w:r>
      <w:r w:rsidRPr="00C0591E">
        <w:t xml:space="preserve">: </w:t>
      </w:r>
      <w:bookmarkEnd w:id="284"/>
      <w:bookmarkEnd w:id="285"/>
      <w:bookmarkEnd w:id="286"/>
      <w:bookmarkEnd w:id="287"/>
      <w:bookmarkEnd w:id="288"/>
      <w:bookmarkEnd w:id="289"/>
      <w:bookmarkEnd w:id="290"/>
      <w:bookmarkEnd w:id="291"/>
      <w:bookmarkEnd w:id="292"/>
      <w:bookmarkEnd w:id="293"/>
      <w:bookmarkEnd w:id="294"/>
      <w:r w:rsidRPr="00C0591E">
        <w:t xml:space="preserve">Regression of Coefficients for </w:t>
      </w:r>
      <w:r w:rsidR="00173C67">
        <w:t>Pillars of corporate governance</w:t>
      </w:r>
      <w:r w:rsidRPr="00C0591E">
        <w:t xml:space="preserve"> and </w:t>
      </w:r>
      <w:bookmarkEnd w:id="295"/>
      <w:r w:rsidRPr="00C0591E">
        <w:t>Performance</w:t>
      </w:r>
      <w:bookmarkEnd w:id="296"/>
      <w:r w:rsidRPr="00C0591E">
        <w:t xml:space="preserve"> </w:t>
      </w:r>
    </w:p>
    <w:tbl>
      <w:tblPr>
        <w:tblW w:w="5000" w:type="pct"/>
        <w:tblLook w:val="04A0" w:firstRow="1" w:lastRow="0" w:firstColumn="1" w:lastColumn="0" w:noHBand="0" w:noVBand="1"/>
      </w:tblPr>
      <w:tblGrid>
        <w:gridCol w:w="3019"/>
        <w:gridCol w:w="1793"/>
        <w:gridCol w:w="1211"/>
        <w:gridCol w:w="1452"/>
        <w:gridCol w:w="831"/>
        <w:gridCol w:w="720"/>
      </w:tblGrid>
      <w:tr w:rsidR="00392C54" w:rsidRPr="00C0591E" w14:paraId="0221C0E8" w14:textId="77777777" w:rsidTr="00A50A1A">
        <w:trPr>
          <w:trHeight w:val="288"/>
        </w:trPr>
        <w:tc>
          <w:tcPr>
            <w:tcW w:w="1224" w:type="pct"/>
            <w:tcBorders>
              <w:top w:val="single" w:sz="4" w:space="0" w:color="auto"/>
              <w:left w:val="nil"/>
              <w:bottom w:val="nil"/>
              <w:right w:val="nil"/>
            </w:tcBorders>
            <w:shd w:val="clear" w:color="auto" w:fill="auto"/>
            <w:noWrap/>
            <w:vAlign w:val="bottom"/>
            <w:hideMark/>
          </w:tcPr>
          <w:p w14:paraId="30BC59F8" w14:textId="77777777" w:rsidR="00392C54" w:rsidRPr="00C0591E" w:rsidRDefault="00392C54" w:rsidP="00392C54">
            <w:pPr>
              <w:spacing w:before="0" w:line="240" w:lineRule="auto"/>
              <w:rPr>
                <w:rFonts w:eastAsia="Times New Roman"/>
              </w:rPr>
            </w:pPr>
            <w:r w:rsidRPr="00C0591E">
              <w:rPr>
                <w:rFonts w:eastAsia="Times New Roman"/>
              </w:rPr>
              <w:t> </w:t>
            </w:r>
          </w:p>
        </w:tc>
        <w:tc>
          <w:tcPr>
            <w:tcW w:w="1819" w:type="pct"/>
            <w:gridSpan w:val="2"/>
            <w:tcBorders>
              <w:top w:val="single" w:sz="4" w:space="0" w:color="auto"/>
              <w:left w:val="nil"/>
              <w:bottom w:val="nil"/>
              <w:right w:val="nil"/>
            </w:tcBorders>
            <w:shd w:val="clear" w:color="auto" w:fill="auto"/>
            <w:noWrap/>
            <w:vAlign w:val="bottom"/>
            <w:hideMark/>
          </w:tcPr>
          <w:p w14:paraId="44D45ABB" w14:textId="77777777" w:rsidR="00392C54" w:rsidRPr="00C0591E" w:rsidRDefault="00392C54" w:rsidP="00392C54">
            <w:pPr>
              <w:spacing w:before="0" w:line="240" w:lineRule="auto"/>
              <w:jc w:val="center"/>
              <w:rPr>
                <w:rFonts w:eastAsia="Times New Roman"/>
                <w:b/>
              </w:rPr>
            </w:pPr>
            <w:r w:rsidRPr="00C0591E">
              <w:rPr>
                <w:rFonts w:eastAsia="Times New Roman"/>
                <w:b/>
              </w:rPr>
              <w:t>Unstandardized Coefficients</w:t>
            </w:r>
          </w:p>
        </w:tc>
        <w:tc>
          <w:tcPr>
            <w:tcW w:w="1958" w:type="pct"/>
            <w:gridSpan w:val="3"/>
            <w:tcBorders>
              <w:top w:val="single" w:sz="4" w:space="0" w:color="auto"/>
              <w:left w:val="nil"/>
              <w:bottom w:val="nil"/>
              <w:right w:val="nil"/>
            </w:tcBorders>
            <w:shd w:val="clear" w:color="auto" w:fill="auto"/>
            <w:noWrap/>
            <w:vAlign w:val="bottom"/>
            <w:hideMark/>
          </w:tcPr>
          <w:p w14:paraId="21A99765" w14:textId="77777777" w:rsidR="00392C54" w:rsidRPr="00C0591E" w:rsidRDefault="00392C54" w:rsidP="00392C54">
            <w:pPr>
              <w:spacing w:before="0" w:line="240" w:lineRule="auto"/>
              <w:jc w:val="center"/>
              <w:rPr>
                <w:rFonts w:eastAsia="Times New Roman"/>
                <w:b/>
              </w:rPr>
            </w:pPr>
            <w:r w:rsidRPr="00C0591E">
              <w:rPr>
                <w:rFonts w:eastAsia="Times New Roman"/>
                <w:b/>
              </w:rPr>
              <w:t>Standardized Coefficients</w:t>
            </w:r>
          </w:p>
        </w:tc>
      </w:tr>
      <w:tr w:rsidR="00392C54" w:rsidRPr="00C0591E" w14:paraId="6A9E1B10" w14:textId="77777777" w:rsidTr="00A50A1A">
        <w:trPr>
          <w:trHeight w:val="288"/>
        </w:trPr>
        <w:tc>
          <w:tcPr>
            <w:tcW w:w="1224" w:type="pct"/>
            <w:tcBorders>
              <w:top w:val="nil"/>
              <w:left w:val="nil"/>
              <w:bottom w:val="single" w:sz="4" w:space="0" w:color="auto"/>
              <w:right w:val="nil"/>
            </w:tcBorders>
            <w:shd w:val="clear" w:color="auto" w:fill="auto"/>
            <w:noWrap/>
            <w:vAlign w:val="bottom"/>
            <w:hideMark/>
          </w:tcPr>
          <w:p w14:paraId="63F23522" w14:textId="77777777" w:rsidR="00392C54" w:rsidRPr="00C0591E" w:rsidRDefault="00392C54" w:rsidP="00392C54">
            <w:pPr>
              <w:spacing w:before="0" w:line="240" w:lineRule="auto"/>
              <w:rPr>
                <w:rFonts w:eastAsia="Times New Roman"/>
              </w:rPr>
            </w:pPr>
            <w:r w:rsidRPr="00C0591E">
              <w:rPr>
                <w:rFonts w:eastAsia="Times New Roman"/>
              </w:rPr>
              <w:t> </w:t>
            </w:r>
          </w:p>
        </w:tc>
        <w:tc>
          <w:tcPr>
            <w:tcW w:w="1108" w:type="pct"/>
            <w:tcBorders>
              <w:top w:val="nil"/>
              <w:left w:val="nil"/>
              <w:bottom w:val="single" w:sz="4" w:space="0" w:color="auto"/>
              <w:right w:val="nil"/>
            </w:tcBorders>
            <w:shd w:val="clear" w:color="auto" w:fill="auto"/>
            <w:noWrap/>
            <w:vAlign w:val="bottom"/>
            <w:hideMark/>
          </w:tcPr>
          <w:p w14:paraId="5DED43AD" w14:textId="77777777" w:rsidR="00392C54" w:rsidRPr="00C0591E" w:rsidRDefault="00392C54" w:rsidP="00392C54">
            <w:pPr>
              <w:spacing w:before="0" w:line="240" w:lineRule="auto"/>
              <w:jc w:val="center"/>
              <w:rPr>
                <w:rFonts w:eastAsia="Times New Roman"/>
                <w:b/>
              </w:rPr>
            </w:pPr>
            <w:r w:rsidRPr="00C0591E">
              <w:rPr>
                <w:rFonts w:eastAsia="Times New Roman"/>
                <w:b/>
              </w:rPr>
              <w:t>B</w:t>
            </w:r>
          </w:p>
        </w:tc>
        <w:tc>
          <w:tcPr>
            <w:tcW w:w="711" w:type="pct"/>
            <w:tcBorders>
              <w:top w:val="nil"/>
              <w:left w:val="nil"/>
              <w:bottom w:val="single" w:sz="4" w:space="0" w:color="auto"/>
              <w:right w:val="nil"/>
            </w:tcBorders>
            <w:shd w:val="clear" w:color="auto" w:fill="auto"/>
            <w:noWrap/>
            <w:vAlign w:val="bottom"/>
            <w:hideMark/>
          </w:tcPr>
          <w:p w14:paraId="724A2B05" w14:textId="77777777" w:rsidR="00392C54" w:rsidRPr="00C0591E" w:rsidRDefault="00392C54" w:rsidP="00392C54">
            <w:pPr>
              <w:spacing w:before="0" w:line="240" w:lineRule="auto"/>
              <w:jc w:val="center"/>
              <w:rPr>
                <w:rFonts w:eastAsia="Times New Roman"/>
                <w:b/>
              </w:rPr>
            </w:pPr>
            <w:r w:rsidRPr="00C0591E">
              <w:rPr>
                <w:rFonts w:eastAsia="Times New Roman"/>
                <w:b/>
              </w:rPr>
              <w:t>Std. Error</w:t>
            </w:r>
          </w:p>
        </w:tc>
        <w:tc>
          <w:tcPr>
            <w:tcW w:w="1054" w:type="pct"/>
            <w:tcBorders>
              <w:top w:val="nil"/>
              <w:left w:val="nil"/>
              <w:bottom w:val="single" w:sz="4" w:space="0" w:color="auto"/>
              <w:right w:val="nil"/>
            </w:tcBorders>
            <w:shd w:val="clear" w:color="auto" w:fill="auto"/>
            <w:noWrap/>
            <w:vAlign w:val="bottom"/>
            <w:hideMark/>
          </w:tcPr>
          <w:p w14:paraId="22616397" w14:textId="77777777" w:rsidR="00392C54" w:rsidRPr="00C0591E" w:rsidRDefault="00392C54" w:rsidP="00392C54">
            <w:pPr>
              <w:spacing w:before="0" w:line="240" w:lineRule="auto"/>
              <w:jc w:val="center"/>
              <w:rPr>
                <w:rFonts w:eastAsia="Times New Roman"/>
                <w:b/>
              </w:rPr>
            </w:pPr>
            <w:r w:rsidRPr="00C0591E">
              <w:rPr>
                <w:rFonts w:eastAsia="Times New Roman"/>
                <w:b/>
              </w:rPr>
              <w:t>Beta</w:t>
            </w:r>
          </w:p>
        </w:tc>
        <w:tc>
          <w:tcPr>
            <w:tcW w:w="485" w:type="pct"/>
            <w:tcBorders>
              <w:top w:val="nil"/>
              <w:left w:val="nil"/>
              <w:bottom w:val="single" w:sz="4" w:space="0" w:color="auto"/>
              <w:right w:val="nil"/>
            </w:tcBorders>
            <w:shd w:val="clear" w:color="auto" w:fill="auto"/>
            <w:noWrap/>
            <w:vAlign w:val="bottom"/>
            <w:hideMark/>
          </w:tcPr>
          <w:p w14:paraId="0D366C9A" w14:textId="77777777" w:rsidR="00392C54" w:rsidRPr="00C0591E" w:rsidRDefault="00392C54" w:rsidP="00392C54">
            <w:pPr>
              <w:spacing w:before="0" w:line="240" w:lineRule="auto"/>
              <w:jc w:val="center"/>
              <w:rPr>
                <w:rFonts w:eastAsia="Times New Roman"/>
                <w:b/>
              </w:rPr>
            </w:pPr>
            <w:r w:rsidRPr="00C0591E">
              <w:rPr>
                <w:rFonts w:eastAsia="Times New Roman"/>
                <w:b/>
              </w:rPr>
              <w:t>t</w:t>
            </w:r>
          </w:p>
        </w:tc>
        <w:tc>
          <w:tcPr>
            <w:tcW w:w="419" w:type="pct"/>
            <w:tcBorders>
              <w:top w:val="nil"/>
              <w:left w:val="nil"/>
              <w:bottom w:val="single" w:sz="4" w:space="0" w:color="auto"/>
              <w:right w:val="nil"/>
            </w:tcBorders>
            <w:shd w:val="clear" w:color="auto" w:fill="auto"/>
            <w:noWrap/>
            <w:vAlign w:val="bottom"/>
            <w:hideMark/>
          </w:tcPr>
          <w:p w14:paraId="7BF11420" w14:textId="77777777" w:rsidR="00392C54" w:rsidRPr="00C0591E" w:rsidRDefault="00392C54" w:rsidP="00392C54">
            <w:pPr>
              <w:spacing w:before="0" w:line="240" w:lineRule="auto"/>
              <w:jc w:val="center"/>
              <w:rPr>
                <w:rFonts w:eastAsia="Times New Roman"/>
                <w:b/>
              </w:rPr>
            </w:pPr>
            <w:r w:rsidRPr="00C0591E">
              <w:rPr>
                <w:rFonts w:eastAsia="Times New Roman"/>
                <w:b/>
              </w:rPr>
              <w:t>Sig.</w:t>
            </w:r>
          </w:p>
        </w:tc>
      </w:tr>
      <w:tr w:rsidR="00392C54" w:rsidRPr="00C0591E" w14:paraId="3410D84A" w14:textId="77777777" w:rsidTr="00A50A1A">
        <w:trPr>
          <w:trHeight w:val="288"/>
        </w:trPr>
        <w:tc>
          <w:tcPr>
            <w:tcW w:w="1224" w:type="pct"/>
            <w:tcBorders>
              <w:top w:val="nil"/>
              <w:left w:val="nil"/>
              <w:right w:val="nil"/>
            </w:tcBorders>
            <w:shd w:val="clear" w:color="auto" w:fill="auto"/>
            <w:noWrap/>
            <w:vAlign w:val="bottom"/>
            <w:hideMark/>
          </w:tcPr>
          <w:p w14:paraId="4E81365D" w14:textId="77777777" w:rsidR="00392C54" w:rsidRPr="00C0591E" w:rsidRDefault="00392C54" w:rsidP="00392C54">
            <w:pPr>
              <w:spacing w:before="0" w:line="240" w:lineRule="auto"/>
              <w:rPr>
                <w:rFonts w:eastAsia="Times New Roman"/>
              </w:rPr>
            </w:pPr>
            <w:r w:rsidRPr="00C0591E">
              <w:rPr>
                <w:rFonts w:eastAsia="Times New Roman"/>
              </w:rPr>
              <w:t>(Constant)</w:t>
            </w:r>
          </w:p>
        </w:tc>
        <w:tc>
          <w:tcPr>
            <w:tcW w:w="1108" w:type="pct"/>
            <w:tcBorders>
              <w:top w:val="nil"/>
              <w:left w:val="nil"/>
              <w:right w:val="nil"/>
            </w:tcBorders>
            <w:shd w:val="clear" w:color="auto" w:fill="auto"/>
            <w:noWrap/>
            <w:vAlign w:val="bottom"/>
            <w:hideMark/>
          </w:tcPr>
          <w:p w14:paraId="4E0F69CC" w14:textId="77777777" w:rsidR="00392C54" w:rsidRPr="00C0591E" w:rsidRDefault="00392C54" w:rsidP="00392C54">
            <w:pPr>
              <w:spacing w:before="0" w:line="240" w:lineRule="auto"/>
              <w:jc w:val="center"/>
              <w:rPr>
                <w:rFonts w:eastAsia="Times New Roman"/>
              </w:rPr>
            </w:pPr>
            <w:r w:rsidRPr="00C0591E">
              <w:rPr>
                <w:rFonts w:eastAsia="Times New Roman"/>
              </w:rPr>
              <w:t>2.539</w:t>
            </w:r>
          </w:p>
        </w:tc>
        <w:tc>
          <w:tcPr>
            <w:tcW w:w="711" w:type="pct"/>
            <w:tcBorders>
              <w:top w:val="nil"/>
              <w:left w:val="nil"/>
              <w:right w:val="nil"/>
            </w:tcBorders>
            <w:shd w:val="clear" w:color="auto" w:fill="auto"/>
            <w:noWrap/>
            <w:vAlign w:val="bottom"/>
            <w:hideMark/>
          </w:tcPr>
          <w:p w14:paraId="405A930C" w14:textId="77777777" w:rsidR="00392C54" w:rsidRPr="00C0591E" w:rsidRDefault="00392C54" w:rsidP="00392C54">
            <w:pPr>
              <w:spacing w:before="0" w:line="240" w:lineRule="auto"/>
              <w:jc w:val="center"/>
              <w:rPr>
                <w:rFonts w:eastAsia="Times New Roman"/>
              </w:rPr>
            </w:pPr>
            <w:r w:rsidRPr="00C0591E">
              <w:rPr>
                <w:rFonts w:eastAsia="Times New Roman"/>
              </w:rPr>
              <w:t>0.047</w:t>
            </w:r>
          </w:p>
        </w:tc>
        <w:tc>
          <w:tcPr>
            <w:tcW w:w="1054" w:type="pct"/>
            <w:tcBorders>
              <w:top w:val="nil"/>
              <w:left w:val="nil"/>
              <w:right w:val="nil"/>
            </w:tcBorders>
            <w:shd w:val="clear" w:color="auto" w:fill="auto"/>
            <w:noWrap/>
            <w:vAlign w:val="bottom"/>
            <w:hideMark/>
          </w:tcPr>
          <w:p w14:paraId="6DC80853" w14:textId="77777777" w:rsidR="00392C54" w:rsidRPr="00C0591E" w:rsidRDefault="00392C54" w:rsidP="00392C54">
            <w:pPr>
              <w:spacing w:before="0" w:line="240" w:lineRule="auto"/>
              <w:jc w:val="center"/>
              <w:rPr>
                <w:rFonts w:eastAsia="Times New Roman"/>
              </w:rPr>
            </w:pPr>
          </w:p>
        </w:tc>
        <w:tc>
          <w:tcPr>
            <w:tcW w:w="485" w:type="pct"/>
            <w:tcBorders>
              <w:top w:val="nil"/>
              <w:left w:val="nil"/>
              <w:right w:val="nil"/>
            </w:tcBorders>
            <w:shd w:val="clear" w:color="auto" w:fill="auto"/>
            <w:noWrap/>
            <w:vAlign w:val="bottom"/>
            <w:hideMark/>
          </w:tcPr>
          <w:p w14:paraId="2DF4579B" w14:textId="77777777" w:rsidR="00392C54" w:rsidRPr="00C0591E" w:rsidRDefault="00392C54" w:rsidP="00392C54">
            <w:pPr>
              <w:spacing w:before="0" w:line="240" w:lineRule="auto"/>
              <w:jc w:val="center"/>
              <w:rPr>
                <w:rFonts w:eastAsia="Times New Roman"/>
              </w:rPr>
            </w:pPr>
            <w:r w:rsidRPr="00C0591E">
              <w:rPr>
                <w:rFonts w:eastAsia="Times New Roman"/>
              </w:rPr>
              <w:t>54.336</w:t>
            </w:r>
          </w:p>
        </w:tc>
        <w:tc>
          <w:tcPr>
            <w:tcW w:w="419" w:type="pct"/>
            <w:tcBorders>
              <w:top w:val="nil"/>
              <w:left w:val="nil"/>
              <w:right w:val="nil"/>
            </w:tcBorders>
            <w:shd w:val="clear" w:color="auto" w:fill="auto"/>
            <w:noWrap/>
            <w:vAlign w:val="bottom"/>
            <w:hideMark/>
          </w:tcPr>
          <w:p w14:paraId="11D1AE1A" w14:textId="77777777" w:rsidR="00392C54" w:rsidRPr="00C0591E" w:rsidRDefault="00392C54" w:rsidP="00392C54">
            <w:pPr>
              <w:spacing w:before="0" w:line="240" w:lineRule="auto"/>
              <w:jc w:val="center"/>
              <w:rPr>
                <w:rFonts w:eastAsia="Times New Roman"/>
              </w:rPr>
            </w:pPr>
            <w:r w:rsidRPr="00C0591E">
              <w:rPr>
                <w:rFonts w:eastAsia="Times New Roman"/>
              </w:rPr>
              <w:t>0.000</w:t>
            </w:r>
          </w:p>
        </w:tc>
      </w:tr>
      <w:tr w:rsidR="00392C54" w:rsidRPr="00C0591E" w14:paraId="3B1FBA5B" w14:textId="77777777" w:rsidTr="00A50A1A">
        <w:trPr>
          <w:trHeight w:val="288"/>
        </w:trPr>
        <w:tc>
          <w:tcPr>
            <w:tcW w:w="1224" w:type="pct"/>
            <w:tcBorders>
              <w:top w:val="nil"/>
              <w:left w:val="nil"/>
              <w:bottom w:val="single" w:sz="4" w:space="0" w:color="auto"/>
              <w:right w:val="nil"/>
            </w:tcBorders>
            <w:shd w:val="clear" w:color="auto" w:fill="auto"/>
            <w:noWrap/>
            <w:vAlign w:val="bottom"/>
            <w:hideMark/>
          </w:tcPr>
          <w:p w14:paraId="0546553F" w14:textId="17EA00F7" w:rsidR="00392C54" w:rsidRPr="00C0591E" w:rsidRDefault="00173C67" w:rsidP="00392C54">
            <w:pPr>
              <w:spacing w:before="0" w:line="240" w:lineRule="auto"/>
              <w:rPr>
                <w:rFonts w:eastAsia="Times New Roman"/>
              </w:rPr>
            </w:pPr>
            <w:r>
              <w:rPr>
                <w:rFonts w:eastAsia="Times New Roman"/>
              </w:rPr>
              <w:t>Pillars of corporate governance</w:t>
            </w:r>
          </w:p>
        </w:tc>
        <w:tc>
          <w:tcPr>
            <w:tcW w:w="1108" w:type="pct"/>
            <w:tcBorders>
              <w:top w:val="nil"/>
              <w:left w:val="nil"/>
              <w:bottom w:val="single" w:sz="4" w:space="0" w:color="auto"/>
              <w:right w:val="nil"/>
            </w:tcBorders>
            <w:shd w:val="clear" w:color="auto" w:fill="auto"/>
            <w:noWrap/>
            <w:vAlign w:val="bottom"/>
            <w:hideMark/>
          </w:tcPr>
          <w:p w14:paraId="7640F480" w14:textId="77777777" w:rsidR="00392C54" w:rsidRPr="00C0591E" w:rsidRDefault="00392C54" w:rsidP="00392C54">
            <w:pPr>
              <w:spacing w:before="0" w:line="240" w:lineRule="auto"/>
              <w:jc w:val="center"/>
              <w:rPr>
                <w:rFonts w:eastAsia="Times New Roman"/>
              </w:rPr>
            </w:pPr>
            <w:r w:rsidRPr="00C0591E">
              <w:rPr>
                <w:rFonts w:eastAsia="Times New Roman"/>
              </w:rPr>
              <w:t>0.065</w:t>
            </w:r>
          </w:p>
        </w:tc>
        <w:tc>
          <w:tcPr>
            <w:tcW w:w="711" w:type="pct"/>
            <w:tcBorders>
              <w:top w:val="nil"/>
              <w:left w:val="nil"/>
              <w:bottom w:val="single" w:sz="4" w:space="0" w:color="auto"/>
              <w:right w:val="nil"/>
            </w:tcBorders>
            <w:shd w:val="clear" w:color="auto" w:fill="auto"/>
            <w:noWrap/>
            <w:vAlign w:val="bottom"/>
            <w:hideMark/>
          </w:tcPr>
          <w:p w14:paraId="34F0CF8E" w14:textId="77777777" w:rsidR="00392C54" w:rsidRPr="00C0591E" w:rsidRDefault="00392C54" w:rsidP="00392C54">
            <w:pPr>
              <w:spacing w:before="0" w:line="240" w:lineRule="auto"/>
              <w:jc w:val="center"/>
              <w:rPr>
                <w:rFonts w:eastAsia="Times New Roman"/>
              </w:rPr>
            </w:pPr>
            <w:r w:rsidRPr="00C0591E">
              <w:rPr>
                <w:rFonts w:eastAsia="Times New Roman"/>
              </w:rPr>
              <w:t>0.023</w:t>
            </w:r>
          </w:p>
        </w:tc>
        <w:tc>
          <w:tcPr>
            <w:tcW w:w="1054" w:type="pct"/>
            <w:tcBorders>
              <w:top w:val="nil"/>
              <w:left w:val="nil"/>
              <w:bottom w:val="single" w:sz="4" w:space="0" w:color="auto"/>
              <w:right w:val="nil"/>
            </w:tcBorders>
            <w:shd w:val="clear" w:color="auto" w:fill="auto"/>
            <w:noWrap/>
            <w:vAlign w:val="bottom"/>
            <w:hideMark/>
          </w:tcPr>
          <w:p w14:paraId="15575A92" w14:textId="77777777" w:rsidR="00392C54" w:rsidRPr="00C0591E" w:rsidRDefault="00392C54" w:rsidP="00392C54">
            <w:pPr>
              <w:spacing w:before="0" w:line="240" w:lineRule="auto"/>
              <w:jc w:val="center"/>
              <w:rPr>
                <w:rFonts w:eastAsia="Times New Roman"/>
              </w:rPr>
            </w:pPr>
            <w:r w:rsidRPr="00C0591E">
              <w:rPr>
                <w:rFonts w:eastAsia="Times New Roman"/>
              </w:rPr>
              <w:t>0.178</w:t>
            </w:r>
          </w:p>
        </w:tc>
        <w:tc>
          <w:tcPr>
            <w:tcW w:w="485" w:type="pct"/>
            <w:tcBorders>
              <w:top w:val="nil"/>
              <w:left w:val="nil"/>
              <w:bottom w:val="single" w:sz="4" w:space="0" w:color="auto"/>
              <w:right w:val="nil"/>
            </w:tcBorders>
            <w:shd w:val="clear" w:color="auto" w:fill="auto"/>
            <w:noWrap/>
            <w:vAlign w:val="bottom"/>
            <w:hideMark/>
          </w:tcPr>
          <w:p w14:paraId="533A60AA" w14:textId="77777777" w:rsidR="00392C54" w:rsidRPr="00C0591E" w:rsidRDefault="00392C54" w:rsidP="00392C54">
            <w:pPr>
              <w:spacing w:before="0" w:line="240" w:lineRule="auto"/>
              <w:jc w:val="center"/>
              <w:rPr>
                <w:rFonts w:eastAsia="Times New Roman"/>
              </w:rPr>
            </w:pPr>
            <w:r w:rsidRPr="00C0591E">
              <w:rPr>
                <w:rFonts w:eastAsia="Times New Roman"/>
              </w:rPr>
              <w:t>2.855</w:t>
            </w:r>
          </w:p>
        </w:tc>
        <w:tc>
          <w:tcPr>
            <w:tcW w:w="419" w:type="pct"/>
            <w:tcBorders>
              <w:top w:val="nil"/>
              <w:left w:val="nil"/>
              <w:bottom w:val="single" w:sz="4" w:space="0" w:color="auto"/>
              <w:right w:val="nil"/>
            </w:tcBorders>
            <w:shd w:val="clear" w:color="auto" w:fill="auto"/>
            <w:noWrap/>
            <w:vAlign w:val="bottom"/>
            <w:hideMark/>
          </w:tcPr>
          <w:p w14:paraId="019B3A7F" w14:textId="77777777" w:rsidR="00392C54" w:rsidRPr="00C0591E" w:rsidRDefault="00392C54" w:rsidP="00392C54">
            <w:pPr>
              <w:spacing w:before="0" w:line="240" w:lineRule="auto"/>
              <w:jc w:val="center"/>
              <w:rPr>
                <w:rFonts w:eastAsia="Times New Roman"/>
              </w:rPr>
            </w:pPr>
            <w:r w:rsidRPr="00C0591E">
              <w:rPr>
                <w:rFonts w:eastAsia="Times New Roman"/>
              </w:rPr>
              <w:t>0.005</w:t>
            </w:r>
          </w:p>
        </w:tc>
      </w:tr>
    </w:tbl>
    <w:p w14:paraId="741A5331" w14:textId="1A843C24" w:rsidR="0081009E" w:rsidRDefault="0081009E" w:rsidP="00534220">
      <w:r w:rsidRPr="00C0591E">
        <w:t xml:space="preserve">Findings presented in Table </w:t>
      </w:r>
      <w:r w:rsidR="00191F36" w:rsidRPr="00C0591E">
        <w:t>24</w:t>
      </w:r>
      <w:r w:rsidRPr="00C0591E">
        <w:t xml:space="preserve"> show that </w:t>
      </w:r>
      <w:r w:rsidR="009213B7" w:rsidRPr="00C0591E">
        <w:t xml:space="preserve">when </w:t>
      </w:r>
      <w:r w:rsidR="00173C67">
        <w:t>pillars of corporate governance</w:t>
      </w:r>
      <w:r w:rsidRPr="00C0591E">
        <w:t xml:space="preserve">, is held constant, </w:t>
      </w:r>
      <w:r w:rsidR="0096010B" w:rsidRPr="00C0591E">
        <w:t xml:space="preserve">performance of pension fund managers </w:t>
      </w:r>
      <w:r w:rsidRPr="00C0591E">
        <w:t xml:space="preserve">will remain at 2.539. At the same time, an increase in </w:t>
      </w:r>
      <w:r w:rsidR="00173C67">
        <w:t>Pillars of corporate governance</w:t>
      </w:r>
      <w:r w:rsidR="00A50A1A" w:rsidRPr="00C0591E">
        <w:t xml:space="preserve"> </w:t>
      </w:r>
      <w:r w:rsidRPr="00C0591E">
        <w:t xml:space="preserve">by one unit leads to an increase in performance of pension fund managers by </w:t>
      </w:r>
      <w:r w:rsidR="0096010B" w:rsidRPr="00C0591E">
        <w:t xml:space="preserve">0.065 </w:t>
      </w:r>
      <w:r w:rsidRPr="00C0591E">
        <w:t xml:space="preserve">units with a p-value of 0.000&lt;0.05. The study thus, rejected the null hypothesis and adopted the alternative hypothesis that there is significant relationship between </w:t>
      </w:r>
      <w:r w:rsidR="0096010B" w:rsidRPr="00C0591E">
        <w:t xml:space="preserve">corporate governance </w:t>
      </w:r>
      <w:r w:rsidRPr="00C0591E">
        <w:t>and performance of pension fund managers</w:t>
      </w:r>
      <w:r w:rsidRPr="00C0591E">
        <w:rPr>
          <w:lang w:val="en-GB"/>
        </w:rPr>
        <w:t xml:space="preserve"> </w:t>
      </w:r>
      <w:r w:rsidRPr="00C0591E">
        <w:t>in Kenya.</w:t>
      </w:r>
    </w:p>
    <w:p w14:paraId="30F67AF5" w14:textId="77777777" w:rsidR="0081009E" w:rsidRPr="00C0591E" w:rsidRDefault="0081009E" w:rsidP="0081009E">
      <w:pPr>
        <w:jc w:val="left"/>
        <w:rPr>
          <w:szCs w:val="24"/>
        </w:rPr>
      </w:pPr>
      <w:r w:rsidRPr="00C0591E">
        <w:rPr>
          <w:szCs w:val="24"/>
        </w:rPr>
        <w:t>This can be summarized by the following model:</w:t>
      </w:r>
    </w:p>
    <w:p w14:paraId="456C9625" w14:textId="132CF2D8" w:rsidR="00A50A1A" w:rsidRPr="00C0591E" w:rsidRDefault="0096010B" w:rsidP="0096010B">
      <w:pPr>
        <w:jc w:val="left"/>
      </w:pPr>
      <w:r w:rsidRPr="00C0591E">
        <w:rPr>
          <w:szCs w:val="24"/>
        </w:rPr>
        <w:t>P</w:t>
      </w:r>
      <m:oMath>
        <m:r>
          <w:rPr>
            <w:rFonts w:ascii="Cambria Math" w:hAnsi="Cambria Math"/>
            <w:szCs w:val="24"/>
          </w:rPr>
          <m:t>=</m:t>
        </m:r>
        <m:r>
          <m:rPr>
            <m:sty m:val="p"/>
          </m:rPr>
          <w:rPr>
            <w:rFonts w:ascii="Cambria Math" w:eastAsia="Times New Roman" w:hAnsi="Cambria Math"/>
          </w:rPr>
          <m:t>2.539</m:t>
        </m:r>
        <m:r>
          <w:rPr>
            <w:rFonts w:ascii="Cambria Math" w:hAnsi="Cambria Math"/>
            <w:szCs w:val="24"/>
          </w:rPr>
          <m:t>+</m:t>
        </m:r>
        <m:r>
          <m:rPr>
            <m:sty m:val="p"/>
          </m:rPr>
          <w:rPr>
            <w:rFonts w:ascii="Cambria Math" w:hAnsi="Cambria Math"/>
          </w:rPr>
          <m:t>0.065CG</m:t>
        </m:r>
      </m:oMath>
    </w:p>
    <w:p w14:paraId="172EFF9F" w14:textId="5D19E4D5" w:rsidR="0096010B" w:rsidRPr="00C0591E" w:rsidRDefault="0096010B" w:rsidP="0096010B">
      <w:pPr>
        <w:jc w:val="left"/>
        <w:rPr>
          <w:szCs w:val="24"/>
        </w:rPr>
      </w:pPr>
      <w:r w:rsidRPr="00C0591E">
        <w:rPr>
          <w:szCs w:val="24"/>
        </w:rPr>
        <w:t>Where;</w:t>
      </w:r>
    </w:p>
    <w:p w14:paraId="01113242" w14:textId="2ACC43EF" w:rsidR="0096010B" w:rsidRPr="00C0591E" w:rsidRDefault="0096010B" w:rsidP="0096010B">
      <w:pPr>
        <w:rPr>
          <w:szCs w:val="24"/>
        </w:rPr>
      </w:pPr>
      <w:r w:rsidRPr="00C0591E">
        <w:rPr>
          <w:szCs w:val="24"/>
        </w:rPr>
        <w:t>P=    Performance of Pension Fund Managers</w:t>
      </w:r>
    </w:p>
    <w:p w14:paraId="070E23C4" w14:textId="0E2503B5" w:rsidR="00A50A1A" w:rsidRPr="00C0591E" w:rsidRDefault="00A50A1A" w:rsidP="0096010B">
      <w:pPr>
        <w:rPr>
          <w:lang w:eastAsia="ar-SA"/>
        </w:rPr>
      </w:pPr>
      <w:r w:rsidRPr="00C0591E">
        <w:rPr>
          <w:rFonts w:cs="Times New Roman"/>
          <w:szCs w:val="24"/>
        </w:rPr>
        <w:t>CG</w:t>
      </w:r>
      <w:r w:rsidR="0096010B" w:rsidRPr="00C0591E">
        <w:rPr>
          <w:rFonts w:cs="Times New Roman"/>
          <w:szCs w:val="24"/>
        </w:rPr>
        <w:t xml:space="preserve">=    </w:t>
      </w:r>
      <w:r w:rsidR="00173C67">
        <w:rPr>
          <w:lang w:eastAsia="ar-SA"/>
        </w:rPr>
        <w:t>Pillars of corporate governance</w:t>
      </w:r>
      <w:r w:rsidRPr="00C0591E">
        <w:rPr>
          <w:lang w:eastAsia="ar-SA"/>
        </w:rPr>
        <w:t xml:space="preserve"> </w:t>
      </w:r>
    </w:p>
    <w:p w14:paraId="57C7F795" w14:textId="225950EA" w:rsidR="00534220" w:rsidRPr="00C0591E" w:rsidRDefault="00534220" w:rsidP="00F85BE3">
      <w:pPr>
        <w:pStyle w:val="Heading3"/>
      </w:pPr>
      <w:bookmarkStart w:id="297" w:name="_Toc22319985"/>
      <w:r w:rsidRPr="00C0591E">
        <w:t xml:space="preserve">4.7.2 </w:t>
      </w:r>
      <w:bookmarkEnd w:id="297"/>
      <w:r w:rsidRPr="00C0591E">
        <w:t xml:space="preserve">Intervening Effect of </w:t>
      </w:r>
      <w:r w:rsidR="00F85BE3" w:rsidRPr="00C0591E">
        <w:t>Investment Policies</w:t>
      </w:r>
    </w:p>
    <w:p w14:paraId="2D71F02A" w14:textId="73AB9963" w:rsidR="00534220" w:rsidRPr="00C0591E" w:rsidRDefault="00534220" w:rsidP="00D1583A">
      <w:pPr>
        <w:rPr>
          <w:color w:val="000000"/>
        </w:rPr>
      </w:pPr>
      <w:r w:rsidRPr="00C0591E">
        <w:t xml:space="preserve">The second objective of the study was to evaluate the intervening effect of investment policies on the relationship between </w:t>
      </w:r>
      <w:r w:rsidR="00173C67">
        <w:t>pillars of corporate governance</w:t>
      </w:r>
      <w:r w:rsidRPr="00C0591E">
        <w:t xml:space="preserve"> and performance of pension fund managers in Kenya.</w:t>
      </w:r>
      <w:r w:rsidRPr="00C0591E">
        <w:rPr>
          <w:color w:val="000000"/>
        </w:rPr>
        <w:t xml:space="preserve"> The second hypothesis stated in the null form is as follows:</w:t>
      </w:r>
    </w:p>
    <w:p w14:paraId="42497508" w14:textId="5FFC6B5F" w:rsidR="00D1583A" w:rsidRPr="00C0591E" w:rsidRDefault="00D1583A" w:rsidP="00D1583A">
      <w:pPr>
        <w:rPr>
          <w:rFonts w:cs="Times New Roman"/>
          <w:b/>
          <w:szCs w:val="24"/>
        </w:rPr>
      </w:pPr>
      <w:r w:rsidRPr="00C0591E">
        <w:rPr>
          <w:rFonts w:eastAsia="Times New Roman"/>
          <w:b/>
          <w:szCs w:val="24"/>
        </w:rPr>
        <w:t>H</w:t>
      </w:r>
      <w:r w:rsidRPr="00C0591E">
        <w:rPr>
          <w:rFonts w:eastAsia="Times New Roman"/>
          <w:b/>
          <w:szCs w:val="24"/>
          <w:vertAlign w:val="subscript"/>
        </w:rPr>
        <w:t>02</w:t>
      </w:r>
      <w:r w:rsidRPr="00C0591E">
        <w:rPr>
          <w:rFonts w:eastAsia="Times New Roman"/>
          <w:b/>
          <w:szCs w:val="24"/>
        </w:rPr>
        <w:t xml:space="preserve">: There is no significant </w:t>
      </w:r>
      <w:r w:rsidRPr="00C0591E">
        <w:rPr>
          <w:rFonts w:cs="Times New Roman"/>
          <w:b/>
          <w:szCs w:val="24"/>
        </w:rPr>
        <w:t xml:space="preserve">intervening effect of investment policies on the relationship between </w:t>
      </w:r>
      <w:r w:rsidR="00173C67">
        <w:rPr>
          <w:rFonts w:cs="Times New Roman"/>
          <w:b/>
          <w:szCs w:val="24"/>
        </w:rPr>
        <w:t>pillars of corporate governance</w:t>
      </w:r>
      <w:r w:rsidRPr="00C0591E">
        <w:rPr>
          <w:rFonts w:cs="Times New Roman"/>
          <w:b/>
          <w:szCs w:val="24"/>
        </w:rPr>
        <w:t xml:space="preserve"> and performance of pension fund managers in Kenya.</w:t>
      </w:r>
    </w:p>
    <w:p w14:paraId="0B6C6DFB" w14:textId="1EC60EAB" w:rsidR="00ED165B" w:rsidRPr="00C0591E" w:rsidRDefault="00ED165B" w:rsidP="008C5783">
      <w:r w:rsidRPr="00C0591E">
        <w:t xml:space="preserve">The intervening effect of investment policies was assessed and results explained using coefficient of determination (R-Square), Analysis of Variance (ANOVA) and the regression coefficients. The intervening effect of investment policies on the relationship between </w:t>
      </w:r>
      <w:r w:rsidR="00173C67">
        <w:t>pillars of corporate governance</w:t>
      </w:r>
      <w:r w:rsidRPr="00C0591E">
        <w:t xml:space="preserve"> and performance of pension fund managers in Kenya was analysed in 4 steps.</w:t>
      </w:r>
    </w:p>
    <w:p w14:paraId="69306A21" w14:textId="77777777" w:rsidR="00ED165B" w:rsidRPr="00C0591E" w:rsidRDefault="00ED165B" w:rsidP="00ED165B">
      <w:pPr>
        <w:pStyle w:val="ListParagraph"/>
        <w:numPr>
          <w:ilvl w:val="0"/>
          <w:numId w:val="21"/>
        </w:numPr>
      </w:pPr>
      <w:r w:rsidRPr="00C0591E">
        <w:t>Step 1: P= β+ βCG+ Ɛ</w:t>
      </w:r>
    </w:p>
    <w:p w14:paraId="01647638" w14:textId="77777777" w:rsidR="00ED165B" w:rsidRPr="00C0591E" w:rsidRDefault="00ED165B" w:rsidP="00ED165B">
      <w:pPr>
        <w:pStyle w:val="ListParagraph"/>
        <w:numPr>
          <w:ilvl w:val="0"/>
          <w:numId w:val="21"/>
        </w:numPr>
      </w:pPr>
      <w:r w:rsidRPr="00C0591E">
        <w:t>Step 2: IP= β+ βCG+ Ɛ</w:t>
      </w:r>
    </w:p>
    <w:p w14:paraId="0617E9FC" w14:textId="77777777" w:rsidR="00ED165B" w:rsidRPr="00C0591E" w:rsidRDefault="00ED165B" w:rsidP="00ED165B">
      <w:pPr>
        <w:pStyle w:val="ListParagraph"/>
        <w:numPr>
          <w:ilvl w:val="0"/>
          <w:numId w:val="21"/>
        </w:numPr>
      </w:pPr>
      <w:r w:rsidRPr="00C0591E">
        <w:t>Step 3: P= β+ βIP+ Ɛ</w:t>
      </w:r>
    </w:p>
    <w:p w14:paraId="5E781F65" w14:textId="77777777" w:rsidR="00ED165B" w:rsidRPr="00C0591E" w:rsidRDefault="00ED165B" w:rsidP="00ED165B">
      <w:pPr>
        <w:pStyle w:val="ListParagraph"/>
        <w:numPr>
          <w:ilvl w:val="0"/>
          <w:numId w:val="21"/>
        </w:numPr>
      </w:pPr>
      <w:r w:rsidRPr="00C0591E">
        <w:t>Step 4: P= β+ βCG+ βIP+ Ɛ</w:t>
      </w:r>
    </w:p>
    <w:p w14:paraId="28D6B9A4" w14:textId="2272DD26" w:rsidR="007D4F25" w:rsidRDefault="007D4F25" w:rsidP="00722753">
      <w:r w:rsidRPr="00C0591E">
        <w:t xml:space="preserve">Steps 1-3 was used to establish that zero-order relationship existed among the variables. Situations where one or more of the relations is non – significant depicts no possibility of mediation (Baron &amp; Kenny, 1986). If they are significant relationships from step 1 through 3, one proceeds to step 4 where mediation is supported if the effect of </w:t>
      </w:r>
      <w:r w:rsidR="00173C67">
        <w:t>pillars of corporate governance</w:t>
      </w:r>
      <w:r w:rsidRPr="00C0591E">
        <w:t xml:space="preserve"> (CG) remains significant after controlling investment policies (IP). If investment policies (IP) is not significant when </w:t>
      </w:r>
      <w:r w:rsidR="00173C67">
        <w:t>pillars of corporate governance</w:t>
      </w:r>
      <w:r w:rsidRPr="00C0591E">
        <w:t xml:space="preserve"> (CG) is controlled, there is full mediation, and if both </w:t>
      </w:r>
      <w:r w:rsidR="00173C67">
        <w:t>pillars of corporate governance</w:t>
      </w:r>
      <w:r w:rsidRPr="00C0591E">
        <w:t xml:space="preserve"> (CG) and investment policies (IP) significantly predict performance of pension fund managers</w:t>
      </w:r>
      <w:r w:rsidRPr="00C0591E">
        <w:rPr>
          <w:lang w:val="en-GB"/>
        </w:rPr>
        <w:t xml:space="preserve"> (P) </w:t>
      </w:r>
      <w:r w:rsidRPr="00C0591E">
        <w:t>there is partial mediation.</w:t>
      </w:r>
    </w:p>
    <w:p w14:paraId="1B7E5548" w14:textId="13D0608E" w:rsidR="007D4F25" w:rsidRPr="00C0591E" w:rsidRDefault="007D4F25" w:rsidP="00EF0BD5">
      <w:pPr>
        <w:pStyle w:val="Heading4"/>
      </w:pPr>
      <w:bookmarkStart w:id="298" w:name="_Toc39670033"/>
      <w:bookmarkStart w:id="299" w:name="_Toc113125160"/>
      <w:r w:rsidRPr="00C0591E">
        <w:t xml:space="preserve">Table </w:t>
      </w:r>
      <w:r w:rsidR="00191F36" w:rsidRPr="00C0591E">
        <w:t>25</w:t>
      </w:r>
      <w:r w:rsidRPr="00C0591E">
        <w:t>: R</w:t>
      </w:r>
      <w:r w:rsidRPr="00C0591E">
        <w:rPr>
          <w:szCs w:val="16"/>
          <w:vertAlign w:val="superscript"/>
        </w:rPr>
        <w:t xml:space="preserve">2 </w:t>
      </w:r>
      <w:r w:rsidRPr="00C0591E">
        <w:t xml:space="preserve">for </w:t>
      </w:r>
      <w:bookmarkEnd w:id="298"/>
      <w:r w:rsidR="00173C67">
        <w:t>Pillars of corporate governance</w:t>
      </w:r>
      <w:r w:rsidR="008C5783" w:rsidRPr="00C0591E">
        <w:t>, Investment Policies and Performance</w:t>
      </w:r>
      <w:bookmarkEnd w:id="299"/>
      <w:r w:rsidR="008C5783" w:rsidRPr="00C0591E">
        <w:t xml:space="preserve"> </w:t>
      </w:r>
    </w:p>
    <w:tbl>
      <w:tblPr>
        <w:tblW w:w="5000" w:type="pct"/>
        <w:tblLook w:val="04A0" w:firstRow="1" w:lastRow="0" w:firstColumn="1" w:lastColumn="0" w:noHBand="0" w:noVBand="1"/>
      </w:tblPr>
      <w:tblGrid>
        <w:gridCol w:w="1320"/>
        <w:gridCol w:w="1320"/>
        <w:gridCol w:w="1320"/>
        <w:gridCol w:w="2177"/>
        <w:gridCol w:w="2889"/>
      </w:tblGrid>
      <w:tr w:rsidR="00F519E5" w:rsidRPr="00C0591E" w14:paraId="07979227" w14:textId="77777777" w:rsidTr="00FA398D">
        <w:trPr>
          <w:trHeight w:val="288"/>
        </w:trPr>
        <w:tc>
          <w:tcPr>
            <w:tcW w:w="731" w:type="pct"/>
            <w:tcBorders>
              <w:top w:val="single" w:sz="4" w:space="0" w:color="auto"/>
              <w:left w:val="nil"/>
              <w:bottom w:val="single" w:sz="4" w:space="0" w:color="auto"/>
              <w:right w:val="nil"/>
            </w:tcBorders>
            <w:shd w:val="clear" w:color="auto" w:fill="auto"/>
            <w:noWrap/>
            <w:vAlign w:val="bottom"/>
            <w:hideMark/>
          </w:tcPr>
          <w:p w14:paraId="7DFB41DD" w14:textId="77777777" w:rsidR="00F519E5" w:rsidRPr="00C0591E" w:rsidRDefault="00F519E5" w:rsidP="00F519E5">
            <w:pPr>
              <w:spacing w:before="0"/>
              <w:rPr>
                <w:rFonts w:eastAsia="Times New Roman"/>
                <w:b/>
              </w:rPr>
            </w:pPr>
            <w:r w:rsidRPr="00C0591E">
              <w:rPr>
                <w:rFonts w:eastAsia="Times New Roman"/>
                <w:b/>
              </w:rPr>
              <w:t>Model</w:t>
            </w:r>
          </w:p>
        </w:tc>
        <w:tc>
          <w:tcPr>
            <w:tcW w:w="731" w:type="pct"/>
            <w:tcBorders>
              <w:top w:val="single" w:sz="4" w:space="0" w:color="auto"/>
              <w:left w:val="nil"/>
              <w:bottom w:val="single" w:sz="4" w:space="0" w:color="auto"/>
              <w:right w:val="nil"/>
            </w:tcBorders>
            <w:shd w:val="clear" w:color="auto" w:fill="auto"/>
            <w:noWrap/>
            <w:vAlign w:val="bottom"/>
            <w:hideMark/>
          </w:tcPr>
          <w:p w14:paraId="2B1AB5DF" w14:textId="77777777" w:rsidR="00F519E5" w:rsidRPr="00C0591E" w:rsidRDefault="00F519E5" w:rsidP="00D96EE2">
            <w:pPr>
              <w:spacing w:before="0"/>
              <w:jc w:val="center"/>
              <w:rPr>
                <w:rFonts w:eastAsia="Times New Roman"/>
                <w:b/>
              </w:rPr>
            </w:pPr>
            <w:r w:rsidRPr="00C0591E">
              <w:rPr>
                <w:rFonts w:eastAsia="Times New Roman"/>
                <w:b/>
              </w:rPr>
              <w:t>R</w:t>
            </w:r>
          </w:p>
        </w:tc>
        <w:tc>
          <w:tcPr>
            <w:tcW w:w="731" w:type="pct"/>
            <w:tcBorders>
              <w:top w:val="single" w:sz="4" w:space="0" w:color="auto"/>
              <w:left w:val="nil"/>
              <w:bottom w:val="single" w:sz="4" w:space="0" w:color="auto"/>
              <w:right w:val="nil"/>
            </w:tcBorders>
            <w:shd w:val="clear" w:color="auto" w:fill="auto"/>
            <w:noWrap/>
            <w:vAlign w:val="bottom"/>
            <w:hideMark/>
          </w:tcPr>
          <w:p w14:paraId="3ABFE5C8" w14:textId="77777777" w:rsidR="00F519E5" w:rsidRPr="00C0591E" w:rsidRDefault="00F519E5" w:rsidP="00D96EE2">
            <w:pPr>
              <w:spacing w:before="0"/>
              <w:jc w:val="center"/>
              <w:rPr>
                <w:rFonts w:eastAsia="Times New Roman"/>
                <w:b/>
              </w:rPr>
            </w:pPr>
            <w:r w:rsidRPr="00C0591E">
              <w:rPr>
                <w:rFonts w:eastAsia="Times New Roman"/>
                <w:b/>
              </w:rPr>
              <w:t>R Square</w:t>
            </w:r>
          </w:p>
        </w:tc>
        <w:tc>
          <w:tcPr>
            <w:tcW w:w="1206" w:type="pct"/>
            <w:tcBorders>
              <w:top w:val="single" w:sz="4" w:space="0" w:color="auto"/>
              <w:left w:val="nil"/>
              <w:bottom w:val="single" w:sz="4" w:space="0" w:color="auto"/>
              <w:right w:val="nil"/>
            </w:tcBorders>
            <w:shd w:val="clear" w:color="auto" w:fill="auto"/>
            <w:noWrap/>
            <w:vAlign w:val="bottom"/>
            <w:hideMark/>
          </w:tcPr>
          <w:p w14:paraId="6EDF0537" w14:textId="77777777" w:rsidR="00F519E5" w:rsidRPr="00C0591E" w:rsidRDefault="00F519E5" w:rsidP="00D96EE2">
            <w:pPr>
              <w:spacing w:before="0"/>
              <w:jc w:val="center"/>
              <w:rPr>
                <w:rFonts w:eastAsia="Times New Roman"/>
                <w:b/>
              </w:rPr>
            </w:pPr>
            <w:r w:rsidRPr="00C0591E">
              <w:rPr>
                <w:rFonts w:eastAsia="Times New Roman"/>
                <w:b/>
              </w:rPr>
              <w:t>Adjusted R Square</w:t>
            </w:r>
          </w:p>
        </w:tc>
        <w:tc>
          <w:tcPr>
            <w:tcW w:w="1600" w:type="pct"/>
            <w:tcBorders>
              <w:top w:val="single" w:sz="4" w:space="0" w:color="auto"/>
              <w:left w:val="nil"/>
              <w:bottom w:val="single" w:sz="4" w:space="0" w:color="auto"/>
              <w:right w:val="nil"/>
            </w:tcBorders>
            <w:shd w:val="clear" w:color="auto" w:fill="auto"/>
            <w:noWrap/>
            <w:vAlign w:val="bottom"/>
            <w:hideMark/>
          </w:tcPr>
          <w:p w14:paraId="7CD80DD5" w14:textId="77777777" w:rsidR="00F519E5" w:rsidRPr="00C0591E" w:rsidRDefault="00F519E5" w:rsidP="00D96EE2">
            <w:pPr>
              <w:spacing w:before="0"/>
              <w:jc w:val="center"/>
              <w:rPr>
                <w:rFonts w:eastAsia="Times New Roman"/>
                <w:b/>
              </w:rPr>
            </w:pPr>
            <w:r w:rsidRPr="00C0591E">
              <w:rPr>
                <w:rFonts w:eastAsia="Times New Roman"/>
                <w:b/>
              </w:rPr>
              <w:t>Std. Error of the Estimate</w:t>
            </w:r>
          </w:p>
        </w:tc>
      </w:tr>
      <w:tr w:rsidR="00F519E5" w:rsidRPr="00C0591E" w14:paraId="4D803199" w14:textId="77777777" w:rsidTr="00FA398D">
        <w:trPr>
          <w:trHeight w:val="288"/>
        </w:trPr>
        <w:tc>
          <w:tcPr>
            <w:tcW w:w="731" w:type="pct"/>
            <w:tcBorders>
              <w:top w:val="nil"/>
              <w:left w:val="nil"/>
              <w:bottom w:val="nil"/>
              <w:right w:val="nil"/>
            </w:tcBorders>
            <w:shd w:val="clear" w:color="auto" w:fill="auto"/>
            <w:noWrap/>
            <w:vAlign w:val="bottom"/>
            <w:hideMark/>
          </w:tcPr>
          <w:p w14:paraId="5CCE99B0" w14:textId="77777777" w:rsidR="00F519E5" w:rsidRPr="00C0591E" w:rsidRDefault="00F519E5" w:rsidP="00F519E5">
            <w:pPr>
              <w:spacing w:before="0"/>
              <w:rPr>
                <w:rFonts w:eastAsia="Times New Roman"/>
              </w:rPr>
            </w:pPr>
            <w:r w:rsidRPr="00C0591E">
              <w:rPr>
                <w:rFonts w:eastAsia="Times New Roman"/>
              </w:rPr>
              <w:t>1</w:t>
            </w:r>
          </w:p>
        </w:tc>
        <w:tc>
          <w:tcPr>
            <w:tcW w:w="731" w:type="pct"/>
            <w:tcBorders>
              <w:top w:val="nil"/>
              <w:left w:val="nil"/>
              <w:bottom w:val="nil"/>
              <w:right w:val="nil"/>
            </w:tcBorders>
            <w:shd w:val="clear" w:color="auto" w:fill="auto"/>
            <w:noWrap/>
            <w:vAlign w:val="bottom"/>
            <w:hideMark/>
          </w:tcPr>
          <w:p w14:paraId="7CEAE5A0" w14:textId="77777777" w:rsidR="00F519E5" w:rsidRPr="00C0591E" w:rsidRDefault="00F519E5" w:rsidP="00D96EE2">
            <w:pPr>
              <w:spacing w:before="0"/>
              <w:jc w:val="center"/>
              <w:rPr>
                <w:rFonts w:eastAsia="Times New Roman"/>
              </w:rPr>
            </w:pPr>
            <w:r w:rsidRPr="00C0591E">
              <w:rPr>
                <w:rFonts w:eastAsia="Times New Roman"/>
              </w:rPr>
              <w:t>.743a</w:t>
            </w:r>
          </w:p>
        </w:tc>
        <w:tc>
          <w:tcPr>
            <w:tcW w:w="731" w:type="pct"/>
            <w:tcBorders>
              <w:top w:val="nil"/>
              <w:left w:val="nil"/>
              <w:bottom w:val="nil"/>
              <w:right w:val="nil"/>
            </w:tcBorders>
            <w:shd w:val="clear" w:color="auto" w:fill="auto"/>
            <w:noWrap/>
            <w:vAlign w:val="bottom"/>
            <w:hideMark/>
          </w:tcPr>
          <w:p w14:paraId="5A783285" w14:textId="77777777" w:rsidR="00F519E5" w:rsidRPr="00C0591E" w:rsidRDefault="00F519E5" w:rsidP="00D96EE2">
            <w:pPr>
              <w:spacing w:before="0"/>
              <w:jc w:val="center"/>
              <w:rPr>
                <w:rFonts w:eastAsia="Times New Roman"/>
              </w:rPr>
            </w:pPr>
            <w:r w:rsidRPr="00C0591E">
              <w:rPr>
                <w:rFonts w:eastAsia="Times New Roman"/>
              </w:rPr>
              <w:t>0.552</w:t>
            </w:r>
          </w:p>
        </w:tc>
        <w:tc>
          <w:tcPr>
            <w:tcW w:w="1206" w:type="pct"/>
            <w:tcBorders>
              <w:top w:val="nil"/>
              <w:left w:val="nil"/>
              <w:bottom w:val="nil"/>
              <w:right w:val="nil"/>
            </w:tcBorders>
            <w:shd w:val="clear" w:color="auto" w:fill="auto"/>
            <w:noWrap/>
            <w:vAlign w:val="bottom"/>
            <w:hideMark/>
          </w:tcPr>
          <w:p w14:paraId="5036FAD9" w14:textId="77777777" w:rsidR="00F519E5" w:rsidRPr="00C0591E" w:rsidRDefault="00F519E5" w:rsidP="00D96EE2">
            <w:pPr>
              <w:spacing w:before="0"/>
              <w:jc w:val="center"/>
              <w:rPr>
                <w:rFonts w:eastAsia="Times New Roman"/>
              </w:rPr>
            </w:pPr>
            <w:r w:rsidRPr="00C0591E">
              <w:rPr>
                <w:rFonts w:eastAsia="Times New Roman"/>
              </w:rPr>
              <w:t>0.55</w:t>
            </w:r>
          </w:p>
        </w:tc>
        <w:tc>
          <w:tcPr>
            <w:tcW w:w="1600" w:type="pct"/>
            <w:tcBorders>
              <w:top w:val="nil"/>
              <w:left w:val="nil"/>
              <w:bottom w:val="nil"/>
              <w:right w:val="nil"/>
            </w:tcBorders>
            <w:shd w:val="clear" w:color="auto" w:fill="auto"/>
            <w:noWrap/>
            <w:vAlign w:val="bottom"/>
            <w:hideMark/>
          </w:tcPr>
          <w:p w14:paraId="68422B33" w14:textId="77777777" w:rsidR="00F519E5" w:rsidRPr="00C0591E" w:rsidRDefault="00F519E5" w:rsidP="00D96EE2">
            <w:pPr>
              <w:spacing w:before="0"/>
              <w:jc w:val="center"/>
              <w:rPr>
                <w:rFonts w:eastAsia="Times New Roman"/>
              </w:rPr>
            </w:pPr>
            <w:r w:rsidRPr="00C0591E">
              <w:rPr>
                <w:rFonts w:eastAsia="Times New Roman"/>
              </w:rPr>
              <w:t>0.26671</w:t>
            </w:r>
          </w:p>
        </w:tc>
      </w:tr>
      <w:tr w:rsidR="00F519E5" w:rsidRPr="00C0591E" w14:paraId="4EEAF021" w14:textId="77777777" w:rsidTr="00FA398D">
        <w:trPr>
          <w:trHeight w:val="288"/>
        </w:trPr>
        <w:tc>
          <w:tcPr>
            <w:tcW w:w="731" w:type="pct"/>
            <w:tcBorders>
              <w:top w:val="nil"/>
              <w:left w:val="nil"/>
              <w:bottom w:val="nil"/>
              <w:right w:val="nil"/>
            </w:tcBorders>
            <w:shd w:val="clear" w:color="auto" w:fill="auto"/>
            <w:noWrap/>
            <w:vAlign w:val="bottom"/>
            <w:hideMark/>
          </w:tcPr>
          <w:p w14:paraId="49FB8DE7" w14:textId="77777777" w:rsidR="00F519E5" w:rsidRPr="00C0591E" w:rsidRDefault="00F519E5" w:rsidP="00F519E5">
            <w:pPr>
              <w:spacing w:before="0"/>
              <w:rPr>
                <w:rFonts w:eastAsia="Times New Roman"/>
              </w:rPr>
            </w:pPr>
            <w:r w:rsidRPr="00C0591E">
              <w:rPr>
                <w:rFonts w:eastAsia="Times New Roman"/>
              </w:rPr>
              <w:t>2</w:t>
            </w:r>
          </w:p>
        </w:tc>
        <w:tc>
          <w:tcPr>
            <w:tcW w:w="731" w:type="pct"/>
            <w:tcBorders>
              <w:top w:val="nil"/>
              <w:left w:val="nil"/>
              <w:bottom w:val="nil"/>
              <w:right w:val="nil"/>
            </w:tcBorders>
            <w:shd w:val="clear" w:color="auto" w:fill="auto"/>
            <w:noWrap/>
            <w:vAlign w:val="bottom"/>
            <w:hideMark/>
          </w:tcPr>
          <w:p w14:paraId="527FB028" w14:textId="77777777" w:rsidR="00F519E5" w:rsidRPr="00C0591E" w:rsidRDefault="00F519E5" w:rsidP="00D96EE2">
            <w:pPr>
              <w:spacing w:before="0"/>
              <w:jc w:val="center"/>
              <w:rPr>
                <w:rFonts w:eastAsia="Times New Roman"/>
              </w:rPr>
            </w:pPr>
            <w:r w:rsidRPr="00C0591E">
              <w:rPr>
                <w:rFonts w:eastAsia="Times New Roman"/>
              </w:rPr>
              <w:t>.816a</w:t>
            </w:r>
          </w:p>
        </w:tc>
        <w:tc>
          <w:tcPr>
            <w:tcW w:w="731" w:type="pct"/>
            <w:tcBorders>
              <w:top w:val="nil"/>
              <w:left w:val="nil"/>
              <w:bottom w:val="nil"/>
              <w:right w:val="nil"/>
            </w:tcBorders>
            <w:shd w:val="clear" w:color="auto" w:fill="auto"/>
            <w:noWrap/>
            <w:vAlign w:val="bottom"/>
            <w:hideMark/>
          </w:tcPr>
          <w:p w14:paraId="0795D530" w14:textId="77777777" w:rsidR="00F519E5" w:rsidRPr="00C0591E" w:rsidRDefault="00F519E5" w:rsidP="00D96EE2">
            <w:pPr>
              <w:spacing w:before="0"/>
              <w:jc w:val="center"/>
              <w:rPr>
                <w:rFonts w:eastAsia="Times New Roman"/>
              </w:rPr>
            </w:pPr>
            <w:r w:rsidRPr="00C0591E">
              <w:rPr>
                <w:rFonts w:eastAsia="Times New Roman"/>
              </w:rPr>
              <w:t>0.665</w:t>
            </w:r>
          </w:p>
        </w:tc>
        <w:tc>
          <w:tcPr>
            <w:tcW w:w="1206" w:type="pct"/>
            <w:tcBorders>
              <w:top w:val="nil"/>
              <w:left w:val="nil"/>
              <w:bottom w:val="nil"/>
              <w:right w:val="nil"/>
            </w:tcBorders>
            <w:shd w:val="clear" w:color="auto" w:fill="auto"/>
            <w:noWrap/>
            <w:vAlign w:val="bottom"/>
            <w:hideMark/>
          </w:tcPr>
          <w:p w14:paraId="1A204012" w14:textId="77777777" w:rsidR="00F519E5" w:rsidRPr="00C0591E" w:rsidRDefault="00F519E5" w:rsidP="00D96EE2">
            <w:pPr>
              <w:spacing w:before="0"/>
              <w:jc w:val="center"/>
              <w:rPr>
                <w:rFonts w:eastAsia="Times New Roman"/>
              </w:rPr>
            </w:pPr>
            <w:r w:rsidRPr="00C0591E">
              <w:rPr>
                <w:rFonts w:eastAsia="Times New Roman"/>
              </w:rPr>
              <w:t>0.664</w:t>
            </w:r>
          </w:p>
        </w:tc>
        <w:tc>
          <w:tcPr>
            <w:tcW w:w="1600" w:type="pct"/>
            <w:tcBorders>
              <w:top w:val="nil"/>
              <w:left w:val="nil"/>
              <w:bottom w:val="nil"/>
              <w:right w:val="nil"/>
            </w:tcBorders>
            <w:shd w:val="clear" w:color="auto" w:fill="auto"/>
            <w:noWrap/>
            <w:vAlign w:val="bottom"/>
            <w:hideMark/>
          </w:tcPr>
          <w:p w14:paraId="6246BDC4" w14:textId="77777777" w:rsidR="00F519E5" w:rsidRPr="00C0591E" w:rsidRDefault="00F519E5" w:rsidP="00D96EE2">
            <w:pPr>
              <w:spacing w:before="0"/>
              <w:jc w:val="center"/>
              <w:rPr>
                <w:rFonts w:eastAsia="Times New Roman"/>
              </w:rPr>
            </w:pPr>
            <w:r w:rsidRPr="00C0591E">
              <w:rPr>
                <w:rFonts w:eastAsia="Times New Roman"/>
              </w:rPr>
              <w:t>0.77508</w:t>
            </w:r>
          </w:p>
        </w:tc>
      </w:tr>
      <w:tr w:rsidR="00F519E5" w:rsidRPr="00C0591E" w14:paraId="4F60285B" w14:textId="77777777" w:rsidTr="00FA398D">
        <w:trPr>
          <w:trHeight w:val="288"/>
        </w:trPr>
        <w:tc>
          <w:tcPr>
            <w:tcW w:w="731" w:type="pct"/>
            <w:tcBorders>
              <w:top w:val="nil"/>
              <w:left w:val="nil"/>
              <w:bottom w:val="nil"/>
              <w:right w:val="nil"/>
            </w:tcBorders>
            <w:shd w:val="clear" w:color="auto" w:fill="auto"/>
            <w:noWrap/>
            <w:vAlign w:val="bottom"/>
            <w:hideMark/>
          </w:tcPr>
          <w:p w14:paraId="260AF95B" w14:textId="77777777" w:rsidR="00F519E5" w:rsidRPr="00C0591E" w:rsidRDefault="00F519E5" w:rsidP="00F519E5">
            <w:pPr>
              <w:spacing w:before="0"/>
              <w:rPr>
                <w:rFonts w:eastAsia="Times New Roman"/>
              </w:rPr>
            </w:pPr>
            <w:r w:rsidRPr="00C0591E">
              <w:rPr>
                <w:rFonts w:eastAsia="Times New Roman"/>
              </w:rPr>
              <w:t>3</w:t>
            </w:r>
          </w:p>
        </w:tc>
        <w:tc>
          <w:tcPr>
            <w:tcW w:w="731" w:type="pct"/>
            <w:tcBorders>
              <w:top w:val="nil"/>
              <w:left w:val="nil"/>
              <w:bottom w:val="nil"/>
              <w:right w:val="nil"/>
            </w:tcBorders>
            <w:shd w:val="clear" w:color="auto" w:fill="auto"/>
            <w:noWrap/>
            <w:vAlign w:val="bottom"/>
            <w:hideMark/>
          </w:tcPr>
          <w:p w14:paraId="0E0CE9F5" w14:textId="77777777" w:rsidR="00F519E5" w:rsidRPr="00C0591E" w:rsidRDefault="00F519E5" w:rsidP="00D96EE2">
            <w:pPr>
              <w:spacing w:before="0"/>
              <w:jc w:val="center"/>
              <w:rPr>
                <w:rFonts w:eastAsia="Times New Roman"/>
              </w:rPr>
            </w:pPr>
            <w:r w:rsidRPr="00C0591E">
              <w:rPr>
                <w:rFonts w:eastAsia="Times New Roman"/>
              </w:rPr>
              <w:t>.728a</w:t>
            </w:r>
          </w:p>
        </w:tc>
        <w:tc>
          <w:tcPr>
            <w:tcW w:w="731" w:type="pct"/>
            <w:tcBorders>
              <w:top w:val="nil"/>
              <w:left w:val="nil"/>
              <w:bottom w:val="nil"/>
              <w:right w:val="nil"/>
            </w:tcBorders>
            <w:shd w:val="clear" w:color="auto" w:fill="auto"/>
            <w:noWrap/>
            <w:vAlign w:val="bottom"/>
            <w:hideMark/>
          </w:tcPr>
          <w:p w14:paraId="207823F0" w14:textId="6B16531C" w:rsidR="00F519E5" w:rsidRPr="00C0591E" w:rsidRDefault="00F519E5" w:rsidP="00D96EE2">
            <w:pPr>
              <w:spacing w:before="0"/>
              <w:jc w:val="center"/>
              <w:rPr>
                <w:rFonts w:eastAsia="Times New Roman"/>
              </w:rPr>
            </w:pPr>
            <w:r w:rsidRPr="00C0591E">
              <w:rPr>
                <w:rFonts w:eastAsia="Times New Roman"/>
              </w:rPr>
              <w:t>0.53</w:t>
            </w:r>
            <w:r w:rsidR="00D96EE2" w:rsidRPr="00C0591E">
              <w:rPr>
                <w:rFonts w:eastAsia="Times New Roman"/>
              </w:rPr>
              <w:t>0</w:t>
            </w:r>
          </w:p>
        </w:tc>
        <w:tc>
          <w:tcPr>
            <w:tcW w:w="1206" w:type="pct"/>
            <w:tcBorders>
              <w:top w:val="nil"/>
              <w:left w:val="nil"/>
              <w:bottom w:val="nil"/>
              <w:right w:val="nil"/>
            </w:tcBorders>
            <w:shd w:val="clear" w:color="auto" w:fill="auto"/>
            <w:noWrap/>
            <w:vAlign w:val="bottom"/>
            <w:hideMark/>
          </w:tcPr>
          <w:p w14:paraId="3C07700D" w14:textId="77777777" w:rsidR="00F519E5" w:rsidRPr="00C0591E" w:rsidRDefault="00F519E5" w:rsidP="00D96EE2">
            <w:pPr>
              <w:spacing w:before="0"/>
              <w:jc w:val="center"/>
              <w:rPr>
                <w:rFonts w:eastAsia="Times New Roman"/>
              </w:rPr>
            </w:pPr>
            <w:r w:rsidRPr="00C0591E">
              <w:rPr>
                <w:rFonts w:eastAsia="Times New Roman"/>
              </w:rPr>
              <w:t>0.529</w:t>
            </w:r>
          </w:p>
        </w:tc>
        <w:tc>
          <w:tcPr>
            <w:tcW w:w="1600" w:type="pct"/>
            <w:tcBorders>
              <w:top w:val="nil"/>
              <w:left w:val="nil"/>
              <w:bottom w:val="nil"/>
              <w:right w:val="nil"/>
            </w:tcBorders>
            <w:shd w:val="clear" w:color="auto" w:fill="auto"/>
            <w:noWrap/>
            <w:vAlign w:val="bottom"/>
            <w:hideMark/>
          </w:tcPr>
          <w:p w14:paraId="04626F9A" w14:textId="77777777" w:rsidR="00F519E5" w:rsidRPr="00C0591E" w:rsidRDefault="00F519E5" w:rsidP="00D96EE2">
            <w:pPr>
              <w:spacing w:before="0"/>
              <w:jc w:val="center"/>
              <w:rPr>
                <w:rFonts w:eastAsia="Times New Roman"/>
              </w:rPr>
            </w:pPr>
            <w:r w:rsidRPr="00C0591E">
              <w:rPr>
                <w:rFonts w:eastAsia="Times New Roman"/>
              </w:rPr>
              <w:t>0.27302</w:t>
            </w:r>
          </w:p>
        </w:tc>
      </w:tr>
      <w:tr w:rsidR="00F519E5" w:rsidRPr="00C0591E" w14:paraId="38DCF986" w14:textId="77777777" w:rsidTr="00FA398D">
        <w:trPr>
          <w:trHeight w:val="288"/>
        </w:trPr>
        <w:tc>
          <w:tcPr>
            <w:tcW w:w="731" w:type="pct"/>
            <w:tcBorders>
              <w:top w:val="nil"/>
              <w:left w:val="nil"/>
              <w:bottom w:val="single" w:sz="4" w:space="0" w:color="auto"/>
              <w:right w:val="nil"/>
            </w:tcBorders>
            <w:shd w:val="clear" w:color="auto" w:fill="auto"/>
            <w:noWrap/>
            <w:vAlign w:val="bottom"/>
            <w:hideMark/>
          </w:tcPr>
          <w:p w14:paraId="36F91ADA" w14:textId="77777777" w:rsidR="00F519E5" w:rsidRPr="00C0591E" w:rsidRDefault="00F519E5" w:rsidP="00F519E5">
            <w:pPr>
              <w:spacing w:before="0"/>
              <w:rPr>
                <w:rFonts w:eastAsia="Times New Roman"/>
                <w:color w:val="000000"/>
              </w:rPr>
            </w:pPr>
            <w:r w:rsidRPr="00C0591E">
              <w:rPr>
                <w:rFonts w:eastAsia="Times New Roman"/>
                <w:color w:val="000000"/>
              </w:rPr>
              <w:t>4</w:t>
            </w:r>
          </w:p>
        </w:tc>
        <w:tc>
          <w:tcPr>
            <w:tcW w:w="731" w:type="pct"/>
            <w:tcBorders>
              <w:top w:val="nil"/>
              <w:left w:val="nil"/>
              <w:bottom w:val="single" w:sz="4" w:space="0" w:color="auto"/>
              <w:right w:val="nil"/>
            </w:tcBorders>
            <w:shd w:val="clear" w:color="auto" w:fill="auto"/>
            <w:noWrap/>
            <w:vAlign w:val="bottom"/>
            <w:hideMark/>
          </w:tcPr>
          <w:p w14:paraId="0D87F756" w14:textId="77777777" w:rsidR="00F519E5" w:rsidRPr="00C0591E" w:rsidRDefault="00F519E5" w:rsidP="00D96EE2">
            <w:pPr>
              <w:spacing w:before="0"/>
              <w:jc w:val="center"/>
              <w:rPr>
                <w:rFonts w:eastAsia="Times New Roman"/>
                <w:color w:val="000000"/>
              </w:rPr>
            </w:pPr>
            <w:r w:rsidRPr="00C0591E">
              <w:rPr>
                <w:rFonts w:eastAsia="Times New Roman"/>
                <w:color w:val="000000"/>
              </w:rPr>
              <w:t>.772a</w:t>
            </w:r>
          </w:p>
        </w:tc>
        <w:tc>
          <w:tcPr>
            <w:tcW w:w="731" w:type="pct"/>
            <w:tcBorders>
              <w:top w:val="nil"/>
              <w:left w:val="nil"/>
              <w:bottom w:val="single" w:sz="4" w:space="0" w:color="auto"/>
              <w:right w:val="nil"/>
            </w:tcBorders>
            <w:shd w:val="clear" w:color="auto" w:fill="auto"/>
            <w:noWrap/>
            <w:vAlign w:val="bottom"/>
            <w:hideMark/>
          </w:tcPr>
          <w:p w14:paraId="3428656D" w14:textId="77777777" w:rsidR="00F519E5" w:rsidRPr="00C0591E" w:rsidRDefault="00F519E5" w:rsidP="00D96EE2">
            <w:pPr>
              <w:spacing w:before="0"/>
              <w:jc w:val="center"/>
              <w:rPr>
                <w:rFonts w:eastAsia="Times New Roman"/>
                <w:color w:val="000000"/>
              </w:rPr>
            </w:pPr>
            <w:r w:rsidRPr="00C0591E">
              <w:rPr>
                <w:rFonts w:eastAsia="Times New Roman"/>
                <w:color w:val="000000"/>
              </w:rPr>
              <w:t>0.597</w:t>
            </w:r>
          </w:p>
        </w:tc>
        <w:tc>
          <w:tcPr>
            <w:tcW w:w="1206" w:type="pct"/>
            <w:tcBorders>
              <w:top w:val="nil"/>
              <w:left w:val="nil"/>
              <w:bottom w:val="single" w:sz="4" w:space="0" w:color="auto"/>
              <w:right w:val="nil"/>
            </w:tcBorders>
            <w:shd w:val="clear" w:color="auto" w:fill="auto"/>
            <w:noWrap/>
            <w:vAlign w:val="bottom"/>
            <w:hideMark/>
          </w:tcPr>
          <w:p w14:paraId="0CC7CF82" w14:textId="77777777" w:rsidR="00F519E5" w:rsidRPr="00C0591E" w:rsidRDefault="00F519E5" w:rsidP="00D96EE2">
            <w:pPr>
              <w:spacing w:before="0"/>
              <w:jc w:val="center"/>
              <w:rPr>
                <w:rFonts w:eastAsia="Times New Roman"/>
                <w:color w:val="000000"/>
              </w:rPr>
            </w:pPr>
            <w:r w:rsidRPr="00C0591E">
              <w:rPr>
                <w:rFonts w:eastAsia="Times New Roman"/>
                <w:color w:val="000000"/>
              </w:rPr>
              <w:t>0.594</w:t>
            </w:r>
          </w:p>
        </w:tc>
        <w:tc>
          <w:tcPr>
            <w:tcW w:w="1600" w:type="pct"/>
            <w:tcBorders>
              <w:top w:val="nil"/>
              <w:left w:val="nil"/>
              <w:bottom w:val="single" w:sz="4" w:space="0" w:color="auto"/>
              <w:right w:val="nil"/>
            </w:tcBorders>
            <w:shd w:val="clear" w:color="auto" w:fill="auto"/>
            <w:noWrap/>
            <w:vAlign w:val="bottom"/>
            <w:hideMark/>
          </w:tcPr>
          <w:p w14:paraId="68705796" w14:textId="77777777" w:rsidR="00F519E5" w:rsidRPr="00C0591E" w:rsidRDefault="00F519E5" w:rsidP="00D96EE2">
            <w:pPr>
              <w:spacing w:before="0"/>
              <w:jc w:val="center"/>
              <w:rPr>
                <w:rFonts w:eastAsia="Times New Roman"/>
                <w:color w:val="000000"/>
              </w:rPr>
            </w:pPr>
            <w:r w:rsidRPr="00C0591E">
              <w:rPr>
                <w:rFonts w:eastAsia="Times New Roman"/>
                <w:color w:val="000000"/>
              </w:rPr>
              <w:t>0.25348</w:t>
            </w:r>
          </w:p>
        </w:tc>
      </w:tr>
    </w:tbl>
    <w:p w14:paraId="5A9A3159" w14:textId="5B28AB1A" w:rsidR="008425EC" w:rsidRPr="00C0591E" w:rsidRDefault="000E70F4" w:rsidP="008425EC">
      <w:r w:rsidRPr="00C0591E">
        <w:t xml:space="preserve">The results in Table </w:t>
      </w:r>
      <w:r w:rsidR="00191F36" w:rsidRPr="00C0591E">
        <w:t xml:space="preserve">25 </w:t>
      </w:r>
      <w:r w:rsidR="00FA398D" w:rsidRPr="00C0591E">
        <w:t xml:space="preserve">shows that the Rsquare for the </w:t>
      </w:r>
      <w:r w:rsidR="00EF0BD5" w:rsidRPr="00C0591E">
        <w:t xml:space="preserve">mediating effect had varying values. The first step for regressing </w:t>
      </w:r>
      <w:r w:rsidR="00173C67">
        <w:t>pillars of corporate governance</w:t>
      </w:r>
      <w:r w:rsidR="00EF0BD5" w:rsidRPr="00C0591E">
        <w:t xml:space="preserve"> against performance of pension fund managers had 55.2% while the second step of regressing </w:t>
      </w:r>
      <w:r w:rsidR="00173C67">
        <w:t>pillars of corporate governance</w:t>
      </w:r>
      <w:r w:rsidR="00EF0BD5" w:rsidRPr="00C0591E">
        <w:t xml:space="preserve"> against investment policies had 66.5%. The third step which regressed investment policies against performance of pension fund managers had 53% and lastly the step that regressed </w:t>
      </w:r>
      <w:r w:rsidR="00173C67">
        <w:t>pillars of corporate governance</w:t>
      </w:r>
      <w:r w:rsidR="00EF0BD5" w:rsidRPr="00C0591E">
        <w:t xml:space="preserve">, investment policies against performance of pension fund managers </w:t>
      </w:r>
      <w:r w:rsidR="00FA398D" w:rsidRPr="00C0591E">
        <w:t>had 59</w:t>
      </w:r>
      <w:r w:rsidR="00D96EE2" w:rsidRPr="00C0591E">
        <w:t>.7</w:t>
      </w:r>
      <w:r w:rsidR="00FA398D" w:rsidRPr="00C0591E">
        <w:t>%. The Rsquares for all the steps were above 50% and thus indicated a high level of variation.</w:t>
      </w:r>
      <w:r w:rsidR="008425EC" w:rsidRPr="00C0591E">
        <w:t xml:space="preserve"> The adjusted R squared value considered only those independent variables which actually have an effect on the performance of the model.</w:t>
      </w:r>
    </w:p>
    <w:p w14:paraId="07D11E17" w14:textId="48720B15" w:rsidR="00FA398D" w:rsidRDefault="000E70F4" w:rsidP="00D96EE2">
      <w:r w:rsidRPr="00C0591E">
        <w:t xml:space="preserve">Table </w:t>
      </w:r>
      <w:r w:rsidR="00191F36" w:rsidRPr="00C0591E">
        <w:t xml:space="preserve">26 </w:t>
      </w:r>
      <w:r w:rsidR="00FA398D" w:rsidRPr="00C0591E">
        <w:t xml:space="preserve">shows ANOVA for </w:t>
      </w:r>
      <w:r w:rsidR="00173C67">
        <w:t>pillars of corporate governance</w:t>
      </w:r>
      <w:r w:rsidR="00EF0BD5" w:rsidRPr="00C0591E">
        <w:t>, investment policies and performance of pension fund managers.</w:t>
      </w:r>
    </w:p>
    <w:p w14:paraId="5A2008CF" w14:textId="618A40B6" w:rsidR="00C813FD" w:rsidRDefault="00C813FD" w:rsidP="00D96EE2"/>
    <w:p w14:paraId="0FE1783C" w14:textId="18B453E2" w:rsidR="00C813FD" w:rsidRDefault="00C813FD" w:rsidP="00D96EE2"/>
    <w:p w14:paraId="5902B461" w14:textId="51607461" w:rsidR="00C813FD" w:rsidRDefault="00C813FD" w:rsidP="00D96EE2"/>
    <w:p w14:paraId="7C5D91A4" w14:textId="24B6EF33" w:rsidR="00C813FD" w:rsidRDefault="00C813FD" w:rsidP="00D96EE2"/>
    <w:p w14:paraId="1903424F" w14:textId="540DDABB" w:rsidR="00C813FD" w:rsidRDefault="00C813FD" w:rsidP="00D96EE2"/>
    <w:p w14:paraId="328D15AC" w14:textId="291390BA" w:rsidR="00C813FD" w:rsidRDefault="00C813FD" w:rsidP="00D96EE2"/>
    <w:p w14:paraId="6EA3E5BE" w14:textId="77777777" w:rsidR="00C813FD" w:rsidRPr="00C0591E" w:rsidRDefault="00C813FD" w:rsidP="00D96EE2"/>
    <w:p w14:paraId="1E1F7752" w14:textId="68919FAB" w:rsidR="00FA398D" w:rsidRPr="00C0591E" w:rsidRDefault="006529EE" w:rsidP="00EF0BD5">
      <w:pPr>
        <w:pStyle w:val="Heading4"/>
      </w:pPr>
      <w:bookmarkStart w:id="300" w:name="_Toc113125161"/>
      <w:r w:rsidRPr="00C0591E">
        <w:t>Table 26</w:t>
      </w:r>
      <w:r w:rsidR="00FA398D" w:rsidRPr="00C0591E">
        <w:t xml:space="preserve">: </w:t>
      </w:r>
      <w:r w:rsidR="00E83316" w:rsidRPr="00C0591E">
        <w:t>ANOVA</w:t>
      </w:r>
      <w:r w:rsidR="00FA398D" w:rsidRPr="00C0591E">
        <w:rPr>
          <w:szCs w:val="16"/>
          <w:vertAlign w:val="superscript"/>
        </w:rPr>
        <w:t xml:space="preserve"> </w:t>
      </w:r>
      <w:r w:rsidR="00FA398D" w:rsidRPr="00C0591E">
        <w:t xml:space="preserve">for </w:t>
      </w:r>
      <w:r w:rsidR="00173C67">
        <w:t>Pillars of corporate governance</w:t>
      </w:r>
      <w:r w:rsidR="00FA398D" w:rsidRPr="00C0591E">
        <w:t>, Investment Policies and Performance</w:t>
      </w:r>
      <w:bookmarkEnd w:id="300"/>
      <w:r w:rsidR="00FA398D" w:rsidRPr="00C0591E">
        <w:t xml:space="preserve"> </w:t>
      </w:r>
    </w:p>
    <w:tbl>
      <w:tblPr>
        <w:tblW w:w="5000" w:type="pct"/>
        <w:tblLook w:val="04A0" w:firstRow="1" w:lastRow="0" w:firstColumn="1" w:lastColumn="0" w:noHBand="0" w:noVBand="1"/>
      </w:tblPr>
      <w:tblGrid>
        <w:gridCol w:w="1077"/>
        <w:gridCol w:w="1607"/>
        <w:gridCol w:w="1830"/>
        <w:gridCol w:w="721"/>
        <w:gridCol w:w="1596"/>
        <w:gridCol w:w="1249"/>
        <w:gridCol w:w="946"/>
      </w:tblGrid>
      <w:tr w:rsidR="00F519E5" w:rsidRPr="00C0591E" w14:paraId="3FD7B210" w14:textId="77777777" w:rsidTr="00FA398D">
        <w:trPr>
          <w:trHeight w:val="288"/>
        </w:trPr>
        <w:tc>
          <w:tcPr>
            <w:tcW w:w="598" w:type="pct"/>
            <w:tcBorders>
              <w:top w:val="single" w:sz="4" w:space="0" w:color="auto"/>
              <w:left w:val="nil"/>
              <w:bottom w:val="single" w:sz="4" w:space="0" w:color="auto"/>
              <w:right w:val="nil"/>
            </w:tcBorders>
            <w:shd w:val="clear" w:color="auto" w:fill="auto"/>
            <w:noWrap/>
            <w:vAlign w:val="bottom"/>
            <w:hideMark/>
          </w:tcPr>
          <w:p w14:paraId="374257F5" w14:textId="77777777" w:rsidR="00F519E5" w:rsidRPr="00C0591E" w:rsidRDefault="00F519E5" w:rsidP="00F519E5">
            <w:pPr>
              <w:spacing w:before="0" w:line="240" w:lineRule="auto"/>
              <w:rPr>
                <w:rFonts w:eastAsia="Times New Roman"/>
                <w:b/>
              </w:rPr>
            </w:pPr>
            <w:r w:rsidRPr="00C0591E">
              <w:rPr>
                <w:rFonts w:eastAsia="Times New Roman"/>
                <w:b/>
              </w:rPr>
              <w:t>Model</w:t>
            </w:r>
          </w:p>
        </w:tc>
        <w:tc>
          <w:tcPr>
            <w:tcW w:w="892" w:type="pct"/>
            <w:tcBorders>
              <w:top w:val="single" w:sz="4" w:space="0" w:color="auto"/>
              <w:left w:val="nil"/>
              <w:bottom w:val="single" w:sz="4" w:space="0" w:color="auto"/>
              <w:right w:val="nil"/>
            </w:tcBorders>
            <w:shd w:val="clear" w:color="auto" w:fill="auto"/>
            <w:noWrap/>
            <w:vAlign w:val="bottom"/>
            <w:hideMark/>
          </w:tcPr>
          <w:p w14:paraId="07352CBF" w14:textId="77777777" w:rsidR="00F519E5" w:rsidRPr="00C0591E" w:rsidRDefault="00F519E5" w:rsidP="00F519E5">
            <w:pPr>
              <w:spacing w:before="0" w:line="240" w:lineRule="auto"/>
              <w:rPr>
                <w:rFonts w:eastAsia="Times New Roman"/>
                <w:b/>
              </w:rPr>
            </w:pPr>
            <w:r w:rsidRPr="00C0591E">
              <w:rPr>
                <w:rFonts w:eastAsia="Times New Roman"/>
                <w:b/>
              </w:rPr>
              <w:t> </w:t>
            </w:r>
          </w:p>
        </w:tc>
        <w:tc>
          <w:tcPr>
            <w:tcW w:w="1015" w:type="pct"/>
            <w:tcBorders>
              <w:top w:val="single" w:sz="4" w:space="0" w:color="auto"/>
              <w:left w:val="nil"/>
              <w:bottom w:val="single" w:sz="4" w:space="0" w:color="auto"/>
              <w:right w:val="nil"/>
            </w:tcBorders>
            <w:shd w:val="clear" w:color="auto" w:fill="auto"/>
            <w:noWrap/>
            <w:vAlign w:val="bottom"/>
            <w:hideMark/>
          </w:tcPr>
          <w:p w14:paraId="1E024D97" w14:textId="77777777" w:rsidR="00F519E5" w:rsidRPr="00C0591E" w:rsidRDefault="00F519E5" w:rsidP="00F519E5">
            <w:pPr>
              <w:spacing w:before="0" w:line="240" w:lineRule="auto"/>
              <w:rPr>
                <w:rFonts w:eastAsia="Times New Roman"/>
                <w:b/>
              </w:rPr>
            </w:pPr>
            <w:r w:rsidRPr="00C0591E">
              <w:rPr>
                <w:rFonts w:eastAsia="Times New Roman"/>
                <w:b/>
              </w:rPr>
              <w:t>Sum of Squares</w:t>
            </w:r>
          </w:p>
        </w:tc>
        <w:tc>
          <w:tcPr>
            <w:tcW w:w="401" w:type="pct"/>
            <w:tcBorders>
              <w:top w:val="single" w:sz="4" w:space="0" w:color="auto"/>
              <w:left w:val="nil"/>
              <w:bottom w:val="single" w:sz="4" w:space="0" w:color="auto"/>
              <w:right w:val="nil"/>
            </w:tcBorders>
            <w:shd w:val="clear" w:color="auto" w:fill="auto"/>
            <w:noWrap/>
            <w:vAlign w:val="bottom"/>
            <w:hideMark/>
          </w:tcPr>
          <w:p w14:paraId="59676828" w14:textId="77777777" w:rsidR="00F519E5" w:rsidRPr="00C0591E" w:rsidRDefault="00F519E5" w:rsidP="00F519E5">
            <w:pPr>
              <w:spacing w:before="0" w:line="240" w:lineRule="auto"/>
              <w:rPr>
                <w:rFonts w:eastAsia="Times New Roman"/>
                <w:b/>
              </w:rPr>
            </w:pPr>
            <w:r w:rsidRPr="00C0591E">
              <w:rPr>
                <w:rFonts w:eastAsia="Times New Roman"/>
                <w:b/>
              </w:rPr>
              <w:t>df</w:t>
            </w:r>
          </w:p>
        </w:tc>
        <w:tc>
          <w:tcPr>
            <w:tcW w:w="876" w:type="pct"/>
            <w:tcBorders>
              <w:top w:val="single" w:sz="4" w:space="0" w:color="auto"/>
              <w:left w:val="nil"/>
              <w:bottom w:val="single" w:sz="4" w:space="0" w:color="auto"/>
              <w:right w:val="nil"/>
            </w:tcBorders>
            <w:shd w:val="clear" w:color="auto" w:fill="auto"/>
            <w:noWrap/>
            <w:vAlign w:val="bottom"/>
            <w:hideMark/>
          </w:tcPr>
          <w:p w14:paraId="6F139940" w14:textId="77777777" w:rsidR="00F519E5" w:rsidRPr="00C0591E" w:rsidRDefault="00F519E5" w:rsidP="00F519E5">
            <w:pPr>
              <w:spacing w:before="0" w:line="240" w:lineRule="auto"/>
              <w:rPr>
                <w:rFonts w:eastAsia="Times New Roman"/>
                <w:b/>
              </w:rPr>
            </w:pPr>
            <w:r w:rsidRPr="00C0591E">
              <w:rPr>
                <w:rFonts w:eastAsia="Times New Roman"/>
                <w:b/>
              </w:rPr>
              <w:t>Mean Square</w:t>
            </w:r>
          </w:p>
        </w:tc>
        <w:tc>
          <w:tcPr>
            <w:tcW w:w="693" w:type="pct"/>
            <w:tcBorders>
              <w:top w:val="single" w:sz="4" w:space="0" w:color="auto"/>
              <w:left w:val="nil"/>
              <w:bottom w:val="single" w:sz="4" w:space="0" w:color="auto"/>
              <w:right w:val="nil"/>
            </w:tcBorders>
            <w:shd w:val="clear" w:color="auto" w:fill="auto"/>
            <w:noWrap/>
            <w:vAlign w:val="bottom"/>
            <w:hideMark/>
          </w:tcPr>
          <w:p w14:paraId="5DEB1A78" w14:textId="77777777" w:rsidR="00F519E5" w:rsidRPr="00C0591E" w:rsidRDefault="00F519E5" w:rsidP="00F519E5">
            <w:pPr>
              <w:spacing w:before="0" w:line="240" w:lineRule="auto"/>
              <w:rPr>
                <w:rFonts w:eastAsia="Times New Roman"/>
                <w:b/>
              </w:rPr>
            </w:pPr>
            <w:r w:rsidRPr="00C0591E">
              <w:rPr>
                <w:rFonts w:eastAsia="Times New Roman"/>
                <w:b/>
              </w:rPr>
              <w:t>F</w:t>
            </w:r>
          </w:p>
        </w:tc>
        <w:tc>
          <w:tcPr>
            <w:tcW w:w="525" w:type="pct"/>
            <w:tcBorders>
              <w:top w:val="single" w:sz="4" w:space="0" w:color="auto"/>
              <w:left w:val="nil"/>
              <w:bottom w:val="single" w:sz="4" w:space="0" w:color="auto"/>
              <w:right w:val="nil"/>
            </w:tcBorders>
            <w:shd w:val="clear" w:color="auto" w:fill="auto"/>
            <w:noWrap/>
            <w:vAlign w:val="bottom"/>
            <w:hideMark/>
          </w:tcPr>
          <w:p w14:paraId="1F634EEE" w14:textId="77777777" w:rsidR="00F519E5" w:rsidRPr="00C0591E" w:rsidRDefault="00F519E5" w:rsidP="00F519E5">
            <w:pPr>
              <w:spacing w:before="0" w:line="240" w:lineRule="auto"/>
              <w:rPr>
                <w:rFonts w:eastAsia="Times New Roman"/>
                <w:b/>
              </w:rPr>
            </w:pPr>
            <w:r w:rsidRPr="00C0591E">
              <w:rPr>
                <w:rFonts w:eastAsia="Times New Roman"/>
                <w:b/>
              </w:rPr>
              <w:t>Sig.</w:t>
            </w:r>
          </w:p>
        </w:tc>
      </w:tr>
      <w:tr w:rsidR="00D96EE2" w:rsidRPr="00C0591E" w14:paraId="51E2FD6A" w14:textId="77777777" w:rsidTr="00FA398D">
        <w:trPr>
          <w:trHeight w:val="288"/>
        </w:trPr>
        <w:tc>
          <w:tcPr>
            <w:tcW w:w="598" w:type="pct"/>
            <w:tcBorders>
              <w:top w:val="nil"/>
              <w:left w:val="nil"/>
              <w:bottom w:val="nil"/>
              <w:right w:val="nil"/>
            </w:tcBorders>
            <w:shd w:val="clear" w:color="auto" w:fill="auto"/>
            <w:noWrap/>
            <w:vAlign w:val="bottom"/>
            <w:hideMark/>
          </w:tcPr>
          <w:p w14:paraId="50D6F317" w14:textId="77777777" w:rsidR="00F519E5" w:rsidRPr="00C0591E" w:rsidRDefault="00F519E5" w:rsidP="00F519E5">
            <w:pPr>
              <w:spacing w:before="0" w:line="240" w:lineRule="auto"/>
              <w:rPr>
                <w:rFonts w:eastAsia="Times New Roman"/>
              </w:rPr>
            </w:pPr>
            <w:r w:rsidRPr="00C0591E">
              <w:rPr>
                <w:rFonts w:eastAsia="Times New Roman"/>
              </w:rPr>
              <w:t>1</w:t>
            </w:r>
          </w:p>
        </w:tc>
        <w:tc>
          <w:tcPr>
            <w:tcW w:w="892" w:type="pct"/>
            <w:tcBorders>
              <w:top w:val="nil"/>
              <w:left w:val="nil"/>
              <w:bottom w:val="nil"/>
              <w:right w:val="nil"/>
            </w:tcBorders>
            <w:shd w:val="clear" w:color="auto" w:fill="auto"/>
            <w:noWrap/>
            <w:vAlign w:val="bottom"/>
            <w:hideMark/>
          </w:tcPr>
          <w:p w14:paraId="6138AD0B" w14:textId="77777777" w:rsidR="00F519E5" w:rsidRPr="00C0591E" w:rsidRDefault="00F519E5" w:rsidP="00F519E5">
            <w:pPr>
              <w:spacing w:before="0" w:line="240" w:lineRule="auto"/>
              <w:rPr>
                <w:rFonts w:eastAsia="Times New Roman"/>
              </w:rPr>
            </w:pPr>
            <w:r w:rsidRPr="00C0591E">
              <w:rPr>
                <w:rFonts w:eastAsia="Times New Roman"/>
              </w:rPr>
              <w:t>Regression</w:t>
            </w:r>
          </w:p>
        </w:tc>
        <w:tc>
          <w:tcPr>
            <w:tcW w:w="1015" w:type="pct"/>
            <w:tcBorders>
              <w:top w:val="nil"/>
              <w:left w:val="nil"/>
              <w:bottom w:val="nil"/>
              <w:right w:val="nil"/>
            </w:tcBorders>
            <w:shd w:val="clear" w:color="auto" w:fill="auto"/>
            <w:noWrap/>
            <w:vAlign w:val="bottom"/>
            <w:hideMark/>
          </w:tcPr>
          <w:p w14:paraId="56536A38" w14:textId="77777777" w:rsidR="00F519E5" w:rsidRPr="00C0591E" w:rsidRDefault="00F519E5" w:rsidP="00F519E5">
            <w:pPr>
              <w:spacing w:before="0" w:line="240" w:lineRule="auto"/>
              <w:rPr>
                <w:rFonts w:eastAsia="Times New Roman"/>
              </w:rPr>
            </w:pPr>
            <w:r w:rsidRPr="00C0591E">
              <w:rPr>
                <w:rFonts w:eastAsia="Times New Roman"/>
              </w:rPr>
              <w:t>25.756</w:t>
            </w:r>
          </w:p>
        </w:tc>
        <w:tc>
          <w:tcPr>
            <w:tcW w:w="401" w:type="pct"/>
            <w:tcBorders>
              <w:top w:val="nil"/>
              <w:left w:val="nil"/>
              <w:bottom w:val="nil"/>
              <w:right w:val="nil"/>
            </w:tcBorders>
            <w:shd w:val="clear" w:color="auto" w:fill="auto"/>
            <w:noWrap/>
            <w:vAlign w:val="bottom"/>
            <w:hideMark/>
          </w:tcPr>
          <w:p w14:paraId="591EBD69" w14:textId="77777777" w:rsidR="00F519E5" w:rsidRPr="00C0591E" w:rsidRDefault="00F519E5" w:rsidP="00F519E5">
            <w:pPr>
              <w:spacing w:before="0" w:line="240" w:lineRule="auto"/>
              <w:rPr>
                <w:rFonts w:eastAsia="Times New Roman"/>
              </w:rPr>
            </w:pPr>
            <w:r w:rsidRPr="00C0591E">
              <w:rPr>
                <w:rFonts w:eastAsia="Times New Roman"/>
              </w:rPr>
              <w:t>1</w:t>
            </w:r>
          </w:p>
        </w:tc>
        <w:tc>
          <w:tcPr>
            <w:tcW w:w="876" w:type="pct"/>
            <w:tcBorders>
              <w:top w:val="nil"/>
              <w:left w:val="nil"/>
              <w:bottom w:val="nil"/>
              <w:right w:val="nil"/>
            </w:tcBorders>
            <w:shd w:val="clear" w:color="auto" w:fill="auto"/>
            <w:noWrap/>
            <w:vAlign w:val="bottom"/>
            <w:hideMark/>
          </w:tcPr>
          <w:p w14:paraId="0B554189" w14:textId="77777777" w:rsidR="00F519E5" w:rsidRPr="00C0591E" w:rsidRDefault="00F519E5" w:rsidP="00F519E5">
            <w:pPr>
              <w:spacing w:before="0" w:line="240" w:lineRule="auto"/>
              <w:rPr>
                <w:rFonts w:eastAsia="Times New Roman"/>
              </w:rPr>
            </w:pPr>
            <w:r w:rsidRPr="00C0591E">
              <w:rPr>
                <w:rFonts w:eastAsia="Times New Roman"/>
              </w:rPr>
              <w:t>25.756</w:t>
            </w:r>
          </w:p>
        </w:tc>
        <w:tc>
          <w:tcPr>
            <w:tcW w:w="693" w:type="pct"/>
            <w:tcBorders>
              <w:top w:val="nil"/>
              <w:left w:val="nil"/>
              <w:bottom w:val="nil"/>
              <w:right w:val="nil"/>
            </w:tcBorders>
            <w:shd w:val="clear" w:color="auto" w:fill="auto"/>
            <w:noWrap/>
            <w:vAlign w:val="bottom"/>
            <w:hideMark/>
          </w:tcPr>
          <w:p w14:paraId="60BFD6D2" w14:textId="77777777" w:rsidR="00F519E5" w:rsidRPr="00C0591E" w:rsidRDefault="00F519E5" w:rsidP="00F519E5">
            <w:pPr>
              <w:spacing w:before="0" w:line="240" w:lineRule="auto"/>
              <w:rPr>
                <w:rFonts w:eastAsia="Times New Roman"/>
              </w:rPr>
            </w:pPr>
            <w:r w:rsidRPr="00C0591E">
              <w:rPr>
                <w:rFonts w:eastAsia="Times New Roman"/>
              </w:rPr>
              <w:t>362.084</w:t>
            </w:r>
          </w:p>
        </w:tc>
        <w:tc>
          <w:tcPr>
            <w:tcW w:w="525" w:type="pct"/>
            <w:tcBorders>
              <w:top w:val="nil"/>
              <w:left w:val="nil"/>
              <w:bottom w:val="nil"/>
              <w:right w:val="nil"/>
            </w:tcBorders>
            <w:shd w:val="clear" w:color="auto" w:fill="auto"/>
            <w:noWrap/>
            <w:vAlign w:val="bottom"/>
            <w:hideMark/>
          </w:tcPr>
          <w:p w14:paraId="3AA11D04" w14:textId="77777777" w:rsidR="00F519E5" w:rsidRPr="00C0591E" w:rsidRDefault="00F519E5" w:rsidP="00F519E5">
            <w:pPr>
              <w:spacing w:before="0" w:line="240" w:lineRule="auto"/>
              <w:rPr>
                <w:rFonts w:eastAsia="Times New Roman"/>
              </w:rPr>
            </w:pPr>
            <w:r w:rsidRPr="00C0591E">
              <w:rPr>
                <w:rFonts w:eastAsia="Times New Roman"/>
              </w:rPr>
              <w:t>.000b</w:t>
            </w:r>
          </w:p>
        </w:tc>
      </w:tr>
      <w:tr w:rsidR="00D96EE2" w:rsidRPr="00C0591E" w14:paraId="31C7CEF7" w14:textId="77777777" w:rsidTr="00FA398D">
        <w:trPr>
          <w:trHeight w:val="288"/>
        </w:trPr>
        <w:tc>
          <w:tcPr>
            <w:tcW w:w="598" w:type="pct"/>
            <w:tcBorders>
              <w:top w:val="nil"/>
              <w:left w:val="nil"/>
              <w:bottom w:val="nil"/>
              <w:right w:val="nil"/>
            </w:tcBorders>
            <w:shd w:val="clear" w:color="auto" w:fill="auto"/>
            <w:noWrap/>
            <w:vAlign w:val="bottom"/>
            <w:hideMark/>
          </w:tcPr>
          <w:p w14:paraId="0C20B8FB" w14:textId="77777777" w:rsidR="00F519E5" w:rsidRPr="00C0591E" w:rsidRDefault="00F519E5" w:rsidP="00F519E5">
            <w:pPr>
              <w:spacing w:before="0" w:line="240" w:lineRule="auto"/>
              <w:rPr>
                <w:rFonts w:eastAsia="Times New Roman"/>
              </w:rPr>
            </w:pPr>
          </w:p>
        </w:tc>
        <w:tc>
          <w:tcPr>
            <w:tcW w:w="892" w:type="pct"/>
            <w:tcBorders>
              <w:top w:val="nil"/>
              <w:left w:val="nil"/>
              <w:bottom w:val="nil"/>
              <w:right w:val="nil"/>
            </w:tcBorders>
            <w:shd w:val="clear" w:color="auto" w:fill="auto"/>
            <w:noWrap/>
            <w:vAlign w:val="bottom"/>
            <w:hideMark/>
          </w:tcPr>
          <w:p w14:paraId="5E65371E" w14:textId="77777777" w:rsidR="00F519E5" w:rsidRPr="00C0591E" w:rsidRDefault="00F519E5" w:rsidP="00F519E5">
            <w:pPr>
              <w:spacing w:before="0" w:line="240" w:lineRule="auto"/>
              <w:rPr>
                <w:rFonts w:eastAsia="Times New Roman"/>
              </w:rPr>
            </w:pPr>
            <w:r w:rsidRPr="00C0591E">
              <w:rPr>
                <w:rFonts w:eastAsia="Times New Roman"/>
              </w:rPr>
              <w:t>Residual</w:t>
            </w:r>
          </w:p>
        </w:tc>
        <w:tc>
          <w:tcPr>
            <w:tcW w:w="1015" w:type="pct"/>
            <w:tcBorders>
              <w:top w:val="nil"/>
              <w:left w:val="nil"/>
              <w:bottom w:val="nil"/>
              <w:right w:val="nil"/>
            </w:tcBorders>
            <w:shd w:val="clear" w:color="auto" w:fill="auto"/>
            <w:noWrap/>
            <w:vAlign w:val="bottom"/>
            <w:hideMark/>
          </w:tcPr>
          <w:p w14:paraId="6C00741B" w14:textId="77777777" w:rsidR="00F519E5" w:rsidRPr="00C0591E" w:rsidRDefault="00F519E5" w:rsidP="00F519E5">
            <w:pPr>
              <w:spacing w:before="0" w:line="240" w:lineRule="auto"/>
              <w:rPr>
                <w:rFonts w:eastAsia="Times New Roman"/>
              </w:rPr>
            </w:pPr>
            <w:r w:rsidRPr="00C0591E">
              <w:rPr>
                <w:rFonts w:eastAsia="Times New Roman"/>
              </w:rPr>
              <w:t>20.913</w:t>
            </w:r>
          </w:p>
        </w:tc>
        <w:tc>
          <w:tcPr>
            <w:tcW w:w="401" w:type="pct"/>
            <w:tcBorders>
              <w:top w:val="nil"/>
              <w:left w:val="nil"/>
              <w:bottom w:val="nil"/>
              <w:right w:val="nil"/>
            </w:tcBorders>
            <w:shd w:val="clear" w:color="auto" w:fill="auto"/>
            <w:noWrap/>
            <w:vAlign w:val="bottom"/>
            <w:hideMark/>
          </w:tcPr>
          <w:p w14:paraId="68731376" w14:textId="77777777" w:rsidR="00F519E5" w:rsidRPr="00C0591E" w:rsidRDefault="00F519E5" w:rsidP="00F519E5">
            <w:pPr>
              <w:spacing w:before="0" w:line="240" w:lineRule="auto"/>
              <w:rPr>
                <w:rFonts w:eastAsia="Times New Roman"/>
              </w:rPr>
            </w:pPr>
            <w:r w:rsidRPr="00C0591E">
              <w:rPr>
                <w:rFonts w:eastAsia="Times New Roman"/>
              </w:rPr>
              <w:t>294</w:t>
            </w:r>
          </w:p>
        </w:tc>
        <w:tc>
          <w:tcPr>
            <w:tcW w:w="876" w:type="pct"/>
            <w:tcBorders>
              <w:top w:val="nil"/>
              <w:left w:val="nil"/>
              <w:bottom w:val="nil"/>
              <w:right w:val="nil"/>
            </w:tcBorders>
            <w:shd w:val="clear" w:color="auto" w:fill="auto"/>
            <w:noWrap/>
            <w:vAlign w:val="bottom"/>
            <w:hideMark/>
          </w:tcPr>
          <w:p w14:paraId="21BE8630" w14:textId="77777777" w:rsidR="00F519E5" w:rsidRPr="00C0591E" w:rsidRDefault="00F519E5" w:rsidP="00F519E5">
            <w:pPr>
              <w:spacing w:before="0" w:line="240" w:lineRule="auto"/>
              <w:rPr>
                <w:rFonts w:eastAsia="Times New Roman"/>
              </w:rPr>
            </w:pPr>
            <w:r w:rsidRPr="00C0591E">
              <w:rPr>
                <w:rFonts w:eastAsia="Times New Roman"/>
              </w:rPr>
              <w:t>0.071</w:t>
            </w:r>
          </w:p>
        </w:tc>
        <w:tc>
          <w:tcPr>
            <w:tcW w:w="693" w:type="pct"/>
            <w:tcBorders>
              <w:top w:val="nil"/>
              <w:left w:val="nil"/>
              <w:bottom w:val="nil"/>
              <w:right w:val="nil"/>
            </w:tcBorders>
            <w:shd w:val="clear" w:color="auto" w:fill="auto"/>
            <w:noWrap/>
            <w:vAlign w:val="bottom"/>
            <w:hideMark/>
          </w:tcPr>
          <w:p w14:paraId="252E9DA1" w14:textId="77777777" w:rsidR="00F519E5" w:rsidRPr="00C0591E" w:rsidRDefault="00F519E5" w:rsidP="00F519E5">
            <w:pPr>
              <w:spacing w:before="0" w:line="240" w:lineRule="auto"/>
              <w:rPr>
                <w:rFonts w:eastAsia="Times New Roman"/>
              </w:rPr>
            </w:pPr>
          </w:p>
        </w:tc>
        <w:tc>
          <w:tcPr>
            <w:tcW w:w="525" w:type="pct"/>
            <w:tcBorders>
              <w:top w:val="nil"/>
              <w:left w:val="nil"/>
              <w:bottom w:val="nil"/>
              <w:right w:val="nil"/>
            </w:tcBorders>
            <w:shd w:val="clear" w:color="auto" w:fill="auto"/>
            <w:noWrap/>
            <w:vAlign w:val="bottom"/>
            <w:hideMark/>
          </w:tcPr>
          <w:p w14:paraId="0861FA31" w14:textId="77777777" w:rsidR="00F519E5" w:rsidRPr="00C0591E" w:rsidRDefault="00F519E5" w:rsidP="00F519E5">
            <w:pPr>
              <w:spacing w:before="0" w:line="240" w:lineRule="auto"/>
              <w:rPr>
                <w:rFonts w:eastAsia="Times New Roman" w:cs="Times New Roman"/>
                <w:sz w:val="20"/>
                <w:szCs w:val="20"/>
              </w:rPr>
            </w:pPr>
          </w:p>
        </w:tc>
      </w:tr>
      <w:tr w:rsidR="00D96EE2" w:rsidRPr="00C0591E" w14:paraId="38D062B1" w14:textId="77777777" w:rsidTr="00FA398D">
        <w:trPr>
          <w:trHeight w:val="288"/>
        </w:trPr>
        <w:tc>
          <w:tcPr>
            <w:tcW w:w="598" w:type="pct"/>
            <w:tcBorders>
              <w:top w:val="nil"/>
              <w:left w:val="nil"/>
              <w:bottom w:val="nil"/>
              <w:right w:val="nil"/>
            </w:tcBorders>
            <w:shd w:val="clear" w:color="auto" w:fill="auto"/>
            <w:noWrap/>
            <w:vAlign w:val="bottom"/>
            <w:hideMark/>
          </w:tcPr>
          <w:p w14:paraId="595BB72A" w14:textId="77777777" w:rsidR="00F519E5" w:rsidRPr="00C0591E" w:rsidRDefault="00F519E5" w:rsidP="00F519E5">
            <w:pPr>
              <w:spacing w:before="0" w:line="240" w:lineRule="auto"/>
              <w:rPr>
                <w:rFonts w:eastAsia="Times New Roman" w:cs="Times New Roman"/>
                <w:sz w:val="20"/>
                <w:szCs w:val="20"/>
              </w:rPr>
            </w:pPr>
          </w:p>
        </w:tc>
        <w:tc>
          <w:tcPr>
            <w:tcW w:w="892" w:type="pct"/>
            <w:tcBorders>
              <w:top w:val="nil"/>
              <w:left w:val="nil"/>
              <w:bottom w:val="nil"/>
              <w:right w:val="nil"/>
            </w:tcBorders>
            <w:shd w:val="clear" w:color="auto" w:fill="auto"/>
            <w:noWrap/>
            <w:vAlign w:val="bottom"/>
            <w:hideMark/>
          </w:tcPr>
          <w:p w14:paraId="2E8EB381" w14:textId="77777777" w:rsidR="00F519E5" w:rsidRPr="00C0591E" w:rsidRDefault="00F519E5" w:rsidP="00F519E5">
            <w:pPr>
              <w:spacing w:before="0" w:line="240" w:lineRule="auto"/>
              <w:rPr>
                <w:rFonts w:eastAsia="Times New Roman"/>
              </w:rPr>
            </w:pPr>
            <w:r w:rsidRPr="00C0591E">
              <w:rPr>
                <w:rFonts w:eastAsia="Times New Roman"/>
              </w:rPr>
              <w:t>Total</w:t>
            </w:r>
          </w:p>
        </w:tc>
        <w:tc>
          <w:tcPr>
            <w:tcW w:w="1015" w:type="pct"/>
            <w:tcBorders>
              <w:top w:val="nil"/>
              <w:left w:val="nil"/>
              <w:bottom w:val="nil"/>
              <w:right w:val="nil"/>
            </w:tcBorders>
            <w:shd w:val="clear" w:color="auto" w:fill="auto"/>
            <w:noWrap/>
            <w:vAlign w:val="bottom"/>
            <w:hideMark/>
          </w:tcPr>
          <w:p w14:paraId="33892F42" w14:textId="77777777" w:rsidR="00F519E5" w:rsidRPr="00C0591E" w:rsidRDefault="00F519E5" w:rsidP="00F519E5">
            <w:pPr>
              <w:spacing w:before="0" w:line="240" w:lineRule="auto"/>
              <w:rPr>
                <w:rFonts w:eastAsia="Times New Roman"/>
              </w:rPr>
            </w:pPr>
            <w:r w:rsidRPr="00C0591E">
              <w:rPr>
                <w:rFonts w:eastAsia="Times New Roman"/>
              </w:rPr>
              <w:t>46.67</w:t>
            </w:r>
          </w:p>
        </w:tc>
        <w:tc>
          <w:tcPr>
            <w:tcW w:w="401" w:type="pct"/>
            <w:tcBorders>
              <w:top w:val="nil"/>
              <w:left w:val="nil"/>
              <w:bottom w:val="nil"/>
              <w:right w:val="nil"/>
            </w:tcBorders>
            <w:shd w:val="clear" w:color="auto" w:fill="auto"/>
            <w:noWrap/>
            <w:vAlign w:val="bottom"/>
            <w:hideMark/>
          </w:tcPr>
          <w:p w14:paraId="30E6D730" w14:textId="77777777" w:rsidR="00F519E5" w:rsidRPr="00C0591E" w:rsidRDefault="00F519E5" w:rsidP="00F519E5">
            <w:pPr>
              <w:spacing w:before="0" w:line="240" w:lineRule="auto"/>
              <w:rPr>
                <w:rFonts w:eastAsia="Times New Roman"/>
              </w:rPr>
            </w:pPr>
            <w:r w:rsidRPr="00C0591E">
              <w:rPr>
                <w:rFonts w:eastAsia="Times New Roman"/>
              </w:rPr>
              <w:t>295</w:t>
            </w:r>
          </w:p>
        </w:tc>
        <w:tc>
          <w:tcPr>
            <w:tcW w:w="876" w:type="pct"/>
            <w:tcBorders>
              <w:top w:val="nil"/>
              <w:left w:val="nil"/>
              <w:bottom w:val="nil"/>
              <w:right w:val="nil"/>
            </w:tcBorders>
            <w:shd w:val="clear" w:color="auto" w:fill="auto"/>
            <w:noWrap/>
            <w:vAlign w:val="bottom"/>
            <w:hideMark/>
          </w:tcPr>
          <w:p w14:paraId="22DA089B" w14:textId="77777777" w:rsidR="00F519E5" w:rsidRPr="00C0591E" w:rsidRDefault="00F519E5" w:rsidP="00F519E5">
            <w:pPr>
              <w:spacing w:before="0" w:line="240" w:lineRule="auto"/>
              <w:rPr>
                <w:rFonts w:eastAsia="Times New Roman"/>
              </w:rPr>
            </w:pPr>
          </w:p>
        </w:tc>
        <w:tc>
          <w:tcPr>
            <w:tcW w:w="693" w:type="pct"/>
            <w:tcBorders>
              <w:top w:val="nil"/>
              <w:left w:val="nil"/>
              <w:bottom w:val="nil"/>
              <w:right w:val="nil"/>
            </w:tcBorders>
            <w:shd w:val="clear" w:color="auto" w:fill="auto"/>
            <w:noWrap/>
            <w:vAlign w:val="bottom"/>
            <w:hideMark/>
          </w:tcPr>
          <w:p w14:paraId="2188F6AE" w14:textId="77777777" w:rsidR="00F519E5" w:rsidRPr="00C0591E" w:rsidRDefault="00F519E5" w:rsidP="00F519E5">
            <w:pPr>
              <w:spacing w:before="0" w:line="240" w:lineRule="auto"/>
              <w:rPr>
                <w:rFonts w:eastAsia="Times New Roman" w:cs="Times New Roman"/>
                <w:sz w:val="20"/>
                <w:szCs w:val="20"/>
              </w:rPr>
            </w:pPr>
          </w:p>
        </w:tc>
        <w:tc>
          <w:tcPr>
            <w:tcW w:w="525" w:type="pct"/>
            <w:tcBorders>
              <w:top w:val="nil"/>
              <w:left w:val="nil"/>
              <w:bottom w:val="nil"/>
              <w:right w:val="nil"/>
            </w:tcBorders>
            <w:shd w:val="clear" w:color="auto" w:fill="auto"/>
            <w:noWrap/>
            <w:vAlign w:val="bottom"/>
            <w:hideMark/>
          </w:tcPr>
          <w:p w14:paraId="1E6C38EB" w14:textId="77777777" w:rsidR="00F519E5" w:rsidRPr="00C0591E" w:rsidRDefault="00F519E5" w:rsidP="00F519E5">
            <w:pPr>
              <w:spacing w:before="0" w:line="240" w:lineRule="auto"/>
              <w:rPr>
                <w:rFonts w:eastAsia="Times New Roman" w:cs="Times New Roman"/>
                <w:sz w:val="20"/>
                <w:szCs w:val="20"/>
              </w:rPr>
            </w:pPr>
          </w:p>
        </w:tc>
      </w:tr>
      <w:tr w:rsidR="00D96EE2" w:rsidRPr="00C0591E" w14:paraId="465CD0DD" w14:textId="77777777" w:rsidTr="00FA398D">
        <w:trPr>
          <w:trHeight w:val="288"/>
        </w:trPr>
        <w:tc>
          <w:tcPr>
            <w:tcW w:w="598" w:type="pct"/>
            <w:tcBorders>
              <w:top w:val="nil"/>
              <w:left w:val="nil"/>
              <w:bottom w:val="nil"/>
              <w:right w:val="nil"/>
            </w:tcBorders>
            <w:shd w:val="clear" w:color="auto" w:fill="auto"/>
            <w:noWrap/>
            <w:vAlign w:val="bottom"/>
            <w:hideMark/>
          </w:tcPr>
          <w:p w14:paraId="2D66F98B" w14:textId="77777777" w:rsidR="00F519E5" w:rsidRPr="00C0591E" w:rsidRDefault="00F519E5" w:rsidP="00F519E5">
            <w:pPr>
              <w:spacing w:before="0" w:line="240" w:lineRule="auto"/>
              <w:rPr>
                <w:rFonts w:eastAsia="Times New Roman"/>
              </w:rPr>
            </w:pPr>
            <w:r w:rsidRPr="00C0591E">
              <w:rPr>
                <w:rFonts w:eastAsia="Times New Roman"/>
              </w:rPr>
              <w:t>2</w:t>
            </w:r>
          </w:p>
        </w:tc>
        <w:tc>
          <w:tcPr>
            <w:tcW w:w="892" w:type="pct"/>
            <w:tcBorders>
              <w:top w:val="nil"/>
              <w:left w:val="nil"/>
              <w:bottom w:val="nil"/>
              <w:right w:val="nil"/>
            </w:tcBorders>
            <w:shd w:val="clear" w:color="auto" w:fill="auto"/>
            <w:noWrap/>
            <w:vAlign w:val="bottom"/>
            <w:hideMark/>
          </w:tcPr>
          <w:p w14:paraId="628009C8" w14:textId="77777777" w:rsidR="00F519E5" w:rsidRPr="00C0591E" w:rsidRDefault="00F519E5" w:rsidP="00F519E5">
            <w:pPr>
              <w:spacing w:before="0" w:line="240" w:lineRule="auto"/>
              <w:rPr>
                <w:rFonts w:eastAsia="Times New Roman"/>
              </w:rPr>
            </w:pPr>
            <w:r w:rsidRPr="00C0591E">
              <w:rPr>
                <w:rFonts w:eastAsia="Times New Roman"/>
              </w:rPr>
              <w:t>Regression</w:t>
            </w:r>
          </w:p>
        </w:tc>
        <w:tc>
          <w:tcPr>
            <w:tcW w:w="1015" w:type="pct"/>
            <w:tcBorders>
              <w:top w:val="nil"/>
              <w:left w:val="nil"/>
              <w:bottom w:val="nil"/>
              <w:right w:val="nil"/>
            </w:tcBorders>
            <w:shd w:val="clear" w:color="auto" w:fill="auto"/>
            <w:noWrap/>
            <w:vAlign w:val="bottom"/>
            <w:hideMark/>
          </w:tcPr>
          <w:p w14:paraId="65043803" w14:textId="77777777" w:rsidR="00F519E5" w:rsidRPr="00C0591E" w:rsidRDefault="00F519E5" w:rsidP="00F519E5">
            <w:pPr>
              <w:spacing w:before="0" w:line="240" w:lineRule="auto"/>
              <w:rPr>
                <w:rFonts w:eastAsia="Times New Roman"/>
              </w:rPr>
            </w:pPr>
            <w:r w:rsidRPr="00C0591E">
              <w:rPr>
                <w:rFonts w:eastAsia="Times New Roman"/>
              </w:rPr>
              <w:t>351.017</w:t>
            </w:r>
          </w:p>
        </w:tc>
        <w:tc>
          <w:tcPr>
            <w:tcW w:w="401" w:type="pct"/>
            <w:tcBorders>
              <w:top w:val="nil"/>
              <w:left w:val="nil"/>
              <w:bottom w:val="nil"/>
              <w:right w:val="nil"/>
            </w:tcBorders>
            <w:shd w:val="clear" w:color="auto" w:fill="auto"/>
            <w:noWrap/>
            <w:vAlign w:val="bottom"/>
            <w:hideMark/>
          </w:tcPr>
          <w:p w14:paraId="6DE5BCAE" w14:textId="77777777" w:rsidR="00F519E5" w:rsidRPr="00C0591E" w:rsidRDefault="00F519E5" w:rsidP="00F519E5">
            <w:pPr>
              <w:spacing w:before="0" w:line="240" w:lineRule="auto"/>
              <w:rPr>
                <w:rFonts w:eastAsia="Times New Roman"/>
              </w:rPr>
            </w:pPr>
            <w:r w:rsidRPr="00C0591E">
              <w:rPr>
                <w:rFonts w:eastAsia="Times New Roman"/>
              </w:rPr>
              <w:t>1</w:t>
            </w:r>
          </w:p>
        </w:tc>
        <w:tc>
          <w:tcPr>
            <w:tcW w:w="876" w:type="pct"/>
            <w:tcBorders>
              <w:top w:val="nil"/>
              <w:left w:val="nil"/>
              <w:bottom w:val="nil"/>
              <w:right w:val="nil"/>
            </w:tcBorders>
            <w:shd w:val="clear" w:color="auto" w:fill="auto"/>
            <w:noWrap/>
            <w:vAlign w:val="bottom"/>
            <w:hideMark/>
          </w:tcPr>
          <w:p w14:paraId="21844723" w14:textId="77777777" w:rsidR="00F519E5" w:rsidRPr="00C0591E" w:rsidRDefault="00F519E5" w:rsidP="00F519E5">
            <w:pPr>
              <w:spacing w:before="0" w:line="240" w:lineRule="auto"/>
              <w:rPr>
                <w:rFonts w:eastAsia="Times New Roman"/>
              </w:rPr>
            </w:pPr>
            <w:r w:rsidRPr="00C0591E">
              <w:rPr>
                <w:rFonts w:eastAsia="Times New Roman"/>
              </w:rPr>
              <w:t>351.017</w:t>
            </w:r>
          </w:p>
        </w:tc>
        <w:tc>
          <w:tcPr>
            <w:tcW w:w="693" w:type="pct"/>
            <w:tcBorders>
              <w:top w:val="nil"/>
              <w:left w:val="nil"/>
              <w:bottom w:val="nil"/>
              <w:right w:val="nil"/>
            </w:tcBorders>
            <w:shd w:val="clear" w:color="auto" w:fill="auto"/>
            <w:noWrap/>
            <w:vAlign w:val="bottom"/>
            <w:hideMark/>
          </w:tcPr>
          <w:p w14:paraId="6AA9E127" w14:textId="77777777" w:rsidR="00F519E5" w:rsidRPr="00C0591E" w:rsidRDefault="00F519E5" w:rsidP="00F519E5">
            <w:pPr>
              <w:spacing w:before="0" w:line="240" w:lineRule="auto"/>
              <w:rPr>
                <w:rFonts w:eastAsia="Times New Roman"/>
              </w:rPr>
            </w:pPr>
            <w:r w:rsidRPr="00C0591E">
              <w:rPr>
                <w:rFonts w:eastAsia="Times New Roman"/>
              </w:rPr>
              <w:t>584.299</w:t>
            </w:r>
          </w:p>
        </w:tc>
        <w:tc>
          <w:tcPr>
            <w:tcW w:w="525" w:type="pct"/>
            <w:tcBorders>
              <w:top w:val="nil"/>
              <w:left w:val="nil"/>
              <w:bottom w:val="nil"/>
              <w:right w:val="nil"/>
            </w:tcBorders>
            <w:shd w:val="clear" w:color="auto" w:fill="auto"/>
            <w:noWrap/>
            <w:vAlign w:val="bottom"/>
            <w:hideMark/>
          </w:tcPr>
          <w:p w14:paraId="122F9466" w14:textId="77777777" w:rsidR="00F519E5" w:rsidRPr="00C0591E" w:rsidRDefault="00F519E5" w:rsidP="00F519E5">
            <w:pPr>
              <w:spacing w:before="0" w:line="240" w:lineRule="auto"/>
              <w:rPr>
                <w:rFonts w:eastAsia="Times New Roman"/>
              </w:rPr>
            </w:pPr>
            <w:r w:rsidRPr="00C0591E">
              <w:rPr>
                <w:rFonts w:eastAsia="Times New Roman"/>
              </w:rPr>
              <w:t>.000b</w:t>
            </w:r>
          </w:p>
        </w:tc>
      </w:tr>
      <w:tr w:rsidR="00D96EE2" w:rsidRPr="00C0591E" w14:paraId="5F9C8CC9" w14:textId="77777777" w:rsidTr="00FA398D">
        <w:trPr>
          <w:trHeight w:val="288"/>
        </w:trPr>
        <w:tc>
          <w:tcPr>
            <w:tcW w:w="598" w:type="pct"/>
            <w:tcBorders>
              <w:top w:val="nil"/>
              <w:left w:val="nil"/>
              <w:bottom w:val="nil"/>
              <w:right w:val="nil"/>
            </w:tcBorders>
            <w:shd w:val="clear" w:color="auto" w:fill="auto"/>
            <w:noWrap/>
            <w:vAlign w:val="bottom"/>
            <w:hideMark/>
          </w:tcPr>
          <w:p w14:paraId="71C596E2" w14:textId="77777777" w:rsidR="00F519E5" w:rsidRPr="00C0591E" w:rsidRDefault="00F519E5" w:rsidP="00F519E5">
            <w:pPr>
              <w:spacing w:before="0" w:line="240" w:lineRule="auto"/>
              <w:rPr>
                <w:rFonts w:eastAsia="Times New Roman"/>
              </w:rPr>
            </w:pPr>
          </w:p>
        </w:tc>
        <w:tc>
          <w:tcPr>
            <w:tcW w:w="892" w:type="pct"/>
            <w:tcBorders>
              <w:top w:val="nil"/>
              <w:left w:val="nil"/>
              <w:bottom w:val="nil"/>
              <w:right w:val="nil"/>
            </w:tcBorders>
            <w:shd w:val="clear" w:color="auto" w:fill="auto"/>
            <w:noWrap/>
            <w:vAlign w:val="bottom"/>
            <w:hideMark/>
          </w:tcPr>
          <w:p w14:paraId="443A4BD2" w14:textId="77777777" w:rsidR="00F519E5" w:rsidRPr="00C0591E" w:rsidRDefault="00F519E5" w:rsidP="00F519E5">
            <w:pPr>
              <w:spacing w:before="0" w:line="240" w:lineRule="auto"/>
              <w:rPr>
                <w:rFonts w:eastAsia="Times New Roman"/>
              </w:rPr>
            </w:pPr>
            <w:r w:rsidRPr="00C0591E">
              <w:rPr>
                <w:rFonts w:eastAsia="Times New Roman"/>
              </w:rPr>
              <w:t>Residual</w:t>
            </w:r>
          </w:p>
        </w:tc>
        <w:tc>
          <w:tcPr>
            <w:tcW w:w="1015" w:type="pct"/>
            <w:tcBorders>
              <w:top w:val="nil"/>
              <w:left w:val="nil"/>
              <w:bottom w:val="nil"/>
              <w:right w:val="nil"/>
            </w:tcBorders>
            <w:shd w:val="clear" w:color="auto" w:fill="auto"/>
            <w:noWrap/>
            <w:vAlign w:val="bottom"/>
            <w:hideMark/>
          </w:tcPr>
          <w:p w14:paraId="0B7B8A8A" w14:textId="77777777" w:rsidR="00F519E5" w:rsidRPr="00C0591E" w:rsidRDefault="00F519E5" w:rsidP="00F519E5">
            <w:pPr>
              <w:spacing w:before="0" w:line="240" w:lineRule="auto"/>
              <w:rPr>
                <w:rFonts w:eastAsia="Times New Roman"/>
              </w:rPr>
            </w:pPr>
            <w:r w:rsidRPr="00C0591E">
              <w:rPr>
                <w:rFonts w:eastAsia="Times New Roman"/>
              </w:rPr>
              <w:t>176.62</w:t>
            </w:r>
          </w:p>
        </w:tc>
        <w:tc>
          <w:tcPr>
            <w:tcW w:w="401" w:type="pct"/>
            <w:tcBorders>
              <w:top w:val="nil"/>
              <w:left w:val="nil"/>
              <w:bottom w:val="nil"/>
              <w:right w:val="nil"/>
            </w:tcBorders>
            <w:shd w:val="clear" w:color="auto" w:fill="auto"/>
            <w:noWrap/>
            <w:vAlign w:val="bottom"/>
            <w:hideMark/>
          </w:tcPr>
          <w:p w14:paraId="1D7E7C0B" w14:textId="77777777" w:rsidR="00F519E5" w:rsidRPr="00C0591E" w:rsidRDefault="00F519E5" w:rsidP="00F519E5">
            <w:pPr>
              <w:spacing w:before="0" w:line="240" w:lineRule="auto"/>
              <w:rPr>
                <w:rFonts w:eastAsia="Times New Roman"/>
              </w:rPr>
            </w:pPr>
            <w:r w:rsidRPr="00C0591E">
              <w:rPr>
                <w:rFonts w:eastAsia="Times New Roman"/>
              </w:rPr>
              <w:t>294</w:t>
            </w:r>
          </w:p>
        </w:tc>
        <w:tc>
          <w:tcPr>
            <w:tcW w:w="876" w:type="pct"/>
            <w:tcBorders>
              <w:top w:val="nil"/>
              <w:left w:val="nil"/>
              <w:bottom w:val="nil"/>
              <w:right w:val="nil"/>
            </w:tcBorders>
            <w:shd w:val="clear" w:color="auto" w:fill="auto"/>
            <w:noWrap/>
            <w:vAlign w:val="bottom"/>
            <w:hideMark/>
          </w:tcPr>
          <w:p w14:paraId="18697669" w14:textId="77777777" w:rsidR="00F519E5" w:rsidRPr="00C0591E" w:rsidRDefault="00F519E5" w:rsidP="00F519E5">
            <w:pPr>
              <w:spacing w:before="0" w:line="240" w:lineRule="auto"/>
              <w:rPr>
                <w:rFonts w:eastAsia="Times New Roman"/>
              </w:rPr>
            </w:pPr>
            <w:r w:rsidRPr="00C0591E">
              <w:rPr>
                <w:rFonts w:eastAsia="Times New Roman"/>
              </w:rPr>
              <w:t>0.601</w:t>
            </w:r>
          </w:p>
        </w:tc>
        <w:tc>
          <w:tcPr>
            <w:tcW w:w="693" w:type="pct"/>
            <w:tcBorders>
              <w:top w:val="nil"/>
              <w:left w:val="nil"/>
              <w:bottom w:val="nil"/>
              <w:right w:val="nil"/>
            </w:tcBorders>
            <w:shd w:val="clear" w:color="auto" w:fill="auto"/>
            <w:noWrap/>
            <w:vAlign w:val="bottom"/>
            <w:hideMark/>
          </w:tcPr>
          <w:p w14:paraId="20F04767" w14:textId="77777777" w:rsidR="00F519E5" w:rsidRPr="00C0591E" w:rsidRDefault="00F519E5" w:rsidP="00F519E5">
            <w:pPr>
              <w:spacing w:before="0" w:line="240" w:lineRule="auto"/>
              <w:rPr>
                <w:rFonts w:eastAsia="Times New Roman"/>
              </w:rPr>
            </w:pPr>
          </w:p>
        </w:tc>
        <w:tc>
          <w:tcPr>
            <w:tcW w:w="525" w:type="pct"/>
            <w:tcBorders>
              <w:top w:val="nil"/>
              <w:left w:val="nil"/>
              <w:bottom w:val="nil"/>
              <w:right w:val="nil"/>
            </w:tcBorders>
            <w:shd w:val="clear" w:color="auto" w:fill="auto"/>
            <w:noWrap/>
            <w:vAlign w:val="bottom"/>
            <w:hideMark/>
          </w:tcPr>
          <w:p w14:paraId="3CF0092B" w14:textId="77777777" w:rsidR="00F519E5" w:rsidRPr="00C0591E" w:rsidRDefault="00F519E5" w:rsidP="00F519E5">
            <w:pPr>
              <w:spacing w:before="0" w:line="240" w:lineRule="auto"/>
              <w:rPr>
                <w:rFonts w:eastAsia="Times New Roman" w:cs="Times New Roman"/>
                <w:sz w:val="20"/>
                <w:szCs w:val="20"/>
              </w:rPr>
            </w:pPr>
          </w:p>
        </w:tc>
      </w:tr>
      <w:tr w:rsidR="00D96EE2" w:rsidRPr="00C0591E" w14:paraId="0C905A1E" w14:textId="77777777" w:rsidTr="00FA398D">
        <w:trPr>
          <w:trHeight w:val="288"/>
        </w:trPr>
        <w:tc>
          <w:tcPr>
            <w:tcW w:w="598" w:type="pct"/>
            <w:tcBorders>
              <w:top w:val="nil"/>
              <w:left w:val="nil"/>
              <w:bottom w:val="nil"/>
              <w:right w:val="nil"/>
            </w:tcBorders>
            <w:shd w:val="clear" w:color="auto" w:fill="auto"/>
            <w:noWrap/>
            <w:vAlign w:val="bottom"/>
            <w:hideMark/>
          </w:tcPr>
          <w:p w14:paraId="13D1F6E1" w14:textId="77777777" w:rsidR="00F519E5" w:rsidRPr="00C0591E" w:rsidRDefault="00F519E5" w:rsidP="00F519E5">
            <w:pPr>
              <w:spacing w:before="0" w:line="240" w:lineRule="auto"/>
              <w:rPr>
                <w:rFonts w:eastAsia="Times New Roman" w:cs="Times New Roman"/>
                <w:sz w:val="20"/>
                <w:szCs w:val="20"/>
              </w:rPr>
            </w:pPr>
          </w:p>
        </w:tc>
        <w:tc>
          <w:tcPr>
            <w:tcW w:w="892" w:type="pct"/>
            <w:tcBorders>
              <w:top w:val="nil"/>
              <w:left w:val="nil"/>
              <w:bottom w:val="nil"/>
              <w:right w:val="nil"/>
            </w:tcBorders>
            <w:shd w:val="clear" w:color="auto" w:fill="auto"/>
            <w:noWrap/>
            <w:vAlign w:val="bottom"/>
            <w:hideMark/>
          </w:tcPr>
          <w:p w14:paraId="78F8D2E0" w14:textId="77777777" w:rsidR="00F519E5" w:rsidRPr="00C0591E" w:rsidRDefault="00F519E5" w:rsidP="00F519E5">
            <w:pPr>
              <w:spacing w:before="0" w:line="240" w:lineRule="auto"/>
              <w:rPr>
                <w:rFonts w:eastAsia="Times New Roman"/>
              </w:rPr>
            </w:pPr>
            <w:r w:rsidRPr="00C0591E">
              <w:rPr>
                <w:rFonts w:eastAsia="Times New Roman"/>
              </w:rPr>
              <w:t>Total</w:t>
            </w:r>
          </w:p>
        </w:tc>
        <w:tc>
          <w:tcPr>
            <w:tcW w:w="1015" w:type="pct"/>
            <w:tcBorders>
              <w:top w:val="nil"/>
              <w:left w:val="nil"/>
              <w:bottom w:val="nil"/>
              <w:right w:val="nil"/>
            </w:tcBorders>
            <w:shd w:val="clear" w:color="auto" w:fill="auto"/>
            <w:noWrap/>
            <w:vAlign w:val="bottom"/>
            <w:hideMark/>
          </w:tcPr>
          <w:p w14:paraId="7CBEE3F7" w14:textId="77777777" w:rsidR="00F519E5" w:rsidRPr="00C0591E" w:rsidRDefault="00F519E5" w:rsidP="00F519E5">
            <w:pPr>
              <w:spacing w:before="0" w:line="240" w:lineRule="auto"/>
              <w:rPr>
                <w:rFonts w:eastAsia="Times New Roman"/>
              </w:rPr>
            </w:pPr>
            <w:r w:rsidRPr="00C0591E">
              <w:rPr>
                <w:rFonts w:eastAsia="Times New Roman"/>
              </w:rPr>
              <w:t>527.637</w:t>
            </w:r>
          </w:p>
        </w:tc>
        <w:tc>
          <w:tcPr>
            <w:tcW w:w="401" w:type="pct"/>
            <w:tcBorders>
              <w:top w:val="nil"/>
              <w:left w:val="nil"/>
              <w:bottom w:val="nil"/>
              <w:right w:val="nil"/>
            </w:tcBorders>
            <w:shd w:val="clear" w:color="auto" w:fill="auto"/>
            <w:noWrap/>
            <w:vAlign w:val="bottom"/>
            <w:hideMark/>
          </w:tcPr>
          <w:p w14:paraId="423C8007" w14:textId="77777777" w:rsidR="00F519E5" w:rsidRPr="00C0591E" w:rsidRDefault="00F519E5" w:rsidP="00F519E5">
            <w:pPr>
              <w:spacing w:before="0" w:line="240" w:lineRule="auto"/>
              <w:rPr>
                <w:rFonts w:eastAsia="Times New Roman"/>
              </w:rPr>
            </w:pPr>
            <w:r w:rsidRPr="00C0591E">
              <w:rPr>
                <w:rFonts w:eastAsia="Times New Roman"/>
              </w:rPr>
              <w:t>295</w:t>
            </w:r>
          </w:p>
        </w:tc>
        <w:tc>
          <w:tcPr>
            <w:tcW w:w="876" w:type="pct"/>
            <w:tcBorders>
              <w:top w:val="nil"/>
              <w:left w:val="nil"/>
              <w:bottom w:val="nil"/>
              <w:right w:val="nil"/>
            </w:tcBorders>
            <w:shd w:val="clear" w:color="auto" w:fill="auto"/>
            <w:noWrap/>
            <w:vAlign w:val="bottom"/>
            <w:hideMark/>
          </w:tcPr>
          <w:p w14:paraId="26086BC7" w14:textId="77777777" w:rsidR="00F519E5" w:rsidRPr="00C0591E" w:rsidRDefault="00F519E5" w:rsidP="00F519E5">
            <w:pPr>
              <w:spacing w:before="0" w:line="240" w:lineRule="auto"/>
              <w:rPr>
                <w:rFonts w:eastAsia="Times New Roman"/>
              </w:rPr>
            </w:pPr>
          </w:p>
        </w:tc>
        <w:tc>
          <w:tcPr>
            <w:tcW w:w="693" w:type="pct"/>
            <w:tcBorders>
              <w:top w:val="nil"/>
              <w:left w:val="nil"/>
              <w:bottom w:val="nil"/>
              <w:right w:val="nil"/>
            </w:tcBorders>
            <w:shd w:val="clear" w:color="auto" w:fill="auto"/>
            <w:noWrap/>
            <w:vAlign w:val="bottom"/>
            <w:hideMark/>
          </w:tcPr>
          <w:p w14:paraId="2C1B85F7" w14:textId="77777777" w:rsidR="00F519E5" w:rsidRPr="00C0591E" w:rsidRDefault="00F519E5" w:rsidP="00F519E5">
            <w:pPr>
              <w:spacing w:before="0" w:line="240" w:lineRule="auto"/>
              <w:rPr>
                <w:rFonts w:eastAsia="Times New Roman" w:cs="Times New Roman"/>
                <w:sz w:val="20"/>
                <w:szCs w:val="20"/>
              </w:rPr>
            </w:pPr>
          </w:p>
        </w:tc>
        <w:tc>
          <w:tcPr>
            <w:tcW w:w="525" w:type="pct"/>
            <w:tcBorders>
              <w:top w:val="nil"/>
              <w:left w:val="nil"/>
              <w:bottom w:val="nil"/>
              <w:right w:val="nil"/>
            </w:tcBorders>
            <w:shd w:val="clear" w:color="auto" w:fill="auto"/>
            <w:noWrap/>
            <w:vAlign w:val="bottom"/>
            <w:hideMark/>
          </w:tcPr>
          <w:p w14:paraId="36EF11F3" w14:textId="77777777" w:rsidR="00F519E5" w:rsidRPr="00C0591E" w:rsidRDefault="00F519E5" w:rsidP="00F519E5">
            <w:pPr>
              <w:spacing w:before="0" w:line="240" w:lineRule="auto"/>
              <w:rPr>
                <w:rFonts w:eastAsia="Times New Roman" w:cs="Times New Roman"/>
                <w:sz w:val="20"/>
                <w:szCs w:val="20"/>
              </w:rPr>
            </w:pPr>
          </w:p>
        </w:tc>
      </w:tr>
      <w:tr w:rsidR="00D96EE2" w:rsidRPr="00C0591E" w14:paraId="7259A45B" w14:textId="77777777" w:rsidTr="00FA398D">
        <w:trPr>
          <w:trHeight w:val="288"/>
        </w:trPr>
        <w:tc>
          <w:tcPr>
            <w:tcW w:w="598" w:type="pct"/>
            <w:tcBorders>
              <w:top w:val="nil"/>
              <w:left w:val="nil"/>
              <w:bottom w:val="nil"/>
              <w:right w:val="nil"/>
            </w:tcBorders>
            <w:shd w:val="clear" w:color="auto" w:fill="auto"/>
            <w:noWrap/>
            <w:vAlign w:val="bottom"/>
            <w:hideMark/>
          </w:tcPr>
          <w:p w14:paraId="18DDE547" w14:textId="77777777" w:rsidR="00F519E5" w:rsidRPr="00C0591E" w:rsidRDefault="00F519E5" w:rsidP="00F519E5">
            <w:pPr>
              <w:spacing w:before="0" w:line="240" w:lineRule="auto"/>
              <w:rPr>
                <w:rFonts w:eastAsia="Times New Roman"/>
              </w:rPr>
            </w:pPr>
            <w:r w:rsidRPr="00C0591E">
              <w:rPr>
                <w:rFonts w:eastAsia="Times New Roman"/>
              </w:rPr>
              <w:t>3</w:t>
            </w:r>
          </w:p>
        </w:tc>
        <w:tc>
          <w:tcPr>
            <w:tcW w:w="892" w:type="pct"/>
            <w:tcBorders>
              <w:top w:val="nil"/>
              <w:left w:val="nil"/>
              <w:bottom w:val="nil"/>
              <w:right w:val="nil"/>
            </w:tcBorders>
            <w:shd w:val="clear" w:color="auto" w:fill="auto"/>
            <w:noWrap/>
            <w:vAlign w:val="bottom"/>
            <w:hideMark/>
          </w:tcPr>
          <w:p w14:paraId="13B186FF" w14:textId="77777777" w:rsidR="00F519E5" w:rsidRPr="00C0591E" w:rsidRDefault="00F519E5" w:rsidP="00F519E5">
            <w:pPr>
              <w:spacing w:before="0" w:line="240" w:lineRule="auto"/>
              <w:rPr>
                <w:rFonts w:eastAsia="Times New Roman"/>
              </w:rPr>
            </w:pPr>
            <w:r w:rsidRPr="00C0591E">
              <w:rPr>
                <w:rFonts w:eastAsia="Times New Roman"/>
              </w:rPr>
              <w:t>Regression</w:t>
            </w:r>
          </w:p>
        </w:tc>
        <w:tc>
          <w:tcPr>
            <w:tcW w:w="1015" w:type="pct"/>
            <w:tcBorders>
              <w:top w:val="nil"/>
              <w:left w:val="nil"/>
              <w:bottom w:val="nil"/>
              <w:right w:val="nil"/>
            </w:tcBorders>
            <w:shd w:val="clear" w:color="auto" w:fill="auto"/>
            <w:noWrap/>
            <w:vAlign w:val="bottom"/>
            <w:hideMark/>
          </w:tcPr>
          <w:p w14:paraId="1C94B2F0" w14:textId="77777777" w:rsidR="00F519E5" w:rsidRPr="00C0591E" w:rsidRDefault="00F519E5" w:rsidP="00F519E5">
            <w:pPr>
              <w:spacing w:before="0" w:line="240" w:lineRule="auto"/>
              <w:rPr>
                <w:rFonts w:eastAsia="Times New Roman"/>
              </w:rPr>
            </w:pPr>
            <w:r w:rsidRPr="00C0591E">
              <w:rPr>
                <w:rFonts w:eastAsia="Times New Roman"/>
              </w:rPr>
              <w:t>24.755</w:t>
            </w:r>
          </w:p>
        </w:tc>
        <w:tc>
          <w:tcPr>
            <w:tcW w:w="401" w:type="pct"/>
            <w:tcBorders>
              <w:top w:val="nil"/>
              <w:left w:val="nil"/>
              <w:bottom w:val="nil"/>
              <w:right w:val="nil"/>
            </w:tcBorders>
            <w:shd w:val="clear" w:color="auto" w:fill="auto"/>
            <w:noWrap/>
            <w:vAlign w:val="bottom"/>
            <w:hideMark/>
          </w:tcPr>
          <w:p w14:paraId="0FA173E9" w14:textId="77777777" w:rsidR="00F519E5" w:rsidRPr="00C0591E" w:rsidRDefault="00F519E5" w:rsidP="00F519E5">
            <w:pPr>
              <w:spacing w:before="0" w:line="240" w:lineRule="auto"/>
              <w:rPr>
                <w:rFonts w:eastAsia="Times New Roman"/>
              </w:rPr>
            </w:pPr>
            <w:r w:rsidRPr="00C0591E">
              <w:rPr>
                <w:rFonts w:eastAsia="Times New Roman"/>
              </w:rPr>
              <w:t>1</w:t>
            </w:r>
          </w:p>
        </w:tc>
        <w:tc>
          <w:tcPr>
            <w:tcW w:w="876" w:type="pct"/>
            <w:tcBorders>
              <w:top w:val="nil"/>
              <w:left w:val="nil"/>
              <w:bottom w:val="nil"/>
              <w:right w:val="nil"/>
            </w:tcBorders>
            <w:shd w:val="clear" w:color="auto" w:fill="auto"/>
            <w:noWrap/>
            <w:vAlign w:val="bottom"/>
            <w:hideMark/>
          </w:tcPr>
          <w:p w14:paraId="3FE87980" w14:textId="77777777" w:rsidR="00F519E5" w:rsidRPr="00C0591E" w:rsidRDefault="00F519E5" w:rsidP="00F519E5">
            <w:pPr>
              <w:spacing w:before="0" w:line="240" w:lineRule="auto"/>
              <w:rPr>
                <w:rFonts w:eastAsia="Times New Roman"/>
              </w:rPr>
            </w:pPr>
            <w:r w:rsidRPr="00C0591E">
              <w:rPr>
                <w:rFonts w:eastAsia="Times New Roman"/>
              </w:rPr>
              <w:t>24.755</w:t>
            </w:r>
          </w:p>
        </w:tc>
        <w:tc>
          <w:tcPr>
            <w:tcW w:w="693" w:type="pct"/>
            <w:tcBorders>
              <w:top w:val="nil"/>
              <w:left w:val="nil"/>
              <w:bottom w:val="nil"/>
              <w:right w:val="nil"/>
            </w:tcBorders>
            <w:shd w:val="clear" w:color="auto" w:fill="auto"/>
            <w:noWrap/>
            <w:vAlign w:val="bottom"/>
            <w:hideMark/>
          </w:tcPr>
          <w:p w14:paraId="548A04C2" w14:textId="77777777" w:rsidR="00F519E5" w:rsidRPr="00C0591E" w:rsidRDefault="00F519E5" w:rsidP="00F519E5">
            <w:pPr>
              <w:spacing w:before="0" w:line="240" w:lineRule="auto"/>
              <w:rPr>
                <w:rFonts w:eastAsia="Times New Roman"/>
              </w:rPr>
            </w:pPr>
            <w:r w:rsidRPr="00C0591E">
              <w:rPr>
                <w:rFonts w:eastAsia="Times New Roman"/>
              </w:rPr>
              <w:t>332.109</w:t>
            </w:r>
          </w:p>
        </w:tc>
        <w:tc>
          <w:tcPr>
            <w:tcW w:w="525" w:type="pct"/>
            <w:tcBorders>
              <w:top w:val="nil"/>
              <w:left w:val="nil"/>
              <w:bottom w:val="nil"/>
              <w:right w:val="nil"/>
            </w:tcBorders>
            <w:shd w:val="clear" w:color="auto" w:fill="auto"/>
            <w:noWrap/>
            <w:vAlign w:val="bottom"/>
            <w:hideMark/>
          </w:tcPr>
          <w:p w14:paraId="4DE55779" w14:textId="77777777" w:rsidR="00F519E5" w:rsidRPr="00C0591E" w:rsidRDefault="00F519E5" w:rsidP="00F519E5">
            <w:pPr>
              <w:spacing w:before="0" w:line="240" w:lineRule="auto"/>
              <w:rPr>
                <w:rFonts w:eastAsia="Times New Roman"/>
              </w:rPr>
            </w:pPr>
            <w:r w:rsidRPr="00C0591E">
              <w:rPr>
                <w:rFonts w:eastAsia="Times New Roman"/>
              </w:rPr>
              <w:t>.000b</w:t>
            </w:r>
          </w:p>
        </w:tc>
      </w:tr>
      <w:tr w:rsidR="00D96EE2" w:rsidRPr="00C0591E" w14:paraId="0DB43731" w14:textId="77777777" w:rsidTr="00FA398D">
        <w:trPr>
          <w:trHeight w:val="288"/>
        </w:trPr>
        <w:tc>
          <w:tcPr>
            <w:tcW w:w="598" w:type="pct"/>
            <w:tcBorders>
              <w:top w:val="nil"/>
              <w:left w:val="nil"/>
              <w:bottom w:val="nil"/>
              <w:right w:val="nil"/>
            </w:tcBorders>
            <w:shd w:val="clear" w:color="auto" w:fill="auto"/>
            <w:noWrap/>
            <w:vAlign w:val="bottom"/>
            <w:hideMark/>
          </w:tcPr>
          <w:p w14:paraId="74032A5F" w14:textId="77777777" w:rsidR="00F519E5" w:rsidRPr="00C0591E" w:rsidRDefault="00F519E5" w:rsidP="00F519E5">
            <w:pPr>
              <w:spacing w:before="0" w:line="240" w:lineRule="auto"/>
              <w:rPr>
                <w:rFonts w:eastAsia="Times New Roman"/>
              </w:rPr>
            </w:pPr>
          </w:p>
        </w:tc>
        <w:tc>
          <w:tcPr>
            <w:tcW w:w="892" w:type="pct"/>
            <w:tcBorders>
              <w:top w:val="nil"/>
              <w:left w:val="nil"/>
              <w:bottom w:val="nil"/>
              <w:right w:val="nil"/>
            </w:tcBorders>
            <w:shd w:val="clear" w:color="auto" w:fill="auto"/>
            <w:noWrap/>
            <w:vAlign w:val="bottom"/>
            <w:hideMark/>
          </w:tcPr>
          <w:p w14:paraId="387D6D55" w14:textId="77777777" w:rsidR="00F519E5" w:rsidRPr="00C0591E" w:rsidRDefault="00F519E5" w:rsidP="00F519E5">
            <w:pPr>
              <w:spacing w:before="0" w:line="240" w:lineRule="auto"/>
              <w:rPr>
                <w:rFonts w:eastAsia="Times New Roman"/>
              </w:rPr>
            </w:pPr>
            <w:r w:rsidRPr="00C0591E">
              <w:rPr>
                <w:rFonts w:eastAsia="Times New Roman"/>
              </w:rPr>
              <w:t>Residual</w:t>
            </w:r>
          </w:p>
        </w:tc>
        <w:tc>
          <w:tcPr>
            <w:tcW w:w="1015" w:type="pct"/>
            <w:tcBorders>
              <w:top w:val="nil"/>
              <w:left w:val="nil"/>
              <w:bottom w:val="nil"/>
              <w:right w:val="nil"/>
            </w:tcBorders>
            <w:shd w:val="clear" w:color="auto" w:fill="auto"/>
            <w:noWrap/>
            <w:vAlign w:val="bottom"/>
            <w:hideMark/>
          </w:tcPr>
          <w:p w14:paraId="3ED8223B" w14:textId="77777777" w:rsidR="00F519E5" w:rsidRPr="00C0591E" w:rsidRDefault="00F519E5" w:rsidP="00F519E5">
            <w:pPr>
              <w:spacing w:before="0" w:line="240" w:lineRule="auto"/>
              <w:rPr>
                <w:rFonts w:eastAsia="Times New Roman"/>
              </w:rPr>
            </w:pPr>
            <w:r w:rsidRPr="00C0591E">
              <w:rPr>
                <w:rFonts w:eastAsia="Times New Roman"/>
              </w:rPr>
              <w:t>21.915</w:t>
            </w:r>
          </w:p>
        </w:tc>
        <w:tc>
          <w:tcPr>
            <w:tcW w:w="401" w:type="pct"/>
            <w:tcBorders>
              <w:top w:val="nil"/>
              <w:left w:val="nil"/>
              <w:bottom w:val="nil"/>
              <w:right w:val="nil"/>
            </w:tcBorders>
            <w:shd w:val="clear" w:color="auto" w:fill="auto"/>
            <w:noWrap/>
            <w:vAlign w:val="bottom"/>
            <w:hideMark/>
          </w:tcPr>
          <w:p w14:paraId="04A60ECC" w14:textId="77777777" w:rsidR="00F519E5" w:rsidRPr="00C0591E" w:rsidRDefault="00F519E5" w:rsidP="00F519E5">
            <w:pPr>
              <w:spacing w:before="0" w:line="240" w:lineRule="auto"/>
              <w:rPr>
                <w:rFonts w:eastAsia="Times New Roman"/>
              </w:rPr>
            </w:pPr>
            <w:r w:rsidRPr="00C0591E">
              <w:rPr>
                <w:rFonts w:eastAsia="Times New Roman"/>
              </w:rPr>
              <w:t>294</w:t>
            </w:r>
          </w:p>
        </w:tc>
        <w:tc>
          <w:tcPr>
            <w:tcW w:w="876" w:type="pct"/>
            <w:tcBorders>
              <w:top w:val="nil"/>
              <w:left w:val="nil"/>
              <w:bottom w:val="nil"/>
              <w:right w:val="nil"/>
            </w:tcBorders>
            <w:shd w:val="clear" w:color="auto" w:fill="auto"/>
            <w:noWrap/>
            <w:vAlign w:val="bottom"/>
            <w:hideMark/>
          </w:tcPr>
          <w:p w14:paraId="71926805" w14:textId="77777777" w:rsidR="00F519E5" w:rsidRPr="00C0591E" w:rsidRDefault="00F519E5" w:rsidP="00F519E5">
            <w:pPr>
              <w:spacing w:before="0" w:line="240" w:lineRule="auto"/>
              <w:rPr>
                <w:rFonts w:eastAsia="Times New Roman"/>
              </w:rPr>
            </w:pPr>
            <w:r w:rsidRPr="00C0591E">
              <w:rPr>
                <w:rFonts w:eastAsia="Times New Roman"/>
              </w:rPr>
              <w:t>0.075</w:t>
            </w:r>
          </w:p>
        </w:tc>
        <w:tc>
          <w:tcPr>
            <w:tcW w:w="693" w:type="pct"/>
            <w:tcBorders>
              <w:top w:val="nil"/>
              <w:left w:val="nil"/>
              <w:bottom w:val="nil"/>
              <w:right w:val="nil"/>
            </w:tcBorders>
            <w:shd w:val="clear" w:color="auto" w:fill="auto"/>
            <w:noWrap/>
            <w:vAlign w:val="bottom"/>
            <w:hideMark/>
          </w:tcPr>
          <w:p w14:paraId="18AD85B3" w14:textId="77777777" w:rsidR="00F519E5" w:rsidRPr="00C0591E" w:rsidRDefault="00F519E5" w:rsidP="00F519E5">
            <w:pPr>
              <w:spacing w:before="0" w:line="240" w:lineRule="auto"/>
              <w:rPr>
                <w:rFonts w:eastAsia="Times New Roman"/>
              </w:rPr>
            </w:pPr>
          </w:p>
        </w:tc>
        <w:tc>
          <w:tcPr>
            <w:tcW w:w="525" w:type="pct"/>
            <w:tcBorders>
              <w:top w:val="nil"/>
              <w:left w:val="nil"/>
              <w:bottom w:val="nil"/>
              <w:right w:val="nil"/>
            </w:tcBorders>
            <w:shd w:val="clear" w:color="auto" w:fill="auto"/>
            <w:noWrap/>
            <w:vAlign w:val="bottom"/>
            <w:hideMark/>
          </w:tcPr>
          <w:p w14:paraId="53EEDD7F" w14:textId="77777777" w:rsidR="00F519E5" w:rsidRPr="00C0591E" w:rsidRDefault="00F519E5" w:rsidP="00F519E5">
            <w:pPr>
              <w:spacing w:before="0" w:line="240" w:lineRule="auto"/>
              <w:rPr>
                <w:rFonts w:eastAsia="Times New Roman" w:cs="Times New Roman"/>
                <w:sz w:val="20"/>
                <w:szCs w:val="20"/>
              </w:rPr>
            </w:pPr>
          </w:p>
        </w:tc>
      </w:tr>
      <w:tr w:rsidR="00D96EE2" w:rsidRPr="00C0591E" w14:paraId="4AAD0CB2" w14:textId="77777777" w:rsidTr="00FA398D">
        <w:trPr>
          <w:trHeight w:val="288"/>
        </w:trPr>
        <w:tc>
          <w:tcPr>
            <w:tcW w:w="598" w:type="pct"/>
            <w:tcBorders>
              <w:top w:val="nil"/>
              <w:left w:val="nil"/>
              <w:bottom w:val="nil"/>
              <w:right w:val="nil"/>
            </w:tcBorders>
            <w:shd w:val="clear" w:color="auto" w:fill="auto"/>
            <w:noWrap/>
            <w:vAlign w:val="bottom"/>
            <w:hideMark/>
          </w:tcPr>
          <w:p w14:paraId="55B61569" w14:textId="77777777" w:rsidR="00F519E5" w:rsidRPr="00C0591E" w:rsidRDefault="00F519E5" w:rsidP="00F519E5">
            <w:pPr>
              <w:spacing w:before="0" w:line="240" w:lineRule="auto"/>
              <w:rPr>
                <w:rFonts w:eastAsia="Times New Roman" w:cs="Times New Roman"/>
                <w:sz w:val="20"/>
                <w:szCs w:val="20"/>
              </w:rPr>
            </w:pPr>
          </w:p>
        </w:tc>
        <w:tc>
          <w:tcPr>
            <w:tcW w:w="892" w:type="pct"/>
            <w:tcBorders>
              <w:top w:val="nil"/>
              <w:left w:val="nil"/>
              <w:bottom w:val="nil"/>
              <w:right w:val="nil"/>
            </w:tcBorders>
            <w:shd w:val="clear" w:color="auto" w:fill="auto"/>
            <w:noWrap/>
            <w:vAlign w:val="bottom"/>
            <w:hideMark/>
          </w:tcPr>
          <w:p w14:paraId="45604957" w14:textId="77777777" w:rsidR="00F519E5" w:rsidRPr="00C0591E" w:rsidRDefault="00F519E5" w:rsidP="00F519E5">
            <w:pPr>
              <w:spacing w:before="0" w:line="240" w:lineRule="auto"/>
              <w:rPr>
                <w:rFonts w:eastAsia="Times New Roman"/>
              </w:rPr>
            </w:pPr>
            <w:r w:rsidRPr="00C0591E">
              <w:rPr>
                <w:rFonts w:eastAsia="Times New Roman"/>
              </w:rPr>
              <w:t>Total</w:t>
            </w:r>
          </w:p>
        </w:tc>
        <w:tc>
          <w:tcPr>
            <w:tcW w:w="1015" w:type="pct"/>
            <w:tcBorders>
              <w:top w:val="nil"/>
              <w:left w:val="nil"/>
              <w:bottom w:val="nil"/>
              <w:right w:val="nil"/>
            </w:tcBorders>
            <w:shd w:val="clear" w:color="auto" w:fill="auto"/>
            <w:noWrap/>
            <w:vAlign w:val="bottom"/>
            <w:hideMark/>
          </w:tcPr>
          <w:p w14:paraId="19EA7389" w14:textId="77777777" w:rsidR="00F519E5" w:rsidRPr="00C0591E" w:rsidRDefault="00F519E5" w:rsidP="00F519E5">
            <w:pPr>
              <w:spacing w:before="0" w:line="240" w:lineRule="auto"/>
              <w:rPr>
                <w:rFonts w:eastAsia="Times New Roman"/>
              </w:rPr>
            </w:pPr>
            <w:r w:rsidRPr="00C0591E">
              <w:rPr>
                <w:rFonts w:eastAsia="Times New Roman"/>
              </w:rPr>
              <w:t>46.67</w:t>
            </w:r>
          </w:p>
        </w:tc>
        <w:tc>
          <w:tcPr>
            <w:tcW w:w="401" w:type="pct"/>
            <w:tcBorders>
              <w:top w:val="nil"/>
              <w:left w:val="nil"/>
              <w:bottom w:val="nil"/>
              <w:right w:val="nil"/>
            </w:tcBorders>
            <w:shd w:val="clear" w:color="auto" w:fill="auto"/>
            <w:noWrap/>
            <w:vAlign w:val="bottom"/>
            <w:hideMark/>
          </w:tcPr>
          <w:p w14:paraId="525F1BF2" w14:textId="77777777" w:rsidR="00F519E5" w:rsidRPr="00C0591E" w:rsidRDefault="00F519E5" w:rsidP="00F519E5">
            <w:pPr>
              <w:spacing w:before="0" w:line="240" w:lineRule="auto"/>
              <w:rPr>
                <w:rFonts w:eastAsia="Times New Roman"/>
              </w:rPr>
            </w:pPr>
            <w:r w:rsidRPr="00C0591E">
              <w:rPr>
                <w:rFonts w:eastAsia="Times New Roman"/>
              </w:rPr>
              <w:t>295</w:t>
            </w:r>
          </w:p>
        </w:tc>
        <w:tc>
          <w:tcPr>
            <w:tcW w:w="876" w:type="pct"/>
            <w:tcBorders>
              <w:top w:val="nil"/>
              <w:left w:val="nil"/>
              <w:bottom w:val="nil"/>
              <w:right w:val="nil"/>
            </w:tcBorders>
            <w:shd w:val="clear" w:color="auto" w:fill="auto"/>
            <w:noWrap/>
            <w:vAlign w:val="bottom"/>
            <w:hideMark/>
          </w:tcPr>
          <w:p w14:paraId="25BFF034" w14:textId="77777777" w:rsidR="00F519E5" w:rsidRPr="00C0591E" w:rsidRDefault="00F519E5" w:rsidP="00F519E5">
            <w:pPr>
              <w:spacing w:before="0" w:line="240" w:lineRule="auto"/>
              <w:rPr>
                <w:rFonts w:eastAsia="Times New Roman"/>
              </w:rPr>
            </w:pPr>
          </w:p>
        </w:tc>
        <w:tc>
          <w:tcPr>
            <w:tcW w:w="693" w:type="pct"/>
            <w:tcBorders>
              <w:top w:val="nil"/>
              <w:left w:val="nil"/>
              <w:bottom w:val="nil"/>
              <w:right w:val="nil"/>
            </w:tcBorders>
            <w:shd w:val="clear" w:color="auto" w:fill="auto"/>
            <w:noWrap/>
            <w:vAlign w:val="bottom"/>
            <w:hideMark/>
          </w:tcPr>
          <w:p w14:paraId="4F6EB3D6" w14:textId="77777777" w:rsidR="00F519E5" w:rsidRPr="00C0591E" w:rsidRDefault="00F519E5" w:rsidP="00F519E5">
            <w:pPr>
              <w:spacing w:before="0" w:line="240" w:lineRule="auto"/>
              <w:rPr>
                <w:rFonts w:eastAsia="Times New Roman" w:cs="Times New Roman"/>
                <w:sz w:val="20"/>
                <w:szCs w:val="20"/>
              </w:rPr>
            </w:pPr>
          </w:p>
        </w:tc>
        <w:tc>
          <w:tcPr>
            <w:tcW w:w="525" w:type="pct"/>
            <w:tcBorders>
              <w:top w:val="nil"/>
              <w:left w:val="nil"/>
              <w:bottom w:val="nil"/>
              <w:right w:val="nil"/>
            </w:tcBorders>
            <w:shd w:val="clear" w:color="auto" w:fill="auto"/>
            <w:noWrap/>
            <w:vAlign w:val="bottom"/>
            <w:hideMark/>
          </w:tcPr>
          <w:p w14:paraId="64F5F461" w14:textId="77777777" w:rsidR="00F519E5" w:rsidRPr="00C0591E" w:rsidRDefault="00F519E5" w:rsidP="00F519E5">
            <w:pPr>
              <w:spacing w:before="0" w:line="240" w:lineRule="auto"/>
              <w:rPr>
                <w:rFonts w:eastAsia="Times New Roman" w:cs="Times New Roman"/>
                <w:sz w:val="20"/>
                <w:szCs w:val="20"/>
              </w:rPr>
            </w:pPr>
          </w:p>
        </w:tc>
      </w:tr>
      <w:tr w:rsidR="00D96EE2" w:rsidRPr="00C0591E" w14:paraId="5646D4BB" w14:textId="77777777" w:rsidTr="00FA398D">
        <w:trPr>
          <w:trHeight w:val="300"/>
        </w:trPr>
        <w:tc>
          <w:tcPr>
            <w:tcW w:w="598" w:type="pct"/>
            <w:tcBorders>
              <w:top w:val="nil"/>
              <w:left w:val="nil"/>
              <w:bottom w:val="nil"/>
              <w:right w:val="nil"/>
            </w:tcBorders>
            <w:shd w:val="clear" w:color="auto" w:fill="auto"/>
            <w:noWrap/>
            <w:vAlign w:val="bottom"/>
            <w:hideMark/>
          </w:tcPr>
          <w:p w14:paraId="6BCCF23C"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4</w:t>
            </w:r>
          </w:p>
        </w:tc>
        <w:tc>
          <w:tcPr>
            <w:tcW w:w="892" w:type="pct"/>
            <w:tcBorders>
              <w:top w:val="nil"/>
              <w:left w:val="nil"/>
              <w:bottom w:val="nil"/>
              <w:right w:val="nil"/>
            </w:tcBorders>
            <w:shd w:val="clear" w:color="auto" w:fill="auto"/>
            <w:noWrap/>
            <w:vAlign w:val="bottom"/>
            <w:hideMark/>
          </w:tcPr>
          <w:p w14:paraId="3075E561"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Regression</w:t>
            </w:r>
          </w:p>
        </w:tc>
        <w:tc>
          <w:tcPr>
            <w:tcW w:w="1015" w:type="pct"/>
            <w:tcBorders>
              <w:top w:val="nil"/>
              <w:left w:val="nil"/>
              <w:bottom w:val="nil"/>
              <w:right w:val="nil"/>
            </w:tcBorders>
            <w:shd w:val="clear" w:color="auto" w:fill="auto"/>
            <w:noWrap/>
            <w:vAlign w:val="bottom"/>
            <w:hideMark/>
          </w:tcPr>
          <w:p w14:paraId="35ED7E33"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27.845</w:t>
            </w:r>
          </w:p>
        </w:tc>
        <w:tc>
          <w:tcPr>
            <w:tcW w:w="401" w:type="pct"/>
            <w:tcBorders>
              <w:top w:val="nil"/>
              <w:left w:val="nil"/>
              <w:bottom w:val="nil"/>
              <w:right w:val="nil"/>
            </w:tcBorders>
            <w:shd w:val="clear" w:color="auto" w:fill="auto"/>
            <w:noWrap/>
            <w:vAlign w:val="bottom"/>
            <w:hideMark/>
          </w:tcPr>
          <w:p w14:paraId="730F3AB3"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2</w:t>
            </w:r>
          </w:p>
        </w:tc>
        <w:tc>
          <w:tcPr>
            <w:tcW w:w="876" w:type="pct"/>
            <w:tcBorders>
              <w:top w:val="nil"/>
              <w:left w:val="nil"/>
              <w:bottom w:val="nil"/>
              <w:right w:val="nil"/>
            </w:tcBorders>
            <w:shd w:val="clear" w:color="auto" w:fill="auto"/>
            <w:noWrap/>
            <w:vAlign w:val="bottom"/>
            <w:hideMark/>
          </w:tcPr>
          <w:p w14:paraId="2A4BCC81"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13.922</w:t>
            </w:r>
          </w:p>
        </w:tc>
        <w:tc>
          <w:tcPr>
            <w:tcW w:w="693" w:type="pct"/>
            <w:tcBorders>
              <w:top w:val="nil"/>
              <w:left w:val="nil"/>
              <w:bottom w:val="nil"/>
              <w:right w:val="nil"/>
            </w:tcBorders>
            <w:shd w:val="clear" w:color="auto" w:fill="auto"/>
            <w:noWrap/>
            <w:vAlign w:val="bottom"/>
            <w:hideMark/>
          </w:tcPr>
          <w:p w14:paraId="38F144DC"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216.689</w:t>
            </w:r>
          </w:p>
        </w:tc>
        <w:tc>
          <w:tcPr>
            <w:tcW w:w="525" w:type="pct"/>
            <w:tcBorders>
              <w:top w:val="nil"/>
              <w:left w:val="nil"/>
              <w:bottom w:val="nil"/>
              <w:right w:val="nil"/>
            </w:tcBorders>
            <w:shd w:val="clear" w:color="auto" w:fill="auto"/>
            <w:noWrap/>
            <w:vAlign w:val="bottom"/>
            <w:hideMark/>
          </w:tcPr>
          <w:p w14:paraId="1AEB7727"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.000b</w:t>
            </w:r>
          </w:p>
        </w:tc>
      </w:tr>
      <w:tr w:rsidR="00D96EE2" w:rsidRPr="00C0591E" w14:paraId="1F24EF18" w14:textId="77777777" w:rsidTr="00FA398D">
        <w:trPr>
          <w:trHeight w:val="288"/>
        </w:trPr>
        <w:tc>
          <w:tcPr>
            <w:tcW w:w="598" w:type="pct"/>
            <w:tcBorders>
              <w:top w:val="nil"/>
              <w:left w:val="nil"/>
              <w:bottom w:val="nil"/>
              <w:right w:val="nil"/>
            </w:tcBorders>
            <w:shd w:val="clear" w:color="auto" w:fill="auto"/>
            <w:noWrap/>
            <w:vAlign w:val="bottom"/>
            <w:hideMark/>
          </w:tcPr>
          <w:p w14:paraId="765BE14C" w14:textId="77777777" w:rsidR="00F519E5" w:rsidRPr="00C0591E" w:rsidRDefault="00F519E5" w:rsidP="00F519E5">
            <w:pPr>
              <w:spacing w:before="0" w:line="240" w:lineRule="auto"/>
              <w:rPr>
                <w:rFonts w:eastAsia="Times New Roman"/>
                <w:color w:val="000000"/>
              </w:rPr>
            </w:pPr>
          </w:p>
        </w:tc>
        <w:tc>
          <w:tcPr>
            <w:tcW w:w="892" w:type="pct"/>
            <w:tcBorders>
              <w:top w:val="nil"/>
              <w:left w:val="nil"/>
              <w:bottom w:val="nil"/>
              <w:right w:val="nil"/>
            </w:tcBorders>
            <w:shd w:val="clear" w:color="auto" w:fill="auto"/>
            <w:noWrap/>
            <w:vAlign w:val="bottom"/>
            <w:hideMark/>
          </w:tcPr>
          <w:p w14:paraId="3DDF18DF"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Residual</w:t>
            </w:r>
          </w:p>
        </w:tc>
        <w:tc>
          <w:tcPr>
            <w:tcW w:w="1015" w:type="pct"/>
            <w:tcBorders>
              <w:top w:val="nil"/>
              <w:left w:val="nil"/>
              <w:bottom w:val="nil"/>
              <w:right w:val="nil"/>
            </w:tcBorders>
            <w:shd w:val="clear" w:color="auto" w:fill="auto"/>
            <w:noWrap/>
            <w:vAlign w:val="bottom"/>
            <w:hideMark/>
          </w:tcPr>
          <w:p w14:paraId="32C9EB05"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18.825</w:t>
            </w:r>
          </w:p>
        </w:tc>
        <w:tc>
          <w:tcPr>
            <w:tcW w:w="401" w:type="pct"/>
            <w:tcBorders>
              <w:top w:val="nil"/>
              <w:left w:val="nil"/>
              <w:bottom w:val="nil"/>
              <w:right w:val="nil"/>
            </w:tcBorders>
            <w:shd w:val="clear" w:color="auto" w:fill="auto"/>
            <w:noWrap/>
            <w:vAlign w:val="bottom"/>
            <w:hideMark/>
          </w:tcPr>
          <w:p w14:paraId="0749E7A7"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293</w:t>
            </w:r>
          </w:p>
        </w:tc>
        <w:tc>
          <w:tcPr>
            <w:tcW w:w="876" w:type="pct"/>
            <w:tcBorders>
              <w:top w:val="nil"/>
              <w:left w:val="nil"/>
              <w:bottom w:val="nil"/>
              <w:right w:val="nil"/>
            </w:tcBorders>
            <w:shd w:val="clear" w:color="auto" w:fill="auto"/>
            <w:noWrap/>
            <w:vAlign w:val="bottom"/>
            <w:hideMark/>
          </w:tcPr>
          <w:p w14:paraId="39489410"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0.064</w:t>
            </w:r>
          </w:p>
        </w:tc>
        <w:tc>
          <w:tcPr>
            <w:tcW w:w="693" w:type="pct"/>
            <w:tcBorders>
              <w:top w:val="nil"/>
              <w:left w:val="nil"/>
              <w:bottom w:val="nil"/>
              <w:right w:val="nil"/>
            </w:tcBorders>
            <w:shd w:val="clear" w:color="auto" w:fill="auto"/>
            <w:noWrap/>
            <w:vAlign w:val="bottom"/>
            <w:hideMark/>
          </w:tcPr>
          <w:p w14:paraId="3064EB9A" w14:textId="77777777" w:rsidR="00F519E5" w:rsidRPr="00C0591E" w:rsidRDefault="00F519E5" w:rsidP="00F519E5">
            <w:pPr>
              <w:spacing w:before="0" w:line="240" w:lineRule="auto"/>
              <w:rPr>
                <w:rFonts w:eastAsia="Times New Roman"/>
                <w:color w:val="000000"/>
              </w:rPr>
            </w:pPr>
          </w:p>
        </w:tc>
        <w:tc>
          <w:tcPr>
            <w:tcW w:w="525" w:type="pct"/>
            <w:tcBorders>
              <w:top w:val="nil"/>
              <w:left w:val="nil"/>
              <w:bottom w:val="nil"/>
              <w:right w:val="nil"/>
            </w:tcBorders>
            <w:shd w:val="clear" w:color="auto" w:fill="auto"/>
            <w:noWrap/>
            <w:vAlign w:val="bottom"/>
            <w:hideMark/>
          </w:tcPr>
          <w:p w14:paraId="2AAF38DB" w14:textId="77777777" w:rsidR="00F519E5" w:rsidRPr="00C0591E" w:rsidRDefault="00F519E5" w:rsidP="00F519E5">
            <w:pPr>
              <w:spacing w:before="0" w:line="240" w:lineRule="auto"/>
              <w:rPr>
                <w:rFonts w:eastAsia="Times New Roman" w:cs="Times New Roman"/>
                <w:sz w:val="20"/>
                <w:szCs w:val="20"/>
              </w:rPr>
            </w:pPr>
          </w:p>
        </w:tc>
      </w:tr>
      <w:tr w:rsidR="00D96EE2" w:rsidRPr="00C0591E" w14:paraId="7D547419" w14:textId="77777777" w:rsidTr="00FA398D">
        <w:trPr>
          <w:trHeight w:val="288"/>
        </w:trPr>
        <w:tc>
          <w:tcPr>
            <w:tcW w:w="598" w:type="pct"/>
            <w:tcBorders>
              <w:top w:val="nil"/>
              <w:left w:val="nil"/>
              <w:bottom w:val="single" w:sz="4" w:space="0" w:color="auto"/>
              <w:right w:val="nil"/>
            </w:tcBorders>
            <w:shd w:val="clear" w:color="auto" w:fill="auto"/>
            <w:noWrap/>
            <w:vAlign w:val="bottom"/>
            <w:hideMark/>
          </w:tcPr>
          <w:p w14:paraId="66F534C6"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 </w:t>
            </w:r>
          </w:p>
        </w:tc>
        <w:tc>
          <w:tcPr>
            <w:tcW w:w="892" w:type="pct"/>
            <w:tcBorders>
              <w:top w:val="nil"/>
              <w:left w:val="nil"/>
              <w:bottom w:val="single" w:sz="4" w:space="0" w:color="auto"/>
              <w:right w:val="nil"/>
            </w:tcBorders>
            <w:shd w:val="clear" w:color="auto" w:fill="auto"/>
            <w:noWrap/>
            <w:vAlign w:val="bottom"/>
            <w:hideMark/>
          </w:tcPr>
          <w:p w14:paraId="67F66D97"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Total</w:t>
            </w:r>
          </w:p>
        </w:tc>
        <w:tc>
          <w:tcPr>
            <w:tcW w:w="1015" w:type="pct"/>
            <w:tcBorders>
              <w:top w:val="nil"/>
              <w:left w:val="nil"/>
              <w:bottom w:val="single" w:sz="4" w:space="0" w:color="auto"/>
              <w:right w:val="nil"/>
            </w:tcBorders>
            <w:shd w:val="clear" w:color="auto" w:fill="auto"/>
            <w:noWrap/>
            <w:vAlign w:val="bottom"/>
            <w:hideMark/>
          </w:tcPr>
          <w:p w14:paraId="73D715A4"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46.67</w:t>
            </w:r>
          </w:p>
        </w:tc>
        <w:tc>
          <w:tcPr>
            <w:tcW w:w="401" w:type="pct"/>
            <w:tcBorders>
              <w:top w:val="nil"/>
              <w:left w:val="nil"/>
              <w:bottom w:val="single" w:sz="4" w:space="0" w:color="auto"/>
              <w:right w:val="nil"/>
            </w:tcBorders>
            <w:shd w:val="clear" w:color="auto" w:fill="auto"/>
            <w:noWrap/>
            <w:vAlign w:val="bottom"/>
            <w:hideMark/>
          </w:tcPr>
          <w:p w14:paraId="1D6621FA"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295</w:t>
            </w:r>
          </w:p>
        </w:tc>
        <w:tc>
          <w:tcPr>
            <w:tcW w:w="876" w:type="pct"/>
            <w:tcBorders>
              <w:top w:val="nil"/>
              <w:left w:val="nil"/>
              <w:bottom w:val="single" w:sz="4" w:space="0" w:color="auto"/>
              <w:right w:val="nil"/>
            </w:tcBorders>
            <w:shd w:val="clear" w:color="auto" w:fill="auto"/>
            <w:noWrap/>
            <w:vAlign w:val="bottom"/>
            <w:hideMark/>
          </w:tcPr>
          <w:p w14:paraId="72322EC9"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 </w:t>
            </w:r>
          </w:p>
        </w:tc>
        <w:tc>
          <w:tcPr>
            <w:tcW w:w="693" w:type="pct"/>
            <w:tcBorders>
              <w:top w:val="nil"/>
              <w:left w:val="nil"/>
              <w:bottom w:val="single" w:sz="4" w:space="0" w:color="auto"/>
              <w:right w:val="nil"/>
            </w:tcBorders>
            <w:shd w:val="clear" w:color="auto" w:fill="auto"/>
            <w:noWrap/>
            <w:vAlign w:val="bottom"/>
            <w:hideMark/>
          </w:tcPr>
          <w:p w14:paraId="0A39D35A"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 </w:t>
            </w:r>
          </w:p>
        </w:tc>
        <w:tc>
          <w:tcPr>
            <w:tcW w:w="525" w:type="pct"/>
            <w:tcBorders>
              <w:top w:val="nil"/>
              <w:left w:val="nil"/>
              <w:bottom w:val="single" w:sz="4" w:space="0" w:color="auto"/>
              <w:right w:val="nil"/>
            </w:tcBorders>
            <w:shd w:val="clear" w:color="auto" w:fill="auto"/>
            <w:noWrap/>
            <w:vAlign w:val="bottom"/>
            <w:hideMark/>
          </w:tcPr>
          <w:p w14:paraId="676DE0C3" w14:textId="77777777" w:rsidR="00F519E5" w:rsidRPr="00C0591E" w:rsidRDefault="00F519E5" w:rsidP="00F519E5">
            <w:pPr>
              <w:spacing w:before="0" w:line="240" w:lineRule="auto"/>
              <w:rPr>
                <w:rFonts w:eastAsia="Times New Roman"/>
                <w:color w:val="000000"/>
              </w:rPr>
            </w:pPr>
            <w:r w:rsidRPr="00C0591E">
              <w:rPr>
                <w:rFonts w:eastAsia="Times New Roman"/>
                <w:color w:val="000000"/>
              </w:rPr>
              <w:t> </w:t>
            </w:r>
          </w:p>
        </w:tc>
      </w:tr>
    </w:tbl>
    <w:p w14:paraId="2FC07110" w14:textId="6463A0DC" w:rsidR="00EF0BD5" w:rsidRPr="00C0591E" w:rsidRDefault="00EF0BD5" w:rsidP="0074671E">
      <w:r w:rsidRPr="00C0591E">
        <w:t>The ANOVA results indicated that all the four models were significant at 0.000&lt;0.05. The F-Statistic for model one was (F=362.084, p = 0.000&lt;0.05), the F-Statistic for Model two was (F=584.299, p = 0.000&lt;0.05), the F-Statistic for model three was F=332.109, p = 0.000&lt;0.05 and the f-Statistic for model four was (F=216.689, p = 0.000&lt;0.05).</w:t>
      </w:r>
    </w:p>
    <w:p w14:paraId="04BE483C" w14:textId="49135732" w:rsidR="00EF0BD5" w:rsidRDefault="00EF0BD5" w:rsidP="00E83316">
      <w:r w:rsidRPr="00C0591E">
        <w:t xml:space="preserve">The results for the regression of coefficients for </w:t>
      </w:r>
      <w:r w:rsidR="00173C67">
        <w:t>pillars of corporate governance</w:t>
      </w:r>
      <w:r w:rsidR="000D6DA1" w:rsidRPr="00C0591E">
        <w:t>, investment policies and performance of pension fund manag</w:t>
      </w:r>
      <w:r w:rsidRPr="00C0591E">
        <w:t xml:space="preserve">ers are as shown in Table </w:t>
      </w:r>
      <w:r w:rsidR="00191F36" w:rsidRPr="00C0591E">
        <w:t>27</w:t>
      </w:r>
      <w:r w:rsidRPr="00C0591E">
        <w:t>.</w:t>
      </w:r>
    </w:p>
    <w:p w14:paraId="0604F27C" w14:textId="423321F2" w:rsidR="00C813FD" w:rsidRDefault="00C813FD" w:rsidP="00E83316"/>
    <w:p w14:paraId="3EAA1057" w14:textId="4935C6CC" w:rsidR="00C813FD" w:rsidRDefault="00C813FD" w:rsidP="00E83316"/>
    <w:p w14:paraId="2F186257" w14:textId="3B7C2471" w:rsidR="00C813FD" w:rsidRDefault="00C813FD" w:rsidP="00E83316"/>
    <w:p w14:paraId="248EDDB7" w14:textId="1DEABED7" w:rsidR="00C813FD" w:rsidRDefault="00C813FD" w:rsidP="00E83316"/>
    <w:p w14:paraId="51A7FE05" w14:textId="2F911C42" w:rsidR="00C813FD" w:rsidRDefault="00C813FD" w:rsidP="00E83316"/>
    <w:p w14:paraId="6CF5DFE3" w14:textId="0D3AE37C" w:rsidR="00C813FD" w:rsidRDefault="00C813FD" w:rsidP="00E83316"/>
    <w:p w14:paraId="2735C7FE" w14:textId="77777777" w:rsidR="00C813FD" w:rsidRPr="00C0591E" w:rsidRDefault="00C813FD" w:rsidP="00E83316"/>
    <w:p w14:paraId="041713EA" w14:textId="066834D1" w:rsidR="00FA398D" w:rsidRPr="00C0591E" w:rsidRDefault="000E70F4" w:rsidP="00B52D9C">
      <w:pPr>
        <w:pStyle w:val="Heading4"/>
      </w:pPr>
      <w:bookmarkStart w:id="301" w:name="_Toc113125162"/>
      <w:r w:rsidRPr="00C0591E">
        <w:t xml:space="preserve">Table </w:t>
      </w:r>
      <w:r w:rsidR="00191F36" w:rsidRPr="00C0591E">
        <w:t>27</w:t>
      </w:r>
      <w:r w:rsidR="00FA398D" w:rsidRPr="00C0591E">
        <w:t>: Anova</w:t>
      </w:r>
      <w:r w:rsidR="00FA398D" w:rsidRPr="00C0591E">
        <w:rPr>
          <w:szCs w:val="16"/>
          <w:vertAlign w:val="superscript"/>
        </w:rPr>
        <w:t xml:space="preserve"> </w:t>
      </w:r>
      <w:r w:rsidR="00FA398D" w:rsidRPr="00C0591E">
        <w:t xml:space="preserve">for </w:t>
      </w:r>
      <w:r w:rsidR="00173C67">
        <w:t>Pillars of corporate governance</w:t>
      </w:r>
      <w:r w:rsidR="00FA398D" w:rsidRPr="00C0591E">
        <w:t>, Investment Policies and Performance</w:t>
      </w:r>
      <w:bookmarkEnd w:id="301"/>
      <w:r w:rsidR="00FA398D" w:rsidRPr="00C0591E">
        <w:t xml:space="preserve"> </w:t>
      </w:r>
    </w:p>
    <w:tbl>
      <w:tblPr>
        <w:tblW w:w="5000" w:type="pct"/>
        <w:tblLayout w:type="fixed"/>
        <w:tblLook w:val="04A0" w:firstRow="1" w:lastRow="0" w:firstColumn="1" w:lastColumn="0" w:noHBand="0" w:noVBand="1"/>
      </w:tblPr>
      <w:tblGrid>
        <w:gridCol w:w="990"/>
        <w:gridCol w:w="2250"/>
        <w:gridCol w:w="1621"/>
        <w:gridCol w:w="1334"/>
        <w:gridCol w:w="827"/>
        <w:gridCol w:w="1094"/>
        <w:gridCol w:w="910"/>
      </w:tblGrid>
      <w:tr w:rsidR="00073799" w:rsidRPr="00C0591E" w14:paraId="1881B8C5" w14:textId="77777777" w:rsidTr="00073799">
        <w:trPr>
          <w:trHeight w:val="288"/>
        </w:trPr>
        <w:tc>
          <w:tcPr>
            <w:tcW w:w="548" w:type="pct"/>
            <w:tcBorders>
              <w:top w:val="single" w:sz="4" w:space="0" w:color="auto"/>
              <w:left w:val="nil"/>
              <w:bottom w:val="nil"/>
              <w:right w:val="nil"/>
            </w:tcBorders>
            <w:shd w:val="clear" w:color="auto" w:fill="auto"/>
            <w:noWrap/>
            <w:vAlign w:val="bottom"/>
            <w:hideMark/>
          </w:tcPr>
          <w:p w14:paraId="2611D75A" w14:textId="77777777" w:rsidR="00F519E5" w:rsidRPr="00C0591E" w:rsidRDefault="00F519E5" w:rsidP="00073799">
            <w:pPr>
              <w:spacing w:before="0" w:line="240" w:lineRule="auto"/>
              <w:rPr>
                <w:rFonts w:eastAsia="Times New Roman"/>
                <w:b/>
              </w:rPr>
            </w:pPr>
            <w:r w:rsidRPr="00C0591E">
              <w:rPr>
                <w:rFonts w:eastAsia="Times New Roman"/>
                <w:b/>
              </w:rPr>
              <w:t> </w:t>
            </w:r>
          </w:p>
        </w:tc>
        <w:tc>
          <w:tcPr>
            <w:tcW w:w="1246" w:type="pct"/>
            <w:tcBorders>
              <w:top w:val="single" w:sz="4" w:space="0" w:color="auto"/>
              <w:left w:val="nil"/>
              <w:bottom w:val="nil"/>
              <w:right w:val="nil"/>
            </w:tcBorders>
            <w:shd w:val="clear" w:color="auto" w:fill="auto"/>
            <w:noWrap/>
            <w:vAlign w:val="bottom"/>
            <w:hideMark/>
          </w:tcPr>
          <w:p w14:paraId="157F58F6" w14:textId="77777777" w:rsidR="00F519E5" w:rsidRPr="00C0591E" w:rsidRDefault="00F519E5" w:rsidP="00073799">
            <w:pPr>
              <w:spacing w:before="0" w:line="240" w:lineRule="auto"/>
              <w:rPr>
                <w:rFonts w:eastAsia="Times New Roman"/>
                <w:b/>
                <w:color w:val="000000"/>
              </w:rPr>
            </w:pPr>
            <w:r w:rsidRPr="00C0591E">
              <w:rPr>
                <w:rFonts w:eastAsia="Times New Roman"/>
                <w:b/>
                <w:color w:val="000000"/>
              </w:rPr>
              <w:t> </w:t>
            </w:r>
          </w:p>
        </w:tc>
        <w:tc>
          <w:tcPr>
            <w:tcW w:w="1637" w:type="pct"/>
            <w:gridSpan w:val="2"/>
            <w:tcBorders>
              <w:top w:val="single" w:sz="4" w:space="0" w:color="auto"/>
              <w:left w:val="nil"/>
              <w:bottom w:val="nil"/>
              <w:right w:val="nil"/>
            </w:tcBorders>
            <w:shd w:val="clear" w:color="auto" w:fill="auto"/>
            <w:noWrap/>
            <w:vAlign w:val="bottom"/>
            <w:hideMark/>
          </w:tcPr>
          <w:p w14:paraId="518490DC" w14:textId="77777777" w:rsidR="00F519E5" w:rsidRPr="00C0591E" w:rsidRDefault="00F519E5" w:rsidP="00073799">
            <w:pPr>
              <w:spacing w:before="0" w:line="240" w:lineRule="auto"/>
              <w:rPr>
                <w:rFonts w:eastAsia="Times New Roman"/>
                <w:b/>
                <w:color w:val="000000"/>
                <w:sz w:val="22"/>
              </w:rPr>
            </w:pPr>
            <w:r w:rsidRPr="00C0591E">
              <w:rPr>
                <w:rFonts w:eastAsia="Times New Roman"/>
                <w:b/>
                <w:color w:val="000000"/>
                <w:sz w:val="22"/>
              </w:rPr>
              <w:t>Unstandardized Coefficients</w:t>
            </w:r>
          </w:p>
        </w:tc>
        <w:tc>
          <w:tcPr>
            <w:tcW w:w="1568" w:type="pct"/>
            <w:gridSpan w:val="3"/>
            <w:tcBorders>
              <w:top w:val="single" w:sz="4" w:space="0" w:color="auto"/>
              <w:left w:val="nil"/>
              <w:bottom w:val="nil"/>
              <w:right w:val="nil"/>
            </w:tcBorders>
            <w:shd w:val="clear" w:color="auto" w:fill="auto"/>
            <w:noWrap/>
            <w:vAlign w:val="bottom"/>
            <w:hideMark/>
          </w:tcPr>
          <w:p w14:paraId="65B62A4D" w14:textId="77777777" w:rsidR="00F519E5" w:rsidRPr="00C0591E" w:rsidRDefault="00F519E5" w:rsidP="00073799">
            <w:pPr>
              <w:spacing w:before="0" w:line="240" w:lineRule="auto"/>
              <w:rPr>
                <w:rFonts w:eastAsia="Times New Roman"/>
                <w:b/>
                <w:color w:val="000000"/>
                <w:sz w:val="22"/>
              </w:rPr>
            </w:pPr>
            <w:r w:rsidRPr="00C0591E">
              <w:rPr>
                <w:rFonts w:eastAsia="Times New Roman"/>
                <w:b/>
                <w:color w:val="000000"/>
                <w:sz w:val="22"/>
              </w:rPr>
              <w:t>Standardized Coefficients</w:t>
            </w:r>
          </w:p>
        </w:tc>
      </w:tr>
      <w:tr w:rsidR="00073799" w:rsidRPr="00C0591E" w14:paraId="12E11122" w14:textId="77777777" w:rsidTr="00073799">
        <w:trPr>
          <w:trHeight w:val="288"/>
        </w:trPr>
        <w:tc>
          <w:tcPr>
            <w:tcW w:w="548" w:type="pct"/>
            <w:tcBorders>
              <w:top w:val="nil"/>
              <w:left w:val="nil"/>
              <w:bottom w:val="single" w:sz="4" w:space="0" w:color="auto"/>
              <w:right w:val="nil"/>
            </w:tcBorders>
            <w:shd w:val="clear" w:color="auto" w:fill="auto"/>
            <w:noWrap/>
            <w:vAlign w:val="bottom"/>
            <w:hideMark/>
          </w:tcPr>
          <w:p w14:paraId="439A2D84" w14:textId="77777777" w:rsidR="00F519E5" w:rsidRPr="00C0591E" w:rsidRDefault="00F519E5" w:rsidP="00073799">
            <w:pPr>
              <w:spacing w:before="0" w:line="240" w:lineRule="auto"/>
              <w:rPr>
                <w:rFonts w:eastAsia="Times New Roman"/>
                <w:b/>
              </w:rPr>
            </w:pPr>
            <w:r w:rsidRPr="00C0591E">
              <w:rPr>
                <w:rFonts w:eastAsia="Times New Roman"/>
                <w:b/>
              </w:rPr>
              <w:t>Model</w:t>
            </w:r>
          </w:p>
        </w:tc>
        <w:tc>
          <w:tcPr>
            <w:tcW w:w="1246" w:type="pct"/>
            <w:tcBorders>
              <w:top w:val="nil"/>
              <w:left w:val="nil"/>
              <w:bottom w:val="single" w:sz="4" w:space="0" w:color="auto"/>
              <w:right w:val="nil"/>
            </w:tcBorders>
            <w:shd w:val="clear" w:color="auto" w:fill="auto"/>
            <w:noWrap/>
            <w:vAlign w:val="bottom"/>
            <w:hideMark/>
          </w:tcPr>
          <w:p w14:paraId="0CD0F387" w14:textId="77777777" w:rsidR="00F519E5" w:rsidRPr="00C0591E" w:rsidRDefault="00F519E5" w:rsidP="00073799">
            <w:pPr>
              <w:spacing w:before="0" w:line="240" w:lineRule="auto"/>
              <w:rPr>
                <w:rFonts w:eastAsia="Times New Roman"/>
                <w:b/>
                <w:color w:val="000000"/>
              </w:rPr>
            </w:pPr>
            <w:r w:rsidRPr="00C0591E">
              <w:rPr>
                <w:rFonts w:eastAsia="Times New Roman"/>
                <w:b/>
                <w:color w:val="000000"/>
              </w:rPr>
              <w:t> </w:t>
            </w:r>
          </w:p>
        </w:tc>
        <w:tc>
          <w:tcPr>
            <w:tcW w:w="898" w:type="pct"/>
            <w:tcBorders>
              <w:top w:val="nil"/>
              <w:left w:val="nil"/>
              <w:bottom w:val="single" w:sz="4" w:space="0" w:color="auto"/>
              <w:right w:val="nil"/>
            </w:tcBorders>
            <w:shd w:val="clear" w:color="auto" w:fill="auto"/>
            <w:noWrap/>
            <w:vAlign w:val="bottom"/>
            <w:hideMark/>
          </w:tcPr>
          <w:p w14:paraId="471B3BF6" w14:textId="77777777" w:rsidR="00F519E5" w:rsidRPr="00C0591E" w:rsidRDefault="00F519E5" w:rsidP="00073799">
            <w:pPr>
              <w:spacing w:before="0" w:line="240" w:lineRule="auto"/>
              <w:jc w:val="center"/>
              <w:rPr>
                <w:rFonts w:eastAsia="Times New Roman"/>
                <w:b/>
                <w:color w:val="000000"/>
              </w:rPr>
            </w:pPr>
            <w:r w:rsidRPr="00C0591E">
              <w:rPr>
                <w:rFonts w:eastAsia="Times New Roman"/>
                <w:b/>
                <w:color w:val="000000"/>
              </w:rPr>
              <w:t>B</w:t>
            </w:r>
          </w:p>
        </w:tc>
        <w:tc>
          <w:tcPr>
            <w:tcW w:w="739" w:type="pct"/>
            <w:tcBorders>
              <w:top w:val="nil"/>
              <w:left w:val="nil"/>
              <w:bottom w:val="single" w:sz="4" w:space="0" w:color="auto"/>
              <w:right w:val="nil"/>
            </w:tcBorders>
            <w:shd w:val="clear" w:color="auto" w:fill="auto"/>
            <w:noWrap/>
            <w:vAlign w:val="bottom"/>
            <w:hideMark/>
          </w:tcPr>
          <w:p w14:paraId="7AD835DD" w14:textId="77777777" w:rsidR="00F519E5" w:rsidRPr="00C0591E" w:rsidRDefault="00F519E5" w:rsidP="00073799">
            <w:pPr>
              <w:spacing w:before="0" w:line="240" w:lineRule="auto"/>
              <w:jc w:val="center"/>
              <w:rPr>
                <w:rFonts w:eastAsia="Times New Roman"/>
                <w:b/>
                <w:color w:val="000000"/>
              </w:rPr>
            </w:pPr>
            <w:r w:rsidRPr="00C0591E">
              <w:rPr>
                <w:rFonts w:eastAsia="Times New Roman"/>
                <w:b/>
                <w:color w:val="000000"/>
              </w:rPr>
              <w:t>Std. Error</w:t>
            </w:r>
          </w:p>
        </w:tc>
        <w:tc>
          <w:tcPr>
            <w:tcW w:w="458" w:type="pct"/>
            <w:tcBorders>
              <w:top w:val="nil"/>
              <w:left w:val="nil"/>
              <w:bottom w:val="single" w:sz="4" w:space="0" w:color="auto"/>
              <w:right w:val="nil"/>
            </w:tcBorders>
            <w:shd w:val="clear" w:color="auto" w:fill="auto"/>
            <w:noWrap/>
            <w:vAlign w:val="bottom"/>
            <w:hideMark/>
          </w:tcPr>
          <w:p w14:paraId="539755E5" w14:textId="77777777" w:rsidR="00F519E5" w:rsidRPr="00C0591E" w:rsidRDefault="00F519E5" w:rsidP="00073799">
            <w:pPr>
              <w:spacing w:before="0" w:line="240" w:lineRule="auto"/>
              <w:jc w:val="center"/>
              <w:rPr>
                <w:rFonts w:eastAsia="Times New Roman"/>
                <w:b/>
                <w:color w:val="000000"/>
              </w:rPr>
            </w:pPr>
            <w:r w:rsidRPr="00C0591E">
              <w:rPr>
                <w:rFonts w:eastAsia="Times New Roman"/>
                <w:b/>
                <w:color w:val="000000"/>
              </w:rPr>
              <w:t>Beta</w:t>
            </w:r>
          </w:p>
        </w:tc>
        <w:tc>
          <w:tcPr>
            <w:tcW w:w="606" w:type="pct"/>
            <w:tcBorders>
              <w:top w:val="nil"/>
              <w:left w:val="nil"/>
              <w:bottom w:val="single" w:sz="4" w:space="0" w:color="auto"/>
              <w:right w:val="nil"/>
            </w:tcBorders>
            <w:shd w:val="clear" w:color="auto" w:fill="auto"/>
            <w:noWrap/>
            <w:vAlign w:val="bottom"/>
            <w:hideMark/>
          </w:tcPr>
          <w:p w14:paraId="6FC720B5" w14:textId="77777777" w:rsidR="00F519E5" w:rsidRPr="00C0591E" w:rsidRDefault="00F519E5" w:rsidP="00073799">
            <w:pPr>
              <w:spacing w:before="0" w:line="240" w:lineRule="auto"/>
              <w:jc w:val="center"/>
              <w:rPr>
                <w:rFonts w:eastAsia="Times New Roman"/>
                <w:b/>
                <w:color w:val="000000"/>
              </w:rPr>
            </w:pPr>
            <w:r w:rsidRPr="00C0591E">
              <w:rPr>
                <w:rFonts w:eastAsia="Times New Roman"/>
                <w:b/>
                <w:color w:val="000000"/>
              </w:rPr>
              <w:t>t</w:t>
            </w:r>
          </w:p>
        </w:tc>
        <w:tc>
          <w:tcPr>
            <w:tcW w:w="504" w:type="pct"/>
            <w:tcBorders>
              <w:top w:val="nil"/>
              <w:left w:val="nil"/>
              <w:bottom w:val="single" w:sz="4" w:space="0" w:color="auto"/>
              <w:right w:val="nil"/>
            </w:tcBorders>
            <w:shd w:val="clear" w:color="auto" w:fill="auto"/>
            <w:noWrap/>
            <w:vAlign w:val="bottom"/>
            <w:hideMark/>
          </w:tcPr>
          <w:p w14:paraId="453EBCE2" w14:textId="77777777" w:rsidR="00F519E5" w:rsidRPr="00C0591E" w:rsidRDefault="00F519E5" w:rsidP="00073799">
            <w:pPr>
              <w:spacing w:before="0" w:line="240" w:lineRule="auto"/>
              <w:jc w:val="center"/>
              <w:rPr>
                <w:rFonts w:eastAsia="Times New Roman"/>
                <w:b/>
                <w:color w:val="000000"/>
              </w:rPr>
            </w:pPr>
            <w:r w:rsidRPr="00C0591E">
              <w:rPr>
                <w:rFonts w:eastAsia="Times New Roman"/>
                <w:b/>
                <w:color w:val="000000"/>
              </w:rPr>
              <w:t>Sig.</w:t>
            </w:r>
          </w:p>
        </w:tc>
      </w:tr>
      <w:tr w:rsidR="00073799" w:rsidRPr="00C0591E" w14:paraId="0BD603AE" w14:textId="77777777" w:rsidTr="00073799">
        <w:trPr>
          <w:trHeight w:val="288"/>
        </w:trPr>
        <w:tc>
          <w:tcPr>
            <w:tcW w:w="548" w:type="pct"/>
            <w:tcBorders>
              <w:top w:val="nil"/>
              <w:left w:val="nil"/>
              <w:bottom w:val="nil"/>
              <w:right w:val="nil"/>
            </w:tcBorders>
            <w:shd w:val="clear" w:color="auto" w:fill="auto"/>
            <w:noWrap/>
            <w:vAlign w:val="bottom"/>
            <w:hideMark/>
          </w:tcPr>
          <w:p w14:paraId="708BED06" w14:textId="77777777" w:rsidR="00F519E5" w:rsidRPr="00C0591E" w:rsidRDefault="00F519E5" w:rsidP="00073799">
            <w:pPr>
              <w:spacing w:before="0" w:line="240" w:lineRule="auto"/>
              <w:rPr>
                <w:rFonts w:eastAsia="Times New Roman"/>
              </w:rPr>
            </w:pPr>
            <w:r w:rsidRPr="00C0591E">
              <w:rPr>
                <w:rFonts w:eastAsia="Times New Roman"/>
              </w:rPr>
              <w:t>1</w:t>
            </w:r>
          </w:p>
        </w:tc>
        <w:tc>
          <w:tcPr>
            <w:tcW w:w="1246" w:type="pct"/>
            <w:tcBorders>
              <w:top w:val="nil"/>
              <w:left w:val="nil"/>
              <w:bottom w:val="nil"/>
              <w:right w:val="nil"/>
            </w:tcBorders>
            <w:shd w:val="clear" w:color="auto" w:fill="auto"/>
            <w:noWrap/>
            <w:vAlign w:val="bottom"/>
            <w:hideMark/>
          </w:tcPr>
          <w:p w14:paraId="4310F3D8" w14:textId="77777777" w:rsidR="00F519E5" w:rsidRPr="00C0591E" w:rsidRDefault="00F519E5" w:rsidP="00073799">
            <w:pPr>
              <w:spacing w:before="0" w:line="240" w:lineRule="auto"/>
              <w:rPr>
                <w:rFonts w:eastAsia="Times New Roman"/>
              </w:rPr>
            </w:pPr>
            <w:r w:rsidRPr="00C0591E">
              <w:rPr>
                <w:rFonts w:eastAsia="Times New Roman"/>
              </w:rPr>
              <w:t>(Constant)</w:t>
            </w:r>
          </w:p>
        </w:tc>
        <w:tc>
          <w:tcPr>
            <w:tcW w:w="898" w:type="pct"/>
            <w:tcBorders>
              <w:top w:val="nil"/>
              <w:left w:val="nil"/>
              <w:bottom w:val="nil"/>
              <w:right w:val="nil"/>
            </w:tcBorders>
            <w:shd w:val="clear" w:color="auto" w:fill="auto"/>
            <w:noWrap/>
            <w:vAlign w:val="bottom"/>
            <w:hideMark/>
          </w:tcPr>
          <w:p w14:paraId="7C677843" w14:textId="77777777" w:rsidR="00F519E5" w:rsidRPr="00C0591E" w:rsidRDefault="00F519E5" w:rsidP="00073799">
            <w:pPr>
              <w:spacing w:before="0" w:line="240" w:lineRule="auto"/>
              <w:jc w:val="center"/>
              <w:rPr>
                <w:rFonts w:eastAsia="Times New Roman"/>
              </w:rPr>
            </w:pPr>
            <w:r w:rsidRPr="00C0591E">
              <w:rPr>
                <w:rFonts w:eastAsia="Times New Roman"/>
              </w:rPr>
              <w:t>2.827</w:t>
            </w:r>
          </w:p>
        </w:tc>
        <w:tc>
          <w:tcPr>
            <w:tcW w:w="739" w:type="pct"/>
            <w:tcBorders>
              <w:top w:val="nil"/>
              <w:left w:val="nil"/>
              <w:bottom w:val="nil"/>
              <w:right w:val="nil"/>
            </w:tcBorders>
            <w:shd w:val="clear" w:color="auto" w:fill="auto"/>
            <w:noWrap/>
            <w:vAlign w:val="bottom"/>
            <w:hideMark/>
          </w:tcPr>
          <w:p w14:paraId="287D9788" w14:textId="77777777" w:rsidR="00F519E5" w:rsidRPr="00C0591E" w:rsidRDefault="00F519E5" w:rsidP="00073799">
            <w:pPr>
              <w:spacing w:before="0" w:line="240" w:lineRule="auto"/>
              <w:jc w:val="center"/>
              <w:rPr>
                <w:rFonts w:eastAsia="Times New Roman"/>
              </w:rPr>
            </w:pPr>
            <w:r w:rsidRPr="00C0591E">
              <w:rPr>
                <w:rFonts w:eastAsia="Times New Roman"/>
              </w:rPr>
              <w:t>0.037</w:t>
            </w:r>
          </w:p>
        </w:tc>
        <w:tc>
          <w:tcPr>
            <w:tcW w:w="458" w:type="pct"/>
            <w:tcBorders>
              <w:top w:val="nil"/>
              <w:left w:val="nil"/>
              <w:bottom w:val="nil"/>
              <w:right w:val="nil"/>
            </w:tcBorders>
            <w:shd w:val="clear" w:color="auto" w:fill="auto"/>
            <w:noWrap/>
            <w:vAlign w:val="bottom"/>
            <w:hideMark/>
          </w:tcPr>
          <w:p w14:paraId="752AF32D" w14:textId="77777777" w:rsidR="00F519E5" w:rsidRPr="00C0591E" w:rsidRDefault="00F519E5" w:rsidP="00073799">
            <w:pPr>
              <w:spacing w:before="0" w:line="240" w:lineRule="auto"/>
              <w:jc w:val="center"/>
              <w:rPr>
                <w:rFonts w:eastAsia="Times New Roman"/>
              </w:rPr>
            </w:pPr>
          </w:p>
        </w:tc>
        <w:tc>
          <w:tcPr>
            <w:tcW w:w="606" w:type="pct"/>
            <w:tcBorders>
              <w:top w:val="nil"/>
              <w:left w:val="nil"/>
              <w:bottom w:val="nil"/>
              <w:right w:val="nil"/>
            </w:tcBorders>
            <w:shd w:val="clear" w:color="auto" w:fill="auto"/>
            <w:noWrap/>
            <w:vAlign w:val="bottom"/>
            <w:hideMark/>
          </w:tcPr>
          <w:p w14:paraId="0BBFFD16" w14:textId="77777777" w:rsidR="00F519E5" w:rsidRPr="00C0591E" w:rsidRDefault="00F519E5" w:rsidP="00073799">
            <w:pPr>
              <w:spacing w:before="0" w:line="240" w:lineRule="auto"/>
              <w:jc w:val="center"/>
              <w:rPr>
                <w:rFonts w:eastAsia="Times New Roman"/>
              </w:rPr>
            </w:pPr>
            <w:r w:rsidRPr="00C0591E">
              <w:rPr>
                <w:rFonts w:eastAsia="Times New Roman"/>
              </w:rPr>
              <w:t>77.094</w:t>
            </w:r>
          </w:p>
        </w:tc>
        <w:tc>
          <w:tcPr>
            <w:tcW w:w="504" w:type="pct"/>
            <w:tcBorders>
              <w:top w:val="nil"/>
              <w:left w:val="nil"/>
              <w:bottom w:val="nil"/>
              <w:right w:val="nil"/>
            </w:tcBorders>
            <w:shd w:val="clear" w:color="auto" w:fill="auto"/>
            <w:noWrap/>
            <w:vAlign w:val="bottom"/>
            <w:hideMark/>
          </w:tcPr>
          <w:p w14:paraId="5F5CF2A8" w14:textId="77777777" w:rsidR="00F519E5" w:rsidRPr="00C0591E" w:rsidRDefault="00F519E5" w:rsidP="00073799">
            <w:pPr>
              <w:spacing w:before="0" w:line="240" w:lineRule="auto"/>
              <w:jc w:val="center"/>
              <w:rPr>
                <w:rFonts w:eastAsia="Times New Roman"/>
              </w:rPr>
            </w:pPr>
            <w:r w:rsidRPr="00C0591E">
              <w:rPr>
                <w:rFonts w:eastAsia="Times New Roman"/>
              </w:rPr>
              <w:t>0.000</w:t>
            </w:r>
          </w:p>
        </w:tc>
      </w:tr>
      <w:tr w:rsidR="00073799" w:rsidRPr="00C0591E" w14:paraId="0B085856" w14:textId="77777777" w:rsidTr="00073799">
        <w:trPr>
          <w:trHeight w:val="288"/>
        </w:trPr>
        <w:tc>
          <w:tcPr>
            <w:tcW w:w="548" w:type="pct"/>
            <w:tcBorders>
              <w:top w:val="nil"/>
              <w:left w:val="nil"/>
              <w:bottom w:val="nil"/>
              <w:right w:val="nil"/>
            </w:tcBorders>
            <w:shd w:val="clear" w:color="auto" w:fill="auto"/>
            <w:noWrap/>
            <w:vAlign w:val="bottom"/>
            <w:hideMark/>
          </w:tcPr>
          <w:p w14:paraId="2C57EC39" w14:textId="77777777" w:rsidR="00F519E5" w:rsidRPr="00C0591E" w:rsidRDefault="00F519E5" w:rsidP="00073799">
            <w:pPr>
              <w:spacing w:before="0" w:line="240" w:lineRule="auto"/>
              <w:rPr>
                <w:rFonts w:eastAsia="Times New Roman"/>
              </w:rPr>
            </w:pPr>
          </w:p>
        </w:tc>
        <w:tc>
          <w:tcPr>
            <w:tcW w:w="1246" w:type="pct"/>
            <w:tcBorders>
              <w:top w:val="nil"/>
              <w:left w:val="nil"/>
              <w:bottom w:val="nil"/>
              <w:right w:val="nil"/>
            </w:tcBorders>
            <w:shd w:val="clear" w:color="auto" w:fill="auto"/>
            <w:noWrap/>
            <w:vAlign w:val="bottom"/>
            <w:hideMark/>
          </w:tcPr>
          <w:p w14:paraId="440E2185" w14:textId="1D2D00A1" w:rsidR="00F519E5" w:rsidRPr="00C0591E" w:rsidRDefault="00173C67" w:rsidP="00073799">
            <w:pPr>
              <w:spacing w:before="0" w:line="240" w:lineRule="auto"/>
              <w:rPr>
                <w:rFonts w:eastAsia="Times New Roman"/>
              </w:rPr>
            </w:pPr>
            <w:r>
              <w:rPr>
                <w:rFonts w:eastAsia="Times New Roman"/>
              </w:rPr>
              <w:t>Pillars of corporate governance</w:t>
            </w:r>
          </w:p>
        </w:tc>
        <w:tc>
          <w:tcPr>
            <w:tcW w:w="898" w:type="pct"/>
            <w:tcBorders>
              <w:top w:val="nil"/>
              <w:left w:val="nil"/>
              <w:bottom w:val="nil"/>
              <w:right w:val="nil"/>
            </w:tcBorders>
            <w:shd w:val="clear" w:color="auto" w:fill="auto"/>
            <w:noWrap/>
            <w:vAlign w:val="bottom"/>
            <w:hideMark/>
          </w:tcPr>
          <w:p w14:paraId="6D28CAD9" w14:textId="77777777" w:rsidR="00F519E5" w:rsidRPr="00C0591E" w:rsidRDefault="00F519E5" w:rsidP="00073799">
            <w:pPr>
              <w:spacing w:before="0" w:line="240" w:lineRule="auto"/>
              <w:jc w:val="center"/>
              <w:rPr>
                <w:rFonts w:eastAsia="Times New Roman"/>
              </w:rPr>
            </w:pPr>
            <w:r w:rsidRPr="00C0591E">
              <w:rPr>
                <w:rFonts w:eastAsia="Times New Roman"/>
              </w:rPr>
              <w:t>0.222</w:t>
            </w:r>
          </w:p>
        </w:tc>
        <w:tc>
          <w:tcPr>
            <w:tcW w:w="739" w:type="pct"/>
            <w:tcBorders>
              <w:top w:val="nil"/>
              <w:left w:val="nil"/>
              <w:bottom w:val="nil"/>
              <w:right w:val="nil"/>
            </w:tcBorders>
            <w:shd w:val="clear" w:color="auto" w:fill="auto"/>
            <w:noWrap/>
            <w:vAlign w:val="bottom"/>
            <w:hideMark/>
          </w:tcPr>
          <w:p w14:paraId="50FAD760" w14:textId="77777777" w:rsidR="00F519E5" w:rsidRPr="00C0591E" w:rsidRDefault="00F519E5" w:rsidP="00073799">
            <w:pPr>
              <w:spacing w:before="0" w:line="240" w:lineRule="auto"/>
              <w:jc w:val="center"/>
              <w:rPr>
                <w:rFonts w:eastAsia="Times New Roman"/>
              </w:rPr>
            </w:pPr>
            <w:r w:rsidRPr="00C0591E">
              <w:rPr>
                <w:rFonts w:eastAsia="Times New Roman"/>
              </w:rPr>
              <w:t>0.012</w:t>
            </w:r>
          </w:p>
        </w:tc>
        <w:tc>
          <w:tcPr>
            <w:tcW w:w="458" w:type="pct"/>
            <w:tcBorders>
              <w:top w:val="nil"/>
              <w:left w:val="nil"/>
              <w:bottom w:val="nil"/>
              <w:right w:val="nil"/>
            </w:tcBorders>
            <w:shd w:val="clear" w:color="auto" w:fill="auto"/>
            <w:noWrap/>
            <w:vAlign w:val="bottom"/>
            <w:hideMark/>
          </w:tcPr>
          <w:p w14:paraId="4225511F" w14:textId="77777777" w:rsidR="00F519E5" w:rsidRPr="00C0591E" w:rsidRDefault="00F519E5" w:rsidP="00073799">
            <w:pPr>
              <w:spacing w:before="0" w:line="240" w:lineRule="auto"/>
              <w:jc w:val="center"/>
              <w:rPr>
                <w:rFonts w:eastAsia="Times New Roman"/>
              </w:rPr>
            </w:pPr>
            <w:r w:rsidRPr="00C0591E">
              <w:rPr>
                <w:rFonts w:eastAsia="Times New Roman"/>
              </w:rPr>
              <w:t>0.743</w:t>
            </w:r>
          </w:p>
        </w:tc>
        <w:tc>
          <w:tcPr>
            <w:tcW w:w="606" w:type="pct"/>
            <w:tcBorders>
              <w:top w:val="nil"/>
              <w:left w:val="nil"/>
              <w:bottom w:val="nil"/>
              <w:right w:val="nil"/>
            </w:tcBorders>
            <w:shd w:val="clear" w:color="auto" w:fill="auto"/>
            <w:noWrap/>
            <w:vAlign w:val="bottom"/>
            <w:hideMark/>
          </w:tcPr>
          <w:p w14:paraId="2CA5E489" w14:textId="77777777" w:rsidR="00F519E5" w:rsidRPr="00C0591E" w:rsidRDefault="00F519E5" w:rsidP="00073799">
            <w:pPr>
              <w:spacing w:before="0" w:line="240" w:lineRule="auto"/>
              <w:jc w:val="center"/>
              <w:rPr>
                <w:rFonts w:eastAsia="Times New Roman"/>
              </w:rPr>
            </w:pPr>
            <w:r w:rsidRPr="00C0591E">
              <w:rPr>
                <w:rFonts w:eastAsia="Times New Roman"/>
              </w:rPr>
              <w:t>19.029</w:t>
            </w:r>
          </w:p>
        </w:tc>
        <w:tc>
          <w:tcPr>
            <w:tcW w:w="504" w:type="pct"/>
            <w:tcBorders>
              <w:top w:val="nil"/>
              <w:left w:val="nil"/>
              <w:bottom w:val="nil"/>
              <w:right w:val="nil"/>
            </w:tcBorders>
            <w:shd w:val="clear" w:color="auto" w:fill="auto"/>
            <w:noWrap/>
            <w:vAlign w:val="bottom"/>
            <w:hideMark/>
          </w:tcPr>
          <w:p w14:paraId="733D202D" w14:textId="77777777" w:rsidR="00F519E5" w:rsidRPr="00C0591E" w:rsidRDefault="00F519E5" w:rsidP="00073799">
            <w:pPr>
              <w:spacing w:before="0" w:line="240" w:lineRule="auto"/>
              <w:jc w:val="center"/>
              <w:rPr>
                <w:rFonts w:eastAsia="Times New Roman"/>
              </w:rPr>
            </w:pPr>
            <w:r w:rsidRPr="00C0591E">
              <w:rPr>
                <w:rFonts w:eastAsia="Times New Roman"/>
              </w:rPr>
              <w:t>0.000</w:t>
            </w:r>
          </w:p>
        </w:tc>
      </w:tr>
      <w:tr w:rsidR="00073799" w:rsidRPr="00C0591E" w14:paraId="79FBB1E1" w14:textId="77777777" w:rsidTr="00073799">
        <w:trPr>
          <w:trHeight w:val="288"/>
        </w:trPr>
        <w:tc>
          <w:tcPr>
            <w:tcW w:w="548" w:type="pct"/>
            <w:tcBorders>
              <w:top w:val="nil"/>
              <w:left w:val="nil"/>
              <w:bottom w:val="nil"/>
              <w:right w:val="nil"/>
            </w:tcBorders>
            <w:shd w:val="clear" w:color="auto" w:fill="auto"/>
            <w:noWrap/>
            <w:vAlign w:val="bottom"/>
            <w:hideMark/>
          </w:tcPr>
          <w:p w14:paraId="5A3183A1" w14:textId="77777777" w:rsidR="00F519E5" w:rsidRPr="00C0591E" w:rsidRDefault="00F519E5" w:rsidP="00073799">
            <w:pPr>
              <w:spacing w:before="0" w:line="240" w:lineRule="auto"/>
              <w:rPr>
                <w:rFonts w:eastAsia="Times New Roman"/>
              </w:rPr>
            </w:pPr>
            <w:r w:rsidRPr="00C0591E">
              <w:rPr>
                <w:rFonts w:eastAsia="Times New Roman"/>
              </w:rPr>
              <w:t>2</w:t>
            </w:r>
          </w:p>
        </w:tc>
        <w:tc>
          <w:tcPr>
            <w:tcW w:w="1246" w:type="pct"/>
            <w:tcBorders>
              <w:top w:val="nil"/>
              <w:left w:val="nil"/>
              <w:bottom w:val="nil"/>
              <w:right w:val="nil"/>
            </w:tcBorders>
            <w:shd w:val="clear" w:color="auto" w:fill="auto"/>
            <w:noWrap/>
            <w:vAlign w:val="bottom"/>
            <w:hideMark/>
          </w:tcPr>
          <w:p w14:paraId="38938DA8" w14:textId="77777777" w:rsidR="00F519E5" w:rsidRPr="00C0591E" w:rsidRDefault="00F519E5" w:rsidP="00073799">
            <w:pPr>
              <w:spacing w:before="0" w:line="240" w:lineRule="auto"/>
              <w:rPr>
                <w:rFonts w:eastAsia="Times New Roman"/>
              </w:rPr>
            </w:pPr>
            <w:r w:rsidRPr="00C0591E">
              <w:rPr>
                <w:rFonts w:eastAsia="Times New Roman"/>
              </w:rPr>
              <w:t>(Constant)</w:t>
            </w:r>
          </w:p>
        </w:tc>
        <w:tc>
          <w:tcPr>
            <w:tcW w:w="898" w:type="pct"/>
            <w:tcBorders>
              <w:top w:val="nil"/>
              <w:left w:val="nil"/>
              <w:bottom w:val="nil"/>
              <w:right w:val="nil"/>
            </w:tcBorders>
            <w:shd w:val="clear" w:color="auto" w:fill="auto"/>
            <w:noWrap/>
            <w:vAlign w:val="bottom"/>
            <w:hideMark/>
          </w:tcPr>
          <w:p w14:paraId="0FAE3B87" w14:textId="77777777" w:rsidR="00F519E5" w:rsidRPr="00C0591E" w:rsidRDefault="00F519E5" w:rsidP="00073799">
            <w:pPr>
              <w:spacing w:before="0" w:line="240" w:lineRule="auto"/>
              <w:jc w:val="center"/>
              <w:rPr>
                <w:rFonts w:eastAsia="Times New Roman"/>
              </w:rPr>
            </w:pPr>
            <w:r w:rsidRPr="00C0591E">
              <w:rPr>
                <w:rFonts w:eastAsia="Times New Roman"/>
              </w:rPr>
              <w:t>0.593</w:t>
            </w:r>
          </w:p>
        </w:tc>
        <w:tc>
          <w:tcPr>
            <w:tcW w:w="739" w:type="pct"/>
            <w:tcBorders>
              <w:top w:val="nil"/>
              <w:left w:val="nil"/>
              <w:bottom w:val="nil"/>
              <w:right w:val="nil"/>
            </w:tcBorders>
            <w:shd w:val="clear" w:color="auto" w:fill="auto"/>
            <w:noWrap/>
            <w:vAlign w:val="bottom"/>
            <w:hideMark/>
          </w:tcPr>
          <w:p w14:paraId="2A2E6730" w14:textId="77777777" w:rsidR="00F519E5" w:rsidRPr="00C0591E" w:rsidRDefault="00F519E5" w:rsidP="00073799">
            <w:pPr>
              <w:spacing w:before="0" w:line="240" w:lineRule="auto"/>
              <w:jc w:val="center"/>
              <w:rPr>
                <w:rFonts w:eastAsia="Times New Roman"/>
              </w:rPr>
            </w:pPr>
            <w:r w:rsidRPr="00C0591E">
              <w:rPr>
                <w:rFonts w:eastAsia="Times New Roman"/>
              </w:rPr>
              <w:t>0.107</w:t>
            </w:r>
          </w:p>
        </w:tc>
        <w:tc>
          <w:tcPr>
            <w:tcW w:w="458" w:type="pct"/>
            <w:tcBorders>
              <w:top w:val="nil"/>
              <w:left w:val="nil"/>
              <w:bottom w:val="nil"/>
              <w:right w:val="nil"/>
            </w:tcBorders>
            <w:shd w:val="clear" w:color="auto" w:fill="auto"/>
            <w:noWrap/>
            <w:vAlign w:val="bottom"/>
            <w:hideMark/>
          </w:tcPr>
          <w:p w14:paraId="5139584E" w14:textId="77777777" w:rsidR="00F519E5" w:rsidRPr="00C0591E" w:rsidRDefault="00F519E5" w:rsidP="00073799">
            <w:pPr>
              <w:spacing w:before="0" w:line="240" w:lineRule="auto"/>
              <w:jc w:val="center"/>
              <w:rPr>
                <w:rFonts w:eastAsia="Times New Roman"/>
              </w:rPr>
            </w:pPr>
          </w:p>
        </w:tc>
        <w:tc>
          <w:tcPr>
            <w:tcW w:w="606" w:type="pct"/>
            <w:tcBorders>
              <w:top w:val="nil"/>
              <w:left w:val="nil"/>
              <w:bottom w:val="nil"/>
              <w:right w:val="nil"/>
            </w:tcBorders>
            <w:shd w:val="clear" w:color="auto" w:fill="auto"/>
            <w:noWrap/>
            <w:vAlign w:val="bottom"/>
            <w:hideMark/>
          </w:tcPr>
          <w:p w14:paraId="1FFD8733" w14:textId="77777777" w:rsidR="00F519E5" w:rsidRPr="00C0591E" w:rsidRDefault="00F519E5" w:rsidP="00073799">
            <w:pPr>
              <w:spacing w:before="0" w:line="240" w:lineRule="auto"/>
              <w:jc w:val="center"/>
              <w:rPr>
                <w:rFonts w:eastAsia="Times New Roman"/>
              </w:rPr>
            </w:pPr>
            <w:r w:rsidRPr="00C0591E">
              <w:rPr>
                <w:rFonts w:eastAsia="Times New Roman"/>
              </w:rPr>
              <w:t>5.566</w:t>
            </w:r>
          </w:p>
        </w:tc>
        <w:tc>
          <w:tcPr>
            <w:tcW w:w="504" w:type="pct"/>
            <w:tcBorders>
              <w:top w:val="nil"/>
              <w:left w:val="nil"/>
              <w:bottom w:val="nil"/>
              <w:right w:val="nil"/>
            </w:tcBorders>
            <w:shd w:val="clear" w:color="auto" w:fill="auto"/>
            <w:noWrap/>
            <w:vAlign w:val="bottom"/>
            <w:hideMark/>
          </w:tcPr>
          <w:p w14:paraId="5C38615A" w14:textId="77777777" w:rsidR="00F519E5" w:rsidRPr="00C0591E" w:rsidRDefault="00F519E5" w:rsidP="00073799">
            <w:pPr>
              <w:spacing w:before="0" w:line="240" w:lineRule="auto"/>
              <w:jc w:val="center"/>
              <w:rPr>
                <w:rFonts w:eastAsia="Times New Roman"/>
              </w:rPr>
            </w:pPr>
            <w:r w:rsidRPr="00C0591E">
              <w:rPr>
                <w:rFonts w:eastAsia="Times New Roman"/>
              </w:rPr>
              <w:t>0.000</w:t>
            </w:r>
          </w:p>
        </w:tc>
      </w:tr>
      <w:tr w:rsidR="00073799" w:rsidRPr="00C0591E" w14:paraId="3980BB22" w14:textId="77777777" w:rsidTr="00073799">
        <w:trPr>
          <w:trHeight w:val="288"/>
        </w:trPr>
        <w:tc>
          <w:tcPr>
            <w:tcW w:w="548" w:type="pct"/>
            <w:tcBorders>
              <w:top w:val="nil"/>
              <w:left w:val="nil"/>
              <w:bottom w:val="nil"/>
              <w:right w:val="nil"/>
            </w:tcBorders>
            <w:shd w:val="clear" w:color="auto" w:fill="auto"/>
            <w:noWrap/>
            <w:vAlign w:val="bottom"/>
            <w:hideMark/>
          </w:tcPr>
          <w:p w14:paraId="47E3EC10" w14:textId="77777777" w:rsidR="00F519E5" w:rsidRPr="00C0591E" w:rsidRDefault="00F519E5" w:rsidP="00073799">
            <w:pPr>
              <w:spacing w:before="0" w:line="240" w:lineRule="auto"/>
              <w:rPr>
                <w:rFonts w:eastAsia="Times New Roman"/>
              </w:rPr>
            </w:pPr>
          </w:p>
        </w:tc>
        <w:tc>
          <w:tcPr>
            <w:tcW w:w="1246" w:type="pct"/>
            <w:tcBorders>
              <w:top w:val="nil"/>
              <w:left w:val="nil"/>
              <w:bottom w:val="nil"/>
              <w:right w:val="nil"/>
            </w:tcBorders>
            <w:shd w:val="clear" w:color="auto" w:fill="auto"/>
            <w:noWrap/>
            <w:vAlign w:val="bottom"/>
            <w:hideMark/>
          </w:tcPr>
          <w:p w14:paraId="0DE40E3D" w14:textId="1296D97F" w:rsidR="00F519E5" w:rsidRPr="00C0591E" w:rsidRDefault="00173C67" w:rsidP="00073799">
            <w:pPr>
              <w:spacing w:before="0" w:line="240" w:lineRule="auto"/>
              <w:rPr>
                <w:rFonts w:eastAsia="Times New Roman"/>
              </w:rPr>
            </w:pPr>
            <w:r>
              <w:rPr>
                <w:rFonts w:eastAsia="Times New Roman"/>
              </w:rPr>
              <w:t>Pillars of corporate governance</w:t>
            </w:r>
          </w:p>
        </w:tc>
        <w:tc>
          <w:tcPr>
            <w:tcW w:w="898" w:type="pct"/>
            <w:tcBorders>
              <w:top w:val="nil"/>
              <w:left w:val="nil"/>
              <w:bottom w:val="nil"/>
              <w:right w:val="nil"/>
            </w:tcBorders>
            <w:shd w:val="clear" w:color="auto" w:fill="auto"/>
            <w:noWrap/>
            <w:vAlign w:val="bottom"/>
            <w:hideMark/>
          </w:tcPr>
          <w:p w14:paraId="0102E745" w14:textId="77777777" w:rsidR="00F519E5" w:rsidRPr="00C0591E" w:rsidRDefault="00F519E5" w:rsidP="00073799">
            <w:pPr>
              <w:spacing w:before="0" w:line="240" w:lineRule="auto"/>
              <w:jc w:val="center"/>
              <w:rPr>
                <w:rFonts w:eastAsia="Times New Roman"/>
              </w:rPr>
            </w:pPr>
            <w:r w:rsidRPr="00C0591E">
              <w:rPr>
                <w:rFonts w:eastAsia="Times New Roman"/>
              </w:rPr>
              <w:t>0.821</w:t>
            </w:r>
          </w:p>
        </w:tc>
        <w:tc>
          <w:tcPr>
            <w:tcW w:w="739" w:type="pct"/>
            <w:tcBorders>
              <w:top w:val="nil"/>
              <w:left w:val="nil"/>
              <w:bottom w:val="nil"/>
              <w:right w:val="nil"/>
            </w:tcBorders>
            <w:shd w:val="clear" w:color="auto" w:fill="auto"/>
            <w:noWrap/>
            <w:vAlign w:val="bottom"/>
            <w:hideMark/>
          </w:tcPr>
          <w:p w14:paraId="676F02E1" w14:textId="77777777" w:rsidR="00F519E5" w:rsidRPr="00C0591E" w:rsidRDefault="00F519E5" w:rsidP="00073799">
            <w:pPr>
              <w:spacing w:before="0" w:line="240" w:lineRule="auto"/>
              <w:jc w:val="center"/>
              <w:rPr>
                <w:rFonts w:eastAsia="Times New Roman"/>
              </w:rPr>
            </w:pPr>
            <w:r w:rsidRPr="00C0591E">
              <w:rPr>
                <w:rFonts w:eastAsia="Times New Roman"/>
              </w:rPr>
              <w:t>0.034</w:t>
            </w:r>
          </w:p>
        </w:tc>
        <w:tc>
          <w:tcPr>
            <w:tcW w:w="458" w:type="pct"/>
            <w:tcBorders>
              <w:top w:val="nil"/>
              <w:left w:val="nil"/>
              <w:bottom w:val="nil"/>
              <w:right w:val="nil"/>
            </w:tcBorders>
            <w:shd w:val="clear" w:color="auto" w:fill="auto"/>
            <w:noWrap/>
            <w:vAlign w:val="bottom"/>
            <w:hideMark/>
          </w:tcPr>
          <w:p w14:paraId="28CE5027" w14:textId="77777777" w:rsidR="00F519E5" w:rsidRPr="00C0591E" w:rsidRDefault="00F519E5" w:rsidP="00073799">
            <w:pPr>
              <w:spacing w:before="0" w:line="240" w:lineRule="auto"/>
              <w:jc w:val="center"/>
              <w:rPr>
                <w:rFonts w:eastAsia="Times New Roman"/>
              </w:rPr>
            </w:pPr>
            <w:r w:rsidRPr="00C0591E">
              <w:rPr>
                <w:rFonts w:eastAsia="Times New Roman"/>
              </w:rPr>
              <w:t>0.816</w:t>
            </w:r>
          </w:p>
        </w:tc>
        <w:tc>
          <w:tcPr>
            <w:tcW w:w="606" w:type="pct"/>
            <w:tcBorders>
              <w:top w:val="nil"/>
              <w:left w:val="nil"/>
              <w:bottom w:val="nil"/>
              <w:right w:val="nil"/>
            </w:tcBorders>
            <w:shd w:val="clear" w:color="auto" w:fill="auto"/>
            <w:noWrap/>
            <w:vAlign w:val="bottom"/>
            <w:hideMark/>
          </w:tcPr>
          <w:p w14:paraId="0DE5A204" w14:textId="77777777" w:rsidR="00F519E5" w:rsidRPr="00C0591E" w:rsidRDefault="00F519E5" w:rsidP="00073799">
            <w:pPr>
              <w:spacing w:before="0" w:line="240" w:lineRule="auto"/>
              <w:jc w:val="center"/>
              <w:rPr>
                <w:rFonts w:eastAsia="Times New Roman"/>
              </w:rPr>
            </w:pPr>
            <w:r w:rsidRPr="00C0591E">
              <w:rPr>
                <w:rFonts w:eastAsia="Times New Roman"/>
              </w:rPr>
              <w:t>24.172</w:t>
            </w:r>
          </w:p>
        </w:tc>
        <w:tc>
          <w:tcPr>
            <w:tcW w:w="504" w:type="pct"/>
            <w:tcBorders>
              <w:top w:val="nil"/>
              <w:left w:val="nil"/>
              <w:bottom w:val="nil"/>
              <w:right w:val="nil"/>
            </w:tcBorders>
            <w:shd w:val="clear" w:color="auto" w:fill="auto"/>
            <w:noWrap/>
            <w:vAlign w:val="bottom"/>
            <w:hideMark/>
          </w:tcPr>
          <w:p w14:paraId="3D852F9F" w14:textId="77777777" w:rsidR="00F519E5" w:rsidRPr="00C0591E" w:rsidRDefault="00F519E5" w:rsidP="00073799">
            <w:pPr>
              <w:spacing w:before="0" w:line="240" w:lineRule="auto"/>
              <w:jc w:val="center"/>
              <w:rPr>
                <w:rFonts w:eastAsia="Times New Roman"/>
              </w:rPr>
            </w:pPr>
            <w:r w:rsidRPr="00C0591E">
              <w:rPr>
                <w:rFonts w:eastAsia="Times New Roman"/>
              </w:rPr>
              <w:t>0.000</w:t>
            </w:r>
          </w:p>
        </w:tc>
      </w:tr>
      <w:tr w:rsidR="00073799" w:rsidRPr="00C0591E" w14:paraId="63924E08" w14:textId="77777777" w:rsidTr="00073799">
        <w:trPr>
          <w:trHeight w:val="288"/>
        </w:trPr>
        <w:tc>
          <w:tcPr>
            <w:tcW w:w="548" w:type="pct"/>
            <w:tcBorders>
              <w:top w:val="nil"/>
              <w:left w:val="nil"/>
              <w:bottom w:val="nil"/>
              <w:right w:val="nil"/>
            </w:tcBorders>
            <w:shd w:val="clear" w:color="auto" w:fill="auto"/>
            <w:noWrap/>
            <w:vAlign w:val="bottom"/>
            <w:hideMark/>
          </w:tcPr>
          <w:p w14:paraId="1A97CF10" w14:textId="77777777" w:rsidR="00F519E5" w:rsidRPr="00C0591E" w:rsidRDefault="00F519E5" w:rsidP="00073799">
            <w:pPr>
              <w:spacing w:before="0" w:line="240" w:lineRule="auto"/>
              <w:rPr>
                <w:rFonts w:eastAsia="Times New Roman"/>
              </w:rPr>
            </w:pPr>
            <w:r w:rsidRPr="00C0591E">
              <w:rPr>
                <w:rFonts w:eastAsia="Times New Roman"/>
              </w:rPr>
              <w:t>3</w:t>
            </w:r>
          </w:p>
        </w:tc>
        <w:tc>
          <w:tcPr>
            <w:tcW w:w="1246" w:type="pct"/>
            <w:tcBorders>
              <w:top w:val="nil"/>
              <w:left w:val="nil"/>
              <w:bottom w:val="nil"/>
              <w:right w:val="nil"/>
            </w:tcBorders>
            <w:shd w:val="clear" w:color="auto" w:fill="auto"/>
            <w:noWrap/>
            <w:vAlign w:val="bottom"/>
            <w:hideMark/>
          </w:tcPr>
          <w:p w14:paraId="4CEF45C5" w14:textId="77777777" w:rsidR="00F519E5" w:rsidRPr="00C0591E" w:rsidRDefault="00F519E5" w:rsidP="00073799">
            <w:pPr>
              <w:spacing w:before="0" w:line="240" w:lineRule="auto"/>
              <w:rPr>
                <w:rFonts w:eastAsia="Times New Roman"/>
              </w:rPr>
            </w:pPr>
            <w:r w:rsidRPr="00C0591E">
              <w:rPr>
                <w:rFonts w:eastAsia="Times New Roman"/>
              </w:rPr>
              <w:t>(Constant)</w:t>
            </w:r>
          </w:p>
        </w:tc>
        <w:tc>
          <w:tcPr>
            <w:tcW w:w="898" w:type="pct"/>
            <w:tcBorders>
              <w:top w:val="nil"/>
              <w:left w:val="nil"/>
              <w:bottom w:val="nil"/>
              <w:right w:val="nil"/>
            </w:tcBorders>
            <w:shd w:val="clear" w:color="auto" w:fill="auto"/>
            <w:noWrap/>
            <w:vAlign w:val="bottom"/>
            <w:hideMark/>
          </w:tcPr>
          <w:p w14:paraId="12546FCF" w14:textId="77777777" w:rsidR="00F519E5" w:rsidRPr="00C0591E" w:rsidRDefault="00F519E5" w:rsidP="00073799">
            <w:pPr>
              <w:spacing w:before="0" w:line="240" w:lineRule="auto"/>
              <w:jc w:val="center"/>
              <w:rPr>
                <w:rFonts w:eastAsia="Times New Roman"/>
              </w:rPr>
            </w:pPr>
            <w:r w:rsidRPr="00C0591E">
              <w:rPr>
                <w:rFonts w:eastAsia="Times New Roman"/>
              </w:rPr>
              <w:t>2.826</w:t>
            </w:r>
          </w:p>
        </w:tc>
        <w:tc>
          <w:tcPr>
            <w:tcW w:w="739" w:type="pct"/>
            <w:tcBorders>
              <w:top w:val="nil"/>
              <w:left w:val="nil"/>
              <w:bottom w:val="nil"/>
              <w:right w:val="nil"/>
            </w:tcBorders>
            <w:shd w:val="clear" w:color="auto" w:fill="auto"/>
            <w:noWrap/>
            <w:vAlign w:val="bottom"/>
            <w:hideMark/>
          </w:tcPr>
          <w:p w14:paraId="4C52187D" w14:textId="77777777" w:rsidR="00F519E5" w:rsidRPr="00C0591E" w:rsidRDefault="00F519E5" w:rsidP="00073799">
            <w:pPr>
              <w:spacing w:before="0" w:line="240" w:lineRule="auto"/>
              <w:jc w:val="center"/>
              <w:rPr>
                <w:rFonts w:eastAsia="Times New Roman"/>
              </w:rPr>
            </w:pPr>
            <w:r w:rsidRPr="00C0591E">
              <w:rPr>
                <w:rFonts w:eastAsia="Times New Roman"/>
              </w:rPr>
              <w:t>0.038</w:t>
            </w:r>
          </w:p>
        </w:tc>
        <w:tc>
          <w:tcPr>
            <w:tcW w:w="458" w:type="pct"/>
            <w:tcBorders>
              <w:top w:val="nil"/>
              <w:left w:val="nil"/>
              <w:bottom w:val="nil"/>
              <w:right w:val="nil"/>
            </w:tcBorders>
            <w:shd w:val="clear" w:color="auto" w:fill="auto"/>
            <w:noWrap/>
            <w:vAlign w:val="bottom"/>
            <w:hideMark/>
          </w:tcPr>
          <w:p w14:paraId="04824769" w14:textId="77777777" w:rsidR="00F519E5" w:rsidRPr="00C0591E" w:rsidRDefault="00F519E5" w:rsidP="00073799">
            <w:pPr>
              <w:spacing w:before="0" w:line="240" w:lineRule="auto"/>
              <w:jc w:val="center"/>
              <w:rPr>
                <w:rFonts w:eastAsia="Times New Roman"/>
              </w:rPr>
            </w:pPr>
          </w:p>
        </w:tc>
        <w:tc>
          <w:tcPr>
            <w:tcW w:w="606" w:type="pct"/>
            <w:tcBorders>
              <w:top w:val="nil"/>
              <w:left w:val="nil"/>
              <w:bottom w:val="nil"/>
              <w:right w:val="nil"/>
            </w:tcBorders>
            <w:shd w:val="clear" w:color="auto" w:fill="auto"/>
            <w:noWrap/>
            <w:vAlign w:val="bottom"/>
            <w:hideMark/>
          </w:tcPr>
          <w:p w14:paraId="14FA2C03" w14:textId="77777777" w:rsidR="00F519E5" w:rsidRPr="00C0591E" w:rsidRDefault="00F519E5" w:rsidP="00073799">
            <w:pPr>
              <w:spacing w:before="0" w:line="240" w:lineRule="auto"/>
              <w:jc w:val="center"/>
              <w:rPr>
                <w:rFonts w:eastAsia="Times New Roman"/>
              </w:rPr>
            </w:pPr>
            <w:r w:rsidRPr="00C0591E">
              <w:rPr>
                <w:rFonts w:eastAsia="Times New Roman"/>
              </w:rPr>
              <w:t>73.875</w:t>
            </w:r>
          </w:p>
        </w:tc>
        <w:tc>
          <w:tcPr>
            <w:tcW w:w="504" w:type="pct"/>
            <w:tcBorders>
              <w:top w:val="nil"/>
              <w:left w:val="nil"/>
              <w:bottom w:val="nil"/>
              <w:right w:val="nil"/>
            </w:tcBorders>
            <w:shd w:val="clear" w:color="auto" w:fill="auto"/>
            <w:noWrap/>
            <w:vAlign w:val="bottom"/>
            <w:hideMark/>
          </w:tcPr>
          <w:p w14:paraId="5C7730A7" w14:textId="77777777" w:rsidR="00F519E5" w:rsidRPr="00C0591E" w:rsidRDefault="00F519E5" w:rsidP="00073799">
            <w:pPr>
              <w:spacing w:before="0" w:line="240" w:lineRule="auto"/>
              <w:jc w:val="center"/>
              <w:rPr>
                <w:rFonts w:eastAsia="Times New Roman"/>
              </w:rPr>
            </w:pPr>
            <w:r w:rsidRPr="00C0591E">
              <w:rPr>
                <w:rFonts w:eastAsia="Times New Roman"/>
              </w:rPr>
              <w:t>0.000</w:t>
            </w:r>
          </w:p>
        </w:tc>
      </w:tr>
      <w:tr w:rsidR="00073799" w:rsidRPr="00C0591E" w14:paraId="7B632200" w14:textId="77777777" w:rsidTr="00073799">
        <w:trPr>
          <w:trHeight w:val="288"/>
        </w:trPr>
        <w:tc>
          <w:tcPr>
            <w:tcW w:w="548" w:type="pct"/>
            <w:tcBorders>
              <w:top w:val="nil"/>
              <w:left w:val="nil"/>
              <w:bottom w:val="nil"/>
              <w:right w:val="nil"/>
            </w:tcBorders>
            <w:shd w:val="clear" w:color="auto" w:fill="auto"/>
            <w:noWrap/>
            <w:vAlign w:val="bottom"/>
            <w:hideMark/>
          </w:tcPr>
          <w:p w14:paraId="7EC8812A" w14:textId="77777777" w:rsidR="00F519E5" w:rsidRPr="00C0591E" w:rsidRDefault="00F519E5" w:rsidP="00073799">
            <w:pPr>
              <w:spacing w:before="0" w:line="240" w:lineRule="auto"/>
              <w:rPr>
                <w:rFonts w:eastAsia="Times New Roman"/>
              </w:rPr>
            </w:pPr>
          </w:p>
        </w:tc>
        <w:tc>
          <w:tcPr>
            <w:tcW w:w="1246" w:type="pct"/>
            <w:tcBorders>
              <w:top w:val="nil"/>
              <w:left w:val="nil"/>
              <w:bottom w:val="nil"/>
              <w:right w:val="nil"/>
            </w:tcBorders>
            <w:shd w:val="clear" w:color="auto" w:fill="auto"/>
            <w:noWrap/>
            <w:vAlign w:val="bottom"/>
            <w:hideMark/>
          </w:tcPr>
          <w:p w14:paraId="6D10168D" w14:textId="06B17798" w:rsidR="00F519E5" w:rsidRPr="00C0591E" w:rsidRDefault="00F519E5" w:rsidP="00073799">
            <w:pPr>
              <w:spacing w:before="0" w:line="240" w:lineRule="auto"/>
              <w:rPr>
                <w:rFonts w:eastAsia="Times New Roman"/>
              </w:rPr>
            </w:pPr>
            <w:r w:rsidRPr="00C0591E">
              <w:rPr>
                <w:rFonts w:eastAsia="Times New Roman"/>
              </w:rPr>
              <w:t>Investment Policies</w:t>
            </w:r>
          </w:p>
        </w:tc>
        <w:tc>
          <w:tcPr>
            <w:tcW w:w="898" w:type="pct"/>
            <w:tcBorders>
              <w:top w:val="nil"/>
              <w:left w:val="nil"/>
              <w:bottom w:val="nil"/>
              <w:right w:val="nil"/>
            </w:tcBorders>
            <w:shd w:val="clear" w:color="auto" w:fill="auto"/>
            <w:noWrap/>
            <w:vAlign w:val="bottom"/>
            <w:hideMark/>
          </w:tcPr>
          <w:p w14:paraId="1D3E0773" w14:textId="77777777" w:rsidR="00F519E5" w:rsidRPr="00C0591E" w:rsidRDefault="00F519E5" w:rsidP="00073799">
            <w:pPr>
              <w:spacing w:before="0" w:line="240" w:lineRule="auto"/>
              <w:jc w:val="center"/>
              <w:rPr>
                <w:rFonts w:eastAsia="Times New Roman"/>
              </w:rPr>
            </w:pPr>
            <w:r w:rsidRPr="00C0591E">
              <w:rPr>
                <w:rFonts w:eastAsia="Times New Roman"/>
              </w:rPr>
              <w:t>0.217</w:t>
            </w:r>
          </w:p>
        </w:tc>
        <w:tc>
          <w:tcPr>
            <w:tcW w:w="739" w:type="pct"/>
            <w:tcBorders>
              <w:top w:val="nil"/>
              <w:left w:val="nil"/>
              <w:bottom w:val="nil"/>
              <w:right w:val="nil"/>
            </w:tcBorders>
            <w:shd w:val="clear" w:color="auto" w:fill="auto"/>
            <w:noWrap/>
            <w:vAlign w:val="bottom"/>
            <w:hideMark/>
          </w:tcPr>
          <w:p w14:paraId="6FB093BA" w14:textId="77777777" w:rsidR="00F519E5" w:rsidRPr="00C0591E" w:rsidRDefault="00F519E5" w:rsidP="00073799">
            <w:pPr>
              <w:spacing w:before="0" w:line="240" w:lineRule="auto"/>
              <w:jc w:val="center"/>
              <w:rPr>
                <w:rFonts w:eastAsia="Times New Roman"/>
              </w:rPr>
            </w:pPr>
            <w:r w:rsidRPr="00C0591E">
              <w:rPr>
                <w:rFonts w:eastAsia="Times New Roman"/>
              </w:rPr>
              <w:t>0.012</w:t>
            </w:r>
          </w:p>
        </w:tc>
        <w:tc>
          <w:tcPr>
            <w:tcW w:w="458" w:type="pct"/>
            <w:tcBorders>
              <w:top w:val="nil"/>
              <w:left w:val="nil"/>
              <w:bottom w:val="nil"/>
              <w:right w:val="nil"/>
            </w:tcBorders>
            <w:shd w:val="clear" w:color="auto" w:fill="auto"/>
            <w:noWrap/>
            <w:vAlign w:val="bottom"/>
            <w:hideMark/>
          </w:tcPr>
          <w:p w14:paraId="64203550" w14:textId="77777777" w:rsidR="00F519E5" w:rsidRPr="00C0591E" w:rsidRDefault="00F519E5" w:rsidP="00073799">
            <w:pPr>
              <w:spacing w:before="0" w:line="240" w:lineRule="auto"/>
              <w:jc w:val="center"/>
              <w:rPr>
                <w:rFonts w:eastAsia="Times New Roman"/>
              </w:rPr>
            </w:pPr>
            <w:r w:rsidRPr="00C0591E">
              <w:rPr>
                <w:rFonts w:eastAsia="Times New Roman"/>
              </w:rPr>
              <w:t>0.728</w:t>
            </w:r>
          </w:p>
        </w:tc>
        <w:tc>
          <w:tcPr>
            <w:tcW w:w="606" w:type="pct"/>
            <w:tcBorders>
              <w:top w:val="nil"/>
              <w:left w:val="nil"/>
              <w:bottom w:val="nil"/>
              <w:right w:val="nil"/>
            </w:tcBorders>
            <w:shd w:val="clear" w:color="auto" w:fill="auto"/>
            <w:noWrap/>
            <w:vAlign w:val="bottom"/>
            <w:hideMark/>
          </w:tcPr>
          <w:p w14:paraId="42AA29E2" w14:textId="77777777" w:rsidR="00F519E5" w:rsidRPr="00C0591E" w:rsidRDefault="00F519E5" w:rsidP="00073799">
            <w:pPr>
              <w:spacing w:before="0" w:line="240" w:lineRule="auto"/>
              <w:jc w:val="center"/>
              <w:rPr>
                <w:rFonts w:eastAsia="Times New Roman"/>
              </w:rPr>
            </w:pPr>
            <w:r w:rsidRPr="00C0591E">
              <w:rPr>
                <w:rFonts w:eastAsia="Times New Roman"/>
              </w:rPr>
              <w:t>18.224</w:t>
            </w:r>
          </w:p>
        </w:tc>
        <w:tc>
          <w:tcPr>
            <w:tcW w:w="504" w:type="pct"/>
            <w:tcBorders>
              <w:top w:val="nil"/>
              <w:left w:val="nil"/>
              <w:bottom w:val="nil"/>
              <w:right w:val="nil"/>
            </w:tcBorders>
            <w:shd w:val="clear" w:color="auto" w:fill="auto"/>
            <w:noWrap/>
            <w:vAlign w:val="bottom"/>
            <w:hideMark/>
          </w:tcPr>
          <w:p w14:paraId="1515AB8E" w14:textId="77777777" w:rsidR="00F519E5" w:rsidRPr="00C0591E" w:rsidRDefault="00F519E5" w:rsidP="00073799">
            <w:pPr>
              <w:spacing w:before="0" w:line="240" w:lineRule="auto"/>
              <w:jc w:val="center"/>
              <w:rPr>
                <w:rFonts w:eastAsia="Times New Roman"/>
              </w:rPr>
            </w:pPr>
            <w:r w:rsidRPr="00C0591E">
              <w:rPr>
                <w:rFonts w:eastAsia="Times New Roman"/>
              </w:rPr>
              <w:t>0.000</w:t>
            </w:r>
          </w:p>
        </w:tc>
      </w:tr>
      <w:tr w:rsidR="00073799" w:rsidRPr="00C0591E" w14:paraId="3B62CF35" w14:textId="77777777" w:rsidTr="00073799">
        <w:trPr>
          <w:trHeight w:val="288"/>
        </w:trPr>
        <w:tc>
          <w:tcPr>
            <w:tcW w:w="548" w:type="pct"/>
            <w:tcBorders>
              <w:top w:val="nil"/>
              <w:left w:val="nil"/>
              <w:bottom w:val="nil"/>
              <w:right w:val="nil"/>
            </w:tcBorders>
            <w:shd w:val="clear" w:color="auto" w:fill="auto"/>
            <w:noWrap/>
            <w:vAlign w:val="bottom"/>
            <w:hideMark/>
          </w:tcPr>
          <w:p w14:paraId="251C5BC7" w14:textId="77777777" w:rsidR="00F519E5" w:rsidRPr="00C0591E" w:rsidRDefault="00F519E5" w:rsidP="00073799">
            <w:pPr>
              <w:spacing w:before="0" w:line="240" w:lineRule="auto"/>
              <w:rPr>
                <w:rFonts w:eastAsia="Times New Roman"/>
                <w:color w:val="000000"/>
              </w:rPr>
            </w:pPr>
            <w:r w:rsidRPr="00C0591E">
              <w:rPr>
                <w:rFonts w:eastAsia="Times New Roman"/>
                <w:color w:val="000000"/>
              </w:rPr>
              <w:t>4</w:t>
            </w:r>
          </w:p>
        </w:tc>
        <w:tc>
          <w:tcPr>
            <w:tcW w:w="1246" w:type="pct"/>
            <w:tcBorders>
              <w:top w:val="nil"/>
              <w:left w:val="nil"/>
              <w:bottom w:val="nil"/>
              <w:right w:val="nil"/>
            </w:tcBorders>
            <w:shd w:val="clear" w:color="auto" w:fill="auto"/>
            <w:noWrap/>
            <w:vAlign w:val="bottom"/>
            <w:hideMark/>
          </w:tcPr>
          <w:p w14:paraId="4BF9ABD9" w14:textId="77777777" w:rsidR="00F519E5" w:rsidRPr="00C0591E" w:rsidRDefault="00F519E5" w:rsidP="00073799">
            <w:pPr>
              <w:spacing w:before="0" w:line="240" w:lineRule="auto"/>
              <w:rPr>
                <w:rFonts w:eastAsia="Times New Roman"/>
                <w:color w:val="000000"/>
              </w:rPr>
            </w:pPr>
            <w:r w:rsidRPr="00C0591E">
              <w:rPr>
                <w:rFonts w:eastAsia="Times New Roman"/>
                <w:color w:val="000000"/>
              </w:rPr>
              <w:t>(Constant)</w:t>
            </w:r>
          </w:p>
        </w:tc>
        <w:tc>
          <w:tcPr>
            <w:tcW w:w="898" w:type="pct"/>
            <w:tcBorders>
              <w:top w:val="nil"/>
              <w:left w:val="nil"/>
              <w:bottom w:val="nil"/>
              <w:right w:val="nil"/>
            </w:tcBorders>
            <w:shd w:val="clear" w:color="auto" w:fill="auto"/>
            <w:noWrap/>
            <w:vAlign w:val="bottom"/>
            <w:hideMark/>
          </w:tcPr>
          <w:p w14:paraId="44427368" w14:textId="77777777" w:rsidR="00F519E5" w:rsidRPr="00C0591E" w:rsidRDefault="00F519E5" w:rsidP="00073799">
            <w:pPr>
              <w:spacing w:before="0" w:line="240" w:lineRule="auto"/>
              <w:jc w:val="center"/>
              <w:rPr>
                <w:rFonts w:eastAsia="Times New Roman"/>
                <w:color w:val="000000"/>
              </w:rPr>
            </w:pPr>
            <w:r w:rsidRPr="00C0591E">
              <w:rPr>
                <w:rFonts w:eastAsia="Times New Roman"/>
                <w:color w:val="000000"/>
              </w:rPr>
              <w:t>2.763</w:t>
            </w:r>
          </w:p>
        </w:tc>
        <w:tc>
          <w:tcPr>
            <w:tcW w:w="739" w:type="pct"/>
            <w:tcBorders>
              <w:top w:val="nil"/>
              <w:left w:val="nil"/>
              <w:bottom w:val="nil"/>
              <w:right w:val="nil"/>
            </w:tcBorders>
            <w:shd w:val="clear" w:color="auto" w:fill="auto"/>
            <w:noWrap/>
            <w:vAlign w:val="bottom"/>
            <w:hideMark/>
          </w:tcPr>
          <w:p w14:paraId="445232E0" w14:textId="77777777" w:rsidR="00F519E5" w:rsidRPr="00C0591E" w:rsidRDefault="00F519E5" w:rsidP="00073799">
            <w:pPr>
              <w:spacing w:before="0" w:line="240" w:lineRule="auto"/>
              <w:jc w:val="center"/>
              <w:rPr>
                <w:rFonts w:eastAsia="Times New Roman"/>
                <w:color w:val="000000"/>
              </w:rPr>
            </w:pPr>
            <w:r w:rsidRPr="00C0591E">
              <w:rPr>
                <w:rFonts w:eastAsia="Times New Roman"/>
                <w:color w:val="000000"/>
              </w:rPr>
              <w:t>0.037</w:t>
            </w:r>
          </w:p>
        </w:tc>
        <w:tc>
          <w:tcPr>
            <w:tcW w:w="458" w:type="pct"/>
            <w:tcBorders>
              <w:top w:val="nil"/>
              <w:left w:val="nil"/>
              <w:bottom w:val="nil"/>
              <w:right w:val="nil"/>
            </w:tcBorders>
            <w:shd w:val="clear" w:color="auto" w:fill="auto"/>
            <w:noWrap/>
            <w:vAlign w:val="bottom"/>
            <w:hideMark/>
          </w:tcPr>
          <w:p w14:paraId="207689E7" w14:textId="77777777" w:rsidR="00F519E5" w:rsidRPr="00C0591E" w:rsidRDefault="00F519E5" w:rsidP="00073799">
            <w:pPr>
              <w:spacing w:before="0" w:line="240" w:lineRule="auto"/>
              <w:jc w:val="center"/>
              <w:rPr>
                <w:rFonts w:eastAsia="Times New Roman"/>
                <w:color w:val="000000"/>
              </w:rPr>
            </w:pPr>
          </w:p>
        </w:tc>
        <w:tc>
          <w:tcPr>
            <w:tcW w:w="606" w:type="pct"/>
            <w:tcBorders>
              <w:top w:val="nil"/>
              <w:left w:val="nil"/>
              <w:bottom w:val="nil"/>
              <w:right w:val="nil"/>
            </w:tcBorders>
            <w:shd w:val="clear" w:color="auto" w:fill="auto"/>
            <w:noWrap/>
            <w:vAlign w:val="bottom"/>
            <w:hideMark/>
          </w:tcPr>
          <w:p w14:paraId="7E95242D" w14:textId="77777777" w:rsidR="00F519E5" w:rsidRPr="00C0591E" w:rsidRDefault="00F519E5" w:rsidP="00073799">
            <w:pPr>
              <w:spacing w:before="0" w:line="240" w:lineRule="auto"/>
              <w:jc w:val="center"/>
              <w:rPr>
                <w:rFonts w:eastAsia="Times New Roman"/>
                <w:color w:val="000000"/>
              </w:rPr>
            </w:pPr>
            <w:r w:rsidRPr="00C0591E">
              <w:rPr>
                <w:rFonts w:eastAsia="Times New Roman"/>
                <w:color w:val="000000"/>
              </w:rPr>
              <w:t>75.395</w:t>
            </w:r>
          </w:p>
        </w:tc>
        <w:tc>
          <w:tcPr>
            <w:tcW w:w="504" w:type="pct"/>
            <w:tcBorders>
              <w:top w:val="nil"/>
              <w:left w:val="nil"/>
              <w:bottom w:val="nil"/>
              <w:right w:val="nil"/>
            </w:tcBorders>
            <w:shd w:val="clear" w:color="auto" w:fill="auto"/>
            <w:noWrap/>
            <w:vAlign w:val="bottom"/>
            <w:hideMark/>
          </w:tcPr>
          <w:p w14:paraId="3A99DA91" w14:textId="77777777" w:rsidR="00F519E5" w:rsidRPr="00C0591E" w:rsidRDefault="00F519E5" w:rsidP="00073799">
            <w:pPr>
              <w:spacing w:before="0" w:line="240" w:lineRule="auto"/>
              <w:jc w:val="center"/>
              <w:rPr>
                <w:rFonts w:eastAsia="Times New Roman"/>
                <w:color w:val="000000"/>
              </w:rPr>
            </w:pPr>
            <w:r w:rsidRPr="00C0591E">
              <w:rPr>
                <w:rFonts w:eastAsia="Times New Roman"/>
                <w:color w:val="000000"/>
              </w:rPr>
              <w:t>0.000</w:t>
            </w:r>
          </w:p>
        </w:tc>
      </w:tr>
      <w:tr w:rsidR="00073799" w:rsidRPr="00C0591E" w14:paraId="2BF16E31" w14:textId="77777777" w:rsidTr="00073799">
        <w:trPr>
          <w:trHeight w:val="288"/>
        </w:trPr>
        <w:tc>
          <w:tcPr>
            <w:tcW w:w="548" w:type="pct"/>
            <w:tcBorders>
              <w:top w:val="nil"/>
              <w:left w:val="nil"/>
              <w:bottom w:val="nil"/>
              <w:right w:val="nil"/>
            </w:tcBorders>
            <w:shd w:val="clear" w:color="auto" w:fill="auto"/>
            <w:noWrap/>
            <w:vAlign w:val="bottom"/>
            <w:hideMark/>
          </w:tcPr>
          <w:p w14:paraId="58B3F89F" w14:textId="77777777" w:rsidR="00F519E5" w:rsidRPr="00C0591E" w:rsidRDefault="00F519E5" w:rsidP="00073799">
            <w:pPr>
              <w:spacing w:before="0" w:line="240" w:lineRule="auto"/>
              <w:rPr>
                <w:rFonts w:eastAsia="Times New Roman"/>
                <w:color w:val="000000"/>
              </w:rPr>
            </w:pPr>
          </w:p>
        </w:tc>
        <w:tc>
          <w:tcPr>
            <w:tcW w:w="1246" w:type="pct"/>
            <w:tcBorders>
              <w:top w:val="nil"/>
              <w:left w:val="nil"/>
              <w:bottom w:val="nil"/>
              <w:right w:val="nil"/>
            </w:tcBorders>
            <w:shd w:val="clear" w:color="auto" w:fill="auto"/>
            <w:noWrap/>
            <w:vAlign w:val="bottom"/>
            <w:hideMark/>
          </w:tcPr>
          <w:p w14:paraId="0B55D9D6" w14:textId="66578A15" w:rsidR="00F519E5" w:rsidRPr="00C0591E" w:rsidRDefault="00173C67" w:rsidP="00073799">
            <w:pPr>
              <w:spacing w:before="0" w:line="240" w:lineRule="auto"/>
              <w:rPr>
                <w:rFonts w:eastAsia="Times New Roman"/>
                <w:color w:val="000000"/>
              </w:rPr>
            </w:pPr>
            <w:r>
              <w:rPr>
                <w:rFonts w:eastAsia="Times New Roman"/>
                <w:color w:val="000000"/>
              </w:rPr>
              <w:t>Pillars of corporate governance</w:t>
            </w:r>
          </w:p>
        </w:tc>
        <w:tc>
          <w:tcPr>
            <w:tcW w:w="898" w:type="pct"/>
            <w:tcBorders>
              <w:top w:val="nil"/>
              <w:left w:val="nil"/>
              <w:bottom w:val="nil"/>
              <w:right w:val="nil"/>
            </w:tcBorders>
            <w:shd w:val="clear" w:color="auto" w:fill="auto"/>
            <w:noWrap/>
            <w:vAlign w:val="bottom"/>
            <w:hideMark/>
          </w:tcPr>
          <w:p w14:paraId="779293B2" w14:textId="77777777" w:rsidR="00F519E5" w:rsidRPr="00C0591E" w:rsidRDefault="00F519E5" w:rsidP="00073799">
            <w:pPr>
              <w:spacing w:before="0" w:line="240" w:lineRule="auto"/>
              <w:jc w:val="center"/>
              <w:rPr>
                <w:rFonts w:eastAsia="Times New Roman"/>
                <w:color w:val="000000"/>
              </w:rPr>
            </w:pPr>
            <w:r w:rsidRPr="00C0591E">
              <w:rPr>
                <w:rFonts w:eastAsia="Times New Roman"/>
                <w:color w:val="000000"/>
              </w:rPr>
              <w:t>0.133</w:t>
            </w:r>
          </w:p>
        </w:tc>
        <w:tc>
          <w:tcPr>
            <w:tcW w:w="739" w:type="pct"/>
            <w:tcBorders>
              <w:top w:val="nil"/>
              <w:left w:val="nil"/>
              <w:bottom w:val="nil"/>
              <w:right w:val="nil"/>
            </w:tcBorders>
            <w:shd w:val="clear" w:color="auto" w:fill="auto"/>
            <w:noWrap/>
            <w:vAlign w:val="bottom"/>
            <w:hideMark/>
          </w:tcPr>
          <w:p w14:paraId="4D391344" w14:textId="77777777" w:rsidR="00F519E5" w:rsidRPr="00C0591E" w:rsidRDefault="00F519E5" w:rsidP="00073799">
            <w:pPr>
              <w:spacing w:before="0" w:line="240" w:lineRule="auto"/>
              <w:jc w:val="center"/>
              <w:rPr>
                <w:rFonts w:eastAsia="Times New Roman"/>
                <w:color w:val="000000"/>
              </w:rPr>
            </w:pPr>
            <w:r w:rsidRPr="00C0591E">
              <w:rPr>
                <w:rFonts w:eastAsia="Times New Roman"/>
                <w:color w:val="000000"/>
              </w:rPr>
              <w:t>0.019</w:t>
            </w:r>
          </w:p>
        </w:tc>
        <w:tc>
          <w:tcPr>
            <w:tcW w:w="458" w:type="pct"/>
            <w:tcBorders>
              <w:top w:val="nil"/>
              <w:left w:val="nil"/>
              <w:bottom w:val="nil"/>
              <w:right w:val="nil"/>
            </w:tcBorders>
            <w:shd w:val="clear" w:color="auto" w:fill="auto"/>
            <w:noWrap/>
            <w:vAlign w:val="bottom"/>
            <w:hideMark/>
          </w:tcPr>
          <w:p w14:paraId="21A4FE6F" w14:textId="77777777" w:rsidR="00F519E5" w:rsidRPr="00C0591E" w:rsidRDefault="00F519E5" w:rsidP="00073799">
            <w:pPr>
              <w:spacing w:before="0" w:line="240" w:lineRule="auto"/>
              <w:jc w:val="center"/>
              <w:rPr>
                <w:rFonts w:eastAsia="Times New Roman"/>
                <w:color w:val="000000"/>
              </w:rPr>
            </w:pPr>
            <w:r w:rsidRPr="00C0591E">
              <w:rPr>
                <w:rFonts w:eastAsia="Times New Roman"/>
                <w:color w:val="000000"/>
              </w:rPr>
              <w:t>0.445</w:t>
            </w:r>
          </w:p>
        </w:tc>
        <w:tc>
          <w:tcPr>
            <w:tcW w:w="606" w:type="pct"/>
            <w:tcBorders>
              <w:top w:val="nil"/>
              <w:left w:val="nil"/>
              <w:bottom w:val="nil"/>
              <w:right w:val="nil"/>
            </w:tcBorders>
            <w:shd w:val="clear" w:color="auto" w:fill="auto"/>
            <w:noWrap/>
            <w:vAlign w:val="bottom"/>
            <w:hideMark/>
          </w:tcPr>
          <w:p w14:paraId="51C19CEC" w14:textId="77777777" w:rsidR="00F519E5" w:rsidRPr="00C0591E" w:rsidRDefault="00F519E5" w:rsidP="00073799">
            <w:pPr>
              <w:spacing w:before="0" w:line="240" w:lineRule="auto"/>
              <w:jc w:val="center"/>
              <w:rPr>
                <w:rFonts w:eastAsia="Times New Roman"/>
                <w:color w:val="000000"/>
              </w:rPr>
            </w:pPr>
            <w:r w:rsidRPr="00C0591E">
              <w:rPr>
                <w:rFonts w:eastAsia="Times New Roman"/>
                <w:color w:val="000000"/>
              </w:rPr>
              <w:t>6.934</w:t>
            </w:r>
          </w:p>
        </w:tc>
        <w:tc>
          <w:tcPr>
            <w:tcW w:w="504" w:type="pct"/>
            <w:tcBorders>
              <w:top w:val="nil"/>
              <w:left w:val="nil"/>
              <w:bottom w:val="nil"/>
              <w:right w:val="nil"/>
            </w:tcBorders>
            <w:shd w:val="clear" w:color="auto" w:fill="auto"/>
            <w:noWrap/>
            <w:vAlign w:val="bottom"/>
            <w:hideMark/>
          </w:tcPr>
          <w:p w14:paraId="0BADF735" w14:textId="77777777" w:rsidR="00F519E5" w:rsidRPr="00C0591E" w:rsidRDefault="00F519E5" w:rsidP="00073799">
            <w:pPr>
              <w:spacing w:before="0" w:line="240" w:lineRule="auto"/>
              <w:jc w:val="center"/>
              <w:rPr>
                <w:rFonts w:eastAsia="Times New Roman"/>
                <w:color w:val="000000"/>
              </w:rPr>
            </w:pPr>
            <w:r w:rsidRPr="00C0591E">
              <w:rPr>
                <w:rFonts w:eastAsia="Times New Roman"/>
                <w:color w:val="000000"/>
              </w:rPr>
              <w:t>0.000</w:t>
            </w:r>
          </w:p>
        </w:tc>
      </w:tr>
      <w:tr w:rsidR="00073799" w:rsidRPr="00C0591E" w14:paraId="72F349C5" w14:textId="77777777" w:rsidTr="00073799">
        <w:trPr>
          <w:trHeight w:val="288"/>
        </w:trPr>
        <w:tc>
          <w:tcPr>
            <w:tcW w:w="548" w:type="pct"/>
            <w:tcBorders>
              <w:top w:val="nil"/>
              <w:left w:val="nil"/>
              <w:bottom w:val="single" w:sz="4" w:space="0" w:color="auto"/>
              <w:right w:val="nil"/>
            </w:tcBorders>
            <w:shd w:val="clear" w:color="auto" w:fill="auto"/>
            <w:noWrap/>
            <w:vAlign w:val="bottom"/>
            <w:hideMark/>
          </w:tcPr>
          <w:p w14:paraId="681D21A5" w14:textId="77777777" w:rsidR="00F519E5" w:rsidRPr="00C0591E" w:rsidRDefault="00F519E5" w:rsidP="00073799">
            <w:pPr>
              <w:spacing w:before="0" w:line="240" w:lineRule="auto"/>
              <w:rPr>
                <w:rFonts w:eastAsia="Times New Roman"/>
                <w:color w:val="000000"/>
              </w:rPr>
            </w:pPr>
            <w:r w:rsidRPr="00C0591E">
              <w:rPr>
                <w:rFonts w:eastAsia="Times New Roman"/>
                <w:color w:val="000000"/>
              </w:rPr>
              <w:t> </w:t>
            </w:r>
          </w:p>
        </w:tc>
        <w:tc>
          <w:tcPr>
            <w:tcW w:w="1246" w:type="pct"/>
            <w:tcBorders>
              <w:top w:val="nil"/>
              <w:left w:val="nil"/>
              <w:bottom w:val="single" w:sz="4" w:space="0" w:color="auto"/>
              <w:right w:val="nil"/>
            </w:tcBorders>
            <w:shd w:val="clear" w:color="auto" w:fill="auto"/>
            <w:noWrap/>
            <w:vAlign w:val="bottom"/>
            <w:hideMark/>
          </w:tcPr>
          <w:p w14:paraId="40A09A99" w14:textId="2E8B0741" w:rsidR="00F519E5" w:rsidRPr="00C0591E" w:rsidRDefault="00F519E5" w:rsidP="00073799">
            <w:pPr>
              <w:spacing w:before="0" w:line="240" w:lineRule="auto"/>
              <w:rPr>
                <w:rFonts w:eastAsia="Times New Roman"/>
                <w:color w:val="000000"/>
              </w:rPr>
            </w:pPr>
            <w:r w:rsidRPr="00C0591E">
              <w:rPr>
                <w:rFonts w:eastAsia="Times New Roman"/>
                <w:color w:val="000000"/>
              </w:rPr>
              <w:t>Investment Policies</w:t>
            </w:r>
          </w:p>
        </w:tc>
        <w:tc>
          <w:tcPr>
            <w:tcW w:w="898" w:type="pct"/>
            <w:tcBorders>
              <w:top w:val="nil"/>
              <w:left w:val="nil"/>
              <w:bottom w:val="single" w:sz="4" w:space="0" w:color="auto"/>
              <w:right w:val="nil"/>
            </w:tcBorders>
            <w:shd w:val="clear" w:color="auto" w:fill="auto"/>
            <w:noWrap/>
            <w:vAlign w:val="bottom"/>
            <w:hideMark/>
          </w:tcPr>
          <w:p w14:paraId="6C57A962" w14:textId="77777777" w:rsidR="00F519E5" w:rsidRPr="00C0591E" w:rsidRDefault="00F519E5" w:rsidP="00073799">
            <w:pPr>
              <w:spacing w:before="0" w:line="240" w:lineRule="auto"/>
              <w:jc w:val="center"/>
              <w:rPr>
                <w:rFonts w:eastAsia="Times New Roman"/>
                <w:color w:val="000000"/>
              </w:rPr>
            </w:pPr>
            <w:r w:rsidRPr="00C0591E">
              <w:rPr>
                <w:rFonts w:eastAsia="Times New Roman"/>
                <w:color w:val="000000"/>
              </w:rPr>
              <w:t>0.109</w:t>
            </w:r>
          </w:p>
        </w:tc>
        <w:tc>
          <w:tcPr>
            <w:tcW w:w="739" w:type="pct"/>
            <w:tcBorders>
              <w:top w:val="nil"/>
              <w:left w:val="nil"/>
              <w:bottom w:val="single" w:sz="4" w:space="0" w:color="auto"/>
              <w:right w:val="nil"/>
            </w:tcBorders>
            <w:shd w:val="clear" w:color="auto" w:fill="auto"/>
            <w:noWrap/>
            <w:vAlign w:val="bottom"/>
            <w:hideMark/>
          </w:tcPr>
          <w:p w14:paraId="7A0A1194" w14:textId="77777777" w:rsidR="00F519E5" w:rsidRPr="00C0591E" w:rsidRDefault="00F519E5" w:rsidP="00073799">
            <w:pPr>
              <w:spacing w:before="0" w:line="240" w:lineRule="auto"/>
              <w:jc w:val="center"/>
              <w:rPr>
                <w:rFonts w:eastAsia="Times New Roman"/>
                <w:color w:val="000000"/>
              </w:rPr>
            </w:pPr>
            <w:r w:rsidRPr="00C0591E">
              <w:rPr>
                <w:rFonts w:eastAsia="Times New Roman"/>
                <w:color w:val="000000"/>
              </w:rPr>
              <w:t>0.019</w:t>
            </w:r>
          </w:p>
        </w:tc>
        <w:tc>
          <w:tcPr>
            <w:tcW w:w="458" w:type="pct"/>
            <w:tcBorders>
              <w:top w:val="nil"/>
              <w:left w:val="nil"/>
              <w:bottom w:val="single" w:sz="4" w:space="0" w:color="auto"/>
              <w:right w:val="nil"/>
            </w:tcBorders>
            <w:shd w:val="clear" w:color="auto" w:fill="auto"/>
            <w:noWrap/>
            <w:vAlign w:val="bottom"/>
            <w:hideMark/>
          </w:tcPr>
          <w:p w14:paraId="6F515A11" w14:textId="77777777" w:rsidR="00F519E5" w:rsidRPr="00C0591E" w:rsidRDefault="00F519E5" w:rsidP="00073799">
            <w:pPr>
              <w:spacing w:before="0" w:line="240" w:lineRule="auto"/>
              <w:jc w:val="center"/>
              <w:rPr>
                <w:rFonts w:eastAsia="Times New Roman"/>
                <w:color w:val="000000"/>
              </w:rPr>
            </w:pPr>
            <w:r w:rsidRPr="00C0591E">
              <w:rPr>
                <w:rFonts w:eastAsia="Times New Roman"/>
                <w:color w:val="000000"/>
              </w:rPr>
              <w:t>0.366</w:t>
            </w:r>
          </w:p>
        </w:tc>
        <w:tc>
          <w:tcPr>
            <w:tcW w:w="606" w:type="pct"/>
            <w:tcBorders>
              <w:top w:val="nil"/>
              <w:left w:val="nil"/>
              <w:bottom w:val="single" w:sz="4" w:space="0" w:color="auto"/>
              <w:right w:val="nil"/>
            </w:tcBorders>
            <w:shd w:val="clear" w:color="auto" w:fill="auto"/>
            <w:noWrap/>
            <w:vAlign w:val="bottom"/>
            <w:hideMark/>
          </w:tcPr>
          <w:p w14:paraId="1EF92F65" w14:textId="77777777" w:rsidR="00F519E5" w:rsidRPr="00C0591E" w:rsidRDefault="00F519E5" w:rsidP="00073799">
            <w:pPr>
              <w:spacing w:before="0" w:line="240" w:lineRule="auto"/>
              <w:jc w:val="center"/>
              <w:rPr>
                <w:rFonts w:eastAsia="Times New Roman"/>
                <w:color w:val="000000"/>
              </w:rPr>
            </w:pPr>
            <w:r w:rsidRPr="00C0591E">
              <w:rPr>
                <w:rFonts w:eastAsia="Times New Roman"/>
                <w:color w:val="000000"/>
              </w:rPr>
              <w:t>5.701</w:t>
            </w:r>
          </w:p>
        </w:tc>
        <w:tc>
          <w:tcPr>
            <w:tcW w:w="504" w:type="pct"/>
            <w:tcBorders>
              <w:top w:val="nil"/>
              <w:left w:val="nil"/>
              <w:bottom w:val="single" w:sz="4" w:space="0" w:color="auto"/>
              <w:right w:val="nil"/>
            </w:tcBorders>
            <w:shd w:val="clear" w:color="auto" w:fill="auto"/>
            <w:noWrap/>
            <w:vAlign w:val="bottom"/>
            <w:hideMark/>
          </w:tcPr>
          <w:p w14:paraId="589BFAD9" w14:textId="77777777" w:rsidR="00F519E5" w:rsidRPr="00C0591E" w:rsidRDefault="00F519E5" w:rsidP="00073799">
            <w:pPr>
              <w:spacing w:before="0" w:line="240" w:lineRule="auto"/>
              <w:jc w:val="center"/>
              <w:rPr>
                <w:rFonts w:eastAsia="Times New Roman"/>
                <w:color w:val="000000"/>
              </w:rPr>
            </w:pPr>
            <w:r w:rsidRPr="00C0591E">
              <w:rPr>
                <w:rFonts w:eastAsia="Times New Roman"/>
                <w:color w:val="000000"/>
              </w:rPr>
              <w:t>0.000</w:t>
            </w:r>
          </w:p>
        </w:tc>
      </w:tr>
    </w:tbl>
    <w:p w14:paraId="2CB77110" w14:textId="0995DC2D" w:rsidR="00F519E5" w:rsidRPr="00C0591E" w:rsidRDefault="00F519E5" w:rsidP="00F519E5">
      <w:pPr>
        <w:rPr>
          <w:lang w:val="en-GB"/>
        </w:rPr>
      </w:pPr>
    </w:p>
    <w:p w14:paraId="5543329A" w14:textId="3610B917" w:rsidR="0074671E" w:rsidRPr="00C0591E" w:rsidRDefault="0074671E" w:rsidP="0074671E">
      <w:r w:rsidRPr="00C0591E">
        <w:t xml:space="preserve">The regression of coefficients results shows that in step one, the regression model of </w:t>
      </w:r>
      <w:r w:rsidR="00E96C5E" w:rsidRPr="00C0591E">
        <w:rPr>
          <w:rFonts w:cs="Times New Roman"/>
          <w:szCs w:val="24"/>
        </w:rPr>
        <w:t xml:space="preserve">performance of pension fund managers </w:t>
      </w:r>
      <w:r w:rsidRPr="00C0591E">
        <w:t xml:space="preserve">on </w:t>
      </w:r>
      <w:r w:rsidR="00173C67">
        <w:t>pillars of corporate governance</w:t>
      </w:r>
      <w:r w:rsidR="00E96C5E" w:rsidRPr="00C0591E">
        <w:t xml:space="preserve"> </w:t>
      </w:r>
      <w:r w:rsidRPr="00C0591E">
        <w:t>was significant with β=</w:t>
      </w:r>
      <w:r w:rsidR="00082FF8" w:rsidRPr="00C0591E">
        <w:rPr>
          <w:rFonts w:eastAsia="Times New Roman"/>
        </w:rPr>
        <w:t>0.222</w:t>
      </w:r>
      <w:r w:rsidRPr="00C0591E">
        <w:t xml:space="preserve">, p=0.000&lt;0.05) and supported by T </w:t>
      </w:r>
      <w:r w:rsidRPr="00C0591E">
        <w:rPr>
          <w:vertAlign w:val="subscript"/>
        </w:rPr>
        <w:t xml:space="preserve">Calculated </w:t>
      </w:r>
      <w:r w:rsidRPr="00C0591E">
        <w:t>=</w:t>
      </w:r>
      <w:r w:rsidR="001753F5" w:rsidRPr="00C0591E">
        <w:t>(1, 295</w:t>
      </w:r>
      <w:r w:rsidRPr="00C0591E">
        <w:t>)=</w:t>
      </w:r>
      <w:r w:rsidR="00082FF8" w:rsidRPr="00C0591E">
        <w:rPr>
          <w:rFonts w:eastAsia="Times New Roman"/>
        </w:rPr>
        <w:t xml:space="preserve"> 19.029</w:t>
      </w:r>
      <w:r w:rsidRPr="00C0591E">
        <w:t xml:space="preserve">&gt; T </w:t>
      </w:r>
      <w:r w:rsidRPr="00C0591E">
        <w:rPr>
          <w:vertAlign w:val="subscript"/>
        </w:rPr>
        <w:t xml:space="preserve">Critical </w:t>
      </w:r>
      <w:r w:rsidRPr="00C0591E">
        <w:t xml:space="preserve"> (0.05, </w:t>
      </w:r>
      <w:r w:rsidR="001753F5" w:rsidRPr="00C0591E">
        <w:t>295</w:t>
      </w:r>
      <w:r w:rsidRPr="00C0591E">
        <w:t>)= 1.658.</w:t>
      </w:r>
    </w:p>
    <w:p w14:paraId="0DF92593" w14:textId="1DAD380A" w:rsidR="0074671E" w:rsidRPr="00C0591E" w:rsidRDefault="0074671E" w:rsidP="0074671E">
      <w:r w:rsidRPr="00C0591E">
        <w:t xml:space="preserve">In step two, the results show that the regression model of </w:t>
      </w:r>
      <w:r w:rsidR="00173C67">
        <w:t>pillars of corporate governance</w:t>
      </w:r>
      <w:r w:rsidR="00E96C5E" w:rsidRPr="00C0591E">
        <w:t xml:space="preserve"> </w:t>
      </w:r>
      <w:r w:rsidRPr="00C0591E">
        <w:t xml:space="preserve">on </w:t>
      </w:r>
      <w:r w:rsidR="00E96C5E" w:rsidRPr="00C0591E">
        <w:t>investment policies</w:t>
      </w:r>
      <w:r w:rsidRPr="00C0591E">
        <w:t xml:space="preserve"> was significant with β=</w:t>
      </w:r>
      <w:r w:rsidR="00082FF8" w:rsidRPr="00C0591E">
        <w:t>0.821</w:t>
      </w:r>
      <w:r w:rsidRPr="00C0591E">
        <w:t xml:space="preserve">, p=0.000&lt;0.05) and supported by T </w:t>
      </w:r>
      <w:r w:rsidRPr="00C0591E">
        <w:rPr>
          <w:vertAlign w:val="subscript"/>
        </w:rPr>
        <w:t>Calculated</w:t>
      </w:r>
      <w:r w:rsidRPr="00C0591E">
        <w:t xml:space="preserve"> </w:t>
      </w:r>
      <w:r w:rsidR="00854442" w:rsidRPr="00C0591E">
        <w:t>= (</w:t>
      </w:r>
      <w:r w:rsidRPr="00C0591E">
        <w:t xml:space="preserve">1, </w:t>
      </w:r>
      <w:r w:rsidR="001753F5" w:rsidRPr="00C0591E">
        <w:t>295</w:t>
      </w:r>
      <w:r w:rsidR="00854442" w:rsidRPr="00C0591E">
        <w:t>) =</w:t>
      </w:r>
      <w:r w:rsidRPr="00C0591E">
        <w:t xml:space="preserve"> </w:t>
      </w:r>
      <w:r w:rsidR="00082FF8" w:rsidRPr="00C0591E">
        <w:t>24.172</w:t>
      </w:r>
      <w:r w:rsidRPr="00C0591E">
        <w:t xml:space="preserve">&gt; T </w:t>
      </w:r>
      <w:r w:rsidR="00854442" w:rsidRPr="00C0591E">
        <w:rPr>
          <w:vertAlign w:val="subscript"/>
        </w:rPr>
        <w:t>Critical</w:t>
      </w:r>
      <w:r w:rsidR="00854442" w:rsidRPr="00C0591E">
        <w:t xml:space="preserve"> (</w:t>
      </w:r>
      <w:r w:rsidRPr="00C0591E">
        <w:t xml:space="preserve">0.05, </w:t>
      </w:r>
      <w:r w:rsidR="001753F5" w:rsidRPr="00C0591E">
        <w:t>295</w:t>
      </w:r>
      <w:r w:rsidR="00854442" w:rsidRPr="00C0591E">
        <w:t>) =</w:t>
      </w:r>
      <w:r w:rsidRPr="00C0591E">
        <w:t xml:space="preserve"> 1.658.</w:t>
      </w:r>
    </w:p>
    <w:p w14:paraId="2A2333E6" w14:textId="3D150A20" w:rsidR="0074671E" w:rsidRPr="00C0591E" w:rsidRDefault="0074671E" w:rsidP="0074671E">
      <w:r w:rsidRPr="00C0591E">
        <w:t xml:space="preserve">In step three, the results show that the regression model of </w:t>
      </w:r>
      <w:r w:rsidR="00E96C5E" w:rsidRPr="00C0591E">
        <w:t xml:space="preserve">investment policies </w:t>
      </w:r>
      <w:r w:rsidRPr="00C0591E">
        <w:t xml:space="preserve">on </w:t>
      </w:r>
      <w:r w:rsidR="00E96C5E" w:rsidRPr="00C0591E">
        <w:rPr>
          <w:rFonts w:cs="Times New Roman"/>
          <w:szCs w:val="24"/>
        </w:rPr>
        <w:t xml:space="preserve">performance of pension fund managers </w:t>
      </w:r>
      <w:r w:rsidRPr="00C0591E">
        <w:t>was significant with β=</w:t>
      </w:r>
      <w:r w:rsidR="00082FF8" w:rsidRPr="00C0591E">
        <w:t>0.217</w:t>
      </w:r>
      <w:r w:rsidRPr="00C0591E">
        <w:t>, p=0.000) and supported by T Calculated =</w:t>
      </w:r>
      <w:r w:rsidR="00D06950" w:rsidRPr="00C0591E">
        <w:t xml:space="preserve"> </w:t>
      </w:r>
      <w:r w:rsidRPr="00C0591E">
        <w:t xml:space="preserve">(1, </w:t>
      </w:r>
      <w:r w:rsidR="001753F5" w:rsidRPr="00C0591E">
        <w:t>295</w:t>
      </w:r>
      <w:r w:rsidR="00854442" w:rsidRPr="00C0591E">
        <w:t>) =</w:t>
      </w:r>
      <w:r w:rsidRPr="00C0591E">
        <w:t xml:space="preserve"> </w:t>
      </w:r>
      <w:r w:rsidR="00DE23BD" w:rsidRPr="00C0591E">
        <w:t>18.224</w:t>
      </w:r>
      <w:r w:rsidRPr="00C0591E">
        <w:t xml:space="preserve">&gt; T </w:t>
      </w:r>
      <w:r w:rsidR="00854442" w:rsidRPr="00C0591E">
        <w:t>Critical (</w:t>
      </w:r>
      <w:r w:rsidRPr="00C0591E">
        <w:t xml:space="preserve">0.05, </w:t>
      </w:r>
      <w:r w:rsidR="001753F5" w:rsidRPr="00C0591E">
        <w:t>295</w:t>
      </w:r>
      <w:r w:rsidR="00854442" w:rsidRPr="00C0591E">
        <w:t>) =</w:t>
      </w:r>
      <w:r w:rsidRPr="00C0591E">
        <w:t xml:space="preserve"> 1.658. </w:t>
      </w:r>
    </w:p>
    <w:p w14:paraId="1C245FD6" w14:textId="1458E8D9" w:rsidR="0074671E" w:rsidRDefault="0074671E" w:rsidP="0074671E">
      <w:r w:rsidRPr="00C0591E">
        <w:t xml:space="preserve">In step four, the results show that the regression model of </w:t>
      </w:r>
      <w:r w:rsidR="00173C67">
        <w:t>pillars of corporate governance</w:t>
      </w:r>
      <w:r w:rsidR="00E96C5E" w:rsidRPr="00C0591E">
        <w:t xml:space="preserve"> </w:t>
      </w:r>
      <w:r w:rsidRPr="00C0591E">
        <w:t xml:space="preserve">and </w:t>
      </w:r>
      <w:r w:rsidR="00E96C5E" w:rsidRPr="00C0591E">
        <w:t xml:space="preserve">investment policies </w:t>
      </w:r>
      <w:r w:rsidRPr="00C0591E">
        <w:t xml:space="preserve">on </w:t>
      </w:r>
      <w:r w:rsidR="00E96C5E" w:rsidRPr="00C0591E">
        <w:rPr>
          <w:rFonts w:cs="Times New Roman"/>
          <w:szCs w:val="24"/>
        </w:rPr>
        <w:t xml:space="preserve">performance of pension fund managers </w:t>
      </w:r>
      <w:r w:rsidRPr="00C0591E">
        <w:t>was significant with (β</w:t>
      </w:r>
      <w:r w:rsidRPr="00C0591E">
        <w:rPr>
          <w:vertAlign w:val="subscript"/>
        </w:rPr>
        <w:t>1</w:t>
      </w:r>
      <w:r w:rsidRPr="00C0591E">
        <w:t>=</w:t>
      </w:r>
      <w:r w:rsidR="00DE23BD" w:rsidRPr="00C0591E">
        <w:t>0.133</w:t>
      </w:r>
      <w:r w:rsidRPr="00C0591E">
        <w:t>, p=0.000&lt;0.05: β</w:t>
      </w:r>
      <w:r w:rsidRPr="00C0591E">
        <w:rPr>
          <w:vertAlign w:val="subscript"/>
        </w:rPr>
        <w:t>2</w:t>
      </w:r>
      <w:r w:rsidRPr="00C0591E">
        <w:t>=</w:t>
      </w:r>
      <w:r w:rsidR="00DE23BD" w:rsidRPr="00C0591E">
        <w:t>0.109</w:t>
      </w:r>
      <w:r w:rsidRPr="00C0591E">
        <w:t xml:space="preserve">, p=0.000&lt;0.05) and supported by T </w:t>
      </w:r>
      <w:r w:rsidRPr="00C0591E">
        <w:rPr>
          <w:vertAlign w:val="subscript"/>
        </w:rPr>
        <w:t>Calculated</w:t>
      </w:r>
      <w:r w:rsidR="001753F5" w:rsidRPr="00C0591E">
        <w:t xml:space="preserve"> =(2</w:t>
      </w:r>
      <w:r w:rsidRPr="00C0591E">
        <w:t xml:space="preserve">, </w:t>
      </w:r>
      <w:r w:rsidR="001753F5" w:rsidRPr="00C0591E">
        <w:t>294</w:t>
      </w:r>
      <w:r w:rsidRPr="00C0591E">
        <w:t xml:space="preserve">)= </w:t>
      </w:r>
      <w:r w:rsidR="00DE23BD" w:rsidRPr="00C0591E">
        <w:t>6.934</w:t>
      </w:r>
      <w:r w:rsidRPr="00C0591E">
        <w:t xml:space="preserve">, </w:t>
      </w:r>
      <w:r w:rsidR="00DE23BD" w:rsidRPr="00C0591E">
        <w:t>5.701</w:t>
      </w:r>
      <w:r w:rsidRPr="00C0591E">
        <w:t xml:space="preserve">&gt; T </w:t>
      </w:r>
      <w:r w:rsidRPr="00C0591E">
        <w:rPr>
          <w:vertAlign w:val="subscript"/>
        </w:rPr>
        <w:t>Critical</w:t>
      </w:r>
      <w:r w:rsidRPr="00C0591E">
        <w:t xml:space="preserve">  (0.05, </w:t>
      </w:r>
      <w:r w:rsidR="001753F5" w:rsidRPr="00C0591E">
        <w:t>294</w:t>
      </w:r>
      <w:r w:rsidRPr="00C0591E">
        <w:t xml:space="preserve">)= 1.658. </w:t>
      </w:r>
    </w:p>
    <w:p w14:paraId="31E987E0" w14:textId="77777777" w:rsidR="00C813FD" w:rsidRPr="00C0591E" w:rsidRDefault="00C813FD" w:rsidP="0074671E"/>
    <w:p w14:paraId="3A7D64B1" w14:textId="77777777" w:rsidR="0074671E" w:rsidRPr="00C0591E" w:rsidRDefault="0074671E" w:rsidP="0074671E">
      <w:r w:rsidRPr="00C0591E">
        <w:t>The fitted modes were:</w:t>
      </w:r>
    </w:p>
    <w:p w14:paraId="6DE0F3A8" w14:textId="7870ED30" w:rsidR="00DE23BD" w:rsidRPr="00C0591E" w:rsidRDefault="00DE23BD" w:rsidP="00DE23BD">
      <w:r w:rsidRPr="00C0591E">
        <w:t xml:space="preserve">P= </w:t>
      </w:r>
      <w:r w:rsidRPr="00C0591E">
        <w:rPr>
          <w:rFonts w:eastAsia="Times New Roman"/>
        </w:rPr>
        <w:t>2.827</w:t>
      </w:r>
      <w:r w:rsidRPr="00C0591E">
        <w:t xml:space="preserve">+ </w:t>
      </w:r>
      <w:r w:rsidRPr="00C0591E">
        <w:rPr>
          <w:rFonts w:eastAsia="Times New Roman"/>
        </w:rPr>
        <w:t>0.222</w:t>
      </w:r>
      <w:r w:rsidRPr="00C0591E">
        <w:t>CG</w:t>
      </w:r>
    </w:p>
    <w:p w14:paraId="69F06EE9" w14:textId="6E33BE69" w:rsidR="00DE23BD" w:rsidRPr="00C0591E" w:rsidRDefault="00DE23BD" w:rsidP="00DE23BD">
      <w:r w:rsidRPr="00C0591E">
        <w:t xml:space="preserve">IP= </w:t>
      </w:r>
      <w:r w:rsidRPr="00C0591E">
        <w:rPr>
          <w:rFonts w:eastAsia="Times New Roman"/>
        </w:rPr>
        <w:t>0.593</w:t>
      </w:r>
      <w:r w:rsidRPr="00C0591E">
        <w:t xml:space="preserve">+ </w:t>
      </w:r>
      <w:r w:rsidRPr="00C0591E">
        <w:rPr>
          <w:rFonts w:eastAsia="Times New Roman"/>
        </w:rPr>
        <w:t>0.821</w:t>
      </w:r>
      <w:r w:rsidRPr="00C0591E">
        <w:t>CG</w:t>
      </w:r>
    </w:p>
    <w:p w14:paraId="47DBDCA7" w14:textId="75463875" w:rsidR="00DE23BD" w:rsidRPr="00C0591E" w:rsidRDefault="00DE23BD" w:rsidP="00DE23BD">
      <w:r w:rsidRPr="00C0591E">
        <w:t xml:space="preserve">P= </w:t>
      </w:r>
      <w:r w:rsidRPr="00C0591E">
        <w:rPr>
          <w:rFonts w:eastAsia="Times New Roman"/>
        </w:rPr>
        <w:t xml:space="preserve">2.826 </w:t>
      </w:r>
      <w:r w:rsidRPr="00C0591E">
        <w:t xml:space="preserve">+ </w:t>
      </w:r>
      <w:r w:rsidRPr="00C0591E">
        <w:rPr>
          <w:rFonts w:eastAsia="Times New Roman"/>
        </w:rPr>
        <w:t>0.217</w:t>
      </w:r>
      <w:r w:rsidRPr="00C0591E">
        <w:t>IP</w:t>
      </w:r>
    </w:p>
    <w:p w14:paraId="4442A5F8" w14:textId="6B638D1C" w:rsidR="00DE23BD" w:rsidRPr="00C0591E" w:rsidRDefault="00DE23BD" w:rsidP="00DE23BD">
      <w:r w:rsidRPr="00C0591E">
        <w:t xml:space="preserve">P= </w:t>
      </w:r>
      <w:r w:rsidRPr="00C0591E">
        <w:rPr>
          <w:rFonts w:eastAsia="Times New Roman"/>
          <w:color w:val="000000"/>
        </w:rPr>
        <w:t xml:space="preserve">2.763 </w:t>
      </w:r>
      <w:r w:rsidRPr="00C0591E">
        <w:t xml:space="preserve">+ </w:t>
      </w:r>
      <w:r w:rsidRPr="00C0591E">
        <w:rPr>
          <w:rFonts w:eastAsia="Times New Roman"/>
          <w:color w:val="000000"/>
        </w:rPr>
        <w:t>0.133</w:t>
      </w:r>
      <w:r w:rsidRPr="00C0591E">
        <w:t xml:space="preserve">CG+ </w:t>
      </w:r>
      <w:r w:rsidRPr="00C0591E">
        <w:rPr>
          <w:rFonts w:eastAsia="Times New Roman"/>
          <w:color w:val="000000"/>
        </w:rPr>
        <w:t>0.109</w:t>
      </w:r>
      <w:r w:rsidRPr="00C0591E">
        <w:t>IP</w:t>
      </w:r>
    </w:p>
    <w:p w14:paraId="4E7860AE" w14:textId="77777777" w:rsidR="00DE23BD" w:rsidRPr="00C0591E" w:rsidRDefault="00DE23BD" w:rsidP="00DE23BD">
      <w:pPr>
        <w:jc w:val="left"/>
        <w:rPr>
          <w:szCs w:val="24"/>
        </w:rPr>
      </w:pPr>
      <w:r w:rsidRPr="00C0591E">
        <w:rPr>
          <w:szCs w:val="24"/>
        </w:rPr>
        <w:t>Where;</w:t>
      </w:r>
    </w:p>
    <w:p w14:paraId="7B21D2BE" w14:textId="112496B6" w:rsidR="00DE23BD" w:rsidRPr="00C0591E" w:rsidRDefault="00DE23BD" w:rsidP="00952F81">
      <w:pPr>
        <w:jc w:val="left"/>
        <w:rPr>
          <w:szCs w:val="24"/>
        </w:rPr>
      </w:pPr>
      <w:r w:rsidRPr="00C0591E">
        <w:rPr>
          <w:szCs w:val="24"/>
        </w:rPr>
        <w:t>P =    Performance</w:t>
      </w:r>
      <w:r w:rsidR="00952F81" w:rsidRPr="00C0591E">
        <w:t xml:space="preserve"> </w:t>
      </w:r>
      <w:r w:rsidR="00952F81" w:rsidRPr="00C0591E">
        <w:rPr>
          <w:szCs w:val="24"/>
        </w:rPr>
        <w:t>of pension fund managers</w:t>
      </w:r>
    </w:p>
    <w:p w14:paraId="5B9EB390" w14:textId="0716089C" w:rsidR="00DE23BD" w:rsidRPr="00C0591E" w:rsidRDefault="00DE23BD" w:rsidP="00DE23BD">
      <w:pPr>
        <w:jc w:val="left"/>
        <w:rPr>
          <w:rFonts w:cs="Times New Roman"/>
          <w:szCs w:val="24"/>
        </w:rPr>
      </w:pPr>
      <w:r w:rsidRPr="00C0591E">
        <w:rPr>
          <w:szCs w:val="24"/>
        </w:rPr>
        <w:t>CG =</w:t>
      </w:r>
      <w:r w:rsidRPr="00C0591E">
        <w:rPr>
          <w:rFonts w:cs="Times New Roman"/>
          <w:szCs w:val="24"/>
        </w:rPr>
        <w:t xml:space="preserve"> </w:t>
      </w:r>
      <w:r w:rsidR="00173C67">
        <w:rPr>
          <w:rFonts w:cs="Times New Roman"/>
          <w:szCs w:val="24"/>
        </w:rPr>
        <w:t>Pillars of corporate governance</w:t>
      </w:r>
    </w:p>
    <w:p w14:paraId="725B94EB" w14:textId="352D06EC" w:rsidR="00DE23BD" w:rsidRPr="00C0591E" w:rsidRDefault="00DE23BD" w:rsidP="00DE23BD">
      <w:pPr>
        <w:jc w:val="left"/>
      </w:pPr>
      <w:r w:rsidRPr="00C0591E">
        <w:rPr>
          <w:rFonts w:cs="Times New Roman"/>
          <w:szCs w:val="24"/>
        </w:rPr>
        <w:t xml:space="preserve">IP= </w:t>
      </w:r>
      <w:r w:rsidR="00D7195C" w:rsidRPr="00C0591E">
        <w:rPr>
          <w:rFonts w:cs="Times New Roman"/>
          <w:szCs w:val="24"/>
        </w:rPr>
        <w:t xml:space="preserve">    </w:t>
      </w:r>
      <w:r w:rsidRPr="00C0591E">
        <w:rPr>
          <w:rFonts w:cs="Times New Roman"/>
          <w:szCs w:val="24"/>
        </w:rPr>
        <w:t>Investment</w:t>
      </w:r>
      <w:r w:rsidRPr="00C0591E">
        <w:t xml:space="preserve"> Policies</w:t>
      </w:r>
    </w:p>
    <w:p w14:paraId="05292583" w14:textId="2FD373FF" w:rsidR="00952F81" w:rsidRPr="00C0591E" w:rsidRDefault="00C813FD" w:rsidP="00952F81">
      <w:r w:rsidRPr="00C0591E">
        <w:t>Thus,</w:t>
      </w:r>
      <w:r w:rsidR="00952F81" w:rsidRPr="00C0591E">
        <w:t xml:space="preserve"> step 1, 2 and 3 were met as the P-value were below 0.05. However, step 4 was not met as the p value for </w:t>
      </w:r>
      <w:r w:rsidR="00173C67">
        <w:t>pillars of corporate governance</w:t>
      </w:r>
      <w:r w:rsidR="00A052F4" w:rsidRPr="00C0591E">
        <w:t xml:space="preserve"> was below 0.05. Therefore, this indicated that there exists a partial mediation effect on the mediating role of investment policies on the relationship between </w:t>
      </w:r>
      <w:r w:rsidR="00173C67">
        <w:t>pillars of corporate governance</w:t>
      </w:r>
      <w:r w:rsidR="00A052F4" w:rsidRPr="00C0591E">
        <w:t xml:space="preserve"> and performance of pension fund managers. </w:t>
      </w:r>
      <w:r w:rsidR="00262C1A" w:rsidRPr="00C0591E">
        <w:t xml:space="preserve">Partial mediation implies that there is not only a significant relationship between the mediator and the dependent variable, but also some direct relationship between the independent and dependent variable. </w:t>
      </w:r>
      <w:r w:rsidR="00A052F4" w:rsidRPr="00C0591E">
        <w:t xml:space="preserve">The study thus, rejected the null hypothesis and adopted the alternative hypothesis that there is a partial intervening effect of investment policies in the relationship between </w:t>
      </w:r>
      <w:r w:rsidR="00173C67">
        <w:rPr>
          <w:rFonts w:eastAsia="Times New Roman"/>
        </w:rPr>
        <w:t>pillars of corporate governance</w:t>
      </w:r>
      <w:r w:rsidR="00A052F4" w:rsidRPr="00C0591E">
        <w:rPr>
          <w:rFonts w:eastAsia="Times New Roman"/>
        </w:rPr>
        <w:t xml:space="preserve"> and performance of pension fund managers in Kenya</w:t>
      </w:r>
      <w:r w:rsidR="00952F81" w:rsidRPr="00C0591E">
        <w:rPr>
          <w:rFonts w:eastAsia="Times New Roman"/>
        </w:rPr>
        <w:t>.</w:t>
      </w:r>
    </w:p>
    <w:p w14:paraId="18C0CF20" w14:textId="0712CDC1" w:rsidR="00FB19B2" w:rsidRPr="00C0591E" w:rsidRDefault="00FB19B2" w:rsidP="00B52D9C">
      <w:pPr>
        <w:pStyle w:val="Heading3"/>
      </w:pPr>
      <w:bookmarkStart w:id="302" w:name="_Toc22319986"/>
      <w:r w:rsidRPr="00C0591E">
        <w:t xml:space="preserve">4.7.3 Moderating Effect </w:t>
      </w:r>
      <w:bookmarkEnd w:id="302"/>
      <w:r w:rsidR="00B52D9C" w:rsidRPr="00C0591E">
        <w:t>Government Regulation</w:t>
      </w:r>
    </w:p>
    <w:p w14:paraId="37D6B121" w14:textId="76AEFC9C" w:rsidR="00FB19B2" w:rsidRPr="00C0591E" w:rsidRDefault="00FB19B2" w:rsidP="0083465D">
      <w:r w:rsidRPr="00C0591E">
        <w:t xml:space="preserve">The third objective was to establish the </w:t>
      </w:r>
      <w:r w:rsidR="00B52D9C" w:rsidRPr="00C0591E">
        <w:t xml:space="preserve">moderating effect of government regulations on the relationship between </w:t>
      </w:r>
      <w:r w:rsidR="00173C67">
        <w:t>pillars of corporate governance</w:t>
      </w:r>
      <w:r w:rsidR="00B52D9C" w:rsidRPr="00C0591E">
        <w:t xml:space="preserve"> and performance of pension fund managers in Kenya</w:t>
      </w:r>
      <w:r w:rsidRPr="00C0591E">
        <w:t>. The third hypothesis stated in the null form is as follows:</w:t>
      </w:r>
    </w:p>
    <w:p w14:paraId="1B6F6235" w14:textId="1F6694FE" w:rsidR="00952F81" w:rsidRPr="00C0591E" w:rsidRDefault="00B52D9C" w:rsidP="00DE23BD">
      <w:pPr>
        <w:jc w:val="left"/>
        <w:rPr>
          <w:rFonts w:cs="Times New Roman"/>
          <w:b/>
          <w:szCs w:val="24"/>
        </w:rPr>
      </w:pPr>
      <w:r w:rsidRPr="00C0591E">
        <w:rPr>
          <w:rFonts w:eastAsia="Times New Roman"/>
          <w:b/>
          <w:szCs w:val="24"/>
        </w:rPr>
        <w:t>H</w:t>
      </w:r>
      <w:r w:rsidRPr="00C0591E">
        <w:rPr>
          <w:rFonts w:eastAsia="Times New Roman"/>
          <w:b/>
          <w:szCs w:val="24"/>
          <w:vertAlign w:val="subscript"/>
        </w:rPr>
        <w:t>03</w:t>
      </w:r>
      <w:r w:rsidRPr="00C0591E">
        <w:rPr>
          <w:rFonts w:eastAsia="Times New Roman"/>
          <w:b/>
          <w:szCs w:val="24"/>
        </w:rPr>
        <w:t xml:space="preserve">: There is no significant </w:t>
      </w:r>
      <w:r w:rsidRPr="00C0591E">
        <w:rPr>
          <w:rFonts w:cs="Times New Roman"/>
          <w:b/>
          <w:szCs w:val="24"/>
        </w:rPr>
        <w:t xml:space="preserve">moderating effect of government regulations on the relationship between </w:t>
      </w:r>
      <w:r w:rsidR="00173C67">
        <w:rPr>
          <w:rFonts w:cs="Times New Roman"/>
          <w:b/>
          <w:szCs w:val="24"/>
        </w:rPr>
        <w:t>pillars of corporate governance</w:t>
      </w:r>
      <w:r w:rsidRPr="00C0591E">
        <w:rPr>
          <w:rFonts w:cs="Times New Roman"/>
          <w:b/>
          <w:szCs w:val="24"/>
        </w:rPr>
        <w:t xml:space="preserve"> and performance of pension fund managers in Kenya</w:t>
      </w:r>
    </w:p>
    <w:p w14:paraId="5A89E710" w14:textId="3862D87C" w:rsidR="00B52D9C" w:rsidRPr="00C0591E" w:rsidRDefault="00B52D9C" w:rsidP="00262C1A">
      <w:r w:rsidRPr="00C0591E">
        <w:t xml:space="preserve">The moderating effect of government regulations was assessed and results explained using coefficient of determination (R-Square), Analysis of Variance (ANOVA) and the regression coefficients. Hierarchical regression analysis was performed with an interaction term (a product of </w:t>
      </w:r>
      <w:r w:rsidR="00173C67">
        <w:rPr>
          <w:rFonts w:eastAsia="Times New Roman" w:cs="Times New Roman"/>
          <w:szCs w:val="24"/>
        </w:rPr>
        <w:t>pillars of corporate governance</w:t>
      </w:r>
      <w:r w:rsidRPr="00C0591E">
        <w:rPr>
          <w:rFonts w:eastAsia="Times New Roman" w:cs="Times New Roman"/>
          <w:szCs w:val="24"/>
        </w:rPr>
        <w:t xml:space="preserve"> and</w:t>
      </w:r>
      <w:r w:rsidRPr="00C0591E">
        <w:rPr>
          <w:rFonts w:eastAsia="Times New Roman" w:cs="Times New Roman"/>
          <w:b/>
          <w:szCs w:val="24"/>
        </w:rPr>
        <w:t xml:space="preserve"> </w:t>
      </w:r>
      <w:r w:rsidRPr="00C0591E">
        <w:t>government regulations) introduced as an additional predictor. The moderating effect was analyzed in 3 models as guided by the following models:</w:t>
      </w:r>
    </w:p>
    <w:p w14:paraId="4F11F1FA" w14:textId="2D95150E" w:rsidR="00C02DBD" w:rsidRPr="00C0591E" w:rsidRDefault="00C02DBD" w:rsidP="00C02DBD">
      <w:pPr>
        <w:jc w:val="left"/>
      </w:pPr>
      <w:r w:rsidRPr="00C0591E">
        <w:t>P=β</w:t>
      </w:r>
      <w:r w:rsidRPr="00C0591E">
        <w:rPr>
          <w:vertAlign w:val="subscript"/>
        </w:rPr>
        <w:t>0</w:t>
      </w:r>
      <w:r w:rsidRPr="00C0591E">
        <w:t>+βCG + ε</w:t>
      </w:r>
    </w:p>
    <w:p w14:paraId="7E7CD843" w14:textId="70ACAC74" w:rsidR="00C02DBD" w:rsidRPr="00C0591E" w:rsidRDefault="00C02DBD" w:rsidP="00C02DBD">
      <w:pPr>
        <w:jc w:val="left"/>
      </w:pPr>
      <w:r w:rsidRPr="00C0591E">
        <w:t>P=β</w:t>
      </w:r>
      <w:r w:rsidRPr="00C0591E">
        <w:rPr>
          <w:vertAlign w:val="subscript"/>
        </w:rPr>
        <w:t>0</w:t>
      </w:r>
      <w:r w:rsidRPr="00C0591E">
        <w:t>+ βCG + βGR + ε</w:t>
      </w:r>
    </w:p>
    <w:p w14:paraId="16817761" w14:textId="51D3F897" w:rsidR="00C02DBD" w:rsidRPr="00C0591E" w:rsidRDefault="00C02DBD" w:rsidP="00C02DBD">
      <w:r w:rsidRPr="00C0591E">
        <w:t>P=β</w:t>
      </w:r>
      <w:r w:rsidRPr="00C0591E">
        <w:rPr>
          <w:vertAlign w:val="subscript"/>
        </w:rPr>
        <w:t>0</w:t>
      </w:r>
      <w:r w:rsidRPr="00C0591E">
        <w:t>+βCG+βGR+βCG*GR +ε</w:t>
      </w:r>
    </w:p>
    <w:p w14:paraId="0C19B7ED" w14:textId="30B27B6A" w:rsidR="000E70F4" w:rsidRPr="00C0591E" w:rsidRDefault="000E70F4" w:rsidP="000E70F4">
      <w:pPr>
        <w:pStyle w:val="Heading4"/>
      </w:pPr>
      <w:bookmarkStart w:id="303" w:name="_Toc39670036"/>
      <w:bookmarkStart w:id="304" w:name="_Toc113125163"/>
      <w:r w:rsidRPr="00C0591E">
        <w:t xml:space="preserve">Table </w:t>
      </w:r>
      <w:r w:rsidR="00191F36" w:rsidRPr="00C0591E">
        <w:t>28</w:t>
      </w:r>
      <w:r w:rsidRPr="00C0591E">
        <w:t>: R</w:t>
      </w:r>
      <w:r w:rsidRPr="00C0591E">
        <w:rPr>
          <w:szCs w:val="16"/>
          <w:vertAlign w:val="superscript"/>
        </w:rPr>
        <w:t xml:space="preserve">2 </w:t>
      </w:r>
      <w:r w:rsidRPr="00C0591E">
        <w:t xml:space="preserve">for </w:t>
      </w:r>
      <w:r w:rsidR="00173C67">
        <w:t>Pillars of corporate governance</w:t>
      </w:r>
      <w:r w:rsidRPr="00C0591E">
        <w:t xml:space="preserve">, Government Regulations on </w:t>
      </w:r>
      <w:bookmarkEnd w:id="303"/>
      <w:r w:rsidRPr="00C0591E">
        <w:t>Performance</w:t>
      </w:r>
      <w:bookmarkEnd w:id="304"/>
      <w:r w:rsidRPr="00C0591E">
        <w:t xml:space="preserve"> </w:t>
      </w:r>
    </w:p>
    <w:tbl>
      <w:tblPr>
        <w:tblW w:w="5000" w:type="pct"/>
        <w:tblLook w:val="04A0" w:firstRow="1" w:lastRow="0" w:firstColumn="1" w:lastColumn="0" w:noHBand="0" w:noVBand="1"/>
      </w:tblPr>
      <w:tblGrid>
        <w:gridCol w:w="1320"/>
        <w:gridCol w:w="1320"/>
        <w:gridCol w:w="1320"/>
        <w:gridCol w:w="2177"/>
        <w:gridCol w:w="2889"/>
      </w:tblGrid>
      <w:tr w:rsidR="005E125E" w:rsidRPr="00C0591E" w14:paraId="3F4385FB" w14:textId="77777777" w:rsidTr="000E70F4">
        <w:trPr>
          <w:trHeight w:val="288"/>
        </w:trPr>
        <w:tc>
          <w:tcPr>
            <w:tcW w:w="731" w:type="pct"/>
            <w:tcBorders>
              <w:top w:val="single" w:sz="4" w:space="0" w:color="auto"/>
              <w:left w:val="nil"/>
              <w:bottom w:val="single" w:sz="4" w:space="0" w:color="auto"/>
              <w:right w:val="nil"/>
            </w:tcBorders>
            <w:shd w:val="clear" w:color="auto" w:fill="auto"/>
            <w:noWrap/>
            <w:vAlign w:val="bottom"/>
            <w:hideMark/>
          </w:tcPr>
          <w:p w14:paraId="43D9F9C0" w14:textId="77777777" w:rsidR="005E125E" w:rsidRPr="00C0591E" w:rsidRDefault="005E125E" w:rsidP="000E70F4">
            <w:pPr>
              <w:spacing w:after="0"/>
              <w:rPr>
                <w:rFonts w:eastAsia="Times New Roman"/>
                <w:b/>
              </w:rPr>
            </w:pPr>
            <w:r w:rsidRPr="00C0591E">
              <w:rPr>
                <w:rFonts w:eastAsia="Times New Roman"/>
                <w:b/>
              </w:rPr>
              <w:t>Model</w:t>
            </w:r>
          </w:p>
        </w:tc>
        <w:tc>
          <w:tcPr>
            <w:tcW w:w="731" w:type="pct"/>
            <w:tcBorders>
              <w:top w:val="single" w:sz="4" w:space="0" w:color="auto"/>
              <w:left w:val="nil"/>
              <w:bottom w:val="single" w:sz="4" w:space="0" w:color="auto"/>
              <w:right w:val="nil"/>
            </w:tcBorders>
            <w:shd w:val="clear" w:color="auto" w:fill="auto"/>
            <w:noWrap/>
            <w:vAlign w:val="bottom"/>
            <w:hideMark/>
          </w:tcPr>
          <w:p w14:paraId="1C4F1C4F" w14:textId="77777777" w:rsidR="005E125E" w:rsidRPr="00C0591E" w:rsidRDefault="005E125E" w:rsidP="000E70F4">
            <w:pPr>
              <w:spacing w:after="0"/>
              <w:jc w:val="center"/>
              <w:rPr>
                <w:rFonts w:eastAsia="Times New Roman"/>
                <w:b/>
              </w:rPr>
            </w:pPr>
            <w:r w:rsidRPr="00C0591E">
              <w:rPr>
                <w:rFonts w:eastAsia="Times New Roman"/>
                <w:b/>
              </w:rPr>
              <w:t>R</w:t>
            </w:r>
          </w:p>
        </w:tc>
        <w:tc>
          <w:tcPr>
            <w:tcW w:w="731" w:type="pct"/>
            <w:tcBorders>
              <w:top w:val="single" w:sz="4" w:space="0" w:color="auto"/>
              <w:left w:val="nil"/>
              <w:bottom w:val="single" w:sz="4" w:space="0" w:color="auto"/>
              <w:right w:val="nil"/>
            </w:tcBorders>
            <w:shd w:val="clear" w:color="auto" w:fill="auto"/>
            <w:noWrap/>
            <w:vAlign w:val="bottom"/>
            <w:hideMark/>
          </w:tcPr>
          <w:p w14:paraId="21FDC935" w14:textId="77777777" w:rsidR="005E125E" w:rsidRPr="00C0591E" w:rsidRDefault="005E125E" w:rsidP="000E70F4">
            <w:pPr>
              <w:spacing w:after="0"/>
              <w:jc w:val="center"/>
              <w:rPr>
                <w:rFonts w:eastAsia="Times New Roman"/>
                <w:b/>
              </w:rPr>
            </w:pPr>
            <w:r w:rsidRPr="00C0591E">
              <w:rPr>
                <w:rFonts w:eastAsia="Times New Roman"/>
                <w:b/>
              </w:rPr>
              <w:t>R Square</w:t>
            </w:r>
          </w:p>
        </w:tc>
        <w:tc>
          <w:tcPr>
            <w:tcW w:w="1206" w:type="pct"/>
            <w:tcBorders>
              <w:top w:val="single" w:sz="4" w:space="0" w:color="auto"/>
              <w:left w:val="nil"/>
              <w:bottom w:val="single" w:sz="4" w:space="0" w:color="auto"/>
              <w:right w:val="nil"/>
            </w:tcBorders>
            <w:shd w:val="clear" w:color="auto" w:fill="auto"/>
            <w:noWrap/>
            <w:vAlign w:val="bottom"/>
            <w:hideMark/>
          </w:tcPr>
          <w:p w14:paraId="201CCD2C" w14:textId="77777777" w:rsidR="005E125E" w:rsidRPr="00C0591E" w:rsidRDefault="005E125E" w:rsidP="000E70F4">
            <w:pPr>
              <w:spacing w:after="0"/>
              <w:jc w:val="center"/>
              <w:rPr>
                <w:rFonts w:eastAsia="Times New Roman"/>
                <w:b/>
              </w:rPr>
            </w:pPr>
            <w:r w:rsidRPr="00C0591E">
              <w:rPr>
                <w:rFonts w:eastAsia="Times New Roman"/>
                <w:b/>
              </w:rPr>
              <w:t>Adjusted R Square</w:t>
            </w:r>
          </w:p>
        </w:tc>
        <w:tc>
          <w:tcPr>
            <w:tcW w:w="1600" w:type="pct"/>
            <w:tcBorders>
              <w:top w:val="single" w:sz="4" w:space="0" w:color="auto"/>
              <w:left w:val="nil"/>
              <w:bottom w:val="single" w:sz="4" w:space="0" w:color="auto"/>
              <w:right w:val="nil"/>
            </w:tcBorders>
            <w:shd w:val="clear" w:color="auto" w:fill="auto"/>
            <w:noWrap/>
            <w:vAlign w:val="bottom"/>
            <w:hideMark/>
          </w:tcPr>
          <w:p w14:paraId="0BF7DF70" w14:textId="77777777" w:rsidR="005E125E" w:rsidRPr="00C0591E" w:rsidRDefault="005E125E" w:rsidP="000E70F4">
            <w:pPr>
              <w:spacing w:after="0"/>
              <w:jc w:val="center"/>
              <w:rPr>
                <w:rFonts w:eastAsia="Times New Roman"/>
                <w:b/>
              </w:rPr>
            </w:pPr>
            <w:r w:rsidRPr="00C0591E">
              <w:rPr>
                <w:rFonts w:eastAsia="Times New Roman"/>
                <w:b/>
              </w:rPr>
              <w:t>Std. Error of the Estimate</w:t>
            </w:r>
          </w:p>
        </w:tc>
      </w:tr>
      <w:tr w:rsidR="005E125E" w:rsidRPr="00C0591E" w14:paraId="79EEE166" w14:textId="77777777" w:rsidTr="000E70F4">
        <w:trPr>
          <w:trHeight w:val="288"/>
        </w:trPr>
        <w:tc>
          <w:tcPr>
            <w:tcW w:w="731" w:type="pct"/>
            <w:tcBorders>
              <w:top w:val="nil"/>
              <w:left w:val="nil"/>
              <w:bottom w:val="nil"/>
              <w:right w:val="nil"/>
            </w:tcBorders>
            <w:shd w:val="clear" w:color="auto" w:fill="auto"/>
            <w:noWrap/>
            <w:vAlign w:val="bottom"/>
            <w:hideMark/>
          </w:tcPr>
          <w:p w14:paraId="1C77D42A" w14:textId="77777777" w:rsidR="005E125E" w:rsidRPr="00C0591E" w:rsidRDefault="005E125E" w:rsidP="000E70F4">
            <w:pPr>
              <w:spacing w:after="0"/>
              <w:rPr>
                <w:rFonts w:eastAsia="Times New Roman"/>
              </w:rPr>
            </w:pPr>
            <w:r w:rsidRPr="00C0591E">
              <w:rPr>
                <w:rFonts w:eastAsia="Times New Roman"/>
              </w:rPr>
              <w:t>1</w:t>
            </w:r>
          </w:p>
        </w:tc>
        <w:tc>
          <w:tcPr>
            <w:tcW w:w="731" w:type="pct"/>
            <w:tcBorders>
              <w:top w:val="nil"/>
              <w:left w:val="nil"/>
              <w:bottom w:val="nil"/>
              <w:right w:val="nil"/>
            </w:tcBorders>
            <w:shd w:val="clear" w:color="auto" w:fill="auto"/>
            <w:noWrap/>
            <w:vAlign w:val="bottom"/>
            <w:hideMark/>
          </w:tcPr>
          <w:p w14:paraId="3C130AE7" w14:textId="77777777" w:rsidR="005E125E" w:rsidRPr="00C0591E" w:rsidRDefault="005E125E" w:rsidP="000E70F4">
            <w:pPr>
              <w:spacing w:after="0"/>
              <w:jc w:val="center"/>
              <w:rPr>
                <w:rFonts w:eastAsia="Times New Roman"/>
              </w:rPr>
            </w:pPr>
            <w:r w:rsidRPr="00C0591E">
              <w:rPr>
                <w:rFonts w:eastAsia="Times New Roman"/>
              </w:rPr>
              <w:t>.743a</w:t>
            </w:r>
          </w:p>
        </w:tc>
        <w:tc>
          <w:tcPr>
            <w:tcW w:w="731" w:type="pct"/>
            <w:tcBorders>
              <w:top w:val="nil"/>
              <w:left w:val="nil"/>
              <w:bottom w:val="nil"/>
              <w:right w:val="nil"/>
            </w:tcBorders>
            <w:shd w:val="clear" w:color="auto" w:fill="auto"/>
            <w:noWrap/>
            <w:vAlign w:val="bottom"/>
            <w:hideMark/>
          </w:tcPr>
          <w:p w14:paraId="419609DF" w14:textId="77777777" w:rsidR="005E125E" w:rsidRPr="00C0591E" w:rsidRDefault="005E125E" w:rsidP="000E70F4">
            <w:pPr>
              <w:spacing w:after="0"/>
              <w:jc w:val="center"/>
              <w:rPr>
                <w:rFonts w:eastAsia="Times New Roman"/>
              </w:rPr>
            </w:pPr>
            <w:r w:rsidRPr="00C0591E">
              <w:rPr>
                <w:rFonts w:eastAsia="Times New Roman"/>
              </w:rPr>
              <w:t>0.552</w:t>
            </w:r>
          </w:p>
        </w:tc>
        <w:tc>
          <w:tcPr>
            <w:tcW w:w="1206" w:type="pct"/>
            <w:tcBorders>
              <w:top w:val="nil"/>
              <w:left w:val="nil"/>
              <w:bottom w:val="nil"/>
              <w:right w:val="nil"/>
            </w:tcBorders>
            <w:shd w:val="clear" w:color="auto" w:fill="auto"/>
            <w:noWrap/>
            <w:vAlign w:val="bottom"/>
            <w:hideMark/>
          </w:tcPr>
          <w:p w14:paraId="34059491" w14:textId="2829B732" w:rsidR="005E125E" w:rsidRPr="00C0591E" w:rsidRDefault="005E125E" w:rsidP="000E70F4">
            <w:pPr>
              <w:spacing w:after="0"/>
              <w:jc w:val="center"/>
              <w:rPr>
                <w:rFonts w:eastAsia="Times New Roman"/>
              </w:rPr>
            </w:pPr>
            <w:r w:rsidRPr="00C0591E">
              <w:rPr>
                <w:rFonts w:eastAsia="Times New Roman"/>
              </w:rPr>
              <w:t>0.55</w:t>
            </w:r>
            <w:r w:rsidR="000E70F4" w:rsidRPr="00C0591E">
              <w:rPr>
                <w:rFonts w:eastAsia="Times New Roman"/>
              </w:rPr>
              <w:t>0</w:t>
            </w:r>
          </w:p>
        </w:tc>
        <w:tc>
          <w:tcPr>
            <w:tcW w:w="1600" w:type="pct"/>
            <w:tcBorders>
              <w:top w:val="nil"/>
              <w:left w:val="nil"/>
              <w:bottom w:val="nil"/>
              <w:right w:val="nil"/>
            </w:tcBorders>
            <w:shd w:val="clear" w:color="auto" w:fill="auto"/>
            <w:noWrap/>
            <w:vAlign w:val="bottom"/>
            <w:hideMark/>
          </w:tcPr>
          <w:p w14:paraId="55214F5F" w14:textId="77777777" w:rsidR="005E125E" w:rsidRPr="00C0591E" w:rsidRDefault="005E125E" w:rsidP="000E70F4">
            <w:pPr>
              <w:spacing w:after="0"/>
              <w:jc w:val="center"/>
              <w:rPr>
                <w:rFonts w:eastAsia="Times New Roman"/>
              </w:rPr>
            </w:pPr>
            <w:r w:rsidRPr="00C0591E">
              <w:rPr>
                <w:rFonts w:eastAsia="Times New Roman"/>
              </w:rPr>
              <w:t>0.26671</w:t>
            </w:r>
          </w:p>
        </w:tc>
      </w:tr>
      <w:tr w:rsidR="005E125E" w:rsidRPr="00C0591E" w14:paraId="47259AFC" w14:textId="77777777" w:rsidTr="000E70F4">
        <w:trPr>
          <w:trHeight w:val="288"/>
        </w:trPr>
        <w:tc>
          <w:tcPr>
            <w:tcW w:w="731" w:type="pct"/>
            <w:tcBorders>
              <w:top w:val="nil"/>
              <w:left w:val="nil"/>
              <w:bottom w:val="nil"/>
              <w:right w:val="nil"/>
            </w:tcBorders>
            <w:shd w:val="clear" w:color="auto" w:fill="auto"/>
            <w:noWrap/>
            <w:vAlign w:val="bottom"/>
            <w:hideMark/>
          </w:tcPr>
          <w:p w14:paraId="5C4A09DA" w14:textId="77777777" w:rsidR="005E125E" w:rsidRPr="00C0591E" w:rsidRDefault="005E125E" w:rsidP="000E70F4">
            <w:pPr>
              <w:spacing w:after="0"/>
              <w:rPr>
                <w:rFonts w:eastAsia="Times New Roman"/>
                <w:color w:val="000000"/>
              </w:rPr>
            </w:pPr>
            <w:r w:rsidRPr="00C0591E">
              <w:rPr>
                <w:rFonts w:eastAsia="Times New Roman"/>
                <w:color w:val="000000"/>
              </w:rPr>
              <w:t>2</w:t>
            </w:r>
          </w:p>
        </w:tc>
        <w:tc>
          <w:tcPr>
            <w:tcW w:w="731" w:type="pct"/>
            <w:tcBorders>
              <w:top w:val="nil"/>
              <w:left w:val="nil"/>
              <w:bottom w:val="nil"/>
              <w:right w:val="nil"/>
            </w:tcBorders>
            <w:shd w:val="clear" w:color="auto" w:fill="auto"/>
            <w:noWrap/>
            <w:vAlign w:val="bottom"/>
            <w:hideMark/>
          </w:tcPr>
          <w:p w14:paraId="1F68DD85" w14:textId="77777777" w:rsidR="005E125E" w:rsidRPr="00C0591E" w:rsidRDefault="005E125E" w:rsidP="000E70F4">
            <w:pPr>
              <w:spacing w:after="0"/>
              <w:jc w:val="center"/>
              <w:rPr>
                <w:rFonts w:eastAsia="Times New Roman"/>
                <w:color w:val="000000"/>
              </w:rPr>
            </w:pPr>
            <w:r w:rsidRPr="00C0591E">
              <w:rPr>
                <w:rFonts w:eastAsia="Times New Roman"/>
                <w:color w:val="000000"/>
              </w:rPr>
              <w:t>.781a</w:t>
            </w:r>
          </w:p>
        </w:tc>
        <w:tc>
          <w:tcPr>
            <w:tcW w:w="731" w:type="pct"/>
            <w:tcBorders>
              <w:top w:val="nil"/>
              <w:left w:val="nil"/>
              <w:bottom w:val="nil"/>
              <w:right w:val="nil"/>
            </w:tcBorders>
            <w:shd w:val="clear" w:color="auto" w:fill="auto"/>
            <w:noWrap/>
            <w:vAlign w:val="bottom"/>
            <w:hideMark/>
          </w:tcPr>
          <w:p w14:paraId="1506EB52" w14:textId="77777777" w:rsidR="005E125E" w:rsidRPr="00C0591E" w:rsidRDefault="005E125E" w:rsidP="000E70F4">
            <w:pPr>
              <w:spacing w:after="0"/>
              <w:jc w:val="center"/>
              <w:rPr>
                <w:rFonts w:eastAsia="Times New Roman"/>
                <w:color w:val="000000"/>
              </w:rPr>
            </w:pPr>
            <w:r w:rsidRPr="00C0591E">
              <w:rPr>
                <w:rFonts w:eastAsia="Times New Roman"/>
                <w:color w:val="000000"/>
              </w:rPr>
              <w:t>0.610</w:t>
            </w:r>
          </w:p>
        </w:tc>
        <w:tc>
          <w:tcPr>
            <w:tcW w:w="1206" w:type="pct"/>
            <w:tcBorders>
              <w:top w:val="nil"/>
              <w:left w:val="nil"/>
              <w:bottom w:val="nil"/>
              <w:right w:val="nil"/>
            </w:tcBorders>
            <w:shd w:val="clear" w:color="auto" w:fill="auto"/>
            <w:noWrap/>
            <w:vAlign w:val="bottom"/>
            <w:hideMark/>
          </w:tcPr>
          <w:p w14:paraId="457E5E83" w14:textId="77777777" w:rsidR="005E125E" w:rsidRPr="00C0591E" w:rsidRDefault="005E125E" w:rsidP="000E70F4">
            <w:pPr>
              <w:spacing w:after="0"/>
              <w:jc w:val="center"/>
              <w:rPr>
                <w:rFonts w:eastAsia="Times New Roman"/>
                <w:color w:val="000000"/>
              </w:rPr>
            </w:pPr>
            <w:r w:rsidRPr="00C0591E">
              <w:rPr>
                <w:rFonts w:eastAsia="Times New Roman"/>
                <w:color w:val="000000"/>
              </w:rPr>
              <w:t>0.607</w:t>
            </w:r>
          </w:p>
        </w:tc>
        <w:tc>
          <w:tcPr>
            <w:tcW w:w="1600" w:type="pct"/>
            <w:tcBorders>
              <w:top w:val="nil"/>
              <w:left w:val="nil"/>
              <w:bottom w:val="nil"/>
              <w:right w:val="nil"/>
            </w:tcBorders>
            <w:shd w:val="clear" w:color="auto" w:fill="auto"/>
            <w:noWrap/>
            <w:vAlign w:val="bottom"/>
            <w:hideMark/>
          </w:tcPr>
          <w:p w14:paraId="1BFCAA7F" w14:textId="77777777" w:rsidR="005E125E" w:rsidRPr="00C0591E" w:rsidRDefault="005E125E" w:rsidP="000E70F4">
            <w:pPr>
              <w:spacing w:after="0"/>
              <w:jc w:val="center"/>
              <w:rPr>
                <w:rFonts w:eastAsia="Times New Roman"/>
                <w:color w:val="000000"/>
              </w:rPr>
            </w:pPr>
            <w:r w:rsidRPr="00C0591E">
              <w:rPr>
                <w:rFonts w:eastAsia="Times New Roman"/>
                <w:color w:val="000000"/>
              </w:rPr>
              <w:t>0.24924</w:t>
            </w:r>
          </w:p>
        </w:tc>
      </w:tr>
      <w:tr w:rsidR="005E125E" w:rsidRPr="00C0591E" w14:paraId="6AE5F8FE" w14:textId="77777777" w:rsidTr="000E70F4">
        <w:trPr>
          <w:trHeight w:val="288"/>
        </w:trPr>
        <w:tc>
          <w:tcPr>
            <w:tcW w:w="731" w:type="pct"/>
            <w:tcBorders>
              <w:top w:val="nil"/>
              <w:left w:val="nil"/>
              <w:bottom w:val="single" w:sz="4" w:space="0" w:color="auto"/>
              <w:right w:val="nil"/>
            </w:tcBorders>
            <w:shd w:val="clear" w:color="auto" w:fill="auto"/>
            <w:noWrap/>
            <w:vAlign w:val="bottom"/>
            <w:hideMark/>
          </w:tcPr>
          <w:p w14:paraId="08B78F04" w14:textId="77777777" w:rsidR="005E125E" w:rsidRPr="00C0591E" w:rsidRDefault="005E125E" w:rsidP="000E70F4">
            <w:pPr>
              <w:spacing w:after="0"/>
              <w:rPr>
                <w:rFonts w:eastAsia="Times New Roman"/>
                <w:color w:val="000000"/>
              </w:rPr>
            </w:pPr>
            <w:r w:rsidRPr="00C0591E">
              <w:rPr>
                <w:rFonts w:eastAsia="Times New Roman"/>
                <w:color w:val="000000"/>
              </w:rPr>
              <w:t>3</w:t>
            </w:r>
          </w:p>
        </w:tc>
        <w:tc>
          <w:tcPr>
            <w:tcW w:w="731" w:type="pct"/>
            <w:tcBorders>
              <w:top w:val="nil"/>
              <w:left w:val="nil"/>
              <w:bottom w:val="single" w:sz="4" w:space="0" w:color="auto"/>
              <w:right w:val="nil"/>
            </w:tcBorders>
            <w:shd w:val="clear" w:color="auto" w:fill="auto"/>
            <w:noWrap/>
            <w:vAlign w:val="bottom"/>
            <w:hideMark/>
          </w:tcPr>
          <w:p w14:paraId="04F63B4A" w14:textId="77777777" w:rsidR="005E125E" w:rsidRPr="00C0591E" w:rsidRDefault="005E125E" w:rsidP="000E70F4">
            <w:pPr>
              <w:spacing w:after="0"/>
              <w:jc w:val="center"/>
              <w:rPr>
                <w:rFonts w:eastAsia="Times New Roman"/>
                <w:color w:val="000000"/>
              </w:rPr>
            </w:pPr>
            <w:r w:rsidRPr="00C0591E">
              <w:rPr>
                <w:rFonts w:eastAsia="Times New Roman"/>
                <w:color w:val="000000"/>
              </w:rPr>
              <w:t>.792a</w:t>
            </w:r>
          </w:p>
        </w:tc>
        <w:tc>
          <w:tcPr>
            <w:tcW w:w="731" w:type="pct"/>
            <w:tcBorders>
              <w:top w:val="nil"/>
              <w:left w:val="nil"/>
              <w:bottom w:val="single" w:sz="4" w:space="0" w:color="auto"/>
              <w:right w:val="nil"/>
            </w:tcBorders>
            <w:shd w:val="clear" w:color="auto" w:fill="auto"/>
            <w:noWrap/>
            <w:vAlign w:val="bottom"/>
            <w:hideMark/>
          </w:tcPr>
          <w:p w14:paraId="754D2726" w14:textId="77777777" w:rsidR="005E125E" w:rsidRPr="00C0591E" w:rsidRDefault="005E125E" w:rsidP="000E70F4">
            <w:pPr>
              <w:spacing w:after="0"/>
              <w:jc w:val="center"/>
              <w:rPr>
                <w:rFonts w:eastAsia="Times New Roman"/>
                <w:color w:val="000000"/>
              </w:rPr>
            </w:pPr>
            <w:r w:rsidRPr="00C0591E">
              <w:rPr>
                <w:rFonts w:eastAsia="Times New Roman"/>
                <w:color w:val="000000"/>
              </w:rPr>
              <w:t>0.627</w:t>
            </w:r>
          </w:p>
        </w:tc>
        <w:tc>
          <w:tcPr>
            <w:tcW w:w="1206" w:type="pct"/>
            <w:tcBorders>
              <w:top w:val="nil"/>
              <w:left w:val="nil"/>
              <w:bottom w:val="single" w:sz="4" w:space="0" w:color="auto"/>
              <w:right w:val="nil"/>
            </w:tcBorders>
            <w:shd w:val="clear" w:color="auto" w:fill="auto"/>
            <w:noWrap/>
            <w:vAlign w:val="bottom"/>
            <w:hideMark/>
          </w:tcPr>
          <w:p w14:paraId="2BE3CF85" w14:textId="77777777" w:rsidR="005E125E" w:rsidRPr="00C0591E" w:rsidRDefault="005E125E" w:rsidP="000E70F4">
            <w:pPr>
              <w:spacing w:after="0"/>
              <w:jc w:val="center"/>
              <w:rPr>
                <w:rFonts w:eastAsia="Times New Roman"/>
                <w:color w:val="000000"/>
              </w:rPr>
            </w:pPr>
            <w:r w:rsidRPr="00C0591E">
              <w:rPr>
                <w:rFonts w:eastAsia="Times New Roman"/>
                <w:color w:val="000000"/>
              </w:rPr>
              <w:t>0.623</w:t>
            </w:r>
          </w:p>
        </w:tc>
        <w:tc>
          <w:tcPr>
            <w:tcW w:w="1600" w:type="pct"/>
            <w:tcBorders>
              <w:top w:val="nil"/>
              <w:left w:val="nil"/>
              <w:bottom w:val="single" w:sz="4" w:space="0" w:color="auto"/>
              <w:right w:val="nil"/>
            </w:tcBorders>
            <w:shd w:val="clear" w:color="auto" w:fill="auto"/>
            <w:noWrap/>
            <w:vAlign w:val="bottom"/>
            <w:hideMark/>
          </w:tcPr>
          <w:p w14:paraId="5D9CFEC0" w14:textId="77777777" w:rsidR="005E125E" w:rsidRPr="00C0591E" w:rsidRDefault="005E125E" w:rsidP="000E70F4">
            <w:pPr>
              <w:spacing w:after="0"/>
              <w:jc w:val="center"/>
              <w:rPr>
                <w:rFonts w:eastAsia="Times New Roman"/>
                <w:color w:val="000000"/>
              </w:rPr>
            </w:pPr>
            <w:r w:rsidRPr="00C0591E">
              <w:rPr>
                <w:rFonts w:eastAsia="Times New Roman"/>
                <w:color w:val="000000"/>
              </w:rPr>
              <w:t>0.24414</w:t>
            </w:r>
          </w:p>
        </w:tc>
      </w:tr>
    </w:tbl>
    <w:p w14:paraId="028078D5" w14:textId="77777777" w:rsidR="005E125E" w:rsidRPr="00C0591E" w:rsidRDefault="005E125E" w:rsidP="00C02DBD"/>
    <w:p w14:paraId="6318602C" w14:textId="3C91BC63" w:rsidR="008425EC" w:rsidRPr="00C0591E" w:rsidRDefault="000E70F4" w:rsidP="008425EC">
      <w:r w:rsidRPr="00C0591E">
        <w:t xml:space="preserve">The results in Table </w:t>
      </w:r>
      <w:r w:rsidR="00191F36" w:rsidRPr="00C0591E">
        <w:t>28</w:t>
      </w:r>
      <w:r w:rsidRPr="00C0591E">
        <w:t xml:space="preserve"> shows that the R squared for the moderating effect had varying values. The first step for regressing </w:t>
      </w:r>
      <w:r w:rsidR="00173C67">
        <w:t>pillars of corporate governance</w:t>
      </w:r>
      <w:r w:rsidRPr="00C0591E">
        <w:t xml:space="preserve"> against performance of pension fund managers had 55.2% while the second step of regressing </w:t>
      </w:r>
      <w:r w:rsidR="00173C67">
        <w:t>pillars of corporate governance</w:t>
      </w:r>
      <w:r w:rsidRPr="00C0591E">
        <w:t xml:space="preserve"> and government regulations against supply performance of pension fund managers had 61%. The third step which regressed </w:t>
      </w:r>
      <w:r w:rsidR="00173C67">
        <w:t>pillars of corporate governance</w:t>
      </w:r>
      <w:r w:rsidRPr="00C0591E">
        <w:t>, government regulations and the interaction term CG*GR against performance of pension fund managers had 62.7%. The Rsquare for model increased from 55.2% to 61% and 62.7% after the interaction term.</w:t>
      </w:r>
      <w:r w:rsidR="008425EC" w:rsidRPr="00C0591E">
        <w:t xml:space="preserve"> The adjusted R squared value considered only those independent variables which actually have an effect on the performance of the model.</w:t>
      </w:r>
    </w:p>
    <w:p w14:paraId="14BE10D1" w14:textId="0B354EB8" w:rsidR="000E70F4" w:rsidRDefault="000E70F4" w:rsidP="00C47081">
      <w:r w:rsidRPr="00C0591E">
        <w:t xml:space="preserve">ANOVA results for </w:t>
      </w:r>
      <w:r w:rsidR="00173C67">
        <w:t>pillars of corporate governance</w:t>
      </w:r>
      <w:r w:rsidRPr="00C0591E">
        <w:t xml:space="preserve">, government regulations and performance of pension fund managers are as shown in Table </w:t>
      </w:r>
      <w:r w:rsidR="00191F36" w:rsidRPr="00C0591E">
        <w:t>29</w:t>
      </w:r>
      <w:r w:rsidRPr="00C0591E">
        <w:t>.</w:t>
      </w:r>
    </w:p>
    <w:p w14:paraId="1E3BF889" w14:textId="062A7BD0" w:rsidR="009213B7" w:rsidRDefault="009213B7" w:rsidP="00C47081"/>
    <w:p w14:paraId="26DC7EFB" w14:textId="581497D1" w:rsidR="00C813FD" w:rsidRDefault="00C813FD" w:rsidP="00C47081"/>
    <w:p w14:paraId="2910FF20" w14:textId="4BF0B927" w:rsidR="00C813FD" w:rsidRDefault="00C813FD" w:rsidP="00C47081"/>
    <w:p w14:paraId="6CFBE941" w14:textId="196383DE" w:rsidR="00C813FD" w:rsidRDefault="00C813FD" w:rsidP="00C47081"/>
    <w:p w14:paraId="19C6ABC0" w14:textId="77777777" w:rsidR="00C813FD" w:rsidRPr="00C0591E" w:rsidRDefault="00C813FD" w:rsidP="00C47081"/>
    <w:p w14:paraId="22BF6F4B" w14:textId="7335C01B" w:rsidR="000E70F4" w:rsidRPr="00C0591E" w:rsidRDefault="000E70F4" w:rsidP="00C47081">
      <w:pPr>
        <w:pStyle w:val="Heading4"/>
      </w:pPr>
      <w:bookmarkStart w:id="305" w:name="_Toc113125164"/>
      <w:r w:rsidRPr="00C0591E">
        <w:t xml:space="preserve">Table </w:t>
      </w:r>
      <w:r w:rsidR="00191F36" w:rsidRPr="00C0591E">
        <w:t>29</w:t>
      </w:r>
      <w:r w:rsidRPr="00C0591E">
        <w:t xml:space="preserve">: ANOVA </w:t>
      </w:r>
      <w:r w:rsidR="0077056D" w:rsidRPr="00C0591E">
        <w:t xml:space="preserve">for </w:t>
      </w:r>
      <w:r w:rsidR="00173C67">
        <w:t>Pillars of corporate governance</w:t>
      </w:r>
      <w:r w:rsidRPr="00C0591E">
        <w:t>, Government Regulations on Performance</w:t>
      </w:r>
      <w:bookmarkEnd w:id="305"/>
      <w:r w:rsidRPr="00C0591E">
        <w:t xml:space="preserve"> </w:t>
      </w:r>
    </w:p>
    <w:tbl>
      <w:tblPr>
        <w:tblW w:w="5000" w:type="pct"/>
        <w:tblLook w:val="04A0" w:firstRow="1" w:lastRow="0" w:firstColumn="1" w:lastColumn="0" w:noHBand="0" w:noVBand="1"/>
      </w:tblPr>
      <w:tblGrid>
        <w:gridCol w:w="1116"/>
        <w:gridCol w:w="1536"/>
        <w:gridCol w:w="1886"/>
        <w:gridCol w:w="713"/>
        <w:gridCol w:w="1628"/>
        <w:gridCol w:w="1217"/>
        <w:gridCol w:w="930"/>
      </w:tblGrid>
      <w:tr w:rsidR="005E125E" w:rsidRPr="00C0591E" w14:paraId="51235A7D" w14:textId="77777777" w:rsidTr="0077056D">
        <w:trPr>
          <w:trHeight w:val="288"/>
        </w:trPr>
        <w:tc>
          <w:tcPr>
            <w:tcW w:w="618" w:type="pct"/>
            <w:tcBorders>
              <w:top w:val="single" w:sz="4" w:space="0" w:color="auto"/>
              <w:left w:val="nil"/>
              <w:bottom w:val="single" w:sz="4" w:space="0" w:color="auto"/>
              <w:right w:val="nil"/>
            </w:tcBorders>
            <w:shd w:val="clear" w:color="auto" w:fill="auto"/>
            <w:noWrap/>
            <w:vAlign w:val="bottom"/>
            <w:hideMark/>
          </w:tcPr>
          <w:p w14:paraId="4EF02685" w14:textId="77777777" w:rsidR="005E125E" w:rsidRPr="00C0591E" w:rsidRDefault="005E125E" w:rsidP="005E125E">
            <w:pPr>
              <w:spacing w:before="0" w:after="0"/>
              <w:rPr>
                <w:rFonts w:eastAsia="Times New Roman"/>
                <w:b/>
              </w:rPr>
            </w:pPr>
            <w:r w:rsidRPr="00C0591E">
              <w:rPr>
                <w:rFonts w:eastAsia="Times New Roman"/>
                <w:b/>
              </w:rPr>
              <w:t>Model</w:t>
            </w:r>
          </w:p>
        </w:tc>
        <w:tc>
          <w:tcPr>
            <w:tcW w:w="851" w:type="pct"/>
            <w:tcBorders>
              <w:top w:val="single" w:sz="4" w:space="0" w:color="auto"/>
              <w:left w:val="nil"/>
              <w:bottom w:val="single" w:sz="4" w:space="0" w:color="auto"/>
              <w:right w:val="nil"/>
            </w:tcBorders>
            <w:shd w:val="clear" w:color="auto" w:fill="auto"/>
            <w:noWrap/>
            <w:vAlign w:val="bottom"/>
            <w:hideMark/>
          </w:tcPr>
          <w:p w14:paraId="6E02AA3C" w14:textId="77777777" w:rsidR="005E125E" w:rsidRPr="00C0591E" w:rsidRDefault="005E125E" w:rsidP="005E125E">
            <w:pPr>
              <w:spacing w:before="0" w:after="0"/>
              <w:rPr>
                <w:rFonts w:eastAsia="Times New Roman"/>
                <w:b/>
              </w:rPr>
            </w:pPr>
            <w:r w:rsidRPr="00C0591E">
              <w:rPr>
                <w:rFonts w:eastAsia="Times New Roman"/>
                <w:b/>
              </w:rPr>
              <w:t> </w:t>
            </w:r>
          </w:p>
        </w:tc>
        <w:tc>
          <w:tcPr>
            <w:tcW w:w="1045" w:type="pct"/>
            <w:tcBorders>
              <w:top w:val="single" w:sz="4" w:space="0" w:color="auto"/>
              <w:left w:val="nil"/>
              <w:bottom w:val="single" w:sz="4" w:space="0" w:color="auto"/>
              <w:right w:val="nil"/>
            </w:tcBorders>
            <w:shd w:val="clear" w:color="auto" w:fill="auto"/>
            <w:noWrap/>
            <w:vAlign w:val="bottom"/>
            <w:hideMark/>
          </w:tcPr>
          <w:p w14:paraId="7749AB8A" w14:textId="77777777" w:rsidR="005E125E" w:rsidRPr="00C0591E" w:rsidRDefault="005E125E" w:rsidP="005E125E">
            <w:pPr>
              <w:spacing w:before="0" w:after="0"/>
              <w:jc w:val="center"/>
              <w:rPr>
                <w:rFonts w:eastAsia="Times New Roman"/>
                <w:b/>
              </w:rPr>
            </w:pPr>
            <w:r w:rsidRPr="00C0591E">
              <w:rPr>
                <w:rFonts w:eastAsia="Times New Roman"/>
                <w:b/>
              </w:rPr>
              <w:t>Sum of Squares</w:t>
            </w:r>
          </w:p>
        </w:tc>
        <w:tc>
          <w:tcPr>
            <w:tcW w:w="395" w:type="pct"/>
            <w:tcBorders>
              <w:top w:val="single" w:sz="4" w:space="0" w:color="auto"/>
              <w:left w:val="nil"/>
              <w:bottom w:val="single" w:sz="4" w:space="0" w:color="auto"/>
              <w:right w:val="nil"/>
            </w:tcBorders>
            <w:shd w:val="clear" w:color="auto" w:fill="auto"/>
            <w:noWrap/>
            <w:vAlign w:val="bottom"/>
            <w:hideMark/>
          </w:tcPr>
          <w:p w14:paraId="6046D520" w14:textId="77777777" w:rsidR="005E125E" w:rsidRPr="00C0591E" w:rsidRDefault="005E125E" w:rsidP="005E125E">
            <w:pPr>
              <w:spacing w:before="0" w:after="0"/>
              <w:jc w:val="center"/>
              <w:rPr>
                <w:rFonts w:eastAsia="Times New Roman"/>
                <w:b/>
              </w:rPr>
            </w:pPr>
            <w:r w:rsidRPr="00C0591E">
              <w:rPr>
                <w:rFonts w:eastAsia="Times New Roman"/>
                <w:b/>
              </w:rPr>
              <w:t>df</w:t>
            </w:r>
          </w:p>
        </w:tc>
        <w:tc>
          <w:tcPr>
            <w:tcW w:w="902" w:type="pct"/>
            <w:tcBorders>
              <w:top w:val="single" w:sz="4" w:space="0" w:color="auto"/>
              <w:left w:val="nil"/>
              <w:bottom w:val="single" w:sz="4" w:space="0" w:color="auto"/>
              <w:right w:val="nil"/>
            </w:tcBorders>
            <w:shd w:val="clear" w:color="auto" w:fill="auto"/>
            <w:noWrap/>
            <w:vAlign w:val="bottom"/>
            <w:hideMark/>
          </w:tcPr>
          <w:p w14:paraId="186B208B" w14:textId="77777777" w:rsidR="005E125E" w:rsidRPr="00C0591E" w:rsidRDefault="005E125E" w:rsidP="005E125E">
            <w:pPr>
              <w:spacing w:before="0" w:after="0"/>
              <w:jc w:val="center"/>
              <w:rPr>
                <w:rFonts w:eastAsia="Times New Roman"/>
                <w:b/>
              </w:rPr>
            </w:pPr>
            <w:r w:rsidRPr="00C0591E">
              <w:rPr>
                <w:rFonts w:eastAsia="Times New Roman"/>
                <w:b/>
              </w:rPr>
              <w:t>Mean Square</w:t>
            </w:r>
          </w:p>
        </w:tc>
        <w:tc>
          <w:tcPr>
            <w:tcW w:w="674" w:type="pct"/>
            <w:tcBorders>
              <w:top w:val="single" w:sz="4" w:space="0" w:color="auto"/>
              <w:left w:val="nil"/>
              <w:bottom w:val="single" w:sz="4" w:space="0" w:color="auto"/>
              <w:right w:val="nil"/>
            </w:tcBorders>
            <w:shd w:val="clear" w:color="auto" w:fill="auto"/>
            <w:noWrap/>
            <w:vAlign w:val="bottom"/>
            <w:hideMark/>
          </w:tcPr>
          <w:p w14:paraId="60CC27E5" w14:textId="77777777" w:rsidR="005E125E" w:rsidRPr="00C0591E" w:rsidRDefault="005E125E" w:rsidP="005E125E">
            <w:pPr>
              <w:spacing w:before="0" w:after="0"/>
              <w:jc w:val="center"/>
              <w:rPr>
                <w:rFonts w:eastAsia="Times New Roman"/>
                <w:b/>
              </w:rPr>
            </w:pPr>
            <w:r w:rsidRPr="00C0591E">
              <w:rPr>
                <w:rFonts w:eastAsia="Times New Roman"/>
                <w:b/>
              </w:rPr>
              <w:t>F</w:t>
            </w:r>
          </w:p>
        </w:tc>
        <w:tc>
          <w:tcPr>
            <w:tcW w:w="515" w:type="pct"/>
            <w:tcBorders>
              <w:top w:val="single" w:sz="4" w:space="0" w:color="auto"/>
              <w:left w:val="nil"/>
              <w:bottom w:val="single" w:sz="4" w:space="0" w:color="auto"/>
              <w:right w:val="nil"/>
            </w:tcBorders>
            <w:shd w:val="clear" w:color="auto" w:fill="auto"/>
            <w:noWrap/>
            <w:vAlign w:val="bottom"/>
            <w:hideMark/>
          </w:tcPr>
          <w:p w14:paraId="13236D43" w14:textId="77777777" w:rsidR="005E125E" w:rsidRPr="00C0591E" w:rsidRDefault="005E125E" w:rsidP="005E125E">
            <w:pPr>
              <w:spacing w:before="0" w:after="0"/>
              <w:jc w:val="center"/>
              <w:rPr>
                <w:rFonts w:eastAsia="Times New Roman"/>
                <w:b/>
              </w:rPr>
            </w:pPr>
            <w:r w:rsidRPr="00C0591E">
              <w:rPr>
                <w:rFonts w:eastAsia="Times New Roman"/>
                <w:b/>
              </w:rPr>
              <w:t>Sig.</w:t>
            </w:r>
          </w:p>
        </w:tc>
      </w:tr>
      <w:tr w:rsidR="000E70F4" w:rsidRPr="00C0591E" w14:paraId="6DF5B1F5" w14:textId="77777777" w:rsidTr="0077056D">
        <w:trPr>
          <w:trHeight w:val="288"/>
        </w:trPr>
        <w:tc>
          <w:tcPr>
            <w:tcW w:w="618" w:type="pct"/>
            <w:tcBorders>
              <w:top w:val="nil"/>
              <w:left w:val="nil"/>
              <w:bottom w:val="nil"/>
              <w:right w:val="nil"/>
            </w:tcBorders>
            <w:shd w:val="clear" w:color="auto" w:fill="auto"/>
            <w:noWrap/>
            <w:vAlign w:val="bottom"/>
            <w:hideMark/>
          </w:tcPr>
          <w:p w14:paraId="54533B42" w14:textId="77777777" w:rsidR="005E125E" w:rsidRPr="00C0591E" w:rsidRDefault="005E125E" w:rsidP="005E125E">
            <w:pPr>
              <w:spacing w:before="0" w:after="0"/>
              <w:rPr>
                <w:rFonts w:eastAsia="Times New Roman"/>
              </w:rPr>
            </w:pPr>
            <w:r w:rsidRPr="00C0591E">
              <w:rPr>
                <w:rFonts w:eastAsia="Times New Roman"/>
              </w:rPr>
              <w:t>1</w:t>
            </w:r>
          </w:p>
        </w:tc>
        <w:tc>
          <w:tcPr>
            <w:tcW w:w="851" w:type="pct"/>
            <w:tcBorders>
              <w:top w:val="nil"/>
              <w:left w:val="nil"/>
              <w:bottom w:val="nil"/>
              <w:right w:val="nil"/>
            </w:tcBorders>
            <w:shd w:val="clear" w:color="auto" w:fill="auto"/>
            <w:noWrap/>
            <w:vAlign w:val="bottom"/>
            <w:hideMark/>
          </w:tcPr>
          <w:p w14:paraId="1815489E" w14:textId="77777777" w:rsidR="005E125E" w:rsidRPr="00C0591E" w:rsidRDefault="005E125E" w:rsidP="005E125E">
            <w:pPr>
              <w:spacing w:before="0" w:after="0"/>
              <w:rPr>
                <w:rFonts w:eastAsia="Times New Roman"/>
              </w:rPr>
            </w:pPr>
            <w:r w:rsidRPr="00C0591E">
              <w:rPr>
                <w:rFonts w:eastAsia="Times New Roman"/>
              </w:rPr>
              <w:t>Regression</w:t>
            </w:r>
          </w:p>
        </w:tc>
        <w:tc>
          <w:tcPr>
            <w:tcW w:w="1045" w:type="pct"/>
            <w:tcBorders>
              <w:top w:val="nil"/>
              <w:left w:val="nil"/>
              <w:bottom w:val="nil"/>
              <w:right w:val="nil"/>
            </w:tcBorders>
            <w:shd w:val="clear" w:color="auto" w:fill="auto"/>
            <w:noWrap/>
            <w:vAlign w:val="bottom"/>
            <w:hideMark/>
          </w:tcPr>
          <w:p w14:paraId="038F8F9F" w14:textId="77777777" w:rsidR="005E125E" w:rsidRPr="00C0591E" w:rsidRDefault="005E125E" w:rsidP="005E125E">
            <w:pPr>
              <w:spacing w:before="0" w:after="0"/>
              <w:jc w:val="center"/>
              <w:rPr>
                <w:rFonts w:eastAsia="Times New Roman"/>
              </w:rPr>
            </w:pPr>
            <w:r w:rsidRPr="00C0591E">
              <w:rPr>
                <w:rFonts w:eastAsia="Times New Roman"/>
              </w:rPr>
              <w:t>25.756</w:t>
            </w:r>
          </w:p>
        </w:tc>
        <w:tc>
          <w:tcPr>
            <w:tcW w:w="395" w:type="pct"/>
            <w:tcBorders>
              <w:top w:val="nil"/>
              <w:left w:val="nil"/>
              <w:bottom w:val="nil"/>
              <w:right w:val="nil"/>
            </w:tcBorders>
            <w:shd w:val="clear" w:color="auto" w:fill="auto"/>
            <w:noWrap/>
            <w:vAlign w:val="bottom"/>
            <w:hideMark/>
          </w:tcPr>
          <w:p w14:paraId="35857F69" w14:textId="77777777" w:rsidR="005E125E" w:rsidRPr="00C0591E" w:rsidRDefault="005E125E" w:rsidP="005E125E">
            <w:pPr>
              <w:spacing w:before="0" w:after="0"/>
              <w:jc w:val="center"/>
              <w:rPr>
                <w:rFonts w:eastAsia="Times New Roman"/>
              </w:rPr>
            </w:pPr>
            <w:r w:rsidRPr="00C0591E">
              <w:rPr>
                <w:rFonts w:eastAsia="Times New Roman"/>
              </w:rPr>
              <w:t>1</w:t>
            </w:r>
          </w:p>
        </w:tc>
        <w:tc>
          <w:tcPr>
            <w:tcW w:w="902" w:type="pct"/>
            <w:tcBorders>
              <w:top w:val="nil"/>
              <w:left w:val="nil"/>
              <w:bottom w:val="nil"/>
              <w:right w:val="nil"/>
            </w:tcBorders>
            <w:shd w:val="clear" w:color="auto" w:fill="auto"/>
            <w:noWrap/>
            <w:vAlign w:val="bottom"/>
            <w:hideMark/>
          </w:tcPr>
          <w:p w14:paraId="5D759EE8" w14:textId="77777777" w:rsidR="005E125E" w:rsidRPr="00C0591E" w:rsidRDefault="005E125E" w:rsidP="005E125E">
            <w:pPr>
              <w:spacing w:before="0" w:after="0"/>
              <w:jc w:val="center"/>
              <w:rPr>
                <w:rFonts w:eastAsia="Times New Roman"/>
              </w:rPr>
            </w:pPr>
            <w:r w:rsidRPr="00C0591E">
              <w:rPr>
                <w:rFonts w:eastAsia="Times New Roman"/>
              </w:rPr>
              <w:t>25.756</w:t>
            </w:r>
          </w:p>
        </w:tc>
        <w:tc>
          <w:tcPr>
            <w:tcW w:w="674" w:type="pct"/>
            <w:tcBorders>
              <w:top w:val="nil"/>
              <w:left w:val="nil"/>
              <w:bottom w:val="nil"/>
              <w:right w:val="nil"/>
            </w:tcBorders>
            <w:shd w:val="clear" w:color="auto" w:fill="auto"/>
            <w:noWrap/>
            <w:vAlign w:val="bottom"/>
            <w:hideMark/>
          </w:tcPr>
          <w:p w14:paraId="045E1A3A" w14:textId="77777777" w:rsidR="005E125E" w:rsidRPr="00C0591E" w:rsidRDefault="005E125E" w:rsidP="005E125E">
            <w:pPr>
              <w:spacing w:before="0" w:after="0"/>
              <w:jc w:val="center"/>
              <w:rPr>
                <w:rFonts w:eastAsia="Times New Roman"/>
              </w:rPr>
            </w:pPr>
            <w:r w:rsidRPr="00C0591E">
              <w:rPr>
                <w:rFonts w:eastAsia="Times New Roman"/>
              </w:rPr>
              <w:t>362.084</w:t>
            </w:r>
          </w:p>
        </w:tc>
        <w:tc>
          <w:tcPr>
            <w:tcW w:w="515" w:type="pct"/>
            <w:tcBorders>
              <w:top w:val="nil"/>
              <w:left w:val="nil"/>
              <w:bottom w:val="nil"/>
              <w:right w:val="nil"/>
            </w:tcBorders>
            <w:shd w:val="clear" w:color="auto" w:fill="auto"/>
            <w:noWrap/>
            <w:vAlign w:val="bottom"/>
            <w:hideMark/>
          </w:tcPr>
          <w:p w14:paraId="2920E4C9" w14:textId="77777777" w:rsidR="005E125E" w:rsidRPr="00C0591E" w:rsidRDefault="005E125E" w:rsidP="005E125E">
            <w:pPr>
              <w:spacing w:before="0" w:after="0"/>
              <w:jc w:val="center"/>
              <w:rPr>
                <w:rFonts w:eastAsia="Times New Roman"/>
              </w:rPr>
            </w:pPr>
            <w:r w:rsidRPr="00C0591E">
              <w:rPr>
                <w:rFonts w:eastAsia="Times New Roman"/>
              </w:rPr>
              <w:t>.000b</w:t>
            </w:r>
          </w:p>
        </w:tc>
      </w:tr>
      <w:tr w:rsidR="000E70F4" w:rsidRPr="00C0591E" w14:paraId="27C4B985" w14:textId="77777777" w:rsidTr="0077056D">
        <w:trPr>
          <w:trHeight w:val="288"/>
        </w:trPr>
        <w:tc>
          <w:tcPr>
            <w:tcW w:w="618" w:type="pct"/>
            <w:tcBorders>
              <w:top w:val="nil"/>
              <w:left w:val="nil"/>
              <w:bottom w:val="nil"/>
              <w:right w:val="nil"/>
            </w:tcBorders>
            <w:shd w:val="clear" w:color="auto" w:fill="auto"/>
            <w:noWrap/>
            <w:vAlign w:val="bottom"/>
            <w:hideMark/>
          </w:tcPr>
          <w:p w14:paraId="05B8F407" w14:textId="77777777" w:rsidR="005E125E" w:rsidRPr="00C0591E" w:rsidRDefault="005E125E" w:rsidP="005E125E">
            <w:pPr>
              <w:spacing w:before="0" w:after="0"/>
              <w:rPr>
                <w:rFonts w:eastAsia="Times New Roman"/>
              </w:rPr>
            </w:pPr>
          </w:p>
        </w:tc>
        <w:tc>
          <w:tcPr>
            <w:tcW w:w="851" w:type="pct"/>
            <w:tcBorders>
              <w:top w:val="nil"/>
              <w:left w:val="nil"/>
              <w:bottom w:val="nil"/>
              <w:right w:val="nil"/>
            </w:tcBorders>
            <w:shd w:val="clear" w:color="auto" w:fill="auto"/>
            <w:noWrap/>
            <w:vAlign w:val="bottom"/>
            <w:hideMark/>
          </w:tcPr>
          <w:p w14:paraId="237652F0" w14:textId="77777777" w:rsidR="005E125E" w:rsidRPr="00C0591E" w:rsidRDefault="005E125E" w:rsidP="005E125E">
            <w:pPr>
              <w:spacing w:before="0" w:after="0"/>
              <w:rPr>
                <w:rFonts w:eastAsia="Times New Roman"/>
              </w:rPr>
            </w:pPr>
            <w:r w:rsidRPr="00C0591E">
              <w:rPr>
                <w:rFonts w:eastAsia="Times New Roman"/>
              </w:rPr>
              <w:t>Residual</w:t>
            </w:r>
          </w:p>
        </w:tc>
        <w:tc>
          <w:tcPr>
            <w:tcW w:w="1045" w:type="pct"/>
            <w:tcBorders>
              <w:top w:val="nil"/>
              <w:left w:val="nil"/>
              <w:bottom w:val="nil"/>
              <w:right w:val="nil"/>
            </w:tcBorders>
            <w:shd w:val="clear" w:color="auto" w:fill="auto"/>
            <w:noWrap/>
            <w:vAlign w:val="bottom"/>
            <w:hideMark/>
          </w:tcPr>
          <w:p w14:paraId="0D5882FA" w14:textId="77777777" w:rsidR="005E125E" w:rsidRPr="00C0591E" w:rsidRDefault="005E125E" w:rsidP="005E125E">
            <w:pPr>
              <w:spacing w:before="0" w:after="0"/>
              <w:jc w:val="center"/>
              <w:rPr>
                <w:rFonts w:eastAsia="Times New Roman"/>
              </w:rPr>
            </w:pPr>
            <w:r w:rsidRPr="00C0591E">
              <w:rPr>
                <w:rFonts w:eastAsia="Times New Roman"/>
              </w:rPr>
              <w:t>20.913</w:t>
            </w:r>
          </w:p>
        </w:tc>
        <w:tc>
          <w:tcPr>
            <w:tcW w:w="395" w:type="pct"/>
            <w:tcBorders>
              <w:top w:val="nil"/>
              <w:left w:val="nil"/>
              <w:bottom w:val="nil"/>
              <w:right w:val="nil"/>
            </w:tcBorders>
            <w:shd w:val="clear" w:color="auto" w:fill="auto"/>
            <w:noWrap/>
            <w:vAlign w:val="bottom"/>
            <w:hideMark/>
          </w:tcPr>
          <w:p w14:paraId="17A576BB" w14:textId="77777777" w:rsidR="005E125E" w:rsidRPr="00C0591E" w:rsidRDefault="005E125E" w:rsidP="005E125E">
            <w:pPr>
              <w:spacing w:before="0" w:after="0"/>
              <w:jc w:val="center"/>
              <w:rPr>
                <w:rFonts w:eastAsia="Times New Roman"/>
              </w:rPr>
            </w:pPr>
            <w:r w:rsidRPr="00C0591E">
              <w:rPr>
                <w:rFonts w:eastAsia="Times New Roman"/>
              </w:rPr>
              <w:t>294</w:t>
            </w:r>
          </w:p>
        </w:tc>
        <w:tc>
          <w:tcPr>
            <w:tcW w:w="902" w:type="pct"/>
            <w:tcBorders>
              <w:top w:val="nil"/>
              <w:left w:val="nil"/>
              <w:bottom w:val="nil"/>
              <w:right w:val="nil"/>
            </w:tcBorders>
            <w:shd w:val="clear" w:color="auto" w:fill="auto"/>
            <w:noWrap/>
            <w:vAlign w:val="bottom"/>
            <w:hideMark/>
          </w:tcPr>
          <w:p w14:paraId="41C8A978" w14:textId="77777777" w:rsidR="005E125E" w:rsidRPr="00C0591E" w:rsidRDefault="005E125E" w:rsidP="005E125E">
            <w:pPr>
              <w:spacing w:before="0" w:after="0"/>
              <w:jc w:val="center"/>
              <w:rPr>
                <w:rFonts w:eastAsia="Times New Roman"/>
              </w:rPr>
            </w:pPr>
            <w:r w:rsidRPr="00C0591E">
              <w:rPr>
                <w:rFonts w:eastAsia="Times New Roman"/>
              </w:rPr>
              <w:t>0.071</w:t>
            </w:r>
          </w:p>
        </w:tc>
        <w:tc>
          <w:tcPr>
            <w:tcW w:w="674" w:type="pct"/>
            <w:tcBorders>
              <w:top w:val="nil"/>
              <w:left w:val="nil"/>
              <w:bottom w:val="nil"/>
              <w:right w:val="nil"/>
            </w:tcBorders>
            <w:shd w:val="clear" w:color="auto" w:fill="auto"/>
            <w:noWrap/>
            <w:vAlign w:val="bottom"/>
            <w:hideMark/>
          </w:tcPr>
          <w:p w14:paraId="4A1A29A6" w14:textId="77777777" w:rsidR="005E125E" w:rsidRPr="00C0591E" w:rsidRDefault="005E125E" w:rsidP="005E125E">
            <w:pPr>
              <w:spacing w:before="0" w:after="0"/>
              <w:jc w:val="center"/>
              <w:rPr>
                <w:rFonts w:eastAsia="Times New Roman"/>
              </w:rPr>
            </w:pPr>
          </w:p>
        </w:tc>
        <w:tc>
          <w:tcPr>
            <w:tcW w:w="515" w:type="pct"/>
            <w:tcBorders>
              <w:top w:val="nil"/>
              <w:left w:val="nil"/>
              <w:bottom w:val="nil"/>
              <w:right w:val="nil"/>
            </w:tcBorders>
            <w:shd w:val="clear" w:color="auto" w:fill="auto"/>
            <w:noWrap/>
            <w:vAlign w:val="bottom"/>
            <w:hideMark/>
          </w:tcPr>
          <w:p w14:paraId="68BCA2F7" w14:textId="77777777" w:rsidR="005E125E" w:rsidRPr="00C0591E" w:rsidRDefault="005E125E" w:rsidP="005E125E">
            <w:pPr>
              <w:spacing w:before="0" w:after="0"/>
              <w:jc w:val="center"/>
              <w:rPr>
                <w:rFonts w:eastAsia="Times New Roman" w:cs="Times New Roman"/>
                <w:sz w:val="20"/>
                <w:szCs w:val="20"/>
              </w:rPr>
            </w:pPr>
          </w:p>
        </w:tc>
      </w:tr>
      <w:tr w:rsidR="000E70F4" w:rsidRPr="00C0591E" w14:paraId="64D6BDFC" w14:textId="77777777" w:rsidTr="0077056D">
        <w:trPr>
          <w:trHeight w:val="288"/>
        </w:trPr>
        <w:tc>
          <w:tcPr>
            <w:tcW w:w="618" w:type="pct"/>
            <w:tcBorders>
              <w:top w:val="nil"/>
              <w:left w:val="nil"/>
              <w:bottom w:val="nil"/>
              <w:right w:val="nil"/>
            </w:tcBorders>
            <w:shd w:val="clear" w:color="auto" w:fill="auto"/>
            <w:noWrap/>
            <w:vAlign w:val="bottom"/>
            <w:hideMark/>
          </w:tcPr>
          <w:p w14:paraId="410DEA59" w14:textId="77777777" w:rsidR="005E125E" w:rsidRPr="00C0591E" w:rsidRDefault="005E125E" w:rsidP="005E125E">
            <w:pPr>
              <w:spacing w:before="0" w:after="0"/>
              <w:rPr>
                <w:rFonts w:eastAsia="Times New Roman" w:cs="Times New Roman"/>
                <w:sz w:val="20"/>
                <w:szCs w:val="20"/>
              </w:rPr>
            </w:pPr>
          </w:p>
        </w:tc>
        <w:tc>
          <w:tcPr>
            <w:tcW w:w="851" w:type="pct"/>
            <w:tcBorders>
              <w:top w:val="nil"/>
              <w:left w:val="nil"/>
              <w:bottom w:val="nil"/>
              <w:right w:val="nil"/>
            </w:tcBorders>
            <w:shd w:val="clear" w:color="auto" w:fill="auto"/>
            <w:noWrap/>
            <w:vAlign w:val="bottom"/>
            <w:hideMark/>
          </w:tcPr>
          <w:p w14:paraId="4DE439AA" w14:textId="77777777" w:rsidR="005E125E" w:rsidRPr="00C0591E" w:rsidRDefault="005E125E" w:rsidP="005E125E">
            <w:pPr>
              <w:spacing w:before="0" w:after="0"/>
              <w:rPr>
                <w:rFonts w:eastAsia="Times New Roman"/>
              </w:rPr>
            </w:pPr>
            <w:r w:rsidRPr="00C0591E">
              <w:rPr>
                <w:rFonts w:eastAsia="Times New Roman"/>
              </w:rPr>
              <w:t>Total</w:t>
            </w:r>
          </w:p>
        </w:tc>
        <w:tc>
          <w:tcPr>
            <w:tcW w:w="1045" w:type="pct"/>
            <w:tcBorders>
              <w:top w:val="nil"/>
              <w:left w:val="nil"/>
              <w:bottom w:val="nil"/>
              <w:right w:val="nil"/>
            </w:tcBorders>
            <w:shd w:val="clear" w:color="auto" w:fill="auto"/>
            <w:noWrap/>
            <w:vAlign w:val="bottom"/>
            <w:hideMark/>
          </w:tcPr>
          <w:p w14:paraId="478506B9" w14:textId="77777777" w:rsidR="005E125E" w:rsidRPr="00C0591E" w:rsidRDefault="005E125E" w:rsidP="005E125E">
            <w:pPr>
              <w:spacing w:before="0" w:after="0"/>
              <w:jc w:val="center"/>
              <w:rPr>
                <w:rFonts w:eastAsia="Times New Roman"/>
              </w:rPr>
            </w:pPr>
            <w:r w:rsidRPr="00C0591E">
              <w:rPr>
                <w:rFonts w:eastAsia="Times New Roman"/>
              </w:rPr>
              <w:t>46.67</w:t>
            </w:r>
          </w:p>
        </w:tc>
        <w:tc>
          <w:tcPr>
            <w:tcW w:w="395" w:type="pct"/>
            <w:tcBorders>
              <w:top w:val="nil"/>
              <w:left w:val="nil"/>
              <w:bottom w:val="nil"/>
              <w:right w:val="nil"/>
            </w:tcBorders>
            <w:shd w:val="clear" w:color="auto" w:fill="auto"/>
            <w:noWrap/>
            <w:vAlign w:val="bottom"/>
            <w:hideMark/>
          </w:tcPr>
          <w:p w14:paraId="555FCA7C" w14:textId="77777777" w:rsidR="005E125E" w:rsidRPr="00C0591E" w:rsidRDefault="005E125E" w:rsidP="005E125E">
            <w:pPr>
              <w:spacing w:before="0" w:after="0"/>
              <w:jc w:val="center"/>
              <w:rPr>
                <w:rFonts w:eastAsia="Times New Roman"/>
              </w:rPr>
            </w:pPr>
            <w:r w:rsidRPr="00C0591E">
              <w:rPr>
                <w:rFonts w:eastAsia="Times New Roman"/>
              </w:rPr>
              <w:t>295</w:t>
            </w:r>
          </w:p>
        </w:tc>
        <w:tc>
          <w:tcPr>
            <w:tcW w:w="902" w:type="pct"/>
            <w:tcBorders>
              <w:top w:val="nil"/>
              <w:left w:val="nil"/>
              <w:bottom w:val="nil"/>
              <w:right w:val="nil"/>
            </w:tcBorders>
            <w:shd w:val="clear" w:color="auto" w:fill="auto"/>
            <w:noWrap/>
            <w:vAlign w:val="bottom"/>
            <w:hideMark/>
          </w:tcPr>
          <w:p w14:paraId="56E7EABC" w14:textId="77777777" w:rsidR="005E125E" w:rsidRPr="00C0591E" w:rsidRDefault="005E125E" w:rsidP="005E125E">
            <w:pPr>
              <w:spacing w:before="0" w:after="0"/>
              <w:jc w:val="center"/>
              <w:rPr>
                <w:rFonts w:eastAsia="Times New Roman"/>
              </w:rPr>
            </w:pPr>
          </w:p>
        </w:tc>
        <w:tc>
          <w:tcPr>
            <w:tcW w:w="674" w:type="pct"/>
            <w:tcBorders>
              <w:top w:val="nil"/>
              <w:left w:val="nil"/>
              <w:bottom w:val="nil"/>
              <w:right w:val="nil"/>
            </w:tcBorders>
            <w:shd w:val="clear" w:color="auto" w:fill="auto"/>
            <w:noWrap/>
            <w:vAlign w:val="bottom"/>
            <w:hideMark/>
          </w:tcPr>
          <w:p w14:paraId="1A251986" w14:textId="77777777" w:rsidR="005E125E" w:rsidRPr="00C0591E" w:rsidRDefault="005E125E" w:rsidP="005E125E">
            <w:pPr>
              <w:spacing w:before="0" w:after="0"/>
              <w:jc w:val="center"/>
              <w:rPr>
                <w:rFonts w:eastAsia="Times New Roman" w:cs="Times New Roman"/>
                <w:sz w:val="20"/>
                <w:szCs w:val="20"/>
              </w:rPr>
            </w:pPr>
          </w:p>
        </w:tc>
        <w:tc>
          <w:tcPr>
            <w:tcW w:w="515" w:type="pct"/>
            <w:tcBorders>
              <w:top w:val="nil"/>
              <w:left w:val="nil"/>
              <w:bottom w:val="nil"/>
              <w:right w:val="nil"/>
            </w:tcBorders>
            <w:shd w:val="clear" w:color="auto" w:fill="auto"/>
            <w:noWrap/>
            <w:vAlign w:val="bottom"/>
            <w:hideMark/>
          </w:tcPr>
          <w:p w14:paraId="1C50DA63" w14:textId="77777777" w:rsidR="005E125E" w:rsidRPr="00C0591E" w:rsidRDefault="005E125E" w:rsidP="005E125E">
            <w:pPr>
              <w:spacing w:before="0" w:after="0"/>
              <w:jc w:val="center"/>
              <w:rPr>
                <w:rFonts w:eastAsia="Times New Roman" w:cs="Times New Roman"/>
                <w:sz w:val="20"/>
                <w:szCs w:val="20"/>
              </w:rPr>
            </w:pPr>
          </w:p>
        </w:tc>
      </w:tr>
      <w:tr w:rsidR="000E70F4" w:rsidRPr="00C0591E" w14:paraId="1CDD839F" w14:textId="77777777" w:rsidTr="0077056D">
        <w:trPr>
          <w:trHeight w:val="288"/>
        </w:trPr>
        <w:tc>
          <w:tcPr>
            <w:tcW w:w="618" w:type="pct"/>
            <w:tcBorders>
              <w:top w:val="nil"/>
              <w:left w:val="nil"/>
              <w:bottom w:val="nil"/>
              <w:right w:val="nil"/>
            </w:tcBorders>
            <w:shd w:val="clear" w:color="auto" w:fill="auto"/>
            <w:noWrap/>
            <w:vAlign w:val="bottom"/>
            <w:hideMark/>
          </w:tcPr>
          <w:p w14:paraId="1D436B54" w14:textId="77777777" w:rsidR="005E125E" w:rsidRPr="00C0591E" w:rsidRDefault="005E125E" w:rsidP="005E125E">
            <w:pPr>
              <w:spacing w:before="0" w:after="0"/>
              <w:rPr>
                <w:rFonts w:eastAsia="Times New Roman"/>
                <w:color w:val="000000"/>
              </w:rPr>
            </w:pPr>
            <w:r w:rsidRPr="00C0591E">
              <w:rPr>
                <w:rFonts w:eastAsia="Times New Roman"/>
                <w:color w:val="000000"/>
              </w:rPr>
              <w:t>2</w:t>
            </w:r>
          </w:p>
        </w:tc>
        <w:tc>
          <w:tcPr>
            <w:tcW w:w="851" w:type="pct"/>
            <w:tcBorders>
              <w:top w:val="nil"/>
              <w:left w:val="nil"/>
              <w:bottom w:val="nil"/>
              <w:right w:val="nil"/>
            </w:tcBorders>
            <w:shd w:val="clear" w:color="auto" w:fill="auto"/>
            <w:noWrap/>
            <w:vAlign w:val="bottom"/>
            <w:hideMark/>
          </w:tcPr>
          <w:p w14:paraId="3E7935E1" w14:textId="77777777" w:rsidR="005E125E" w:rsidRPr="00C0591E" w:rsidRDefault="005E125E" w:rsidP="005E125E">
            <w:pPr>
              <w:spacing w:before="0" w:after="0"/>
              <w:rPr>
                <w:rFonts w:eastAsia="Times New Roman"/>
                <w:color w:val="000000"/>
              </w:rPr>
            </w:pPr>
            <w:r w:rsidRPr="00C0591E">
              <w:rPr>
                <w:rFonts w:eastAsia="Times New Roman"/>
                <w:color w:val="000000"/>
              </w:rPr>
              <w:t>Regression</w:t>
            </w:r>
          </w:p>
        </w:tc>
        <w:tc>
          <w:tcPr>
            <w:tcW w:w="1045" w:type="pct"/>
            <w:tcBorders>
              <w:top w:val="nil"/>
              <w:left w:val="nil"/>
              <w:bottom w:val="nil"/>
              <w:right w:val="nil"/>
            </w:tcBorders>
            <w:shd w:val="clear" w:color="auto" w:fill="auto"/>
            <w:noWrap/>
            <w:vAlign w:val="bottom"/>
            <w:hideMark/>
          </w:tcPr>
          <w:p w14:paraId="4B14D3B3"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28.468</w:t>
            </w:r>
          </w:p>
        </w:tc>
        <w:tc>
          <w:tcPr>
            <w:tcW w:w="395" w:type="pct"/>
            <w:tcBorders>
              <w:top w:val="nil"/>
              <w:left w:val="nil"/>
              <w:bottom w:val="nil"/>
              <w:right w:val="nil"/>
            </w:tcBorders>
            <w:shd w:val="clear" w:color="auto" w:fill="auto"/>
            <w:noWrap/>
            <w:vAlign w:val="bottom"/>
            <w:hideMark/>
          </w:tcPr>
          <w:p w14:paraId="790A677F"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2</w:t>
            </w:r>
          </w:p>
        </w:tc>
        <w:tc>
          <w:tcPr>
            <w:tcW w:w="902" w:type="pct"/>
            <w:tcBorders>
              <w:top w:val="nil"/>
              <w:left w:val="nil"/>
              <w:bottom w:val="nil"/>
              <w:right w:val="nil"/>
            </w:tcBorders>
            <w:shd w:val="clear" w:color="auto" w:fill="auto"/>
            <w:noWrap/>
            <w:vAlign w:val="bottom"/>
            <w:hideMark/>
          </w:tcPr>
          <w:p w14:paraId="1F315B70"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14.234</w:t>
            </w:r>
          </w:p>
        </w:tc>
        <w:tc>
          <w:tcPr>
            <w:tcW w:w="674" w:type="pct"/>
            <w:tcBorders>
              <w:top w:val="nil"/>
              <w:left w:val="nil"/>
              <w:bottom w:val="nil"/>
              <w:right w:val="nil"/>
            </w:tcBorders>
            <w:shd w:val="clear" w:color="auto" w:fill="auto"/>
            <w:noWrap/>
            <w:vAlign w:val="bottom"/>
            <w:hideMark/>
          </w:tcPr>
          <w:p w14:paraId="438DAB88"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229.137</w:t>
            </w:r>
          </w:p>
        </w:tc>
        <w:tc>
          <w:tcPr>
            <w:tcW w:w="515" w:type="pct"/>
            <w:tcBorders>
              <w:top w:val="nil"/>
              <w:left w:val="nil"/>
              <w:bottom w:val="nil"/>
              <w:right w:val="nil"/>
            </w:tcBorders>
            <w:shd w:val="clear" w:color="auto" w:fill="auto"/>
            <w:noWrap/>
            <w:vAlign w:val="bottom"/>
            <w:hideMark/>
          </w:tcPr>
          <w:p w14:paraId="2CFA6410"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.000b</w:t>
            </w:r>
          </w:p>
        </w:tc>
      </w:tr>
      <w:tr w:rsidR="000E70F4" w:rsidRPr="00C0591E" w14:paraId="02C6B2B4" w14:textId="77777777" w:rsidTr="0077056D">
        <w:trPr>
          <w:trHeight w:val="288"/>
        </w:trPr>
        <w:tc>
          <w:tcPr>
            <w:tcW w:w="618" w:type="pct"/>
            <w:tcBorders>
              <w:top w:val="nil"/>
              <w:left w:val="nil"/>
              <w:bottom w:val="nil"/>
              <w:right w:val="nil"/>
            </w:tcBorders>
            <w:shd w:val="clear" w:color="auto" w:fill="auto"/>
            <w:noWrap/>
            <w:vAlign w:val="bottom"/>
            <w:hideMark/>
          </w:tcPr>
          <w:p w14:paraId="790F1B03" w14:textId="77777777" w:rsidR="005E125E" w:rsidRPr="00C0591E" w:rsidRDefault="005E125E" w:rsidP="005E125E">
            <w:pPr>
              <w:spacing w:before="0" w:after="0"/>
              <w:rPr>
                <w:rFonts w:eastAsia="Times New Roman"/>
                <w:color w:val="000000"/>
              </w:rPr>
            </w:pPr>
          </w:p>
        </w:tc>
        <w:tc>
          <w:tcPr>
            <w:tcW w:w="851" w:type="pct"/>
            <w:tcBorders>
              <w:top w:val="nil"/>
              <w:left w:val="nil"/>
              <w:bottom w:val="nil"/>
              <w:right w:val="nil"/>
            </w:tcBorders>
            <w:shd w:val="clear" w:color="auto" w:fill="auto"/>
            <w:noWrap/>
            <w:vAlign w:val="bottom"/>
            <w:hideMark/>
          </w:tcPr>
          <w:p w14:paraId="538C4164" w14:textId="77777777" w:rsidR="005E125E" w:rsidRPr="00C0591E" w:rsidRDefault="005E125E" w:rsidP="005E125E">
            <w:pPr>
              <w:spacing w:before="0" w:after="0"/>
              <w:rPr>
                <w:rFonts w:eastAsia="Times New Roman"/>
                <w:color w:val="000000"/>
              </w:rPr>
            </w:pPr>
            <w:r w:rsidRPr="00C0591E">
              <w:rPr>
                <w:rFonts w:eastAsia="Times New Roman"/>
                <w:color w:val="000000"/>
              </w:rPr>
              <w:t>Residual</w:t>
            </w:r>
          </w:p>
        </w:tc>
        <w:tc>
          <w:tcPr>
            <w:tcW w:w="1045" w:type="pct"/>
            <w:tcBorders>
              <w:top w:val="nil"/>
              <w:left w:val="nil"/>
              <w:bottom w:val="nil"/>
              <w:right w:val="nil"/>
            </w:tcBorders>
            <w:shd w:val="clear" w:color="auto" w:fill="auto"/>
            <w:noWrap/>
            <w:vAlign w:val="bottom"/>
            <w:hideMark/>
          </w:tcPr>
          <w:p w14:paraId="46B58A8B"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18.201</w:t>
            </w:r>
          </w:p>
        </w:tc>
        <w:tc>
          <w:tcPr>
            <w:tcW w:w="395" w:type="pct"/>
            <w:tcBorders>
              <w:top w:val="nil"/>
              <w:left w:val="nil"/>
              <w:bottom w:val="nil"/>
              <w:right w:val="nil"/>
            </w:tcBorders>
            <w:shd w:val="clear" w:color="auto" w:fill="auto"/>
            <w:noWrap/>
            <w:vAlign w:val="bottom"/>
            <w:hideMark/>
          </w:tcPr>
          <w:p w14:paraId="3D90E1F2"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293</w:t>
            </w:r>
          </w:p>
        </w:tc>
        <w:tc>
          <w:tcPr>
            <w:tcW w:w="902" w:type="pct"/>
            <w:tcBorders>
              <w:top w:val="nil"/>
              <w:left w:val="nil"/>
              <w:bottom w:val="nil"/>
              <w:right w:val="nil"/>
            </w:tcBorders>
            <w:shd w:val="clear" w:color="auto" w:fill="auto"/>
            <w:noWrap/>
            <w:vAlign w:val="bottom"/>
            <w:hideMark/>
          </w:tcPr>
          <w:p w14:paraId="7A38C685"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0.062</w:t>
            </w:r>
          </w:p>
        </w:tc>
        <w:tc>
          <w:tcPr>
            <w:tcW w:w="674" w:type="pct"/>
            <w:tcBorders>
              <w:top w:val="nil"/>
              <w:left w:val="nil"/>
              <w:bottom w:val="nil"/>
              <w:right w:val="nil"/>
            </w:tcBorders>
            <w:shd w:val="clear" w:color="auto" w:fill="auto"/>
            <w:noWrap/>
            <w:vAlign w:val="bottom"/>
            <w:hideMark/>
          </w:tcPr>
          <w:p w14:paraId="6F24D2B3" w14:textId="77777777" w:rsidR="005E125E" w:rsidRPr="00C0591E" w:rsidRDefault="005E125E" w:rsidP="005E125E">
            <w:pPr>
              <w:spacing w:before="0" w:after="0"/>
              <w:jc w:val="center"/>
              <w:rPr>
                <w:rFonts w:eastAsia="Times New Roman"/>
                <w:color w:val="000000"/>
              </w:rPr>
            </w:pPr>
          </w:p>
        </w:tc>
        <w:tc>
          <w:tcPr>
            <w:tcW w:w="515" w:type="pct"/>
            <w:tcBorders>
              <w:top w:val="nil"/>
              <w:left w:val="nil"/>
              <w:bottom w:val="nil"/>
              <w:right w:val="nil"/>
            </w:tcBorders>
            <w:shd w:val="clear" w:color="auto" w:fill="auto"/>
            <w:noWrap/>
            <w:vAlign w:val="bottom"/>
            <w:hideMark/>
          </w:tcPr>
          <w:p w14:paraId="72B41CED" w14:textId="77777777" w:rsidR="005E125E" w:rsidRPr="00C0591E" w:rsidRDefault="005E125E" w:rsidP="005E125E">
            <w:pPr>
              <w:spacing w:before="0" w:after="0"/>
              <w:jc w:val="center"/>
              <w:rPr>
                <w:rFonts w:eastAsia="Times New Roman" w:cs="Times New Roman"/>
                <w:sz w:val="20"/>
                <w:szCs w:val="20"/>
              </w:rPr>
            </w:pPr>
          </w:p>
        </w:tc>
      </w:tr>
      <w:tr w:rsidR="000E70F4" w:rsidRPr="00C0591E" w14:paraId="18D43F95" w14:textId="77777777" w:rsidTr="0077056D">
        <w:trPr>
          <w:trHeight w:val="288"/>
        </w:trPr>
        <w:tc>
          <w:tcPr>
            <w:tcW w:w="618" w:type="pct"/>
            <w:tcBorders>
              <w:top w:val="nil"/>
              <w:left w:val="nil"/>
              <w:bottom w:val="nil"/>
              <w:right w:val="nil"/>
            </w:tcBorders>
            <w:shd w:val="clear" w:color="auto" w:fill="auto"/>
            <w:noWrap/>
            <w:vAlign w:val="bottom"/>
            <w:hideMark/>
          </w:tcPr>
          <w:p w14:paraId="1BC24795" w14:textId="77777777" w:rsidR="005E125E" w:rsidRPr="00C0591E" w:rsidRDefault="005E125E" w:rsidP="005E125E">
            <w:pPr>
              <w:spacing w:before="0" w:after="0"/>
              <w:rPr>
                <w:rFonts w:eastAsia="Times New Roman" w:cs="Times New Roman"/>
                <w:sz w:val="20"/>
                <w:szCs w:val="20"/>
              </w:rPr>
            </w:pPr>
          </w:p>
        </w:tc>
        <w:tc>
          <w:tcPr>
            <w:tcW w:w="851" w:type="pct"/>
            <w:tcBorders>
              <w:top w:val="nil"/>
              <w:left w:val="nil"/>
              <w:bottom w:val="nil"/>
              <w:right w:val="nil"/>
            </w:tcBorders>
            <w:shd w:val="clear" w:color="auto" w:fill="auto"/>
            <w:noWrap/>
            <w:vAlign w:val="bottom"/>
            <w:hideMark/>
          </w:tcPr>
          <w:p w14:paraId="0740EEB5" w14:textId="77777777" w:rsidR="005E125E" w:rsidRPr="00C0591E" w:rsidRDefault="005E125E" w:rsidP="005E125E">
            <w:pPr>
              <w:spacing w:before="0" w:after="0"/>
              <w:rPr>
                <w:rFonts w:eastAsia="Times New Roman"/>
                <w:color w:val="000000"/>
              </w:rPr>
            </w:pPr>
            <w:r w:rsidRPr="00C0591E">
              <w:rPr>
                <w:rFonts w:eastAsia="Times New Roman"/>
                <w:color w:val="000000"/>
              </w:rPr>
              <w:t>Total</w:t>
            </w:r>
          </w:p>
        </w:tc>
        <w:tc>
          <w:tcPr>
            <w:tcW w:w="1045" w:type="pct"/>
            <w:tcBorders>
              <w:top w:val="nil"/>
              <w:left w:val="nil"/>
              <w:bottom w:val="nil"/>
              <w:right w:val="nil"/>
            </w:tcBorders>
            <w:shd w:val="clear" w:color="auto" w:fill="auto"/>
            <w:noWrap/>
            <w:vAlign w:val="bottom"/>
            <w:hideMark/>
          </w:tcPr>
          <w:p w14:paraId="61125C7C"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46.67</w:t>
            </w:r>
          </w:p>
        </w:tc>
        <w:tc>
          <w:tcPr>
            <w:tcW w:w="395" w:type="pct"/>
            <w:tcBorders>
              <w:top w:val="nil"/>
              <w:left w:val="nil"/>
              <w:bottom w:val="nil"/>
              <w:right w:val="nil"/>
            </w:tcBorders>
            <w:shd w:val="clear" w:color="auto" w:fill="auto"/>
            <w:noWrap/>
            <w:vAlign w:val="bottom"/>
            <w:hideMark/>
          </w:tcPr>
          <w:p w14:paraId="1872ECDF"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295</w:t>
            </w:r>
          </w:p>
        </w:tc>
        <w:tc>
          <w:tcPr>
            <w:tcW w:w="902" w:type="pct"/>
            <w:tcBorders>
              <w:top w:val="nil"/>
              <w:left w:val="nil"/>
              <w:bottom w:val="nil"/>
              <w:right w:val="nil"/>
            </w:tcBorders>
            <w:shd w:val="clear" w:color="auto" w:fill="auto"/>
            <w:noWrap/>
            <w:vAlign w:val="bottom"/>
            <w:hideMark/>
          </w:tcPr>
          <w:p w14:paraId="0BF5E91A" w14:textId="77777777" w:rsidR="005E125E" w:rsidRPr="00C0591E" w:rsidRDefault="005E125E" w:rsidP="005E125E">
            <w:pPr>
              <w:spacing w:before="0" w:after="0"/>
              <w:jc w:val="center"/>
              <w:rPr>
                <w:rFonts w:eastAsia="Times New Roman"/>
                <w:color w:val="000000"/>
              </w:rPr>
            </w:pPr>
          </w:p>
        </w:tc>
        <w:tc>
          <w:tcPr>
            <w:tcW w:w="674" w:type="pct"/>
            <w:tcBorders>
              <w:top w:val="nil"/>
              <w:left w:val="nil"/>
              <w:bottom w:val="nil"/>
              <w:right w:val="nil"/>
            </w:tcBorders>
            <w:shd w:val="clear" w:color="auto" w:fill="auto"/>
            <w:noWrap/>
            <w:vAlign w:val="bottom"/>
            <w:hideMark/>
          </w:tcPr>
          <w:p w14:paraId="73FC45DC" w14:textId="77777777" w:rsidR="005E125E" w:rsidRPr="00C0591E" w:rsidRDefault="005E125E" w:rsidP="005E125E">
            <w:pPr>
              <w:spacing w:before="0" w:after="0"/>
              <w:jc w:val="center"/>
              <w:rPr>
                <w:rFonts w:eastAsia="Times New Roman" w:cs="Times New Roman"/>
                <w:sz w:val="20"/>
                <w:szCs w:val="20"/>
              </w:rPr>
            </w:pPr>
          </w:p>
        </w:tc>
        <w:tc>
          <w:tcPr>
            <w:tcW w:w="515" w:type="pct"/>
            <w:tcBorders>
              <w:top w:val="nil"/>
              <w:left w:val="nil"/>
              <w:bottom w:val="nil"/>
              <w:right w:val="nil"/>
            </w:tcBorders>
            <w:shd w:val="clear" w:color="auto" w:fill="auto"/>
            <w:noWrap/>
            <w:vAlign w:val="bottom"/>
            <w:hideMark/>
          </w:tcPr>
          <w:p w14:paraId="30110AB3" w14:textId="77777777" w:rsidR="005E125E" w:rsidRPr="00C0591E" w:rsidRDefault="005E125E" w:rsidP="005E125E">
            <w:pPr>
              <w:spacing w:before="0" w:after="0"/>
              <w:jc w:val="center"/>
              <w:rPr>
                <w:rFonts w:eastAsia="Times New Roman" w:cs="Times New Roman"/>
                <w:sz w:val="20"/>
                <w:szCs w:val="20"/>
              </w:rPr>
            </w:pPr>
          </w:p>
        </w:tc>
      </w:tr>
      <w:tr w:rsidR="000E70F4" w:rsidRPr="00C0591E" w14:paraId="148EDF7D" w14:textId="77777777" w:rsidTr="0077056D">
        <w:trPr>
          <w:trHeight w:val="288"/>
        </w:trPr>
        <w:tc>
          <w:tcPr>
            <w:tcW w:w="618" w:type="pct"/>
            <w:tcBorders>
              <w:top w:val="nil"/>
              <w:left w:val="nil"/>
              <w:bottom w:val="nil"/>
              <w:right w:val="nil"/>
            </w:tcBorders>
            <w:shd w:val="clear" w:color="auto" w:fill="auto"/>
            <w:noWrap/>
            <w:vAlign w:val="bottom"/>
            <w:hideMark/>
          </w:tcPr>
          <w:p w14:paraId="219806B4" w14:textId="77777777" w:rsidR="005E125E" w:rsidRPr="00C0591E" w:rsidRDefault="005E125E" w:rsidP="005E125E">
            <w:pPr>
              <w:spacing w:before="0" w:after="0"/>
              <w:rPr>
                <w:rFonts w:eastAsia="Times New Roman"/>
                <w:color w:val="000000"/>
              </w:rPr>
            </w:pPr>
            <w:r w:rsidRPr="00C0591E">
              <w:rPr>
                <w:rFonts w:eastAsia="Times New Roman"/>
                <w:color w:val="000000"/>
              </w:rPr>
              <w:t>3</w:t>
            </w:r>
          </w:p>
        </w:tc>
        <w:tc>
          <w:tcPr>
            <w:tcW w:w="851" w:type="pct"/>
            <w:tcBorders>
              <w:top w:val="nil"/>
              <w:left w:val="nil"/>
              <w:bottom w:val="nil"/>
              <w:right w:val="nil"/>
            </w:tcBorders>
            <w:shd w:val="clear" w:color="auto" w:fill="auto"/>
            <w:noWrap/>
            <w:vAlign w:val="bottom"/>
            <w:hideMark/>
          </w:tcPr>
          <w:p w14:paraId="6045FD7B" w14:textId="77777777" w:rsidR="005E125E" w:rsidRPr="00C0591E" w:rsidRDefault="005E125E" w:rsidP="005E125E">
            <w:pPr>
              <w:spacing w:before="0" w:after="0"/>
              <w:rPr>
                <w:rFonts w:eastAsia="Times New Roman"/>
                <w:color w:val="000000"/>
              </w:rPr>
            </w:pPr>
            <w:r w:rsidRPr="00C0591E">
              <w:rPr>
                <w:rFonts w:eastAsia="Times New Roman"/>
                <w:color w:val="000000"/>
              </w:rPr>
              <w:t>Regression</w:t>
            </w:r>
          </w:p>
        </w:tc>
        <w:tc>
          <w:tcPr>
            <w:tcW w:w="1045" w:type="pct"/>
            <w:tcBorders>
              <w:top w:val="nil"/>
              <w:left w:val="nil"/>
              <w:bottom w:val="nil"/>
              <w:right w:val="nil"/>
            </w:tcBorders>
            <w:shd w:val="clear" w:color="auto" w:fill="auto"/>
            <w:noWrap/>
            <w:vAlign w:val="bottom"/>
            <w:hideMark/>
          </w:tcPr>
          <w:p w14:paraId="781A4C92"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29.266</w:t>
            </w:r>
          </w:p>
        </w:tc>
        <w:tc>
          <w:tcPr>
            <w:tcW w:w="395" w:type="pct"/>
            <w:tcBorders>
              <w:top w:val="nil"/>
              <w:left w:val="nil"/>
              <w:bottom w:val="nil"/>
              <w:right w:val="nil"/>
            </w:tcBorders>
            <w:shd w:val="clear" w:color="auto" w:fill="auto"/>
            <w:noWrap/>
            <w:vAlign w:val="bottom"/>
            <w:hideMark/>
          </w:tcPr>
          <w:p w14:paraId="23F864AB"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3</w:t>
            </w:r>
          </w:p>
        </w:tc>
        <w:tc>
          <w:tcPr>
            <w:tcW w:w="902" w:type="pct"/>
            <w:tcBorders>
              <w:top w:val="nil"/>
              <w:left w:val="nil"/>
              <w:bottom w:val="nil"/>
              <w:right w:val="nil"/>
            </w:tcBorders>
            <w:shd w:val="clear" w:color="auto" w:fill="auto"/>
            <w:noWrap/>
            <w:vAlign w:val="bottom"/>
            <w:hideMark/>
          </w:tcPr>
          <w:p w14:paraId="0B3AAFB1"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9.755</w:t>
            </w:r>
          </w:p>
        </w:tc>
        <w:tc>
          <w:tcPr>
            <w:tcW w:w="674" w:type="pct"/>
            <w:tcBorders>
              <w:top w:val="nil"/>
              <w:left w:val="nil"/>
              <w:bottom w:val="nil"/>
              <w:right w:val="nil"/>
            </w:tcBorders>
            <w:shd w:val="clear" w:color="auto" w:fill="auto"/>
            <w:noWrap/>
            <w:vAlign w:val="bottom"/>
            <w:hideMark/>
          </w:tcPr>
          <w:p w14:paraId="6572DC49"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163.67</w:t>
            </w:r>
          </w:p>
        </w:tc>
        <w:tc>
          <w:tcPr>
            <w:tcW w:w="515" w:type="pct"/>
            <w:tcBorders>
              <w:top w:val="nil"/>
              <w:left w:val="nil"/>
              <w:bottom w:val="nil"/>
              <w:right w:val="nil"/>
            </w:tcBorders>
            <w:shd w:val="clear" w:color="auto" w:fill="auto"/>
            <w:noWrap/>
            <w:vAlign w:val="bottom"/>
            <w:hideMark/>
          </w:tcPr>
          <w:p w14:paraId="0279C533"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.000b</w:t>
            </w:r>
          </w:p>
        </w:tc>
      </w:tr>
      <w:tr w:rsidR="000E70F4" w:rsidRPr="00C0591E" w14:paraId="14A9AC25" w14:textId="77777777" w:rsidTr="0077056D">
        <w:trPr>
          <w:trHeight w:val="288"/>
        </w:trPr>
        <w:tc>
          <w:tcPr>
            <w:tcW w:w="618" w:type="pct"/>
            <w:tcBorders>
              <w:top w:val="nil"/>
              <w:left w:val="nil"/>
              <w:bottom w:val="nil"/>
              <w:right w:val="nil"/>
            </w:tcBorders>
            <w:shd w:val="clear" w:color="auto" w:fill="auto"/>
            <w:noWrap/>
            <w:vAlign w:val="bottom"/>
            <w:hideMark/>
          </w:tcPr>
          <w:p w14:paraId="48208D76" w14:textId="77777777" w:rsidR="005E125E" w:rsidRPr="00C0591E" w:rsidRDefault="005E125E" w:rsidP="005E125E">
            <w:pPr>
              <w:spacing w:before="0" w:after="0"/>
              <w:rPr>
                <w:rFonts w:eastAsia="Times New Roman"/>
                <w:color w:val="000000"/>
              </w:rPr>
            </w:pPr>
          </w:p>
        </w:tc>
        <w:tc>
          <w:tcPr>
            <w:tcW w:w="851" w:type="pct"/>
            <w:tcBorders>
              <w:top w:val="nil"/>
              <w:left w:val="nil"/>
              <w:bottom w:val="nil"/>
              <w:right w:val="nil"/>
            </w:tcBorders>
            <w:shd w:val="clear" w:color="auto" w:fill="auto"/>
            <w:noWrap/>
            <w:vAlign w:val="bottom"/>
            <w:hideMark/>
          </w:tcPr>
          <w:p w14:paraId="23DFCA8D" w14:textId="77777777" w:rsidR="005E125E" w:rsidRPr="00C0591E" w:rsidRDefault="005E125E" w:rsidP="005E125E">
            <w:pPr>
              <w:spacing w:before="0" w:after="0"/>
              <w:rPr>
                <w:rFonts w:eastAsia="Times New Roman"/>
                <w:color w:val="000000"/>
              </w:rPr>
            </w:pPr>
            <w:r w:rsidRPr="00C0591E">
              <w:rPr>
                <w:rFonts w:eastAsia="Times New Roman"/>
                <w:color w:val="000000"/>
              </w:rPr>
              <w:t>Residual</w:t>
            </w:r>
          </w:p>
        </w:tc>
        <w:tc>
          <w:tcPr>
            <w:tcW w:w="1045" w:type="pct"/>
            <w:tcBorders>
              <w:top w:val="nil"/>
              <w:left w:val="nil"/>
              <w:bottom w:val="nil"/>
              <w:right w:val="nil"/>
            </w:tcBorders>
            <w:shd w:val="clear" w:color="auto" w:fill="auto"/>
            <w:noWrap/>
            <w:vAlign w:val="bottom"/>
            <w:hideMark/>
          </w:tcPr>
          <w:p w14:paraId="5B6A3F2A"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17.404</w:t>
            </w:r>
          </w:p>
        </w:tc>
        <w:tc>
          <w:tcPr>
            <w:tcW w:w="395" w:type="pct"/>
            <w:tcBorders>
              <w:top w:val="nil"/>
              <w:left w:val="nil"/>
              <w:bottom w:val="nil"/>
              <w:right w:val="nil"/>
            </w:tcBorders>
            <w:shd w:val="clear" w:color="auto" w:fill="auto"/>
            <w:noWrap/>
            <w:vAlign w:val="bottom"/>
            <w:hideMark/>
          </w:tcPr>
          <w:p w14:paraId="16061417"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292</w:t>
            </w:r>
          </w:p>
        </w:tc>
        <w:tc>
          <w:tcPr>
            <w:tcW w:w="902" w:type="pct"/>
            <w:tcBorders>
              <w:top w:val="nil"/>
              <w:left w:val="nil"/>
              <w:bottom w:val="nil"/>
              <w:right w:val="nil"/>
            </w:tcBorders>
            <w:shd w:val="clear" w:color="auto" w:fill="auto"/>
            <w:noWrap/>
            <w:vAlign w:val="bottom"/>
            <w:hideMark/>
          </w:tcPr>
          <w:p w14:paraId="023D6411"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0.06</w:t>
            </w:r>
          </w:p>
        </w:tc>
        <w:tc>
          <w:tcPr>
            <w:tcW w:w="674" w:type="pct"/>
            <w:tcBorders>
              <w:top w:val="nil"/>
              <w:left w:val="nil"/>
              <w:bottom w:val="nil"/>
              <w:right w:val="nil"/>
            </w:tcBorders>
            <w:shd w:val="clear" w:color="auto" w:fill="auto"/>
            <w:noWrap/>
            <w:vAlign w:val="bottom"/>
            <w:hideMark/>
          </w:tcPr>
          <w:p w14:paraId="08348C03" w14:textId="77777777" w:rsidR="005E125E" w:rsidRPr="00C0591E" w:rsidRDefault="005E125E" w:rsidP="005E125E">
            <w:pPr>
              <w:spacing w:before="0" w:after="0"/>
              <w:jc w:val="center"/>
              <w:rPr>
                <w:rFonts w:eastAsia="Times New Roman"/>
                <w:color w:val="000000"/>
              </w:rPr>
            </w:pPr>
          </w:p>
        </w:tc>
        <w:tc>
          <w:tcPr>
            <w:tcW w:w="515" w:type="pct"/>
            <w:tcBorders>
              <w:top w:val="nil"/>
              <w:left w:val="nil"/>
              <w:bottom w:val="nil"/>
              <w:right w:val="nil"/>
            </w:tcBorders>
            <w:shd w:val="clear" w:color="auto" w:fill="auto"/>
            <w:noWrap/>
            <w:vAlign w:val="bottom"/>
            <w:hideMark/>
          </w:tcPr>
          <w:p w14:paraId="62EC0C88" w14:textId="77777777" w:rsidR="005E125E" w:rsidRPr="00C0591E" w:rsidRDefault="005E125E" w:rsidP="005E125E">
            <w:pPr>
              <w:spacing w:before="0" w:after="0"/>
              <w:jc w:val="center"/>
              <w:rPr>
                <w:rFonts w:eastAsia="Times New Roman" w:cs="Times New Roman"/>
                <w:sz w:val="20"/>
                <w:szCs w:val="20"/>
              </w:rPr>
            </w:pPr>
          </w:p>
        </w:tc>
      </w:tr>
      <w:tr w:rsidR="000E70F4" w:rsidRPr="00C0591E" w14:paraId="4236E662" w14:textId="77777777" w:rsidTr="0077056D">
        <w:trPr>
          <w:trHeight w:val="288"/>
        </w:trPr>
        <w:tc>
          <w:tcPr>
            <w:tcW w:w="618" w:type="pct"/>
            <w:tcBorders>
              <w:top w:val="nil"/>
              <w:left w:val="nil"/>
              <w:bottom w:val="single" w:sz="4" w:space="0" w:color="auto"/>
              <w:right w:val="nil"/>
            </w:tcBorders>
            <w:shd w:val="clear" w:color="auto" w:fill="auto"/>
            <w:noWrap/>
            <w:vAlign w:val="bottom"/>
            <w:hideMark/>
          </w:tcPr>
          <w:p w14:paraId="4C3DBD77" w14:textId="77777777" w:rsidR="005E125E" w:rsidRPr="00C0591E" w:rsidRDefault="005E125E" w:rsidP="005E125E">
            <w:pPr>
              <w:spacing w:before="0" w:after="0"/>
              <w:rPr>
                <w:rFonts w:eastAsia="Times New Roman"/>
                <w:color w:val="000000"/>
              </w:rPr>
            </w:pPr>
            <w:r w:rsidRPr="00C0591E">
              <w:rPr>
                <w:rFonts w:eastAsia="Times New Roman"/>
                <w:color w:val="000000"/>
              </w:rPr>
              <w:t> </w:t>
            </w:r>
          </w:p>
        </w:tc>
        <w:tc>
          <w:tcPr>
            <w:tcW w:w="851" w:type="pct"/>
            <w:tcBorders>
              <w:top w:val="nil"/>
              <w:left w:val="nil"/>
              <w:bottom w:val="single" w:sz="4" w:space="0" w:color="auto"/>
              <w:right w:val="nil"/>
            </w:tcBorders>
            <w:shd w:val="clear" w:color="auto" w:fill="auto"/>
            <w:noWrap/>
            <w:vAlign w:val="bottom"/>
            <w:hideMark/>
          </w:tcPr>
          <w:p w14:paraId="779A56A5" w14:textId="77777777" w:rsidR="005E125E" w:rsidRPr="00C0591E" w:rsidRDefault="005E125E" w:rsidP="005E125E">
            <w:pPr>
              <w:spacing w:before="0" w:after="0"/>
              <w:rPr>
                <w:rFonts w:eastAsia="Times New Roman"/>
                <w:color w:val="000000"/>
              </w:rPr>
            </w:pPr>
            <w:r w:rsidRPr="00C0591E">
              <w:rPr>
                <w:rFonts w:eastAsia="Times New Roman"/>
                <w:color w:val="000000"/>
              </w:rPr>
              <w:t>Total</w:t>
            </w:r>
          </w:p>
        </w:tc>
        <w:tc>
          <w:tcPr>
            <w:tcW w:w="1045" w:type="pct"/>
            <w:tcBorders>
              <w:top w:val="nil"/>
              <w:left w:val="nil"/>
              <w:bottom w:val="single" w:sz="4" w:space="0" w:color="auto"/>
              <w:right w:val="nil"/>
            </w:tcBorders>
            <w:shd w:val="clear" w:color="auto" w:fill="auto"/>
            <w:noWrap/>
            <w:vAlign w:val="bottom"/>
            <w:hideMark/>
          </w:tcPr>
          <w:p w14:paraId="76FADEAA"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46.67</w:t>
            </w:r>
          </w:p>
        </w:tc>
        <w:tc>
          <w:tcPr>
            <w:tcW w:w="395" w:type="pct"/>
            <w:tcBorders>
              <w:top w:val="nil"/>
              <w:left w:val="nil"/>
              <w:bottom w:val="single" w:sz="4" w:space="0" w:color="auto"/>
              <w:right w:val="nil"/>
            </w:tcBorders>
            <w:shd w:val="clear" w:color="auto" w:fill="auto"/>
            <w:noWrap/>
            <w:vAlign w:val="bottom"/>
            <w:hideMark/>
          </w:tcPr>
          <w:p w14:paraId="113D212A"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295</w:t>
            </w:r>
          </w:p>
        </w:tc>
        <w:tc>
          <w:tcPr>
            <w:tcW w:w="902" w:type="pct"/>
            <w:tcBorders>
              <w:top w:val="nil"/>
              <w:left w:val="nil"/>
              <w:bottom w:val="single" w:sz="4" w:space="0" w:color="auto"/>
              <w:right w:val="nil"/>
            </w:tcBorders>
            <w:shd w:val="clear" w:color="auto" w:fill="auto"/>
            <w:noWrap/>
            <w:vAlign w:val="bottom"/>
            <w:hideMark/>
          </w:tcPr>
          <w:p w14:paraId="712DF00B" w14:textId="4E831E12" w:rsidR="005E125E" w:rsidRPr="00C0591E" w:rsidRDefault="005E125E" w:rsidP="005E125E">
            <w:pPr>
              <w:spacing w:before="0" w:after="0"/>
              <w:jc w:val="center"/>
              <w:rPr>
                <w:rFonts w:eastAsia="Times New Roman"/>
                <w:color w:val="000000"/>
              </w:rPr>
            </w:pPr>
          </w:p>
        </w:tc>
        <w:tc>
          <w:tcPr>
            <w:tcW w:w="674" w:type="pct"/>
            <w:tcBorders>
              <w:top w:val="nil"/>
              <w:left w:val="nil"/>
              <w:bottom w:val="single" w:sz="4" w:space="0" w:color="auto"/>
              <w:right w:val="nil"/>
            </w:tcBorders>
            <w:shd w:val="clear" w:color="auto" w:fill="auto"/>
            <w:noWrap/>
            <w:vAlign w:val="bottom"/>
            <w:hideMark/>
          </w:tcPr>
          <w:p w14:paraId="0A5EC126" w14:textId="1725687E" w:rsidR="005E125E" w:rsidRPr="00C0591E" w:rsidRDefault="005E125E" w:rsidP="005E125E">
            <w:pPr>
              <w:spacing w:before="0" w:after="0"/>
              <w:jc w:val="center"/>
              <w:rPr>
                <w:rFonts w:eastAsia="Times New Roman"/>
                <w:color w:val="000000"/>
              </w:rPr>
            </w:pPr>
          </w:p>
        </w:tc>
        <w:tc>
          <w:tcPr>
            <w:tcW w:w="515" w:type="pct"/>
            <w:tcBorders>
              <w:top w:val="nil"/>
              <w:left w:val="nil"/>
              <w:bottom w:val="single" w:sz="4" w:space="0" w:color="auto"/>
              <w:right w:val="nil"/>
            </w:tcBorders>
            <w:shd w:val="clear" w:color="auto" w:fill="auto"/>
            <w:noWrap/>
            <w:vAlign w:val="bottom"/>
            <w:hideMark/>
          </w:tcPr>
          <w:p w14:paraId="702478B0" w14:textId="112655FC" w:rsidR="005E125E" w:rsidRPr="00C0591E" w:rsidRDefault="005E125E" w:rsidP="005E125E">
            <w:pPr>
              <w:spacing w:before="0" w:after="0"/>
              <w:jc w:val="center"/>
              <w:rPr>
                <w:rFonts w:eastAsia="Times New Roman"/>
                <w:color w:val="000000"/>
              </w:rPr>
            </w:pPr>
          </w:p>
        </w:tc>
      </w:tr>
    </w:tbl>
    <w:p w14:paraId="72CBA468" w14:textId="06EAA1FE" w:rsidR="0077056D" w:rsidRPr="00C0591E" w:rsidRDefault="0077056D" w:rsidP="0077056D">
      <w:r w:rsidRPr="00C0591E">
        <w:t xml:space="preserve">The ANOVA results indicated that all the three models were significant at 0.000&lt;0.05. The F-Statistic for model one was (F=362.084, p = 0.000&lt;0.05), the F-Statistic for Model two was (F=229.137, p = 0.000&lt;0.05), the F-Statistic for model three was F=163.67, P = 0.000&lt;0.05. </w:t>
      </w:r>
    </w:p>
    <w:p w14:paraId="2B990717" w14:textId="54B13632" w:rsidR="0077056D" w:rsidRDefault="0077056D" w:rsidP="0077056D">
      <w:r w:rsidRPr="00C0591E">
        <w:t xml:space="preserve">The regression of coefficients for </w:t>
      </w:r>
      <w:r w:rsidR="00173C67">
        <w:t>pillars of corporate governance</w:t>
      </w:r>
      <w:r w:rsidRPr="00C0591E">
        <w:t xml:space="preserve">, government regulations and performance of pension fund managers are as shown in Table </w:t>
      </w:r>
      <w:r w:rsidR="00191F36" w:rsidRPr="00C0591E">
        <w:t>30</w:t>
      </w:r>
      <w:r w:rsidRPr="00C0591E">
        <w:t>.</w:t>
      </w:r>
    </w:p>
    <w:p w14:paraId="2D78F495" w14:textId="48F373A4" w:rsidR="00C813FD" w:rsidRDefault="00C813FD" w:rsidP="0077056D"/>
    <w:p w14:paraId="3EA82A87" w14:textId="65A5F282" w:rsidR="00C813FD" w:rsidRDefault="00C813FD" w:rsidP="0077056D"/>
    <w:p w14:paraId="2A55638F" w14:textId="3C78FDD1" w:rsidR="00C813FD" w:rsidRDefault="00C813FD" w:rsidP="0077056D"/>
    <w:p w14:paraId="08ADFFDD" w14:textId="625192ED" w:rsidR="00C813FD" w:rsidRDefault="00C813FD" w:rsidP="0077056D"/>
    <w:p w14:paraId="6E7E70B0" w14:textId="3754C33D" w:rsidR="00C813FD" w:rsidRDefault="00C813FD" w:rsidP="0077056D"/>
    <w:p w14:paraId="49D2C377" w14:textId="58884208" w:rsidR="00C813FD" w:rsidRDefault="00C813FD" w:rsidP="0077056D"/>
    <w:p w14:paraId="7E5A1AD3" w14:textId="61BB183A" w:rsidR="00C813FD" w:rsidRDefault="00C813FD" w:rsidP="0077056D"/>
    <w:p w14:paraId="619D62E7" w14:textId="7BCFA83B" w:rsidR="00C813FD" w:rsidRDefault="00C813FD" w:rsidP="0077056D"/>
    <w:p w14:paraId="6875D332" w14:textId="1CC09D1D" w:rsidR="00C813FD" w:rsidRDefault="00C813FD" w:rsidP="0077056D"/>
    <w:p w14:paraId="245816A9" w14:textId="77777777" w:rsidR="00C813FD" w:rsidRPr="00C0591E" w:rsidRDefault="00C813FD" w:rsidP="0077056D"/>
    <w:p w14:paraId="6C25529E" w14:textId="00DE9DB5" w:rsidR="005E125E" w:rsidRPr="00C0591E" w:rsidRDefault="0077056D" w:rsidP="00F07CC4">
      <w:pPr>
        <w:pStyle w:val="Heading4"/>
        <w:rPr>
          <w:lang w:val="en-GB"/>
        </w:rPr>
      </w:pPr>
      <w:bookmarkStart w:id="306" w:name="_Toc113125165"/>
      <w:r w:rsidRPr="00C0591E">
        <w:t xml:space="preserve">Table </w:t>
      </w:r>
      <w:r w:rsidR="00191F36" w:rsidRPr="00C0591E">
        <w:t>30</w:t>
      </w:r>
      <w:r w:rsidRPr="00C0591E">
        <w:t xml:space="preserve">: Regression Coefficients for </w:t>
      </w:r>
      <w:r w:rsidR="006529EE" w:rsidRPr="00C0591E">
        <w:t>Moderating Model</w:t>
      </w:r>
      <w:bookmarkEnd w:id="306"/>
    </w:p>
    <w:tbl>
      <w:tblPr>
        <w:tblW w:w="5150" w:type="pct"/>
        <w:tblInd w:w="-270" w:type="dxa"/>
        <w:tblLayout w:type="fixed"/>
        <w:tblLook w:val="04A0" w:firstRow="1" w:lastRow="0" w:firstColumn="1" w:lastColumn="0" w:noHBand="0" w:noVBand="1"/>
      </w:tblPr>
      <w:tblGrid>
        <w:gridCol w:w="904"/>
        <w:gridCol w:w="2609"/>
        <w:gridCol w:w="1621"/>
        <w:gridCol w:w="1346"/>
        <w:gridCol w:w="904"/>
        <w:gridCol w:w="1080"/>
        <w:gridCol w:w="833"/>
      </w:tblGrid>
      <w:tr w:rsidR="005E125E" w:rsidRPr="00C0591E" w14:paraId="1D8FC042" w14:textId="77777777" w:rsidTr="005E125E">
        <w:trPr>
          <w:trHeight w:val="288"/>
        </w:trPr>
        <w:tc>
          <w:tcPr>
            <w:tcW w:w="486" w:type="pct"/>
            <w:tcBorders>
              <w:top w:val="single" w:sz="4" w:space="0" w:color="auto"/>
              <w:left w:val="nil"/>
              <w:bottom w:val="nil"/>
              <w:right w:val="nil"/>
            </w:tcBorders>
            <w:shd w:val="clear" w:color="auto" w:fill="auto"/>
            <w:noWrap/>
            <w:vAlign w:val="bottom"/>
            <w:hideMark/>
          </w:tcPr>
          <w:p w14:paraId="59F5C3D9" w14:textId="77777777" w:rsidR="005E125E" w:rsidRPr="00C0591E" w:rsidRDefault="005E125E" w:rsidP="005E125E">
            <w:pPr>
              <w:spacing w:before="0" w:after="0"/>
              <w:rPr>
                <w:rFonts w:eastAsia="Times New Roman"/>
                <w:b/>
              </w:rPr>
            </w:pPr>
            <w:r w:rsidRPr="00C0591E">
              <w:rPr>
                <w:rFonts w:eastAsia="Times New Roman"/>
                <w:b/>
              </w:rPr>
              <w:t> </w:t>
            </w:r>
          </w:p>
        </w:tc>
        <w:tc>
          <w:tcPr>
            <w:tcW w:w="1403" w:type="pct"/>
            <w:tcBorders>
              <w:top w:val="single" w:sz="4" w:space="0" w:color="auto"/>
              <w:left w:val="nil"/>
              <w:bottom w:val="nil"/>
              <w:right w:val="nil"/>
            </w:tcBorders>
            <w:shd w:val="clear" w:color="auto" w:fill="auto"/>
            <w:noWrap/>
            <w:vAlign w:val="bottom"/>
            <w:hideMark/>
          </w:tcPr>
          <w:p w14:paraId="446732D3" w14:textId="77777777" w:rsidR="005E125E" w:rsidRPr="00C0591E" w:rsidRDefault="005E125E" w:rsidP="005E125E">
            <w:pPr>
              <w:spacing w:before="0" w:after="0"/>
              <w:rPr>
                <w:rFonts w:eastAsia="Times New Roman"/>
                <w:b/>
              </w:rPr>
            </w:pPr>
            <w:r w:rsidRPr="00C0591E">
              <w:rPr>
                <w:rFonts w:eastAsia="Times New Roman"/>
                <w:b/>
              </w:rPr>
              <w:t> </w:t>
            </w:r>
          </w:p>
        </w:tc>
        <w:tc>
          <w:tcPr>
            <w:tcW w:w="1596" w:type="pct"/>
            <w:gridSpan w:val="2"/>
            <w:tcBorders>
              <w:top w:val="single" w:sz="4" w:space="0" w:color="auto"/>
              <w:left w:val="nil"/>
              <w:bottom w:val="nil"/>
              <w:right w:val="nil"/>
            </w:tcBorders>
            <w:shd w:val="clear" w:color="auto" w:fill="auto"/>
            <w:noWrap/>
            <w:vAlign w:val="bottom"/>
            <w:hideMark/>
          </w:tcPr>
          <w:p w14:paraId="46159E12" w14:textId="77777777" w:rsidR="005E125E" w:rsidRPr="00C0591E" w:rsidRDefault="005E125E" w:rsidP="005E125E">
            <w:pPr>
              <w:spacing w:before="0" w:after="0"/>
              <w:rPr>
                <w:rFonts w:eastAsia="Times New Roman"/>
                <w:b/>
              </w:rPr>
            </w:pPr>
            <w:r w:rsidRPr="00C0591E">
              <w:rPr>
                <w:rFonts w:eastAsia="Times New Roman"/>
                <w:b/>
              </w:rPr>
              <w:t>Unstandardized Coefficients</w:t>
            </w:r>
          </w:p>
        </w:tc>
        <w:tc>
          <w:tcPr>
            <w:tcW w:w="1515" w:type="pct"/>
            <w:gridSpan w:val="3"/>
            <w:tcBorders>
              <w:top w:val="single" w:sz="4" w:space="0" w:color="auto"/>
              <w:left w:val="nil"/>
              <w:bottom w:val="nil"/>
              <w:right w:val="nil"/>
            </w:tcBorders>
            <w:shd w:val="clear" w:color="auto" w:fill="auto"/>
            <w:noWrap/>
            <w:vAlign w:val="bottom"/>
            <w:hideMark/>
          </w:tcPr>
          <w:p w14:paraId="465DF513" w14:textId="77777777" w:rsidR="005E125E" w:rsidRPr="00C0591E" w:rsidRDefault="005E125E" w:rsidP="005E125E">
            <w:pPr>
              <w:spacing w:before="0" w:after="0"/>
              <w:rPr>
                <w:rFonts w:eastAsia="Times New Roman"/>
                <w:b/>
              </w:rPr>
            </w:pPr>
            <w:r w:rsidRPr="00C0591E">
              <w:rPr>
                <w:rFonts w:eastAsia="Times New Roman"/>
                <w:b/>
              </w:rPr>
              <w:t>Standardized Coefficients</w:t>
            </w:r>
          </w:p>
        </w:tc>
      </w:tr>
      <w:tr w:rsidR="005E125E" w:rsidRPr="00C0591E" w14:paraId="28BB0728" w14:textId="77777777" w:rsidTr="005E125E">
        <w:trPr>
          <w:trHeight w:val="288"/>
        </w:trPr>
        <w:tc>
          <w:tcPr>
            <w:tcW w:w="486" w:type="pct"/>
            <w:tcBorders>
              <w:top w:val="nil"/>
              <w:left w:val="nil"/>
              <w:bottom w:val="single" w:sz="4" w:space="0" w:color="auto"/>
              <w:right w:val="nil"/>
            </w:tcBorders>
            <w:shd w:val="clear" w:color="auto" w:fill="auto"/>
            <w:noWrap/>
            <w:vAlign w:val="bottom"/>
            <w:hideMark/>
          </w:tcPr>
          <w:p w14:paraId="2ECF5C19" w14:textId="77777777" w:rsidR="005E125E" w:rsidRPr="00C0591E" w:rsidRDefault="005E125E" w:rsidP="005E125E">
            <w:pPr>
              <w:spacing w:before="0" w:after="0"/>
              <w:rPr>
                <w:rFonts w:eastAsia="Times New Roman"/>
                <w:b/>
              </w:rPr>
            </w:pPr>
            <w:r w:rsidRPr="00C0591E">
              <w:rPr>
                <w:rFonts w:eastAsia="Times New Roman"/>
                <w:b/>
              </w:rPr>
              <w:t>Model</w:t>
            </w:r>
          </w:p>
        </w:tc>
        <w:tc>
          <w:tcPr>
            <w:tcW w:w="1403" w:type="pct"/>
            <w:tcBorders>
              <w:top w:val="nil"/>
              <w:left w:val="nil"/>
              <w:bottom w:val="single" w:sz="4" w:space="0" w:color="auto"/>
              <w:right w:val="nil"/>
            </w:tcBorders>
            <w:shd w:val="clear" w:color="auto" w:fill="auto"/>
            <w:noWrap/>
            <w:vAlign w:val="bottom"/>
            <w:hideMark/>
          </w:tcPr>
          <w:p w14:paraId="640D06CB" w14:textId="77777777" w:rsidR="005E125E" w:rsidRPr="00C0591E" w:rsidRDefault="005E125E" w:rsidP="005E125E">
            <w:pPr>
              <w:spacing w:before="0" w:after="0"/>
              <w:rPr>
                <w:rFonts w:eastAsia="Times New Roman"/>
                <w:b/>
              </w:rPr>
            </w:pPr>
            <w:r w:rsidRPr="00C0591E">
              <w:rPr>
                <w:rFonts w:eastAsia="Times New Roman"/>
                <w:b/>
              </w:rPr>
              <w:t> </w:t>
            </w:r>
          </w:p>
        </w:tc>
        <w:tc>
          <w:tcPr>
            <w:tcW w:w="872" w:type="pct"/>
            <w:tcBorders>
              <w:top w:val="nil"/>
              <w:left w:val="nil"/>
              <w:bottom w:val="single" w:sz="4" w:space="0" w:color="auto"/>
              <w:right w:val="nil"/>
            </w:tcBorders>
            <w:shd w:val="clear" w:color="auto" w:fill="auto"/>
            <w:noWrap/>
            <w:vAlign w:val="bottom"/>
            <w:hideMark/>
          </w:tcPr>
          <w:p w14:paraId="62CA802C" w14:textId="77777777" w:rsidR="005E125E" w:rsidRPr="00C0591E" w:rsidRDefault="005E125E" w:rsidP="005E125E">
            <w:pPr>
              <w:spacing w:before="0" w:after="0"/>
              <w:jc w:val="center"/>
              <w:rPr>
                <w:rFonts w:eastAsia="Times New Roman"/>
                <w:b/>
              </w:rPr>
            </w:pPr>
            <w:r w:rsidRPr="00C0591E">
              <w:rPr>
                <w:rFonts w:eastAsia="Times New Roman"/>
                <w:b/>
              </w:rPr>
              <w:t>B</w:t>
            </w:r>
          </w:p>
        </w:tc>
        <w:tc>
          <w:tcPr>
            <w:tcW w:w="724" w:type="pct"/>
            <w:tcBorders>
              <w:top w:val="nil"/>
              <w:left w:val="nil"/>
              <w:bottom w:val="single" w:sz="4" w:space="0" w:color="auto"/>
              <w:right w:val="nil"/>
            </w:tcBorders>
            <w:shd w:val="clear" w:color="auto" w:fill="auto"/>
            <w:noWrap/>
            <w:vAlign w:val="bottom"/>
            <w:hideMark/>
          </w:tcPr>
          <w:p w14:paraId="0DA3FD71" w14:textId="77777777" w:rsidR="005E125E" w:rsidRPr="00C0591E" w:rsidRDefault="005E125E" w:rsidP="005E125E">
            <w:pPr>
              <w:spacing w:before="0" w:after="0"/>
              <w:jc w:val="center"/>
              <w:rPr>
                <w:rFonts w:eastAsia="Times New Roman"/>
                <w:b/>
              </w:rPr>
            </w:pPr>
            <w:r w:rsidRPr="00C0591E">
              <w:rPr>
                <w:rFonts w:eastAsia="Times New Roman"/>
                <w:b/>
              </w:rPr>
              <w:t>Std. Error</w:t>
            </w:r>
          </w:p>
        </w:tc>
        <w:tc>
          <w:tcPr>
            <w:tcW w:w="486" w:type="pct"/>
            <w:tcBorders>
              <w:top w:val="nil"/>
              <w:left w:val="nil"/>
              <w:bottom w:val="single" w:sz="4" w:space="0" w:color="auto"/>
              <w:right w:val="nil"/>
            </w:tcBorders>
            <w:shd w:val="clear" w:color="auto" w:fill="auto"/>
            <w:noWrap/>
            <w:vAlign w:val="bottom"/>
            <w:hideMark/>
          </w:tcPr>
          <w:p w14:paraId="673E8947" w14:textId="77777777" w:rsidR="005E125E" w:rsidRPr="00C0591E" w:rsidRDefault="005E125E" w:rsidP="005E125E">
            <w:pPr>
              <w:spacing w:before="0" w:after="0"/>
              <w:jc w:val="center"/>
              <w:rPr>
                <w:rFonts w:eastAsia="Times New Roman"/>
                <w:b/>
              </w:rPr>
            </w:pPr>
            <w:r w:rsidRPr="00C0591E">
              <w:rPr>
                <w:rFonts w:eastAsia="Times New Roman"/>
                <w:b/>
              </w:rPr>
              <w:t>Beta</w:t>
            </w:r>
          </w:p>
        </w:tc>
        <w:tc>
          <w:tcPr>
            <w:tcW w:w="581" w:type="pct"/>
            <w:tcBorders>
              <w:top w:val="nil"/>
              <w:left w:val="nil"/>
              <w:bottom w:val="single" w:sz="4" w:space="0" w:color="auto"/>
              <w:right w:val="nil"/>
            </w:tcBorders>
            <w:shd w:val="clear" w:color="auto" w:fill="auto"/>
            <w:noWrap/>
            <w:vAlign w:val="bottom"/>
            <w:hideMark/>
          </w:tcPr>
          <w:p w14:paraId="65254F98" w14:textId="77777777" w:rsidR="005E125E" w:rsidRPr="00C0591E" w:rsidRDefault="005E125E" w:rsidP="005E125E">
            <w:pPr>
              <w:spacing w:before="0" w:after="0"/>
              <w:jc w:val="center"/>
              <w:rPr>
                <w:rFonts w:eastAsia="Times New Roman"/>
                <w:b/>
              </w:rPr>
            </w:pPr>
            <w:r w:rsidRPr="00C0591E">
              <w:rPr>
                <w:rFonts w:eastAsia="Times New Roman"/>
                <w:b/>
              </w:rPr>
              <w:t>t</w:t>
            </w:r>
          </w:p>
        </w:tc>
        <w:tc>
          <w:tcPr>
            <w:tcW w:w="448" w:type="pct"/>
            <w:tcBorders>
              <w:top w:val="nil"/>
              <w:left w:val="nil"/>
              <w:bottom w:val="single" w:sz="4" w:space="0" w:color="auto"/>
              <w:right w:val="nil"/>
            </w:tcBorders>
            <w:shd w:val="clear" w:color="auto" w:fill="auto"/>
            <w:noWrap/>
            <w:vAlign w:val="bottom"/>
            <w:hideMark/>
          </w:tcPr>
          <w:p w14:paraId="636B5C26" w14:textId="77777777" w:rsidR="005E125E" w:rsidRPr="00C0591E" w:rsidRDefault="005E125E" w:rsidP="005E125E">
            <w:pPr>
              <w:spacing w:before="0" w:after="0"/>
              <w:jc w:val="center"/>
              <w:rPr>
                <w:rFonts w:eastAsia="Times New Roman"/>
                <w:b/>
              </w:rPr>
            </w:pPr>
            <w:r w:rsidRPr="00C0591E">
              <w:rPr>
                <w:rFonts w:eastAsia="Times New Roman"/>
                <w:b/>
              </w:rPr>
              <w:t>Sig.</w:t>
            </w:r>
          </w:p>
        </w:tc>
      </w:tr>
      <w:tr w:rsidR="005E125E" w:rsidRPr="00C0591E" w14:paraId="1E39D0EF" w14:textId="77777777" w:rsidTr="005E125E">
        <w:trPr>
          <w:trHeight w:val="288"/>
        </w:trPr>
        <w:tc>
          <w:tcPr>
            <w:tcW w:w="486" w:type="pct"/>
            <w:tcBorders>
              <w:top w:val="nil"/>
              <w:left w:val="nil"/>
              <w:bottom w:val="nil"/>
              <w:right w:val="nil"/>
            </w:tcBorders>
            <w:shd w:val="clear" w:color="auto" w:fill="auto"/>
            <w:noWrap/>
            <w:vAlign w:val="bottom"/>
            <w:hideMark/>
          </w:tcPr>
          <w:p w14:paraId="2625461C" w14:textId="77777777" w:rsidR="005E125E" w:rsidRPr="00C0591E" w:rsidRDefault="005E125E" w:rsidP="005E125E">
            <w:pPr>
              <w:spacing w:before="0" w:after="0"/>
              <w:rPr>
                <w:rFonts w:eastAsia="Times New Roman"/>
              </w:rPr>
            </w:pPr>
            <w:r w:rsidRPr="00C0591E">
              <w:rPr>
                <w:rFonts w:eastAsia="Times New Roman"/>
              </w:rPr>
              <w:t>1</w:t>
            </w:r>
          </w:p>
        </w:tc>
        <w:tc>
          <w:tcPr>
            <w:tcW w:w="1403" w:type="pct"/>
            <w:tcBorders>
              <w:top w:val="nil"/>
              <w:left w:val="nil"/>
              <w:bottom w:val="nil"/>
              <w:right w:val="nil"/>
            </w:tcBorders>
            <w:shd w:val="clear" w:color="auto" w:fill="auto"/>
            <w:noWrap/>
            <w:vAlign w:val="bottom"/>
            <w:hideMark/>
          </w:tcPr>
          <w:p w14:paraId="7EFF7177" w14:textId="77777777" w:rsidR="005E125E" w:rsidRPr="00C0591E" w:rsidRDefault="005E125E" w:rsidP="005E125E">
            <w:pPr>
              <w:spacing w:before="0" w:after="0"/>
              <w:jc w:val="left"/>
              <w:rPr>
                <w:rFonts w:eastAsia="Times New Roman"/>
              </w:rPr>
            </w:pPr>
            <w:r w:rsidRPr="00C0591E">
              <w:rPr>
                <w:rFonts w:eastAsia="Times New Roman"/>
              </w:rPr>
              <w:t>(Constant)</w:t>
            </w:r>
          </w:p>
        </w:tc>
        <w:tc>
          <w:tcPr>
            <w:tcW w:w="872" w:type="pct"/>
            <w:tcBorders>
              <w:top w:val="nil"/>
              <w:left w:val="nil"/>
              <w:bottom w:val="nil"/>
              <w:right w:val="nil"/>
            </w:tcBorders>
            <w:shd w:val="clear" w:color="auto" w:fill="auto"/>
            <w:noWrap/>
            <w:vAlign w:val="bottom"/>
            <w:hideMark/>
          </w:tcPr>
          <w:p w14:paraId="28B0E582" w14:textId="77777777" w:rsidR="005E125E" w:rsidRPr="00C0591E" w:rsidRDefault="005E125E" w:rsidP="005E125E">
            <w:pPr>
              <w:spacing w:before="0" w:after="0"/>
              <w:jc w:val="center"/>
              <w:rPr>
                <w:rFonts w:eastAsia="Times New Roman"/>
              </w:rPr>
            </w:pPr>
            <w:r w:rsidRPr="00C0591E">
              <w:rPr>
                <w:rFonts w:eastAsia="Times New Roman"/>
              </w:rPr>
              <w:t>2.827</w:t>
            </w:r>
          </w:p>
        </w:tc>
        <w:tc>
          <w:tcPr>
            <w:tcW w:w="724" w:type="pct"/>
            <w:tcBorders>
              <w:top w:val="nil"/>
              <w:left w:val="nil"/>
              <w:bottom w:val="nil"/>
              <w:right w:val="nil"/>
            </w:tcBorders>
            <w:shd w:val="clear" w:color="auto" w:fill="auto"/>
            <w:noWrap/>
            <w:vAlign w:val="bottom"/>
            <w:hideMark/>
          </w:tcPr>
          <w:p w14:paraId="256168B2" w14:textId="77777777" w:rsidR="005E125E" w:rsidRPr="00C0591E" w:rsidRDefault="005E125E" w:rsidP="005E125E">
            <w:pPr>
              <w:spacing w:before="0" w:after="0"/>
              <w:jc w:val="center"/>
              <w:rPr>
                <w:rFonts w:eastAsia="Times New Roman"/>
              </w:rPr>
            </w:pPr>
            <w:r w:rsidRPr="00C0591E">
              <w:rPr>
                <w:rFonts w:eastAsia="Times New Roman"/>
              </w:rPr>
              <w:t>0.037</w:t>
            </w:r>
          </w:p>
        </w:tc>
        <w:tc>
          <w:tcPr>
            <w:tcW w:w="486" w:type="pct"/>
            <w:tcBorders>
              <w:top w:val="nil"/>
              <w:left w:val="nil"/>
              <w:bottom w:val="nil"/>
              <w:right w:val="nil"/>
            </w:tcBorders>
            <w:shd w:val="clear" w:color="auto" w:fill="auto"/>
            <w:noWrap/>
            <w:vAlign w:val="bottom"/>
            <w:hideMark/>
          </w:tcPr>
          <w:p w14:paraId="24FA3E8C" w14:textId="77777777" w:rsidR="005E125E" w:rsidRPr="00C0591E" w:rsidRDefault="005E125E" w:rsidP="005E125E">
            <w:pPr>
              <w:spacing w:before="0" w:after="0"/>
              <w:jc w:val="center"/>
              <w:rPr>
                <w:rFonts w:eastAsia="Times New Roman"/>
              </w:rPr>
            </w:pPr>
          </w:p>
        </w:tc>
        <w:tc>
          <w:tcPr>
            <w:tcW w:w="581" w:type="pct"/>
            <w:tcBorders>
              <w:top w:val="nil"/>
              <w:left w:val="nil"/>
              <w:bottom w:val="nil"/>
              <w:right w:val="nil"/>
            </w:tcBorders>
            <w:shd w:val="clear" w:color="auto" w:fill="auto"/>
            <w:noWrap/>
            <w:vAlign w:val="bottom"/>
            <w:hideMark/>
          </w:tcPr>
          <w:p w14:paraId="2F3E3815" w14:textId="77777777" w:rsidR="005E125E" w:rsidRPr="00C0591E" w:rsidRDefault="005E125E" w:rsidP="005E125E">
            <w:pPr>
              <w:spacing w:before="0" w:after="0"/>
              <w:jc w:val="center"/>
              <w:rPr>
                <w:rFonts w:eastAsia="Times New Roman"/>
              </w:rPr>
            </w:pPr>
            <w:r w:rsidRPr="00C0591E">
              <w:rPr>
                <w:rFonts w:eastAsia="Times New Roman"/>
              </w:rPr>
              <w:t>77.094</w:t>
            </w:r>
          </w:p>
        </w:tc>
        <w:tc>
          <w:tcPr>
            <w:tcW w:w="448" w:type="pct"/>
            <w:tcBorders>
              <w:top w:val="nil"/>
              <w:left w:val="nil"/>
              <w:bottom w:val="nil"/>
              <w:right w:val="nil"/>
            </w:tcBorders>
            <w:shd w:val="clear" w:color="auto" w:fill="auto"/>
            <w:noWrap/>
            <w:vAlign w:val="bottom"/>
            <w:hideMark/>
          </w:tcPr>
          <w:p w14:paraId="00FA5274" w14:textId="77777777" w:rsidR="005E125E" w:rsidRPr="00C0591E" w:rsidRDefault="005E125E" w:rsidP="005E125E">
            <w:pPr>
              <w:spacing w:before="0" w:after="0"/>
              <w:jc w:val="center"/>
              <w:rPr>
                <w:rFonts w:eastAsia="Times New Roman"/>
              </w:rPr>
            </w:pPr>
            <w:r w:rsidRPr="00C0591E">
              <w:rPr>
                <w:rFonts w:eastAsia="Times New Roman"/>
              </w:rPr>
              <w:t>0.000</w:t>
            </w:r>
          </w:p>
        </w:tc>
      </w:tr>
      <w:tr w:rsidR="005E125E" w:rsidRPr="00C0591E" w14:paraId="478C9271" w14:textId="77777777" w:rsidTr="005E125E">
        <w:trPr>
          <w:trHeight w:val="288"/>
        </w:trPr>
        <w:tc>
          <w:tcPr>
            <w:tcW w:w="486" w:type="pct"/>
            <w:tcBorders>
              <w:top w:val="nil"/>
              <w:left w:val="nil"/>
              <w:bottom w:val="nil"/>
              <w:right w:val="nil"/>
            </w:tcBorders>
            <w:shd w:val="clear" w:color="auto" w:fill="auto"/>
            <w:noWrap/>
            <w:vAlign w:val="bottom"/>
            <w:hideMark/>
          </w:tcPr>
          <w:p w14:paraId="2B111B6C" w14:textId="77777777" w:rsidR="005E125E" w:rsidRPr="00C0591E" w:rsidRDefault="005E125E" w:rsidP="005E125E">
            <w:pPr>
              <w:spacing w:before="0" w:after="0"/>
              <w:rPr>
                <w:rFonts w:eastAsia="Times New Roman"/>
              </w:rPr>
            </w:pPr>
          </w:p>
        </w:tc>
        <w:tc>
          <w:tcPr>
            <w:tcW w:w="1403" w:type="pct"/>
            <w:tcBorders>
              <w:top w:val="nil"/>
              <w:left w:val="nil"/>
              <w:bottom w:val="nil"/>
              <w:right w:val="nil"/>
            </w:tcBorders>
            <w:shd w:val="clear" w:color="auto" w:fill="auto"/>
            <w:noWrap/>
            <w:vAlign w:val="bottom"/>
            <w:hideMark/>
          </w:tcPr>
          <w:p w14:paraId="4A55BEDC" w14:textId="0C2F1E29" w:rsidR="005E125E" w:rsidRPr="00C0591E" w:rsidRDefault="00173C67" w:rsidP="005E125E">
            <w:pPr>
              <w:spacing w:before="0" w:after="0"/>
              <w:jc w:val="left"/>
              <w:rPr>
                <w:rFonts w:eastAsia="Times New Roman"/>
              </w:rPr>
            </w:pPr>
            <w:r>
              <w:rPr>
                <w:rFonts w:eastAsia="Times New Roman"/>
              </w:rPr>
              <w:t>Pillars of corporate governance</w:t>
            </w:r>
          </w:p>
        </w:tc>
        <w:tc>
          <w:tcPr>
            <w:tcW w:w="872" w:type="pct"/>
            <w:tcBorders>
              <w:top w:val="nil"/>
              <w:left w:val="nil"/>
              <w:bottom w:val="nil"/>
              <w:right w:val="nil"/>
            </w:tcBorders>
            <w:shd w:val="clear" w:color="auto" w:fill="auto"/>
            <w:noWrap/>
            <w:vAlign w:val="bottom"/>
            <w:hideMark/>
          </w:tcPr>
          <w:p w14:paraId="5687DE17" w14:textId="77777777" w:rsidR="005E125E" w:rsidRPr="00C0591E" w:rsidRDefault="005E125E" w:rsidP="005E125E">
            <w:pPr>
              <w:spacing w:before="0" w:after="0"/>
              <w:jc w:val="center"/>
              <w:rPr>
                <w:rFonts w:eastAsia="Times New Roman"/>
              </w:rPr>
            </w:pPr>
            <w:r w:rsidRPr="00C0591E">
              <w:rPr>
                <w:rFonts w:eastAsia="Times New Roman"/>
              </w:rPr>
              <w:t>0.222</w:t>
            </w:r>
          </w:p>
        </w:tc>
        <w:tc>
          <w:tcPr>
            <w:tcW w:w="724" w:type="pct"/>
            <w:tcBorders>
              <w:top w:val="nil"/>
              <w:left w:val="nil"/>
              <w:bottom w:val="nil"/>
              <w:right w:val="nil"/>
            </w:tcBorders>
            <w:shd w:val="clear" w:color="auto" w:fill="auto"/>
            <w:noWrap/>
            <w:vAlign w:val="bottom"/>
            <w:hideMark/>
          </w:tcPr>
          <w:p w14:paraId="35600A8C" w14:textId="77777777" w:rsidR="005E125E" w:rsidRPr="00C0591E" w:rsidRDefault="005E125E" w:rsidP="005E125E">
            <w:pPr>
              <w:spacing w:before="0" w:after="0"/>
              <w:jc w:val="center"/>
              <w:rPr>
                <w:rFonts w:eastAsia="Times New Roman"/>
              </w:rPr>
            </w:pPr>
            <w:r w:rsidRPr="00C0591E">
              <w:rPr>
                <w:rFonts w:eastAsia="Times New Roman"/>
              </w:rPr>
              <w:t>0.012</w:t>
            </w:r>
          </w:p>
        </w:tc>
        <w:tc>
          <w:tcPr>
            <w:tcW w:w="486" w:type="pct"/>
            <w:tcBorders>
              <w:top w:val="nil"/>
              <w:left w:val="nil"/>
              <w:bottom w:val="nil"/>
              <w:right w:val="nil"/>
            </w:tcBorders>
            <w:shd w:val="clear" w:color="auto" w:fill="auto"/>
            <w:noWrap/>
            <w:vAlign w:val="bottom"/>
            <w:hideMark/>
          </w:tcPr>
          <w:p w14:paraId="40816FCE" w14:textId="77777777" w:rsidR="005E125E" w:rsidRPr="00C0591E" w:rsidRDefault="005E125E" w:rsidP="005E125E">
            <w:pPr>
              <w:spacing w:before="0" w:after="0"/>
              <w:jc w:val="center"/>
              <w:rPr>
                <w:rFonts w:eastAsia="Times New Roman"/>
              </w:rPr>
            </w:pPr>
            <w:r w:rsidRPr="00C0591E">
              <w:rPr>
                <w:rFonts w:eastAsia="Times New Roman"/>
              </w:rPr>
              <w:t>0.743</w:t>
            </w:r>
          </w:p>
        </w:tc>
        <w:tc>
          <w:tcPr>
            <w:tcW w:w="581" w:type="pct"/>
            <w:tcBorders>
              <w:top w:val="nil"/>
              <w:left w:val="nil"/>
              <w:bottom w:val="nil"/>
              <w:right w:val="nil"/>
            </w:tcBorders>
            <w:shd w:val="clear" w:color="auto" w:fill="auto"/>
            <w:noWrap/>
            <w:vAlign w:val="bottom"/>
            <w:hideMark/>
          </w:tcPr>
          <w:p w14:paraId="40AB0E99" w14:textId="77777777" w:rsidR="005E125E" w:rsidRPr="00C0591E" w:rsidRDefault="005E125E" w:rsidP="005E125E">
            <w:pPr>
              <w:spacing w:before="0" w:after="0"/>
              <w:jc w:val="center"/>
              <w:rPr>
                <w:rFonts w:eastAsia="Times New Roman"/>
              </w:rPr>
            </w:pPr>
            <w:r w:rsidRPr="00C0591E">
              <w:rPr>
                <w:rFonts w:eastAsia="Times New Roman"/>
              </w:rPr>
              <w:t>19.029</w:t>
            </w:r>
          </w:p>
        </w:tc>
        <w:tc>
          <w:tcPr>
            <w:tcW w:w="448" w:type="pct"/>
            <w:tcBorders>
              <w:top w:val="nil"/>
              <w:left w:val="nil"/>
              <w:bottom w:val="nil"/>
              <w:right w:val="nil"/>
            </w:tcBorders>
            <w:shd w:val="clear" w:color="auto" w:fill="auto"/>
            <w:noWrap/>
            <w:vAlign w:val="bottom"/>
            <w:hideMark/>
          </w:tcPr>
          <w:p w14:paraId="7D5BD879" w14:textId="77777777" w:rsidR="005E125E" w:rsidRPr="00C0591E" w:rsidRDefault="005E125E" w:rsidP="005E125E">
            <w:pPr>
              <w:spacing w:before="0" w:after="0"/>
              <w:jc w:val="center"/>
              <w:rPr>
                <w:rFonts w:eastAsia="Times New Roman"/>
              </w:rPr>
            </w:pPr>
            <w:r w:rsidRPr="00C0591E">
              <w:rPr>
                <w:rFonts w:eastAsia="Times New Roman"/>
              </w:rPr>
              <w:t>0.000</w:t>
            </w:r>
          </w:p>
        </w:tc>
      </w:tr>
      <w:tr w:rsidR="005E125E" w:rsidRPr="00C0591E" w14:paraId="623760D8" w14:textId="77777777" w:rsidTr="005E125E">
        <w:trPr>
          <w:trHeight w:val="288"/>
        </w:trPr>
        <w:tc>
          <w:tcPr>
            <w:tcW w:w="486" w:type="pct"/>
            <w:tcBorders>
              <w:top w:val="nil"/>
              <w:left w:val="nil"/>
              <w:bottom w:val="nil"/>
              <w:right w:val="nil"/>
            </w:tcBorders>
            <w:shd w:val="clear" w:color="auto" w:fill="auto"/>
            <w:noWrap/>
            <w:vAlign w:val="bottom"/>
            <w:hideMark/>
          </w:tcPr>
          <w:p w14:paraId="76DAD5E2" w14:textId="77777777" w:rsidR="005E125E" w:rsidRPr="00C0591E" w:rsidRDefault="005E125E" w:rsidP="005E125E">
            <w:pPr>
              <w:spacing w:before="0" w:after="0"/>
              <w:rPr>
                <w:rFonts w:eastAsia="Times New Roman"/>
                <w:color w:val="000000"/>
              </w:rPr>
            </w:pPr>
            <w:r w:rsidRPr="00C0591E">
              <w:rPr>
                <w:rFonts w:eastAsia="Times New Roman"/>
                <w:color w:val="000000"/>
              </w:rPr>
              <w:t>2</w:t>
            </w:r>
          </w:p>
        </w:tc>
        <w:tc>
          <w:tcPr>
            <w:tcW w:w="1403" w:type="pct"/>
            <w:tcBorders>
              <w:top w:val="nil"/>
              <w:left w:val="nil"/>
              <w:bottom w:val="nil"/>
              <w:right w:val="nil"/>
            </w:tcBorders>
            <w:shd w:val="clear" w:color="auto" w:fill="auto"/>
            <w:noWrap/>
            <w:vAlign w:val="bottom"/>
            <w:hideMark/>
          </w:tcPr>
          <w:p w14:paraId="444C4154" w14:textId="77777777" w:rsidR="005E125E" w:rsidRPr="00C0591E" w:rsidRDefault="005E125E" w:rsidP="005E125E">
            <w:pPr>
              <w:spacing w:before="0" w:after="0"/>
              <w:jc w:val="left"/>
              <w:rPr>
                <w:rFonts w:eastAsia="Times New Roman"/>
                <w:color w:val="000000"/>
              </w:rPr>
            </w:pPr>
            <w:r w:rsidRPr="00C0591E">
              <w:rPr>
                <w:rFonts w:eastAsia="Times New Roman"/>
                <w:color w:val="000000"/>
              </w:rPr>
              <w:t>(Constant)</w:t>
            </w:r>
          </w:p>
        </w:tc>
        <w:tc>
          <w:tcPr>
            <w:tcW w:w="872" w:type="pct"/>
            <w:tcBorders>
              <w:top w:val="nil"/>
              <w:left w:val="nil"/>
              <w:bottom w:val="nil"/>
              <w:right w:val="nil"/>
            </w:tcBorders>
            <w:shd w:val="clear" w:color="auto" w:fill="auto"/>
            <w:noWrap/>
            <w:vAlign w:val="bottom"/>
            <w:hideMark/>
          </w:tcPr>
          <w:p w14:paraId="3C7301AB"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2.755</w:t>
            </w:r>
          </w:p>
        </w:tc>
        <w:tc>
          <w:tcPr>
            <w:tcW w:w="724" w:type="pct"/>
            <w:tcBorders>
              <w:top w:val="nil"/>
              <w:left w:val="nil"/>
              <w:bottom w:val="nil"/>
              <w:right w:val="nil"/>
            </w:tcBorders>
            <w:shd w:val="clear" w:color="auto" w:fill="auto"/>
            <w:noWrap/>
            <w:vAlign w:val="bottom"/>
            <w:hideMark/>
          </w:tcPr>
          <w:p w14:paraId="2313C1E8"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0.036</w:t>
            </w:r>
          </w:p>
        </w:tc>
        <w:tc>
          <w:tcPr>
            <w:tcW w:w="486" w:type="pct"/>
            <w:tcBorders>
              <w:top w:val="nil"/>
              <w:left w:val="nil"/>
              <w:bottom w:val="nil"/>
              <w:right w:val="nil"/>
            </w:tcBorders>
            <w:shd w:val="clear" w:color="auto" w:fill="auto"/>
            <w:noWrap/>
            <w:vAlign w:val="bottom"/>
            <w:hideMark/>
          </w:tcPr>
          <w:p w14:paraId="4802B161" w14:textId="77777777" w:rsidR="005E125E" w:rsidRPr="00C0591E" w:rsidRDefault="005E125E" w:rsidP="005E125E">
            <w:pPr>
              <w:spacing w:before="0" w:after="0"/>
              <w:jc w:val="center"/>
              <w:rPr>
                <w:rFonts w:eastAsia="Times New Roman"/>
                <w:color w:val="000000"/>
              </w:rPr>
            </w:pPr>
          </w:p>
        </w:tc>
        <w:tc>
          <w:tcPr>
            <w:tcW w:w="581" w:type="pct"/>
            <w:tcBorders>
              <w:top w:val="nil"/>
              <w:left w:val="nil"/>
              <w:bottom w:val="nil"/>
              <w:right w:val="nil"/>
            </w:tcBorders>
            <w:shd w:val="clear" w:color="auto" w:fill="auto"/>
            <w:noWrap/>
            <w:vAlign w:val="bottom"/>
            <w:hideMark/>
          </w:tcPr>
          <w:p w14:paraId="2A5BB6BF"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76.553</w:t>
            </w:r>
          </w:p>
        </w:tc>
        <w:tc>
          <w:tcPr>
            <w:tcW w:w="448" w:type="pct"/>
            <w:tcBorders>
              <w:top w:val="nil"/>
              <w:left w:val="nil"/>
              <w:bottom w:val="nil"/>
              <w:right w:val="nil"/>
            </w:tcBorders>
            <w:shd w:val="clear" w:color="auto" w:fill="auto"/>
            <w:noWrap/>
            <w:vAlign w:val="bottom"/>
            <w:hideMark/>
          </w:tcPr>
          <w:p w14:paraId="1B7E956E"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0.000</w:t>
            </w:r>
          </w:p>
        </w:tc>
      </w:tr>
      <w:tr w:rsidR="005E125E" w:rsidRPr="00C0591E" w14:paraId="36AEA06A" w14:textId="77777777" w:rsidTr="005E125E">
        <w:trPr>
          <w:trHeight w:val="288"/>
        </w:trPr>
        <w:tc>
          <w:tcPr>
            <w:tcW w:w="486" w:type="pct"/>
            <w:tcBorders>
              <w:top w:val="nil"/>
              <w:left w:val="nil"/>
              <w:bottom w:val="nil"/>
              <w:right w:val="nil"/>
            </w:tcBorders>
            <w:shd w:val="clear" w:color="auto" w:fill="auto"/>
            <w:noWrap/>
            <w:vAlign w:val="bottom"/>
            <w:hideMark/>
          </w:tcPr>
          <w:p w14:paraId="018B2E0B" w14:textId="77777777" w:rsidR="005E125E" w:rsidRPr="00C0591E" w:rsidRDefault="005E125E" w:rsidP="005E125E">
            <w:pPr>
              <w:spacing w:before="0" w:after="0"/>
              <w:rPr>
                <w:rFonts w:eastAsia="Times New Roman"/>
                <w:color w:val="000000"/>
              </w:rPr>
            </w:pPr>
          </w:p>
        </w:tc>
        <w:tc>
          <w:tcPr>
            <w:tcW w:w="1403" w:type="pct"/>
            <w:tcBorders>
              <w:top w:val="nil"/>
              <w:left w:val="nil"/>
              <w:bottom w:val="nil"/>
              <w:right w:val="nil"/>
            </w:tcBorders>
            <w:shd w:val="clear" w:color="auto" w:fill="auto"/>
            <w:noWrap/>
            <w:vAlign w:val="bottom"/>
            <w:hideMark/>
          </w:tcPr>
          <w:p w14:paraId="5371FADE" w14:textId="798104C8" w:rsidR="005E125E" w:rsidRPr="00C0591E" w:rsidRDefault="00173C67" w:rsidP="005E125E">
            <w:pPr>
              <w:spacing w:before="0" w:after="0"/>
              <w:jc w:val="left"/>
              <w:rPr>
                <w:rFonts w:eastAsia="Times New Roman"/>
                <w:color w:val="000000"/>
              </w:rPr>
            </w:pPr>
            <w:r>
              <w:rPr>
                <w:rFonts w:eastAsia="Times New Roman"/>
                <w:color w:val="000000"/>
              </w:rPr>
              <w:t>Pillars of corporate governance</w:t>
            </w:r>
          </w:p>
        </w:tc>
        <w:tc>
          <w:tcPr>
            <w:tcW w:w="872" w:type="pct"/>
            <w:tcBorders>
              <w:top w:val="nil"/>
              <w:left w:val="nil"/>
              <w:bottom w:val="nil"/>
              <w:right w:val="nil"/>
            </w:tcBorders>
            <w:shd w:val="clear" w:color="auto" w:fill="auto"/>
            <w:noWrap/>
            <w:vAlign w:val="bottom"/>
            <w:hideMark/>
          </w:tcPr>
          <w:p w14:paraId="56B1EA32"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0.105</w:t>
            </w:r>
          </w:p>
        </w:tc>
        <w:tc>
          <w:tcPr>
            <w:tcW w:w="724" w:type="pct"/>
            <w:tcBorders>
              <w:top w:val="nil"/>
              <w:left w:val="nil"/>
              <w:bottom w:val="nil"/>
              <w:right w:val="nil"/>
            </w:tcBorders>
            <w:shd w:val="clear" w:color="auto" w:fill="auto"/>
            <w:noWrap/>
            <w:vAlign w:val="bottom"/>
            <w:hideMark/>
          </w:tcPr>
          <w:p w14:paraId="0272536A"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0.021</w:t>
            </w:r>
          </w:p>
        </w:tc>
        <w:tc>
          <w:tcPr>
            <w:tcW w:w="486" w:type="pct"/>
            <w:tcBorders>
              <w:top w:val="nil"/>
              <w:left w:val="nil"/>
              <w:bottom w:val="nil"/>
              <w:right w:val="nil"/>
            </w:tcBorders>
            <w:shd w:val="clear" w:color="auto" w:fill="auto"/>
            <w:noWrap/>
            <w:vAlign w:val="bottom"/>
            <w:hideMark/>
          </w:tcPr>
          <w:p w14:paraId="76F6B56A"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0.351</w:t>
            </w:r>
          </w:p>
        </w:tc>
        <w:tc>
          <w:tcPr>
            <w:tcW w:w="581" w:type="pct"/>
            <w:tcBorders>
              <w:top w:val="nil"/>
              <w:left w:val="nil"/>
              <w:bottom w:val="nil"/>
              <w:right w:val="nil"/>
            </w:tcBorders>
            <w:shd w:val="clear" w:color="auto" w:fill="auto"/>
            <w:noWrap/>
            <w:vAlign w:val="bottom"/>
            <w:hideMark/>
          </w:tcPr>
          <w:p w14:paraId="719A8E48"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5.042</w:t>
            </w:r>
          </w:p>
        </w:tc>
        <w:tc>
          <w:tcPr>
            <w:tcW w:w="448" w:type="pct"/>
            <w:tcBorders>
              <w:top w:val="nil"/>
              <w:left w:val="nil"/>
              <w:bottom w:val="nil"/>
              <w:right w:val="nil"/>
            </w:tcBorders>
            <w:shd w:val="clear" w:color="auto" w:fill="auto"/>
            <w:noWrap/>
            <w:vAlign w:val="bottom"/>
            <w:hideMark/>
          </w:tcPr>
          <w:p w14:paraId="51514AC7"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0.000</w:t>
            </w:r>
          </w:p>
        </w:tc>
      </w:tr>
      <w:tr w:rsidR="005E125E" w:rsidRPr="00C0591E" w14:paraId="5A1EBE59" w14:textId="77777777" w:rsidTr="005E125E">
        <w:trPr>
          <w:trHeight w:val="288"/>
        </w:trPr>
        <w:tc>
          <w:tcPr>
            <w:tcW w:w="486" w:type="pct"/>
            <w:tcBorders>
              <w:top w:val="nil"/>
              <w:left w:val="nil"/>
              <w:bottom w:val="nil"/>
              <w:right w:val="nil"/>
            </w:tcBorders>
            <w:shd w:val="clear" w:color="auto" w:fill="auto"/>
            <w:noWrap/>
            <w:vAlign w:val="bottom"/>
            <w:hideMark/>
          </w:tcPr>
          <w:p w14:paraId="644CE077" w14:textId="77777777" w:rsidR="005E125E" w:rsidRPr="00C0591E" w:rsidRDefault="005E125E" w:rsidP="005E125E">
            <w:pPr>
              <w:spacing w:before="0" w:after="0"/>
              <w:rPr>
                <w:rFonts w:eastAsia="Times New Roman"/>
                <w:color w:val="000000"/>
              </w:rPr>
            </w:pPr>
          </w:p>
        </w:tc>
        <w:tc>
          <w:tcPr>
            <w:tcW w:w="1403" w:type="pct"/>
            <w:tcBorders>
              <w:top w:val="nil"/>
              <w:left w:val="nil"/>
              <w:bottom w:val="nil"/>
              <w:right w:val="nil"/>
            </w:tcBorders>
            <w:shd w:val="clear" w:color="auto" w:fill="auto"/>
            <w:noWrap/>
            <w:vAlign w:val="bottom"/>
            <w:hideMark/>
          </w:tcPr>
          <w:p w14:paraId="744C2CE3" w14:textId="621E72AF" w:rsidR="005E125E" w:rsidRPr="00C0591E" w:rsidRDefault="005E125E" w:rsidP="005E125E">
            <w:pPr>
              <w:spacing w:before="0" w:after="0"/>
              <w:jc w:val="left"/>
              <w:rPr>
                <w:rFonts w:eastAsia="Times New Roman"/>
                <w:color w:val="000000"/>
              </w:rPr>
            </w:pPr>
            <w:r w:rsidRPr="00C0591E">
              <w:rPr>
                <w:rFonts w:eastAsia="Times New Roman"/>
                <w:color w:val="000000"/>
              </w:rPr>
              <w:t>Government Regulation</w:t>
            </w:r>
          </w:p>
        </w:tc>
        <w:tc>
          <w:tcPr>
            <w:tcW w:w="872" w:type="pct"/>
            <w:tcBorders>
              <w:top w:val="nil"/>
              <w:left w:val="nil"/>
              <w:bottom w:val="nil"/>
              <w:right w:val="nil"/>
            </w:tcBorders>
            <w:shd w:val="clear" w:color="auto" w:fill="auto"/>
            <w:noWrap/>
            <w:vAlign w:val="bottom"/>
            <w:hideMark/>
          </w:tcPr>
          <w:p w14:paraId="296303BE"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0.142</w:t>
            </w:r>
          </w:p>
        </w:tc>
        <w:tc>
          <w:tcPr>
            <w:tcW w:w="724" w:type="pct"/>
            <w:tcBorders>
              <w:top w:val="nil"/>
              <w:left w:val="nil"/>
              <w:bottom w:val="nil"/>
              <w:right w:val="nil"/>
            </w:tcBorders>
            <w:shd w:val="clear" w:color="auto" w:fill="auto"/>
            <w:noWrap/>
            <w:vAlign w:val="bottom"/>
            <w:hideMark/>
          </w:tcPr>
          <w:p w14:paraId="56934C7D"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0.021</w:t>
            </w:r>
          </w:p>
        </w:tc>
        <w:tc>
          <w:tcPr>
            <w:tcW w:w="486" w:type="pct"/>
            <w:tcBorders>
              <w:top w:val="nil"/>
              <w:left w:val="nil"/>
              <w:bottom w:val="nil"/>
              <w:right w:val="nil"/>
            </w:tcBorders>
            <w:shd w:val="clear" w:color="auto" w:fill="auto"/>
            <w:noWrap/>
            <w:vAlign w:val="bottom"/>
            <w:hideMark/>
          </w:tcPr>
          <w:p w14:paraId="6BEA47A6"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0.46</w:t>
            </w:r>
          </w:p>
        </w:tc>
        <w:tc>
          <w:tcPr>
            <w:tcW w:w="581" w:type="pct"/>
            <w:tcBorders>
              <w:top w:val="nil"/>
              <w:left w:val="nil"/>
              <w:bottom w:val="nil"/>
              <w:right w:val="nil"/>
            </w:tcBorders>
            <w:shd w:val="clear" w:color="auto" w:fill="auto"/>
            <w:noWrap/>
            <w:vAlign w:val="bottom"/>
            <w:hideMark/>
          </w:tcPr>
          <w:p w14:paraId="15CBAF42"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6.607</w:t>
            </w:r>
          </w:p>
        </w:tc>
        <w:tc>
          <w:tcPr>
            <w:tcW w:w="448" w:type="pct"/>
            <w:tcBorders>
              <w:top w:val="nil"/>
              <w:left w:val="nil"/>
              <w:bottom w:val="nil"/>
              <w:right w:val="nil"/>
            </w:tcBorders>
            <w:shd w:val="clear" w:color="auto" w:fill="auto"/>
            <w:noWrap/>
            <w:vAlign w:val="bottom"/>
            <w:hideMark/>
          </w:tcPr>
          <w:p w14:paraId="420F2582"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0.000</w:t>
            </w:r>
          </w:p>
        </w:tc>
      </w:tr>
      <w:tr w:rsidR="005E125E" w:rsidRPr="00C0591E" w14:paraId="300C37F1" w14:textId="77777777" w:rsidTr="005E125E">
        <w:trPr>
          <w:trHeight w:val="288"/>
        </w:trPr>
        <w:tc>
          <w:tcPr>
            <w:tcW w:w="486" w:type="pct"/>
            <w:tcBorders>
              <w:top w:val="nil"/>
              <w:left w:val="nil"/>
              <w:bottom w:val="nil"/>
              <w:right w:val="nil"/>
            </w:tcBorders>
            <w:shd w:val="clear" w:color="auto" w:fill="auto"/>
            <w:noWrap/>
            <w:vAlign w:val="bottom"/>
            <w:hideMark/>
          </w:tcPr>
          <w:p w14:paraId="6879392B" w14:textId="157057F2" w:rsidR="005E125E" w:rsidRPr="00C0591E" w:rsidRDefault="005E125E" w:rsidP="005E125E">
            <w:pPr>
              <w:spacing w:before="0" w:after="0"/>
              <w:rPr>
                <w:rFonts w:eastAsia="Times New Roman"/>
                <w:color w:val="000000"/>
              </w:rPr>
            </w:pPr>
            <w:r w:rsidRPr="00C0591E">
              <w:rPr>
                <w:rFonts w:eastAsia="Times New Roman"/>
                <w:color w:val="000000"/>
              </w:rPr>
              <w:t>3</w:t>
            </w:r>
          </w:p>
        </w:tc>
        <w:tc>
          <w:tcPr>
            <w:tcW w:w="1403" w:type="pct"/>
            <w:tcBorders>
              <w:top w:val="nil"/>
              <w:left w:val="nil"/>
              <w:bottom w:val="nil"/>
              <w:right w:val="nil"/>
            </w:tcBorders>
            <w:shd w:val="clear" w:color="auto" w:fill="auto"/>
            <w:noWrap/>
            <w:vAlign w:val="bottom"/>
            <w:hideMark/>
          </w:tcPr>
          <w:p w14:paraId="0D93027D" w14:textId="77777777" w:rsidR="005E125E" w:rsidRPr="00C0591E" w:rsidRDefault="005E125E" w:rsidP="005E125E">
            <w:pPr>
              <w:spacing w:before="0" w:after="0"/>
              <w:jc w:val="left"/>
              <w:rPr>
                <w:rFonts w:eastAsia="Times New Roman"/>
                <w:color w:val="000000"/>
              </w:rPr>
            </w:pPr>
            <w:r w:rsidRPr="00C0591E">
              <w:rPr>
                <w:rFonts w:eastAsia="Times New Roman"/>
                <w:color w:val="000000"/>
              </w:rPr>
              <w:t>(Constant)</w:t>
            </w:r>
          </w:p>
        </w:tc>
        <w:tc>
          <w:tcPr>
            <w:tcW w:w="872" w:type="pct"/>
            <w:tcBorders>
              <w:top w:val="nil"/>
              <w:left w:val="nil"/>
              <w:bottom w:val="nil"/>
              <w:right w:val="nil"/>
            </w:tcBorders>
            <w:shd w:val="clear" w:color="auto" w:fill="auto"/>
            <w:noWrap/>
            <w:vAlign w:val="bottom"/>
            <w:hideMark/>
          </w:tcPr>
          <w:p w14:paraId="5BD31D0C"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2.742</w:t>
            </w:r>
          </w:p>
        </w:tc>
        <w:tc>
          <w:tcPr>
            <w:tcW w:w="724" w:type="pct"/>
            <w:tcBorders>
              <w:top w:val="nil"/>
              <w:left w:val="nil"/>
              <w:bottom w:val="nil"/>
              <w:right w:val="nil"/>
            </w:tcBorders>
            <w:shd w:val="clear" w:color="auto" w:fill="auto"/>
            <w:noWrap/>
            <w:vAlign w:val="bottom"/>
            <w:hideMark/>
          </w:tcPr>
          <w:p w14:paraId="4D0E3292"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0.035</w:t>
            </w:r>
          </w:p>
        </w:tc>
        <w:tc>
          <w:tcPr>
            <w:tcW w:w="486" w:type="pct"/>
            <w:tcBorders>
              <w:top w:val="nil"/>
              <w:left w:val="nil"/>
              <w:bottom w:val="nil"/>
              <w:right w:val="nil"/>
            </w:tcBorders>
            <w:shd w:val="clear" w:color="auto" w:fill="auto"/>
            <w:noWrap/>
            <w:vAlign w:val="bottom"/>
            <w:hideMark/>
          </w:tcPr>
          <w:p w14:paraId="34B6E361" w14:textId="77777777" w:rsidR="005E125E" w:rsidRPr="00C0591E" w:rsidRDefault="005E125E" w:rsidP="005E125E">
            <w:pPr>
              <w:spacing w:before="0" w:after="0"/>
              <w:jc w:val="center"/>
              <w:rPr>
                <w:rFonts w:eastAsia="Times New Roman"/>
                <w:color w:val="000000"/>
              </w:rPr>
            </w:pPr>
          </w:p>
        </w:tc>
        <w:tc>
          <w:tcPr>
            <w:tcW w:w="581" w:type="pct"/>
            <w:tcBorders>
              <w:top w:val="nil"/>
              <w:left w:val="nil"/>
              <w:bottom w:val="nil"/>
              <w:right w:val="nil"/>
            </w:tcBorders>
            <w:shd w:val="clear" w:color="auto" w:fill="auto"/>
            <w:noWrap/>
            <w:vAlign w:val="bottom"/>
            <w:hideMark/>
          </w:tcPr>
          <w:p w14:paraId="673DDFFF"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77.392</w:t>
            </w:r>
          </w:p>
        </w:tc>
        <w:tc>
          <w:tcPr>
            <w:tcW w:w="448" w:type="pct"/>
            <w:tcBorders>
              <w:top w:val="nil"/>
              <w:left w:val="nil"/>
              <w:bottom w:val="nil"/>
              <w:right w:val="nil"/>
            </w:tcBorders>
            <w:shd w:val="clear" w:color="auto" w:fill="auto"/>
            <w:noWrap/>
            <w:vAlign w:val="bottom"/>
            <w:hideMark/>
          </w:tcPr>
          <w:p w14:paraId="4BC718B8"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0.000</w:t>
            </w:r>
          </w:p>
        </w:tc>
      </w:tr>
      <w:tr w:rsidR="005E125E" w:rsidRPr="00C0591E" w14:paraId="0A2C2CF6" w14:textId="77777777" w:rsidTr="005E125E">
        <w:trPr>
          <w:trHeight w:val="288"/>
        </w:trPr>
        <w:tc>
          <w:tcPr>
            <w:tcW w:w="486" w:type="pct"/>
            <w:tcBorders>
              <w:top w:val="nil"/>
              <w:left w:val="nil"/>
              <w:bottom w:val="nil"/>
              <w:right w:val="nil"/>
            </w:tcBorders>
            <w:shd w:val="clear" w:color="auto" w:fill="auto"/>
            <w:noWrap/>
            <w:vAlign w:val="bottom"/>
            <w:hideMark/>
          </w:tcPr>
          <w:p w14:paraId="5FCADE02" w14:textId="77777777" w:rsidR="005E125E" w:rsidRPr="00C0591E" w:rsidRDefault="005E125E" w:rsidP="005E125E">
            <w:pPr>
              <w:spacing w:before="0" w:after="0"/>
              <w:rPr>
                <w:rFonts w:eastAsia="Times New Roman"/>
                <w:color w:val="000000"/>
              </w:rPr>
            </w:pPr>
          </w:p>
        </w:tc>
        <w:tc>
          <w:tcPr>
            <w:tcW w:w="1403" w:type="pct"/>
            <w:tcBorders>
              <w:top w:val="nil"/>
              <w:left w:val="nil"/>
              <w:bottom w:val="nil"/>
              <w:right w:val="nil"/>
            </w:tcBorders>
            <w:shd w:val="clear" w:color="auto" w:fill="auto"/>
            <w:noWrap/>
            <w:vAlign w:val="bottom"/>
            <w:hideMark/>
          </w:tcPr>
          <w:p w14:paraId="04B3DB2E" w14:textId="6DD5E7E3" w:rsidR="005E125E" w:rsidRPr="00C0591E" w:rsidRDefault="00173C67" w:rsidP="005E125E">
            <w:pPr>
              <w:spacing w:before="0" w:after="0"/>
              <w:jc w:val="left"/>
              <w:rPr>
                <w:rFonts w:eastAsia="Times New Roman"/>
                <w:color w:val="000000"/>
              </w:rPr>
            </w:pPr>
            <w:r>
              <w:rPr>
                <w:rFonts w:eastAsia="Times New Roman"/>
                <w:color w:val="000000"/>
              </w:rPr>
              <w:t>Pillars of corporate governance</w:t>
            </w:r>
          </w:p>
        </w:tc>
        <w:tc>
          <w:tcPr>
            <w:tcW w:w="872" w:type="pct"/>
            <w:tcBorders>
              <w:top w:val="nil"/>
              <w:left w:val="nil"/>
              <w:bottom w:val="nil"/>
              <w:right w:val="nil"/>
            </w:tcBorders>
            <w:shd w:val="clear" w:color="auto" w:fill="auto"/>
            <w:noWrap/>
            <w:vAlign w:val="bottom"/>
            <w:hideMark/>
          </w:tcPr>
          <w:p w14:paraId="02EC2F22" w14:textId="48AEFABA" w:rsidR="005E125E" w:rsidRPr="00C0591E" w:rsidRDefault="005E125E" w:rsidP="005E125E">
            <w:pPr>
              <w:spacing w:before="0" w:after="0"/>
              <w:jc w:val="center"/>
              <w:rPr>
                <w:rFonts w:eastAsia="Times New Roman"/>
                <w:color w:val="000000"/>
              </w:rPr>
            </w:pPr>
            <w:r w:rsidRPr="00C0591E">
              <w:rPr>
                <w:rFonts w:eastAsia="Times New Roman"/>
                <w:color w:val="000000"/>
              </w:rPr>
              <w:t>0.07</w:t>
            </w:r>
            <w:r w:rsidR="00F07CC4" w:rsidRPr="00C0591E">
              <w:rPr>
                <w:rFonts w:eastAsia="Times New Roman"/>
                <w:color w:val="000000"/>
              </w:rPr>
              <w:t>0</w:t>
            </w:r>
          </w:p>
        </w:tc>
        <w:tc>
          <w:tcPr>
            <w:tcW w:w="724" w:type="pct"/>
            <w:tcBorders>
              <w:top w:val="nil"/>
              <w:left w:val="nil"/>
              <w:bottom w:val="nil"/>
              <w:right w:val="nil"/>
            </w:tcBorders>
            <w:shd w:val="clear" w:color="auto" w:fill="auto"/>
            <w:noWrap/>
            <w:vAlign w:val="bottom"/>
            <w:hideMark/>
          </w:tcPr>
          <w:p w14:paraId="39D8E067"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0.023</w:t>
            </w:r>
          </w:p>
        </w:tc>
        <w:tc>
          <w:tcPr>
            <w:tcW w:w="486" w:type="pct"/>
            <w:tcBorders>
              <w:top w:val="nil"/>
              <w:left w:val="nil"/>
              <w:bottom w:val="nil"/>
              <w:right w:val="nil"/>
            </w:tcBorders>
            <w:shd w:val="clear" w:color="auto" w:fill="auto"/>
            <w:noWrap/>
            <w:vAlign w:val="bottom"/>
            <w:hideMark/>
          </w:tcPr>
          <w:p w14:paraId="502599F9"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0.234</w:t>
            </w:r>
          </w:p>
        </w:tc>
        <w:tc>
          <w:tcPr>
            <w:tcW w:w="581" w:type="pct"/>
            <w:tcBorders>
              <w:top w:val="nil"/>
              <w:left w:val="nil"/>
              <w:bottom w:val="nil"/>
              <w:right w:val="nil"/>
            </w:tcBorders>
            <w:shd w:val="clear" w:color="auto" w:fill="auto"/>
            <w:noWrap/>
            <w:vAlign w:val="bottom"/>
            <w:hideMark/>
          </w:tcPr>
          <w:p w14:paraId="4D90CC09" w14:textId="6031B1DF" w:rsidR="005E125E" w:rsidRPr="00C0591E" w:rsidRDefault="005E125E" w:rsidP="005E125E">
            <w:pPr>
              <w:spacing w:before="0" w:after="0"/>
              <w:jc w:val="center"/>
              <w:rPr>
                <w:rFonts w:eastAsia="Times New Roman"/>
                <w:color w:val="000000"/>
              </w:rPr>
            </w:pPr>
            <w:r w:rsidRPr="00C0591E">
              <w:rPr>
                <w:rFonts w:eastAsia="Times New Roman"/>
                <w:color w:val="000000"/>
              </w:rPr>
              <w:t>3.11</w:t>
            </w:r>
            <w:r w:rsidR="00F07CC4" w:rsidRPr="00C0591E">
              <w:rPr>
                <w:rFonts w:eastAsia="Times New Roman"/>
                <w:color w:val="000000"/>
              </w:rPr>
              <w:t>0</w:t>
            </w:r>
          </w:p>
        </w:tc>
        <w:tc>
          <w:tcPr>
            <w:tcW w:w="448" w:type="pct"/>
            <w:tcBorders>
              <w:top w:val="nil"/>
              <w:left w:val="nil"/>
              <w:bottom w:val="nil"/>
              <w:right w:val="nil"/>
            </w:tcBorders>
            <w:shd w:val="clear" w:color="auto" w:fill="auto"/>
            <w:noWrap/>
            <w:vAlign w:val="bottom"/>
            <w:hideMark/>
          </w:tcPr>
          <w:p w14:paraId="46F0424C"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0.002</w:t>
            </w:r>
          </w:p>
        </w:tc>
      </w:tr>
      <w:tr w:rsidR="005E125E" w:rsidRPr="00C0591E" w14:paraId="03D0000E" w14:textId="77777777" w:rsidTr="005E125E">
        <w:trPr>
          <w:trHeight w:val="288"/>
        </w:trPr>
        <w:tc>
          <w:tcPr>
            <w:tcW w:w="486" w:type="pct"/>
            <w:tcBorders>
              <w:top w:val="nil"/>
              <w:left w:val="nil"/>
              <w:bottom w:val="nil"/>
              <w:right w:val="nil"/>
            </w:tcBorders>
            <w:shd w:val="clear" w:color="auto" w:fill="auto"/>
            <w:noWrap/>
            <w:vAlign w:val="bottom"/>
            <w:hideMark/>
          </w:tcPr>
          <w:p w14:paraId="5BC59A8E" w14:textId="77777777" w:rsidR="005E125E" w:rsidRPr="00C0591E" w:rsidRDefault="005E125E" w:rsidP="005E125E">
            <w:pPr>
              <w:spacing w:before="0" w:after="0"/>
              <w:rPr>
                <w:rFonts w:eastAsia="Times New Roman"/>
                <w:color w:val="000000"/>
              </w:rPr>
            </w:pPr>
          </w:p>
        </w:tc>
        <w:tc>
          <w:tcPr>
            <w:tcW w:w="1403" w:type="pct"/>
            <w:tcBorders>
              <w:top w:val="nil"/>
              <w:left w:val="nil"/>
              <w:bottom w:val="nil"/>
              <w:right w:val="nil"/>
            </w:tcBorders>
            <w:shd w:val="clear" w:color="auto" w:fill="auto"/>
            <w:noWrap/>
            <w:vAlign w:val="bottom"/>
            <w:hideMark/>
          </w:tcPr>
          <w:p w14:paraId="46C71479" w14:textId="323AA0A0" w:rsidR="005E125E" w:rsidRPr="00C0591E" w:rsidRDefault="005E125E" w:rsidP="005E125E">
            <w:pPr>
              <w:spacing w:before="0" w:after="0"/>
              <w:jc w:val="left"/>
              <w:rPr>
                <w:rFonts w:eastAsia="Times New Roman"/>
                <w:color w:val="000000"/>
              </w:rPr>
            </w:pPr>
            <w:r w:rsidRPr="00C0591E">
              <w:rPr>
                <w:rFonts w:eastAsia="Times New Roman"/>
                <w:color w:val="000000"/>
              </w:rPr>
              <w:t>Government Regulation</w:t>
            </w:r>
          </w:p>
        </w:tc>
        <w:tc>
          <w:tcPr>
            <w:tcW w:w="872" w:type="pct"/>
            <w:tcBorders>
              <w:top w:val="nil"/>
              <w:left w:val="nil"/>
              <w:bottom w:val="nil"/>
              <w:right w:val="nil"/>
            </w:tcBorders>
            <w:shd w:val="clear" w:color="auto" w:fill="auto"/>
            <w:noWrap/>
            <w:vAlign w:val="bottom"/>
            <w:hideMark/>
          </w:tcPr>
          <w:p w14:paraId="5E694C75"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0.111</w:t>
            </w:r>
          </w:p>
        </w:tc>
        <w:tc>
          <w:tcPr>
            <w:tcW w:w="724" w:type="pct"/>
            <w:tcBorders>
              <w:top w:val="nil"/>
              <w:left w:val="nil"/>
              <w:bottom w:val="nil"/>
              <w:right w:val="nil"/>
            </w:tcBorders>
            <w:shd w:val="clear" w:color="auto" w:fill="auto"/>
            <w:noWrap/>
            <w:vAlign w:val="bottom"/>
            <w:hideMark/>
          </w:tcPr>
          <w:p w14:paraId="08A710EE"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0.023</w:t>
            </w:r>
          </w:p>
        </w:tc>
        <w:tc>
          <w:tcPr>
            <w:tcW w:w="486" w:type="pct"/>
            <w:tcBorders>
              <w:top w:val="nil"/>
              <w:left w:val="nil"/>
              <w:bottom w:val="nil"/>
              <w:right w:val="nil"/>
            </w:tcBorders>
            <w:shd w:val="clear" w:color="auto" w:fill="auto"/>
            <w:noWrap/>
            <w:vAlign w:val="bottom"/>
            <w:hideMark/>
          </w:tcPr>
          <w:p w14:paraId="0C412792"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0.361</w:t>
            </w:r>
          </w:p>
        </w:tc>
        <w:tc>
          <w:tcPr>
            <w:tcW w:w="581" w:type="pct"/>
            <w:tcBorders>
              <w:top w:val="nil"/>
              <w:left w:val="nil"/>
              <w:bottom w:val="nil"/>
              <w:right w:val="nil"/>
            </w:tcBorders>
            <w:shd w:val="clear" w:color="auto" w:fill="auto"/>
            <w:noWrap/>
            <w:vAlign w:val="bottom"/>
            <w:hideMark/>
          </w:tcPr>
          <w:p w14:paraId="3A97CCDA"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4.928</w:t>
            </w:r>
          </w:p>
        </w:tc>
        <w:tc>
          <w:tcPr>
            <w:tcW w:w="448" w:type="pct"/>
            <w:tcBorders>
              <w:top w:val="nil"/>
              <w:left w:val="nil"/>
              <w:bottom w:val="nil"/>
              <w:right w:val="nil"/>
            </w:tcBorders>
            <w:shd w:val="clear" w:color="auto" w:fill="auto"/>
            <w:noWrap/>
            <w:vAlign w:val="bottom"/>
            <w:hideMark/>
          </w:tcPr>
          <w:p w14:paraId="6C9AA59A"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0.000</w:t>
            </w:r>
          </w:p>
        </w:tc>
      </w:tr>
      <w:tr w:rsidR="005E125E" w:rsidRPr="00C0591E" w14:paraId="5370D10C" w14:textId="77777777" w:rsidTr="005E125E">
        <w:trPr>
          <w:trHeight w:val="288"/>
        </w:trPr>
        <w:tc>
          <w:tcPr>
            <w:tcW w:w="486" w:type="pct"/>
            <w:tcBorders>
              <w:top w:val="nil"/>
              <w:left w:val="nil"/>
              <w:bottom w:val="single" w:sz="4" w:space="0" w:color="auto"/>
              <w:right w:val="nil"/>
            </w:tcBorders>
            <w:shd w:val="clear" w:color="auto" w:fill="auto"/>
            <w:noWrap/>
            <w:vAlign w:val="bottom"/>
            <w:hideMark/>
          </w:tcPr>
          <w:p w14:paraId="5D9EDD58" w14:textId="77777777" w:rsidR="005E125E" w:rsidRPr="00C0591E" w:rsidRDefault="005E125E" w:rsidP="005E125E">
            <w:pPr>
              <w:spacing w:before="0" w:after="0"/>
              <w:rPr>
                <w:rFonts w:eastAsia="Times New Roman"/>
                <w:color w:val="000000"/>
              </w:rPr>
            </w:pPr>
            <w:r w:rsidRPr="00C0591E">
              <w:rPr>
                <w:rFonts w:eastAsia="Times New Roman"/>
                <w:color w:val="000000"/>
              </w:rPr>
              <w:t> </w:t>
            </w:r>
          </w:p>
        </w:tc>
        <w:tc>
          <w:tcPr>
            <w:tcW w:w="1403" w:type="pct"/>
            <w:tcBorders>
              <w:top w:val="nil"/>
              <w:left w:val="nil"/>
              <w:bottom w:val="single" w:sz="4" w:space="0" w:color="auto"/>
              <w:right w:val="nil"/>
            </w:tcBorders>
            <w:shd w:val="clear" w:color="auto" w:fill="auto"/>
            <w:noWrap/>
            <w:vAlign w:val="bottom"/>
            <w:hideMark/>
          </w:tcPr>
          <w:p w14:paraId="329E6504" w14:textId="2918482E" w:rsidR="005E125E" w:rsidRPr="00C0591E" w:rsidRDefault="00173C67" w:rsidP="005E125E">
            <w:pPr>
              <w:spacing w:before="0" w:after="0"/>
              <w:jc w:val="left"/>
              <w:rPr>
                <w:rFonts w:eastAsia="Times New Roman"/>
                <w:color w:val="000000"/>
              </w:rPr>
            </w:pPr>
            <w:r>
              <w:rPr>
                <w:rFonts w:eastAsia="Times New Roman"/>
                <w:color w:val="000000"/>
              </w:rPr>
              <w:t>Pillars of corporate governance</w:t>
            </w:r>
            <w:r w:rsidR="005E125E" w:rsidRPr="00C0591E">
              <w:rPr>
                <w:rFonts w:eastAsia="Times New Roman"/>
                <w:color w:val="000000"/>
              </w:rPr>
              <w:t xml:space="preserve">* Government Regulation </w:t>
            </w:r>
          </w:p>
        </w:tc>
        <w:tc>
          <w:tcPr>
            <w:tcW w:w="872" w:type="pct"/>
            <w:tcBorders>
              <w:top w:val="nil"/>
              <w:left w:val="nil"/>
              <w:bottom w:val="single" w:sz="4" w:space="0" w:color="auto"/>
              <w:right w:val="nil"/>
            </w:tcBorders>
            <w:shd w:val="clear" w:color="auto" w:fill="auto"/>
            <w:noWrap/>
            <w:vAlign w:val="bottom"/>
            <w:hideMark/>
          </w:tcPr>
          <w:p w14:paraId="01962173"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0.018</w:t>
            </w:r>
          </w:p>
        </w:tc>
        <w:tc>
          <w:tcPr>
            <w:tcW w:w="724" w:type="pct"/>
            <w:tcBorders>
              <w:top w:val="nil"/>
              <w:left w:val="nil"/>
              <w:bottom w:val="single" w:sz="4" w:space="0" w:color="auto"/>
              <w:right w:val="nil"/>
            </w:tcBorders>
            <w:shd w:val="clear" w:color="auto" w:fill="auto"/>
            <w:noWrap/>
            <w:vAlign w:val="bottom"/>
            <w:hideMark/>
          </w:tcPr>
          <w:p w14:paraId="778DE7D4"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0.005</w:t>
            </w:r>
          </w:p>
        </w:tc>
        <w:tc>
          <w:tcPr>
            <w:tcW w:w="486" w:type="pct"/>
            <w:tcBorders>
              <w:top w:val="nil"/>
              <w:left w:val="nil"/>
              <w:bottom w:val="single" w:sz="4" w:space="0" w:color="auto"/>
              <w:right w:val="nil"/>
            </w:tcBorders>
            <w:shd w:val="clear" w:color="auto" w:fill="auto"/>
            <w:noWrap/>
            <w:vAlign w:val="bottom"/>
            <w:hideMark/>
          </w:tcPr>
          <w:p w14:paraId="1A03B2EB"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0.245</w:t>
            </w:r>
          </w:p>
        </w:tc>
        <w:tc>
          <w:tcPr>
            <w:tcW w:w="581" w:type="pct"/>
            <w:tcBorders>
              <w:top w:val="nil"/>
              <w:left w:val="nil"/>
              <w:bottom w:val="single" w:sz="4" w:space="0" w:color="auto"/>
              <w:right w:val="nil"/>
            </w:tcBorders>
            <w:shd w:val="clear" w:color="auto" w:fill="auto"/>
            <w:noWrap/>
            <w:vAlign w:val="bottom"/>
            <w:hideMark/>
          </w:tcPr>
          <w:p w14:paraId="1AF3ACFA"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3.657</w:t>
            </w:r>
          </w:p>
        </w:tc>
        <w:tc>
          <w:tcPr>
            <w:tcW w:w="448" w:type="pct"/>
            <w:tcBorders>
              <w:top w:val="nil"/>
              <w:left w:val="nil"/>
              <w:bottom w:val="single" w:sz="4" w:space="0" w:color="auto"/>
              <w:right w:val="nil"/>
            </w:tcBorders>
            <w:shd w:val="clear" w:color="auto" w:fill="auto"/>
            <w:noWrap/>
            <w:vAlign w:val="bottom"/>
            <w:hideMark/>
          </w:tcPr>
          <w:p w14:paraId="113FB0DD" w14:textId="77777777" w:rsidR="005E125E" w:rsidRPr="00C0591E" w:rsidRDefault="005E125E" w:rsidP="005E125E">
            <w:pPr>
              <w:spacing w:before="0" w:after="0"/>
              <w:jc w:val="center"/>
              <w:rPr>
                <w:rFonts w:eastAsia="Times New Roman"/>
                <w:color w:val="000000"/>
              </w:rPr>
            </w:pPr>
            <w:r w:rsidRPr="00C0591E">
              <w:rPr>
                <w:rFonts w:eastAsia="Times New Roman"/>
                <w:color w:val="000000"/>
              </w:rPr>
              <w:t>0.000</w:t>
            </w:r>
          </w:p>
        </w:tc>
      </w:tr>
    </w:tbl>
    <w:p w14:paraId="2895008B" w14:textId="11617C57" w:rsidR="00F07CC4" w:rsidRPr="00C0591E" w:rsidRDefault="00F07CC4" w:rsidP="00F07CC4">
      <w:r w:rsidRPr="00C0591E">
        <w:t xml:space="preserve">The regression of coefficients results shows that in step one, the regression model of </w:t>
      </w:r>
      <w:r w:rsidR="00173C67">
        <w:t>pillars of corporate governance</w:t>
      </w:r>
      <w:r w:rsidRPr="00C0591E">
        <w:t xml:space="preserve"> on </w:t>
      </w:r>
      <w:r w:rsidRPr="00C0591E">
        <w:rPr>
          <w:rFonts w:cs="Times New Roman"/>
          <w:szCs w:val="24"/>
        </w:rPr>
        <w:t xml:space="preserve">performance of pension fund managers </w:t>
      </w:r>
      <w:r w:rsidRPr="00C0591E">
        <w:t xml:space="preserve">was significant with β=0.222, p=0.000&lt;0.05) and supported by T </w:t>
      </w:r>
      <w:r w:rsidRPr="00C0591E">
        <w:rPr>
          <w:vertAlign w:val="subscript"/>
        </w:rPr>
        <w:t xml:space="preserve">Calculated </w:t>
      </w:r>
      <w:r w:rsidRPr="00C0591E">
        <w:t>=(1, 295)=</w:t>
      </w:r>
      <w:r w:rsidRPr="00C0591E">
        <w:rPr>
          <w:rFonts w:eastAsia="Times New Roman"/>
        </w:rPr>
        <w:t xml:space="preserve"> 19.029</w:t>
      </w:r>
      <w:r w:rsidRPr="00C0591E">
        <w:t xml:space="preserve">&gt; T </w:t>
      </w:r>
      <w:r w:rsidRPr="00C0591E">
        <w:rPr>
          <w:vertAlign w:val="subscript"/>
        </w:rPr>
        <w:t xml:space="preserve">Critical </w:t>
      </w:r>
      <w:r w:rsidRPr="00C0591E">
        <w:t xml:space="preserve"> (0.05, 295)= 1.658.</w:t>
      </w:r>
    </w:p>
    <w:p w14:paraId="04E6C035" w14:textId="34D98F8C" w:rsidR="00F07CC4" w:rsidRPr="00C0591E" w:rsidRDefault="00F07CC4" w:rsidP="00F07CC4">
      <w:r w:rsidRPr="00C0591E">
        <w:t xml:space="preserve">In step two, the results show that the regression model of </w:t>
      </w:r>
      <w:r w:rsidR="00173C67">
        <w:t>pillars of corporate governance</w:t>
      </w:r>
      <w:r w:rsidRPr="00C0591E">
        <w:t xml:space="preserve"> and re government regulations on </w:t>
      </w:r>
      <w:r w:rsidRPr="00C0591E">
        <w:rPr>
          <w:rFonts w:cs="Times New Roman"/>
          <w:szCs w:val="24"/>
        </w:rPr>
        <w:t xml:space="preserve">performance of pension fund managers </w:t>
      </w:r>
      <w:r w:rsidRPr="00C0591E">
        <w:t>was significant with (β</w:t>
      </w:r>
      <w:r w:rsidRPr="00C0591E">
        <w:rPr>
          <w:vertAlign w:val="subscript"/>
        </w:rPr>
        <w:t>1</w:t>
      </w:r>
      <w:r w:rsidRPr="00C0591E">
        <w:t>=</w:t>
      </w:r>
      <w:r w:rsidRPr="00C0591E">
        <w:rPr>
          <w:rFonts w:eastAsia="Times New Roman"/>
          <w:color w:val="000000"/>
        </w:rPr>
        <w:t>0.105</w:t>
      </w:r>
      <w:r w:rsidRPr="00C0591E">
        <w:t>, p=0.000&lt;0.05: β</w:t>
      </w:r>
      <w:r w:rsidRPr="00C0591E">
        <w:rPr>
          <w:vertAlign w:val="subscript"/>
        </w:rPr>
        <w:t>2</w:t>
      </w:r>
      <w:r w:rsidRPr="00C0591E">
        <w:t>=</w:t>
      </w:r>
      <w:r w:rsidRPr="00C0591E">
        <w:rPr>
          <w:rFonts w:eastAsia="Times New Roman"/>
          <w:color w:val="000000"/>
        </w:rPr>
        <w:t>0.142</w:t>
      </w:r>
      <w:r w:rsidRPr="00C0591E">
        <w:t xml:space="preserve">, p=0.000&lt;0.05) and supported by T </w:t>
      </w:r>
      <w:r w:rsidRPr="00C0591E">
        <w:rPr>
          <w:vertAlign w:val="subscript"/>
        </w:rPr>
        <w:t>Calculated</w:t>
      </w:r>
      <w:r w:rsidRPr="00C0591E">
        <w:t xml:space="preserve"> =(2, 295)= </w:t>
      </w:r>
      <w:r w:rsidRPr="00C0591E">
        <w:rPr>
          <w:rFonts w:eastAsia="Times New Roman"/>
          <w:color w:val="000000"/>
        </w:rPr>
        <w:t>5.042</w:t>
      </w:r>
      <w:r w:rsidRPr="00C0591E">
        <w:t xml:space="preserve">, </w:t>
      </w:r>
      <w:r w:rsidRPr="00C0591E">
        <w:rPr>
          <w:rFonts w:eastAsia="Times New Roman"/>
          <w:color w:val="000000"/>
        </w:rPr>
        <w:t>6.607</w:t>
      </w:r>
      <w:r w:rsidRPr="00C0591E">
        <w:t xml:space="preserve">&gt; T </w:t>
      </w:r>
      <w:r w:rsidRPr="00C0591E">
        <w:rPr>
          <w:vertAlign w:val="subscript"/>
        </w:rPr>
        <w:t>Critical</w:t>
      </w:r>
      <w:r w:rsidRPr="00C0591E">
        <w:t xml:space="preserve">  (0.05, 295)= 1.658. </w:t>
      </w:r>
    </w:p>
    <w:p w14:paraId="7742A6EA" w14:textId="69F9625E" w:rsidR="00F07CC4" w:rsidRDefault="00F07CC4" w:rsidP="00F07CC4">
      <w:r w:rsidRPr="00C0591E">
        <w:t xml:space="preserve">In step three, the results show that the regression model of </w:t>
      </w:r>
      <w:r w:rsidR="00173C67">
        <w:t>pillars of corporate governance</w:t>
      </w:r>
      <w:r w:rsidRPr="00C0591E">
        <w:t xml:space="preserve">, government regulations and the interaction term CG*GR on </w:t>
      </w:r>
      <w:r w:rsidRPr="00C0591E">
        <w:rPr>
          <w:rFonts w:cs="Times New Roman"/>
          <w:szCs w:val="24"/>
        </w:rPr>
        <w:t xml:space="preserve">performance of pension fund managers </w:t>
      </w:r>
      <w:r w:rsidRPr="00C0591E">
        <w:t>was significant with (β</w:t>
      </w:r>
      <w:r w:rsidRPr="00C0591E">
        <w:rPr>
          <w:vertAlign w:val="subscript"/>
        </w:rPr>
        <w:t>1</w:t>
      </w:r>
      <w:r w:rsidRPr="00C0591E">
        <w:t>=</w:t>
      </w:r>
      <w:r w:rsidRPr="00C0591E">
        <w:rPr>
          <w:rFonts w:eastAsia="Times New Roman"/>
          <w:color w:val="000000"/>
        </w:rPr>
        <w:t>0.070</w:t>
      </w:r>
      <w:r w:rsidRPr="00C0591E">
        <w:t>, p=0.002&lt;0.05: β</w:t>
      </w:r>
      <w:r w:rsidRPr="00C0591E">
        <w:rPr>
          <w:vertAlign w:val="subscript"/>
        </w:rPr>
        <w:t>2</w:t>
      </w:r>
      <w:r w:rsidRPr="00C0591E">
        <w:t>=</w:t>
      </w:r>
      <w:r w:rsidRPr="00C0591E">
        <w:rPr>
          <w:rFonts w:eastAsia="Times New Roman"/>
          <w:color w:val="000000"/>
        </w:rPr>
        <w:t>0.111</w:t>
      </w:r>
      <w:r w:rsidRPr="00C0591E">
        <w:t>, p=0.000&lt;0.05: β</w:t>
      </w:r>
      <w:r w:rsidRPr="00C0591E">
        <w:rPr>
          <w:vertAlign w:val="subscript"/>
        </w:rPr>
        <w:t>3</w:t>
      </w:r>
      <w:r w:rsidRPr="00C0591E">
        <w:t>=</w:t>
      </w:r>
      <w:r w:rsidRPr="00C0591E">
        <w:rPr>
          <w:rFonts w:eastAsia="Times New Roman"/>
          <w:color w:val="000000"/>
        </w:rPr>
        <w:t>0.018</w:t>
      </w:r>
      <w:r w:rsidRPr="00C0591E">
        <w:t xml:space="preserve">, p=0.000&lt;0.05) and supported by T </w:t>
      </w:r>
      <w:r w:rsidRPr="00C0591E">
        <w:rPr>
          <w:vertAlign w:val="subscript"/>
        </w:rPr>
        <w:t>Calculated</w:t>
      </w:r>
      <w:r w:rsidRPr="00C0591E">
        <w:t xml:space="preserve"> =(3, 295)= </w:t>
      </w:r>
      <w:r w:rsidRPr="00C0591E">
        <w:rPr>
          <w:rFonts w:eastAsia="Times New Roman"/>
          <w:color w:val="000000"/>
        </w:rPr>
        <w:t>3.110</w:t>
      </w:r>
      <w:r w:rsidRPr="00C0591E">
        <w:t xml:space="preserve">, </w:t>
      </w:r>
      <w:r w:rsidRPr="00C0591E">
        <w:rPr>
          <w:rFonts w:eastAsia="Times New Roman"/>
          <w:color w:val="000000"/>
        </w:rPr>
        <w:t>4.928</w:t>
      </w:r>
      <w:r w:rsidRPr="00C0591E">
        <w:t xml:space="preserve">, </w:t>
      </w:r>
      <w:r w:rsidRPr="00C0591E">
        <w:rPr>
          <w:rFonts w:eastAsia="Times New Roman"/>
          <w:color w:val="000000"/>
        </w:rPr>
        <w:t>3.657</w:t>
      </w:r>
      <w:r w:rsidRPr="00C0591E">
        <w:t xml:space="preserve">&gt; T </w:t>
      </w:r>
      <w:r w:rsidRPr="00C0591E">
        <w:rPr>
          <w:vertAlign w:val="subscript"/>
        </w:rPr>
        <w:t>Critical</w:t>
      </w:r>
      <w:r w:rsidRPr="00C0591E">
        <w:t xml:space="preserve">  (0.05, 295)= 1.658. </w:t>
      </w:r>
    </w:p>
    <w:p w14:paraId="1F3F9DFF" w14:textId="5FBC1B6C" w:rsidR="00C813FD" w:rsidRDefault="00C813FD" w:rsidP="00F07CC4"/>
    <w:p w14:paraId="4E74EF3A" w14:textId="77777777" w:rsidR="00C813FD" w:rsidRPr="00C0591E" w:rsidRDefault="00C813FD" w:rsidP="00F07CC4"/>
    <w:p w14:paraId="3FB68E21" w14:textId="77777777" w:rsidR="00F07CC4" w:rsidRPr="00C0591E" w:rsidRDefault="00F07CC4" w:rsidP="00F07CC4">
      <w:r w:rsidRPr="00C0591E">
        <w:t>The fitted models were:</w:t>
      </w:r>
    </w:p>
    <w:p w14:paraId="53326066" w14:textId="6AD06E55" w:rsidR="00F07CC4" w:rsidRPr="00C0591E" w:rsidRDefault="00F07CC4" w:rsidP="00F07CC4">
      <w:pPr>
        <w:jc w:val="left"/>
      </w:pPr>
      <w:r w:rsidRPr="00C0591E">
        <w:t xml:space="preserve">P= </w:t>
      </w:r>
      <w:r w:rsidRPr="00C0591E">
        <w:rPr>
          <w:rFonts w:eastAsia="Times New Roman"/>
        </w:rPr>
        <w:t xml:space="preserve">2.827 </w:t>
      </w:r>
      <w:r w:rsidRPr="00C0591E">
        <w:t xml:space="preserve">+ </w:t>
      </w:r>
      <w:r w:rsidRPr="00C0591E">
        <w:rPr>
          <w:rFonts w:eastAsia="Times New Roman"/>
        </w:rPr>
        <w:t>0.222</w:t>
      </w:r>
      <w:r w:rsidRPr="00C0591E">
        <w:t xml:space="preserve">CG </w:t>
      </w:r>
    </w:p>
    <w:p w14:paraId="4EA91939" w14:textId="411BC1CC" w:rsidR="00F07CC4" w:rsidRPr="00C0591E" w:rsidRDefault="00F07CC4" w:rsidP="00F07CC4">
      <w:pPr>
        <w:jc w:val="left"/>
      </w:pPr>
      <w:r w:rsidRPr="00C0591E">
        <w:t>P=</w:t>
      </w:r>
      <w:r w:rsidR="00480CD7" w:rsidRPr="00C0591E">
        <w:t xml:space="preserve"> </w:t>
      </w:r>
      <w:r w:rsidR="00480CD7" w:rsidRPr="00C0591E">
        <w:rPr>
          <w:rFonts w:eastAsia="Times New Roman"/>
          <w:color w:val="000000"/>
        </w:rPr>
        <w:t>2.755</w:t>
      </w:r>
      <w:r w:rsidRPr="00C0591E">
        <w:t xml:space="preserve">+ </w:t>
      </w:r>
      <w:r w:rsidR="00480CD7" w:rsidRPr="00C0591E">
        <w:rPr>
          <w:rFonts w:eastAsia="Times New Roman"/>
          <w:color w:val="000000"/>
        </w:rPr>
        <w:t>0.105</w:t>
      </w:r>
      <w:r w:rsidRPr="00C0591E">
        <w:t xml:space="preserve">CG + </w:t>
      </w:r>
      <w:r w:rsidR="00480CD7" w:rsidRPr="00C0591E">
        <w:rPr>
          <w:rFonts w:eastAsia="Times New Roman"/>
          <w:color w:val="000000"/>
        </w:rPr>
        <w:t>0.142</w:t>
      </w:r>
      <w:r w:rsidRPr="00C0591E">
        <w:t xml:space="preserve">GR </w:t>
      </w:r>
    </w:p>
    <w:p w14:paraId="48397653" w14:textId="68110008" w:rsidR="00F07CC4" w:rsidRPr="00C0591E" w:rsidRDefault="00F07CC4" w:rsidP="00F07CC4">
      <w:r w:rsidRPr="00C0591E">
        <w:t>P=</w:t>
      </w:r>
      <w:r w:rsidR="00480CD7" w:rsidRPr="00C0591E">
        <w:t xml:space="preserve"> </w:t>
      </w:r>
      <w:r w:rsidR="00480CD7" w:rsidRPr="00C0591E">
        <w:rPr>
          <w:rFonts w:eastAsia="Times New Roman"/>
          <w:color w:val="000000"/>
        </w:rPr>
        <w:t>2.742</w:t>
      </w:r>
      <w:r w:rsidRPr="00C0591E">
        <w:t>+</w:t>
      </w:r>
      <w:r w:rsidR="00480CD7" w:rsidRPr="00C0591E">
        <w:rPr>
          <w:rFonts w:eastAsia="Times New Roman"/>
          <w:color w:val="000000"/>
        </w:rPr>
        <w:t>0.070</w:t>
      </w:r>
      <w:r w:rsidRPr="00C0591E">
        <w:t>CG</w:t>
      </w:r>
      <w:r w:rsidR="00480CD7" w:rsidRPr="00C0591E">
        <w:t xml:space="preserve"> </w:t>
      </w:r>
      <w:r w:rsidRPr="00C0591E">
        <w:t>+</w:t>
      </w:r>
      <w:r w:rsidR="00480CD7" w:rsidRPr="00C0591E">
        <w:t xml:space="preserve"> </w:t>
      </w:r>
      <w:r w:rsidR="00480CD7" w:rsidRPr="00C0591E">
        <w:rPr>
          <w:rFonts w:eastAsia="Times New Roman"/>
          <w:color w:val="000000"/>
        </w:rPr>
        <w:t>0.111</w:t>
      </w:r>
      <w:r w:rsidRPr="00C0591E">
        <w:t>GR</w:t>
      </w:r>
      <w:r w:rsidR="00480CD7" w:rsidRPr="00C0591E">
        <w:t xml:space="preserve"> </w:t>
      </w:r>
      <w:r w:rsidRPr="00C0591E">
        <w:t>+</w:t>
      </w:r>
      <w:r w:rsidR="00480CD7" w:rsidRPr="00C0591E">
        <w:t xml:space="preserve"> </w:t>
      </w:r>
      <w:r w:rsidR="00480CD7" w:rsidRPr="00C0591E">
        <w:rPr>
          <w:rFonts w:eastAsia="Times New Roman"/>
          <w:color w:val="000000"/>
        </w:rPr>
        <w:t>0.018</w:t>
      </w:r>
      <w:r w:rsidRPr="00C0591E">
        <w:t xml:space="preserve">CG*GR </w:t>
      </w:r>
    </w:p>
    <w:p w14:paraId="6DE1CDBD" w14:textId="77777777" w:rsidR="00BF3B44" w:rsidRPr="00C0591E" w:rsidRDefault="00BF3B44" w:rsidP="00BF3B44">
      <w:pPr>
        <w:jc w:val="left"/>
        <w:rPr>
          <w:szCs w:val="24"/>
        </w:rPr>
      </w:pPr>
      <w:r w:rsidRPr="00C0591E">
        <w:rPr>
          <w:szCs w:val="24"/>
        </w:rPr>
        <w:t>Where;</w:t>
      </w:r>
    </w:p>
    <w:p w14:paraId="5617A0EC" w14:textId="56D39D19" w:rsidR="00BF3B44" w:rsidRPr="00C0591E" w:rsidRDefault="00BF3B44" w:rsidP="00BF3B44">
      <w:pPr>
        <w:rPr>
          <w:szCs w:val="24"/>
        </w:rPr>
      </w:pPr>
      <w:r w:rsidRPr="00C0591E">
        <w:rPr>
          <w:szCs w:val="24"/>
        </w:rPr>
        <w:t>P</w:t>
      </w:r>
      <w:r w:rsidR="000151BA" w:rsidRPr="00C0591E">
        <w:rPr>
          <w:szCs w:val="24"/>
        </w:rPr>
        <w:t xml:space="preserve"> </w:t>
      </w:r>
      <w:r w:rsidRPr="00C0591E">
        <w:rPr>
          <w:szCs w:val="24"/>
        </w:rPr>
        <w:t>= Performance</w:t>
      </w:r>
      <w:r w:rsidRPr="00C0591E">
        <w:t xml:space="preserve"> of Pension Fund Managers</w:t>
      </w:r>
    </w:p>
    <w:p w14:paraId="7DD5BF86" w14:textId="5AD349C1" w:rsidR="00BF3B44" w:rsidRPr="00C0591E" w:rsidRDefault="00BF3B44" w:rsidP="00BF3B44">
      <w:pPr>
        <w:rPr>
          <w:szCs w:val="24"/>
        </w:rPr>
      </w:pPr>
      <w:r w:rsidRPr="00C0591E">
        <w:rPr>
          <w:szCs w:val="24"/>
        </w:rPr>
        <w:t>CG</w:t>
      </w:r>
      <w:r w:rsidR="000151BA" w:rsidRPr="00C0591E">
        <w:rPr>
          <w:szCs w:val="24"/>
        </w:rPr>
        <w:t xml:space="preserve"> </w:t>
      </w:r>
      <w:r w:rsidRPr="00C0591E">
        <w:rPr>
          <w:szCs w:val="24"/>
        </w:rPr>
        <w:t>=</w:t>
      </w:r>
      <w:r w:rsidR="000151BA" w:rsidRPr="00C0591E">
        <w:rPr>
          <w:szCs w:val="24"/>
        </w:rPr>
        <w:t xml:space="preserve"> </w:t>
      </w:r>
      <w:r w:rsidR="00173C67">
        <w:rPr>
          <w:szCs w:val="24"/>
        </w:rPr>
        <w:t>Pillars of corporate governance</w:t>
      </w:r>
    </w:p>
    <w:p w14:paraId="0D2FD792" w14:textId="77777777" w:rsidR="00BF3B44" w:rsidRPr="00C0591E" w:rsidRDefault="00BF3B44" w:rsidP="00BF3B44">
      <w:pPr>
        <w:rPr>
          <w:szCs w:val="24"/>
        </w:rPr>
      </w:pPr>
      <w:r w:rsidRPr="00C0591E">
        <w:rPr>
          <w:szCs w:val="24"/>
        </w:rPr>
        <w:t>GR = Government Regulations</w:t>
      </w:r>
    </w:p>
    <w:p w14:paraId="2F94D644" w14:textId="7BADC302" w:rsidR="00BF3B44" w:rsidRPr="00C0591E" w:rsidRDefault="00BF3B44" w:rsidP="00BF3B44">
      <w:r w:rsidRPr="00C0591E">
        <w:rPr>
          <w:szCs w:val="24"/>
        </w:rPr>
        <w:t>CG*GR</w:t>
      </w:r>
      <w:r w:rsidR="000151BA" w:rsidRPr="00C0591E">
        <w:rPr>
          <w:szCs w:val="24"/>
        </w:rPr>
        <w:t xml:space="preserve"> </w:t>
      </w:r>
      <w:r w:rsidRPr="00C0591E">
        <w:rPr>
          <w:szCs w:val="24"/>
        </w:rPr>
        <w:t>=</w:t>
      </w:r>
      <w:r w:rsidR="000151BA" w:rsidRPr="00C0591E">
        <w:rPr>
          <w:szCs w:val="24"/>
        </w:rPr>
        <w:t xml:space="preserve"> </w:t>
      </w:r>
      <w:r w:rsidRPr="00C0591E">
        <w:rPr>
          <w:szCs w:val="24"/>
        </w:rPr>
        <w:t xml:space="preserve">Interaction effect of GR on </w:t>
      </w:r>
      <w:r w:rsidR="00173C67">
        <w:rPr>
          <w:szCs w:val="24"/>
        </w:rPr>
        <w:t>Pillars of corporate governance</w:t>
      </w:r>
      <w:r w:rsidRPr="00C0591E">
        <w:rPr>
          <w:szCs w:val="24"/>
        </w:rPr>
        <w:t xml:space="preserve"> and Government Regulations</w:t>
      </w:r>
    </w:p>
    <w:p w14:paraId="12AAA2EB" w14:textId="4AF5290A" w:rsidR="008D612B" w:rsidRPr="00C0591E" w:rsidRDefault="008D612B" w:rsidP="00604EFF">
      <w:r w:rsidRPr="00C0591E">
        <w:rPr>
          <w:color w:val="000000"/>
          <w:szCs w:val="24"/>
        </w:rPr>
        <w:t>Since the P value of the interaction term (CG*GR) is 0.000&lt; 0.05 and the R</w:t>
      </w:r>
      <w:r w:rsidRPr="00C0591E">
        <w:rPr>
          <w:color w:val="000000"/>
          <w:szCs w:val="24"/>
          <w:vertAlign w:val="superscript"/>
        </w:rPr>
        <w:t>2</w:t>
      </w:r>
      <w:r w:rsidRPr="00C0591E">
        <w:rPr>
          <w:color w:val="000000"/>
          <w:szCs w:val="24"/>
        </w:rPr>
        <w:t xml:space="preserve"> </w:t>
      </w:r>
      <w:r w:rsidRPr="00C0591E">
        <w:t xml:space="preserve">increased from 55.2% to 61% and 62.7% after the interaction term and thus, we conclude that government regulations moderates the relationship between </w:t>
      </w:r>
      <w:r w:rsidR="00173C67">
        <w:t>pillars of corporate governance</w:t>
      </w:r>
      <w:r w:rsidRPr="00C0591E">
        <w:t xml:space="preserve"> and </w:t>
      </w:r>
      <w:r w:rsidRPr="00C0591E">
        <w:rPr>
          <w:rFonts w:cs="Times New Roman"/>
          <w:szCs w:val="24"/>
        </w:rPr>
        <w:t xml:space="preserve">performance of pension fund managers </w:t>
      </w:r>
      <w:r w:rsidRPr="00C0591E">
        <w:t xml:space="preserve">in Kenya. The study thus rejected the null hypothesis and adopted the alternative hypothesis that there is a significant moderating effect of government regulations on the relationship between </w:t>
      </w:r>
      <w:r w:rsidR="00173C67">
        <w:t>pillars of corporate governance</w:t>
      </w:r>
      <w:r w:rsidRPr="00C0591E">
        <w:t xml:space="preserve"> and </w:t>
      </w:r>
      <w:r w:rsidRPr="00C0591E">
        <w:rPr>
          <w:rFonts w:cs="Times New Roman"/>
          <w:szCs w:val="24"/>
        </w:rPr>
        <w:t>performance of pension fund managers</w:t>
      </w:r>
      <w:r w:rsidRPr="00C0591E">
        <w:t xml:space="preserve"> in Kenya.</w:t>
      </w:r>
    </w:p>
    <w:p w14:paraId="6E379539" w14:textId="44CE8A8E" w:rsidR="008D612B" w:rsidRPr="00C0591E" w:rsidRDefault="008D612B" w:rsidP="006124BD">
      <w:pPr>
        <w:pStyle w:val="Heading3"/>
      </w:pPr>
      <w:bookmarkStart w:id="307" w:name="_Toc22319987"/>
      <w:r w:rsidRPr="00C0591E">
        <w:t xml:space="preserve">4.7.4 </w:t>
      </w:r>
      <w:bookmarkEnd w:id="307"/>
      <w:r w:rsidR="006124BD" w:rsidRPr="00C0591E">
        <w:t>Moderation – Mediator Effect</w:t>
      </w:r>
    </w:p>
    <w:p w14:paraId="59F10B64" w14:textId="10FFB342" w:rsidR="00E8593E" w:rsidRPr="00C0591E" w:rsidRDefault="00E8593E" w:rsidP="00E8593E">
      <w:pPr>
        <w:rPr>
          <w:rFonts w:eastAsia="Calibri" w:cs="Times New Roman"/>
          <w:szCs w:val="24"/>
        </w:rPr>
      </w:pPr>
      <w:r w:rsidRPr="00C0591E">
        <w:t xml:space="preserve">The fourth objective of the study was to determine </w:t>
      </w:r>
      <w:r w:rsidR="006124BD" w:rsidRPr="00C0591E">
        <w:t xml:space="preserve">moderation - mediator effect on the relationship between </w:t>
      </w:r>
      <w:r w:rsidR="00173C67">
        <w:t>pillars of corporate governance</w:t>
      </w:r>
      <w:r w:rsidR="006124BD" w:rsidRPr="00C0591E">
        <w:t xml:space="preserve"> and performance of pension fund managers in Kenya</w:t>
      </w:r>
      <w:r w:rsidRPr="00C0591E">
        <w:t xml:space="preserve">. </w:t>
      </w:r>
      <w:r w:rsidRPr="00C0591E">
        <w:rPr>
          <w:rFonts w:eastAsia="Calibri" w:cs="Times New Roman"/>
          <w:color w:val="000000"/>
        </w:rPr>
        <w:t>The fourth hypothesis stated in the null form is as follows:</w:t>
      </w:r>
    </w:p>
    <w:p w14:paraId="4CBFD38E" w14:textId="3E4A277F" w:rsidR="00E8593E" w:rsidRPr="00C0591E" w:rsidRDefault="00E8593E" w:rsidP="00E8593E">
      <w:pPr>
        <w:rPr>
          <w:rFonts w:cs="Times New Roman"/>
          <w:b/>
          <w:szCs w:val="24"/>
        </w:rPr>
      </w:pPr>
      <w:r w:rsidRPr="00C0591E">
        <w:rPr>
          <w:rFonts w:eastAsia="Times New Roman"/>
          <w:b/>
          <w:szCs w:val="24"/>
        </w:rPr>
        <w:t>H0</w:t>
      </w:r>
      <w:r w:rsidRPr="00C0591E">
        <w:rPr>
          <w:rFonts w:eastAsia="Times New Roman"/>
          <w:b/>
          <w:szCs w:val="24"/>
          <w:vertAlign w:val="subscript"/>
        </w:rPr>
        <w:t>4</w:t>
      </w:r>
      <w:r w:rsidRPr="00C0591E">
        <w:rPr>
          <w:rFonts w:eastAsia="Times New Roman"/>
          <w:b/>
          <w:szCs w:val="24"/>
        </w:rPr>
        <w:t xml:space="preserve">: </w:t>
      </w:r>
      <w:r w:rsidR="005F53A9" w:rsidRPr="00C0591E">
        <w:rPr>
          <w:rFonts w:eastAsia="Times New Roman"/>
          <w:b/>
          <w:szCs w:val="24"/>
        </w:rPr>
        <w:t xml:space="preserve">There is no significant moderation – mediator effect on the relationship between </w:t>
      </w:r>
      <w:r w:rsidR="00173C67">
        <w:rPr>
          <w:rFonts w:eastAsia="Times New Roman"/>
          <w:b/>
          <w:szCs w:val="24"/>
        </w:rPr>
        <w:t>pillars of corporate governance</w:t>
      </w:r>
      <w:r w:rsidR="005F53A9" w:rsidRPr="00C0591E">
        <w:rPr>
          <w:rFonts w:eastAsia="Times New Roman"/>
          <w:b/>
          <w:szCs w:val="24"/>
        </w:rPr>
        <w:t xml:space="preserve"> and performance of pension fund managers in Kenya</w:t>
      </w:r>
      <w:r w:rsidRPr="00C0591E">
        <w:rPr>
          <w:rFonts w:cs="Times New Roman"/>
          <w:b/>
          <w:szCs w:val="24"/>
        </w:rPr>
        <w:t>.</w:t>
      </w:r>
    </w:p>
    <w:p w14:paraId="3C8F0E74" w14:textId="1D27EA09" w:rsidR="005F53A9" w:rsidRPr="00C0591E" w:rsidRDefault="005F53A9" w:rsidP="005F53A9">
      <w:pPr>
        <w:rPr>
          <w:lang w:val="en-GB" w:eastAsia="en-GB"/>
        </w:rPr>
      </w:pPr>
      <w:r w:rsidRPr="00C0591E">
        <w:rPr>
          <w:lang w:val="en-GB" w:eastAsia="en-GB"/>
        </w:rPr>
        <w:t>Hayes and Rockwood (2020) model for moderated mediation was adopted:</w:t>
      </w:r>
    </w:p>
    <w:p w14:paraId="5F2E3B88" w14:textId="244EA1DA" w:rsidR="005F53A9" w:rsidRPr="00C0591E" w:rsidRDefault="005F53A9" w:rsidP="005F53A9">
      <w:r w:rsidRPr="00C0591E">
        <w:t>Model 1:     P = α + β</w:t>
      </w:r>
      <w:r w:rsidRPr="00C0591E">
        <w:rPr>
          <w:vertAlign w:val="subscript"/>
        </w:rPr>
        <w:t>1</w:t>
      </w:r>
      <w:r w:rsidRPr="00C0591E">
        <w:t>CG + ε</w:t>
      </w:r>
    </w:p>
    <w:p w14:paraId="572A4AA3" w14:textId="5FD6F940" w:rsidR="005F53A9" w:rsidRPr="00C0591E" w:rsidRDefault="005F53A9" w:rsidP="005F53A9">
      <w:r w:rsidRPr="00C0591E">
        <w:t xml:space="preserve">Model 2:     P = α+ </w:t>
      </w:r>
      <w:r w:rsidRPr="00C0591E">
        <w:rPr>
          <w:i/>
          <w:iCs/>
        </w:rPr>
        <w:t>β</w:t>
      </w:r>
      <w:r w:rsidRPr="00C0591E">
        <w:rPr>
          <w:vertAlign w:val="subscript"/>
        </w:rPr>
        <w:t>1</w:t>
      </w:r>
      <w:r w:rsidRPr="00C0591E">
        <w:t xml:space="preserve">CG+ </w:t>
      </w:r>
      <w:r w:rsidRPr="00C0591E">
        <w:rPr>
          <w:i/>
          <w:iCs/>
        </w:rPr>
        <w:t>β</w:t>
      </w:r>
      <w:r w:rsidRPr="00C0591E">
        <w:rPr>
          <w:vertAlign w:val="subscript"/>
        </w:rPr>
        <w:t>2</w:t>
      </w:r>
      <w:r w:rsidRPr="00C0591E">
        <w:t xml:space="preserve">GR+ </w:t>
      </w:r>
      <w:r w:rsidRPr="00C0591E">
        <w:rPr>
          <w:i/>
          <w:iCs/>
        </w:rPr>
        <w:t>β</w:t>
      </w:r>
      <w:r w:rsidRPr="00C0591E">
        <w:rPr>
          <w:vertAlign w:val="subscript"/>
        </w:rPr>
        <w:t>3</w:t>
      </w:r>
      <w:r w:rsidRPr="00C0591E">
        <w:t xml:space="preserve">IP + </w:t>
      </w:r>
      <w:r w:rsidRPr="00C0591E">
        <w:rPr>
          <w:i/>
          <w:iCs/>
        </w:rPr>
        <w:t>β</w:t>
      </w:r>
      <w:r w:rsidRPr="00C0591E">
        <w:rPr>
          <w:vertAlign w:val="subscript"/>
        </w:rPr>
        <w:t xml:space="preserve">3 </w:t>
      </w:r>
      <w:r w:rsidRPr="00C0591E">
        <w:t>GR*IP + ε</w:t>
      </w:r>
      <w:r w:rsidRPr="00C0591E" w:rsidDel="00185A71">
        <w:t xml:space="preserve"> </w:t>
      </w:r>
    </w:p>
    <w:p w14:paraId="1A6CFEF8" w14:textId="2AC1927E" w:rsidR="00B74664" w:rsidRPr="00C0591E" w:rsidRDefault="005F53A9" w:rsidP="005F53A9">
      <w:r w:rsidRPr="00C0591E">
        <w:rPr>
          <w:lang w:val="en-GB" w:eastAsia="en-GB"/>
        </w:rPr>
        <w:t xml:space="preserve">The effect was assessed, and results explained using coefficient of determination (R-Square), Analysis of Variance (ANOVA) and the regression coefficients. Analysis of Variance consists of calculations that provide information about levels of variability within a regression model and form a basis for tests of significance. </w:t>
      </w:r>
      <w:r w:rsidR="00B74664" w:rsidRPr="00C0591E">
        <w:t>The R</w:t>
      </w:r>
      <w:r w:rsidR="00B74664" w:rsidRPr="00C0591E">
        <w:rPr>
          <w:szCs w:val="16"/>
          <w:vertAlign w:val="superscript"/>
        </w:rPr>
        <w:t xml:space="preserve">2 </w:t>
      </w:r>
      <w:r w:rsidR="00B74664" w:rsidRPr="00C0591E">
        <w:t xml:space="preserve">for </w:t>
      </w:r>
      <w:r w:rsidR="00932A37" w:rsidRPr="00C0591E">
        <w:t xml:space="preserve">are as shown in Table </w:t>
      </w:r>
      <w:r w:rsidR="006529EE" w:rsidRPr="00C0591E">
        <w:t>31</w:t>
      </w:r>
      <w:r w:rsidR="00B74664" w:rsidRPr="00C0591E">
        <w:t>.</w:t>
      </w:r>
    </w:p>
    <w:p w14:paraId="0B79839A" w14:textId="530AB6DE" w:rsidR="00F81BEB" w:rsidRPr="00C0591E" w:rsidRDefault="006529EE" w:rsidP="00505C1F">
      <w:pPr>
        <w:pStyle w:val="Heading4"/>
      </w:pPr>
      <w:bookmarkStart w:id="308" w:name="_Toc39670039"/>
      <w:bookmarkStart w:id="309" w:name="_Toc113125166"/>
      <w:r w:rsidRPr="00C0591E">
        <w:t>Table 31</w:t>
      </w:r>
      <w:r w:rsidR="00B74664" w:rsidRPr="00C0591E">
        <w:t xml:space="preserve">: </w:t>
      </w:r>
      <w:bookmarkEnd w:id="308"/>
      <w:r w:rsidR="005F53A9" w:rsidRPr="00C0591E">
        <w:t>Model Summary for Moderation – Mediator Effect</w:t>
      </w:r>
      <w:bookmarkEnd w:id="309"/>
    </w:p>
    <w:tbl>
      <w:tblPr>
        <w:tblW w:w="5000" w:type="pct"/>
        <w:tblLook w:val="04A0" w:firstRow="1" w:lastRow="0" w:firstColumn="1" w:lastColumn="0" w:noHBand="0" w:noVBand="1"/>
      </w:tblPr>
      <w:tblGrid>
        <w:gridCol w:w="1320"/>
        <w:gridCol w:w="1320"/>
        <w:gridCol w:w="1320"/>
        <w:gridCol w:w="2177"/>
        <w:gridCol w:w="2889"/>
      </w:tblGrid>
      <w:tr w:rsidR="008C119C" w:rsidRPr="00C0591E" w14:paraId="4221186B" w14:textId="77777777" w:rsidTr="00F67594">
        <w:trPr>
          <w:trHeight w:val="288"/>
        </w:trPr>
        <w:tc>
          <w:tcPr>
            <w:tcW w:w="731" w:type="pct"/>
            <w:tcBorders>
              <w:top w:val="single" w:sz="4" w:space="0" w:color="auto"/>
              <w:left w:val="nil"/>
              <w:bottom w:val="single" w:sz="4" w:space="0" w:color="auto"/>
              <w:right w:val="nil"/>
            </w:tcBorders>
            <w:shd w:val="clear" w:color="auto" w:fill="auto"/>
            <w:noWrap/>
            <w:vAlign w:val="bottom"/>
            <w:hideMark/>
          </w:tcPr>
          <w:p w14:paraId="0E679333" w14:textId="77777777" w:rsidR="008C119C" w:rsidRPr="00C0591E" w:rsidRDefault="008C119C" w:rsidP="008C119C">
            <w:pPr>
              <w:spacing w:before="0" w:after="0"/>
              <w:rPr>
                <w:rFonts w:eastAsia="Times New Roman"/>
                <w:b/>
              </w:rPr>
            </w:pPr>
            <w:r w:rsidRPr="00C0591E">
              <w:rPr>
                <w:rFonts w:eastAsia="Times New Roman"/>
                <w:b/>
              </w:rPr>
              <w:t>Model</w:t>
            </w:r>
          </w:p>
        </w:tc>
        <w:tc>
          <w:tcPr>
            <w:tcW w:w="731" w:type="pct"/>
            <w:tcBorders>
              <w:top w:val="single" w:sz="4" w:space="0" w:color="auto"/>
              <w:left w:val="nil"/>
              <w:bottom w:val="single" w:sz="4" w:space="0" w:color="auto"/>
              <w:right w:val="nil"/>
            </w:tcBorders>
            <w:shd w:val="clear" w:color="auto" w:fill="auto"/>
            <w:noWrap/>
            <w:vAlign w:val="bottom"/>
            <w:hideMark/>
          </w:tcPr>
          <w:p w14:paraId="3686D482" w14:textId="77777777" w:rsidR="008C119C" w:rsidRPr="00C0591E" w:rsidRDefault="008C119C" w:rsidP="008C119C">
            <w:pPr>
              <w:spacing w:before="0" w:after="0"/>
              <w:jc w:val="center"/>
              <w:rPr>
                <w:rFonts w:eastAsia="Times New Roman"/>
                <w:b/>
              </w:rPr>
            </w:pPr>
            <w:r w:rsidRPr="00C0591E">
              <w:rPr>
                <w:rFonts w:eastAsia="Times New Roman"/>
                <w:b/>
              </w:rPr>
              <w:t>R</w:t>
            </w:r>
          </w:p>
        </w:tc>
        <w:tc>
          <w:tcPr>
            <w:tcW w:w="731" w:type="pct"/>
            <w:tcBorders>
              <w:top w:val="single" w:sz="4" w:space="0" w:color="auto"/>
              <w:left w:val="nil"/>
              <w:bottom w:val="single" w:sz="4" w:space="0" w:color="auto"/>
              <w:right w:val="nil"/>
            </w:tcBorders>
            <w:shd w:val="clear" w:color="auto" w:fill="auto"/>
            <w:noWrap/>
            <w:vAlign w:val="bottom"/>
            <w:hideMark/>
          </w:tcPr>
          <w:p w14:paraId="6D9355EB" w14:textId="77777777" w:rsidR="008C119C" w:rsidRPr="00C0591E" w:rsidRDefault="008C119C" w:rsidP="008C119C">
            <w:pPr>
              <w:spacing w:before="0" w:after="0"/>
              <w:jc w:val="center"/>
              <w:rPr>
                <w:rFonts w:eastAsia="Times New Roman"/>
                <w:b/>
              </w:rPr>
            </w:pPr>
            <w:r w:rsidRPr="00C0591E">
              <w:rPr>
                <w:rFonts w:eastAsia="Times New Roman"/>
                <w:b/>
              </w:rPr>
              <w:t>R Square</w:t>
            </w:r>
          </w:p>
        </w:tc>
        <w:tc>
          <w:tcPr>
            <w:tcW w:w="1206" w:type="pct"/>
            <w:tcBorders>
              <w:top w:val="single" w:sz="4" w:space="0" w:color="auto"/>
              <w:left w:val="nil"/>
              <w:bottom w:val="single" w:sz="4" w:space="0" w:color="auto"/>
              <w:right w:val="nil"/>
            </w:tcBorders>
            <w:shd w:val="clear" w:color="auto" w:fill="auto"/>
            <w:noWrap/>
            <w:vAlign w:val="bottom"/>
            <w:hideMark/>
          </w:tcPr>
          <w:p w14:paraId="4853F847" w14:textId="77777777" w:rsidR="008C119C" w:rsidRPr="00C0591E" w:rsidRDefault="008C119C" w:rsidP="008C119C">
            <w:pPr>
              <w:spacing w:before="0" w:after="0"/>
              <w:jc w:val="center"/>
              <w:rPr>
                <w:rFonts w:eastAsia="Times New Roman"/>
                <w:b/>
              </w:rPr>
            </w:pPr>
            <w:r w:rsidRPr="00C0591E">
              <w:rPr>
                <w:rFonts w:eastAsia="Times New Roman"/>
                <w:b/>
              </w:rPr>
              <w:t>Adjusted R Square</w:t>
            </w:r>
          </w:p>
        </w:tc>
        <w:tc>
          <w:tcPr>
            <w:tcW w:w="1600" w:type="pct"/>
            <w:tcBorders>
              <w:top w:val="single" w:sz="4" w:space="0" w:color="auto"/>
              <w:left w:val="nil"/>
              <w:bottom w:val="single" w:sz="4" w:space="0" w:color="auto"/>
              <w:right w:val="nil"/>
            </w:tcBorders>
            <w:shd w:val="clear" w:color="auto" w:fill="auto"/>
            <w:noWrap/>
            <w:vAlign w:val="bottom"/>
            <w:hideMark/>
          </w:tcPr>
          <w:p w14:paraId="5868A8D0" w14:textId="77777777" w:rsidR="008C119C" w:rsidRPr="00C0591E" w:rsidRDefault="008C119C" w:rsidP="008C119C">
            <w:pPr>
              <w:spacing w:before="0" w:after="0"/>
              <w:jc w:val="center"/>
              <w:rPr>
                <w:rFonts w:eastAsia="Times New Roman"/>
                <w:b/>
              </w:rPr>
            </w:pPr>
            <w:r w:rsidRPr="00C0591E">
              <w:rPr>
                <w:rFonts w:eastAsia="Times New Roman"/>
                <w:b/>
              </w:rPr>
              <w:t>Std. Error of the Estimate</w:t>
            </w:r>
          </w:p>
        </w:tc>
      </w:tr>
      <w:tr w:rsidR="008C119C" w:rsidRPr="00C0591E" w14:paraId="21A4C7E7" w14:textId="77777777" w:rsidTr="00F67594">
        <w:trPr>
          <w:trHeight w:val="288"/>
        </w:trPr>
        <w:tc>
          <w:tcPr>
            <w:tcW w:w="731" w:type="pct"/>
            <w:tcBorders>
              <w:top w:val="nil"/>
              <w:left w:val="nil"/>
              <w:bottom w:val="nil"/>
              <w:right w:val="nil"/>
            </w:tcBorders>
            <w:shd w:val="clear" w:color="auto" w:fill="auto"/>
            <w:noWrap/>
            <w:vAlign w:val="bottom"/>
            <w:hideMark/>
          </w:tcPr>
          <w:p w14:paraId="0AB28715" w14:textId="77777777" w:rsidR="008C119C" w:rsidRPr="00C0591E" w:rsidRDefault="008C119C" w:rsidP="008C119C">
            <w:pPr>
              <w:spacing w:before="0" w:after="0"/>
              <w:rPr>
                <w:rFonts w:eastAsia="Times New Roman"/>
              </w:rPr>
            </w:pPr>
            <w:r w:rsidRPr="00C0591E">
              <w:rPr>
                <w:rFonts w:eastAsia="Times New Roman"/>
              </w:rPr>
              <w:t>1</w:t>
            </w:r>
          </w:p>
        </w:tc>
        <w:tc>
          <w:tcPr>
            <w:tcW w:w="731" w:type="pct"/>
            <w:tcBorders>
              <w:top w:val="nil"/>
              <w:left w:val="nil"/>
              <w:bottom w:val="nil"/>
              <w:right w:val="nil"/>
            </w:tcBorders>
            <w:shd w:val="clear" w:color="auto" w:fill="auto"/>
            <w:noWrap/>
            <w:vAlign w:val="bottom"/>
            <w:hideMark/>
          </w:tcPr>
          <w:p w14:paraId="7DF4EBAB" w14:textId="77777777" w:rsidR="008C119C" w:rsidRPr="00C0591E" w:rsidRDefault="008C119C" w:rsidP="008C119C">
            <w:pPr>
              <w:spacing w:before="0" w:after="0"/>
              <w:jc w:val="center"/>
              <w:rPr>
                <w:rFonts w:eastAsia="Times New Roman"/>
              </w:rPr>
            </w:pPr>
            <w:r w:rsidRPr="00C0591E">
              <w:rPr>
                <w:rFonts w:eastAsia="Times New Roman"/>
              </w:rPr>
              <w:t>.743a</w:t>
            </w:r>
          </w:p>
        </w:tc>
        <w:tc>
          <w:tcPr>
            <w:tcW w:w="731" w:type="pct"/>
            <w:tcBorders>
              <w:top w:val="nil"/>
              <w:left w:val="nil"/>
              <w:bottom w:val="nil"/>
              <w:right w:val="nil"/>
            </w:tcBorders>
            <w:shd w:val="clear" w:color="auto" w:fill="auto"/>
            <w:noWrap/>
            <w:vAlign w:val="bottom"/>
            <w:hideMark/>
          </w:tcPr>
          <w:p w14:paraId="3802046B" w14:textId="77777777" w:rsidR="008C119C" w:rsidRPr="00C0591E" w:rsidRDefault="008C119C" w:rsidP="008C119C">
            <w:pPr>
              <w:spacing w:before="0" w:after="0"/>
              <w:jc w:val="center"/>
              <w:rPr>
                <w:rFonts w:eastAsia="Times New Roman"/>
              </w:rPr>
            </w:pPr>
            <w:r w:rsidRPr="00C0591E">
              <w:rPr>
                <w:rFonts w:eastAsia="Times New Roman"/>
              </w:rPr>
              <w:t>0.552</w:t>
            </w:r>
          </w:p>
        </w:tc>
        <w:tc>
          <w:tcPr>
            <w:tcW w:w="1206" w:type="pct"/>
            <w:tcBorders>
              <w:top w:val="nil"/>
              <w:left w:val="nil"/>
              <w:bottom w:val="nil"/>
              <w:right w:val="nil"/>
            </w:tcBorders>
            <w:shd w:val="clear" w:color="auto" w:fill="auto"/>
            <w:noWrap/>
            <w:vAlign w:val="bottom"/>
            <w:hideMark/>
          </w:tcPr>
          <w:p w14:paraId="40705C1B" w14:textId="77777777" w:rsidR="008C119C" w:rsidRPr="00C0591E" w:rsidRDefault="008C119C" w:rsidP="008C119C">
            <w:pPr>
              <w:spacing w:before="0" w:after="0"/>
              <w:jc w:val="center"/>
              <w:rPr>
                <w:rFonts w:eastAsia="Times New Roman"/>
              </w:rPr>
            </w:pPr>
            <w:r w:rsidRPr="00C0591E">
              <w:rPr>
                <w:rFonts w:eastAsia="Times New Roman"/>
              </w:rPr>
              <w:t>0.550</w:t>
            </w:r>
          </w:p>
        </w:tc>
        <w:tc>
          <w:tcPr>
            <w:tcW w:w="1600" w:type="pct"/>
            <w:tcBorders>
              <w:top w:val="nil"/>
              <w:left w:val="nil"/>
              <w:bottom w:val="nil"/>
              <w:right w:val="nil"/>
            </w:tcBorders>
            <w:shd w:val="clear" w:color="auto" w:fill="auto"/>
            <w:noWrap/>
            <w:vAlign w:val="bottom"/>
            <w:hideMark/>
          </w:tcPr>
          <w:p w14:paraId="318A4C7B" w14:textId="77777777" w:rsidR="008C119C" w:rsidRPr="00C0591E" w:rsidRDefault="008C119C" w:rsidP="008C119C">
            <w:pPr>
              <w:spacing w:before="0" w:after="0"/>
              <w:jc w:val="center"/>
              <w:rPr>
                <w:rFonts w:eastAsia="Times New Roman"/>
              </w:rPr>
            </w:pPr>
            <w:r w:rsidRPr="00C0591E">
              <w:rPr>
                <w:rFonts w:eastAsia="Times New Roman"/>
              </w:rPr>
              <w:t>0.267</w:t>
            </w:r>
          </w:p>
        </w:tc>
      </w:tr>
      <w:tr w:rsidR="008C119C" w:rsidRPr="00C0591E" w14:paraId="3E617FAA" w14:textId="77777777" w:rsidTr="00F67594">
        <w:trPr>
          <w:trHeight w:val="288"/>
        </w:trPr>
        <w:tc>
          <w:tcPr>
            <w:tcW w:w="731" w:type="pct"/>
            <w:tcBorders>
              <w:top w:val="nil"/>
              <w:left w:val="nil"/>
              <w:bottom w:val="single" w:sz="4" w:space="0" w:color="auto"/>
              <w:right w:val="nil"/>
            </w:tcBorders>
            <w:shd w:val="clear" w:color="auto" w:fill="auto"/>
            <w:noWrap/>
            <w:vAlign w:val="bottom"/>
            <w:hideMark/>
          </w:tcPr>
          <w:p w14:paraId="023C5695" w14:textId="194A455E" w:rsidR="008C119C" w:rsidRPr="00C0591E" w:rsidRDefault="005F53A9" w:rsidP="005F53A9">
            <w:pPr>
              <w:spacing w:before="0" w:after="0"/>
              <w:rPr>
                <w:rFonts w:eastAsia="Times New Roman"/>
                <w:color w:val="000000"/>
              </w:rPr>
            </w:pPr>
            <w:r w:rsidRPr="00C0591E">
              <w:rPr>
                <w:rFonts w:eastAsia="Times New Roman"/>
                <w:color w:val="000000"/>
              </w:rPr>
              <w:t>2</w:t>
            </w:r>
          </w:p>
        </w:tc>
        <w:tc>
          <w:tcPr>
            <w:tcW w:w="731" w:type="pct"/>
            <w:tcBorders>
              <w:top w:val="nil"/>
              <w:left w:val="nil"/>
              <w:bottom w:val="single" w:sz="4" w:space="0" w:color="auto"/>
              <w:right w:val="nil"/>
            </w:tcBorders>
            <w:shd w:val="clear" w:color="auto" w:fill="auto"/>
            <w:noWrap/>
            <w:vAlign w:val="bottom"/>
            <w:hideMark/>
          </w:tcPr>
          <w:p w14:paraId="5FD2442E" w14:textId="77777777" w:rsidR="008C119C" w:rsidRPr="00C0591E" w:rsidRDefault="008C119C" w:rsidP="008C119C">
            <w:pPr>
              <w:spacing w:before="0" w:after="0"/>
              <w:jc w:val="center"/>
              <w:rPr>
                <w:rFonts w:eastAsia="Times New Roman"/>
                <w:color w:val="000000"/>
              </w:rPr>
            </w:pPr>
            <w:r w:rsidRPr="00C0591E">
              <w:rPr>
                <w:rFonts w:eastAsia="Times New Roman"/>
                <w:color w:val="000000"/>
              </w:rPr>
              <w:t>.805a</w:t>
            </w:r>
          </w:p>
        </w:tc>
        <w:tc>
          <w:tcPr>
            <w:tcW w:w="731" w:type="pct"/>
            <w:tcBorders>
              <w:top w:val="nil"/>
              <w:left w:val="nil"/>
              <w:bottom w:val="single" w:sz="4" w:space="0" w:color="auto"/>
              <w:right w:val="nil"/>
            </w:tcBorders>
            <w:shd w:val="clear" w:color="auto" w:fill="auto"/>
            <w:noWrap/>
            <w:vAlign w:val="bottom"/>
            <w:hideMark/>
          </w:tcPr>
          <w:p w14:paraId="208E7F71" w14:textId="77777777" w:rsidR="008C119C" w:rsidRPr="00C0591E" w:rsidRDefault="008C119C" w:rsidP="008C119C">
            <w:pPr>
              <w:spacing w:before="0" w:after="0"/>
              <w:jc w:val="center"/>
              <w:rPr>
                <w:rFonts w:eastAsia="Times New Roman"/>
                <w:color w:val="000000"/>
              </w:rPr>
            </w:pPr>
            <w:r w:rsidRPr="00C0591E">
              <w:rPr>
                <w:rFonts w:eastAsia="Times New Roman"/>
                <w:color w:val="000000"/>
              </w:rPr>
              <w:t>0.647</w:t>
            </w:r>
          </w:p>
        </w:tc>
        <w:tc>
          <w:tcPr>
            <w:tcW w:w="1206" w:type="pct"/>
            <w:tcBorders>
              <w:top w:val="nil"/>
              <w:left w:val="nil"/>
              <w:bottom w:val="single" w:sz="4" w:space="0" w:color="auto"/>
              <w:right w:val="nil"/>
            </w:tcBorders>
            <w:shd w:val="clear" w:color="auto" w:fill="auto"/>
            <w:noWrap/>
            <w:vAlign w:val="bottom"/>
            <w:hideMark/>
          </w:tcPr>
          <w:p w14:paraId="15BBDDA8" w14:textId="77777777" w:rsidR="008C119C" w:rsidRPr="00C0591E" w:rsidRDefault="008C119C" w:rsidP="008C119C">
            <w:pPr>
              <w:spacing w:before="0" w:after="0"/>
              <w:jc w:val="center"/>
              <w:rPr>
                <w:rFonts w:eastAsia="Times New Roman"/>
                <w:color w:val="000000"/>
              </w:rPr>
            </w:pPr>
            <w:r w:rsidRPr="00C0591E">
              <w:rPr>
                <w:rFonts w:eastAsia="Times New Roman"/>
                <w:color w:val="000000"/>
              </w:rPr>
              <w:t>0.639</w:t>
            </w:r>
          </w:p>
        </w:tc>
        <w:tc>
          <w:tcPr>
            <w:tcW w:w="1600" w:type="pct"/>
            <w:tcBorders>
              <w:top w:val="nil"/>
              <w:left w:val="nil"/>
              <w:bottom w:val="single" w:sz="4" w:space="0" w:color="auto"/>
              <w:right w:val="nil"/>
            </w:tcBorders>
            <w:shd w:val="clear" w:color="auto" w:fill="auto"/>
            <w:noWrap/>
            <w:vAlign w:val="bottom"/>
            <w:hideMark/>
          </w:tcPr>
          <w:p w14:paraId="63333412" w14:textId="77777777" w:rsidR="008C119C" w:rsidRPr="00C0591E" w:rsidRDefault="008C119C" w:rsidP="008C119C">
            <w:pPr>
              <w:spacing w:before="0" w:after="0"/>
              <w:jc w:val="center"/>
              <w:rPr>
                <w:rFonts w:eastAsia="Times New Roman"/>
                <w:color w:val="000000"/>
              </w:rPr>
            </w:pPr>
            <w:r w:rsidRPr="00C0591E">
              <w:rPr>
                <w:rFonts w:eastAsia="Times New Roman"/>
                <w:color w:val="000000"/>
              </w:rPr>
              <w:t>0.239</w:t>
            </w:r>
          </w:p>
        </w:tc>
      </w:tr>
    </w:tbl>
    <w:p w14:paraId="66CE2DA0" w14:textId="7A98C206" w:rsidR="00F67594" w:rsidRPr="00C0591E" w:rsidRDefault="00326A07" w:rsidP="00F67594">
      <w:r w:rsidRPr="00C0591E">
        <w:t xml:space="preserve">The first model for regressing </w:t>
      </w:r>
      <w:r w:rsidR="00173C67">
        <w:t>pillars of corporate governance</w:t>
      </w:r>
      <w:r w:rsidRPr="00C0591E">
        <w:t xml:space="preserve"> against performance of pension fund managers in Kenya had 52.5% as</w:t>
      </w:r>
      <w:r w:rsidR="006529EE" w:rsidRPr="00C0591E">
        <w:t xml:space="preserve"> shown in T</w:t>
      </w:r>
      <w:r w:rsidRPr="00C0591E">
        <w:t xml:space="preserve">able 31, while the second step of regressing </w:t>
      </w:r>
      <w:r w:rsidR="00173C67">
        <w:t>pillars of corporate governance</w:t>
      </w:r>
      <w:r w:rsidRPr="00C0591E">
        <w:t xml:space="preserve">, investment policies, government regulations, and investment policies*government regulations against performance of pension fund managers in Kenya had 64.7%. The R squared for model increased from 55.2% to 64.7% after the </w:t>
      </w:r>
      <w:r w:rsidRPr="00C0591E">
        <w:rPr>
          <w:color w:val="000000"/>
        </w:rPr>
        <w:t xml:space="preserve">moderation – mediator </w:t>
      </w:r>
      <w:r w:rsidRPr="00C0591E">
        <w:t xml:space="preserve">effect. The ANOVA results are presented in Table </w:t>
      </w:r>
      <w:r w:rsidR="006529EE" w:rsidRPr="00C0591E">
        <w:t>32</w:t>
      </w:r>
      <w:r w:rsidRPr="00C0591E">
        <w:t>.</w:t>
      </w:r>
    </w:p>
    <w:p w14:paraId="75311ADA" w14:textId="574842DC" w:rsidR="0057668F" w:rsidRPr="00C0591E" w:rsidRDefault="00F67594" w:rsidP="0057668F">
      <w:pPr>
        <w:pStyle w:val="Heading4"/>
      </w:pPr>
      <w:bookmarkStart w:id="310" w:name="_Toc113125167"/>
      <w:r w:rsidRPr="00C0591E">
        <w:t xml:space="preserve">Table </w:t>
      </w:r>
      <w:r w:rsidR="006529EE" w:rsidRPr="00C0591E">
        <w:t>32</w:t>
      </w:r>
      <w:r w:rsidRPr="00C0591E">
        <w:t>: ANOVA</w:t>
      </w:r>
      <w:bookmarkEnd w:id="310"/>
      <w:r w:rsidRPr="00C0591E">
        <w:t xml:space="preserve"> </w:t>
      </w:r>
    </w:p>
    <w:tbl>
      <w:tblPr>
        <w:tblW w:w="5000" w:type="pct"/>
        <w:tblLook w:val="04A0" w:firstRow="1" w:lastRow="0" w:firstColumn="1" w:lastColumn="0" w:noHBand="0" w:noVBand="1"/>
      </w:tblPr>
      <w:tblGrid>
        <w:gridCol w:w="1116"/>
        <w:gridCol w:w="1536"/>
        <w:gridCol w:w="1886"/>
        <w:gridCol w:w="713"/>
        <w:gridCol w:w="1628"/>
        <w:gridCol w:w="1217"/>
        <w:gridCol w:w="930"/>
      </w:tblGrid>
      <w:tr w:rsidR="0057668F" w:rsidRPr="00C0591E" w14:paraId="63AAED27" w14:textId="77777777" w:rsidTr="00816BF6">
        <w:trPr>
          <w:trHeight w:val="288"/>
        </w:trPr>
        <w:tc>
          <w:tcPr>
            <w:tcW w:w="618" w:type="pct"/>
            <w:tcBorders>
              <w:top w:val="single" w:sz="4" w:space="0" w:color="auto"/>
              <w:left w:val="nil"/>
              <w:bottom w:val="single" w:sz="4" w:space="0" w:color="auto"/>
              <w:right w:val="nil"/>
            </w:tcBorders>
            <w:shd w:val="clear" w:color="auto" w:fill="auto"/>
            <w:noWrap/>
            <w:vAlign w:val="bottom"/>
            <w:hideMark/>
          </w:tcPr>
          <w:p w14:paraId="3095365D" w14:textId="77777777" w:rsidR="008C119C" w:rsidRPr="00C0591E" w:rsidRDefault="008C119C" w:rsidP="008C119C">
            <w:pPr>
              <w:spacing w:before="0" w:after="0"/>
              <w:rPr>
                <w:rFonts w:eastAsia="Times New Roman"/>
                <w:b/>
              </w:rPr>
            </w:pPr>
            <w:r w:rsidRPr="00C0591E">
              <w:rPr>
                <w:rFonts w:eastAsia="Times New Roman"/>
                <w:b/>
              </w:rPr>
              <w:t>Model</w:t>
            </w:r>
          </w:p>
        </w:tc>
        <w:tc>
          <w:tcPr>
            <w:tcW w:w="851" w:type="pct"/>
            <w:tcBorders>
              <w:top w:val="single" w:sz="4" w:space="0" w:color="auto"/>
              <w:left w:val="nil"/>
              <w:bottom w:val="single" w:sz="4" w:space="0" w:color="auto"/>
              <w:right w:val="nil"/>
            </w:tcBorders>
            <w:shd w:val="clear" w:color="auto" w:fill="auto"/>
            <w:noWrap/>
            <w:vAlign w:val="bottom"/>
            <w:hideMark/>
          </w:tcPr>
          <w:p w14:paraId="675348C0" w14:textId="77777777" w:rsidR="008C119C" w:rsidRPr="00C0591E" w:rsidRDefault="008C119C" w:rsidP="008C119C">
            <w:pPr>
              <w:spacing w:before="0" w:after="0"/>
              <w:rPr>
                <w:rFonts w:eastAsia="Times New Roman"/>
                <w:b/>
              </w:rPr>
            </w:pPr>
            <w:r w:rsidRPr="00C0591E">
              <w:rPr>
                <w:rFonts w:eastAsia="Times New Roman"/>
                <w:b/>
              </w:rPr>
              <w:t> </w:t>
            </w:r>
          </w:p>
        </w:tc>
        <w:tc>
          <w:tcPr>
            <w:tcW w:w="1045" w:type="pct"/>
            <w:tcBorders>
              <w:top w:val="single" w:sz="4" w:space="0" w:color="auto"/>
              <w:left w:val="nil"/>
              <w:bottom w:val="single" w:sz="4" w:space="0" w:color="auto"/>
              <w:right w:val="nil"/>
            </w:tcBorders>
            <w:shd w:val="clear" w:color="auto" w:fill="auto"/>
            <w:noWrap/>
            <w:vAlign w:val="bottom"/>
            <w:hideMark/>
          </w:tcPr>
          <w:p w14:paraId="011AEC15" w14:textId="77777777" w:rsidR="008C119C" w:rsidRPr="00C0591E" w:rsidRDefault="008C119C" w:rsidP="008C119C">
            <w:pPr>
              <w:spacing w:before="0" w:after="0"/>
              <w:jc w:val="center"/>
              <w:rPr>
                <w:rFonts w:eastAsia="Times New Roman"/>
                <w:b/>
              </w:rPr>
            </w:pPr>
            <w:r w:rsidRPr="00C0591E">
              <w:rPr>
                <w:rFonts w:eastAsia="Times New Roman"/>
                <w:b/>
              </w:rPr>
              <w:t>Sum of Squares</w:t>
            </w:r>
          </w:p>
        </w:tc>
        <w:tc>
          <w:tcPr>
            <w:tcW w:w="395" w:type="pct"/>
            <w:tcBorders>
              <w:top w:val="single" w:sz="4" w:space="0" w:color="auto"/>
              <w:left w:val="nil"/>
              <w:bottom w:val="single" w:sz="4" w:space="0" w:color="auto"/>
              <w:right w:val="nil"/>
            </w:tcBorders>
            <w:shd w:val="clear" w:color="auto" w:fill="auto"/>
            <w:noWrap/>
            <w:vAlign w:val="bottom"/>
            <w:hideMark/>
          </w:tcPr>
          <w:p w14:paraId="00DF9E8D" w14:textId="77777777" w:rsidR="008C119C" w:rsidRPr="00C0591E" w:rsidRDefault="008C119C" w:rsidP="008C119C">
            <w:pPr>
              <w:spacing w:before="0" w:after="0"/>
              <w:jc w:val="center"/>
              <w:rPr>
                <w:rFonts w:eastAsia="Times New Roman"/>
                <w:b/>
              </w:rPr>
            </w:pPr>
            <w:r w:rsidRPr="00C0591E">
              <w:rPr>
                <w:rFonts w:eastAsia="Times New Roman"/>
                <w:b/>
              </w:rPr>
              <w:t>df</w:t>
            </w:r>
          </w:p>
        </w:tc>
        <w:tc>
          <w:tcPr>
            <w:tcW w:w="902" w:type="pct"/>
            <w:tcBorders>
              <w:top w:val="single" w:sz="4" w:space="0" w:color="auto"/>
              <w:left w:val="nil"/>
              <w:bottom w:val="single" w:sz="4" w:space="0" w:color="auto"/>
              <w:right w:val="nil"/>
            </w:tcBorders>
            <w:shd w:val="clear" w:color="auto" w:fill="auto"/>
            <w:noWrap/>
            <w:vAlign w:val="bottom"/>
            <w:hideMark/>
          </w:tcPr>
          <w:p w14:paraId="1DD22E30" w14:textId="77777777" w:rsidR="008C119C" w:rsidRPr="00C0591E" w:rsidRDefault="008C119C" w:rsidP="008C119C">
            <w:pPr>
              <w:spacing w:before="0" w:after="0"/>
              <w:jc w:val="center"/>
              <w:rPr>
                <w:rFonts w:eastAsia="Times New Roman"/>
                <w:b/>
              </w:rPr>
            </w:pPr>
            <w:r w:rsidRPr="00C0591E">
              <w:rPr>
                <w:rFonts w:eastAsia="Times New Roman"/>
                <w:b/>
              </w:rPr>
              <w:t>Mean Square</w:t>
            </w:r>
          </w:p>
        </w:tc>
        <w:tc>
          <w:tcPr>
            <w:tcW w:w="674" w:type="pct"/>
            <w:tcBorders>
              <w:top w:val="single" w:sz="4" w:space="0" w:color="auto"/>
              <w:left w:val="nil"/>
              <w:bottom w:val="single" w:sz="4" w:space="0" w:color="auto"/>
              <w:right w:val="nil"/>
            </w:tcBorders>
            <w:shd w:val="clear" w:color="auto" w:fill="auto"/>
            <w:noWrap/>
            <w:vAlign w:val="bottom"/>
            <w:hideMark/>
          </w:tcPr>
          <w:p w14:paraId="2342B7CC" w14:textId="77777777" w:rsidR="008C119C" w:rsidRPr="00C0591E" w:rsidRDefault="008C119C" w:rsidP="008C119C">
            <w:pPr>
              <w:spacing w:before="0" w:after="0"/>
              <w:jc w:val="center"/>
              <w:rPr>
                <w:rFonts w:eastAsia="Times New Roman"/>
                <w:b/>
              </w:rPr>
            </w:pPr>
            <w:r w:rsidRPr="00C0591E">
              <w:rPr>
                <w:rFonts w:eastAsia="Times New Roman"/>
                <w:b/>
              </w:rPr>
              <w:t>F</w:t>
            </w:r>
          </w:p>
        </w:tc>
        <w:tc>
          <w:tcPr>
            <w:tcW w:w="516" w:type="pct"/>
            <w:tcBorders>
              <w:top w:val="single" w:sz="4" w:space="0" w:color="auto"/>
              <w:left w:val="nil"/>
              <w:bottom w:val="single" w:sz="4" w:space="0" w:color="auto"/>
              <w:right w:val="nil"/>
            </w:tcBorders>
            <w:shd w:val="clear" w:color="auto" w:fill="auto"/>
            <w:noWrap/>
            <w:vAlign w:val="bottom"/>
            <w:hideMark/>
          </w:tcPr>
          <w:p w14:paraId="5191DBD2" w14:textId="77777777" w:rsidR="008C119C" w:rsidRPr="00C0591E" w:rsidRDefault="008C119C" w:rsidP="008C119C">
            <w:pPr>
              <w:spacing w:before="0" w:after="0"/>
              <w:jc w:val="center"/>
              <w:rPr>
                <w:rFonts w:eastAsia="Times New Roman"/>
                <w:b/>
              </w:rPr>
            </w:pPr>
            <w:r w:rsidRPr="00C0591E">
              <w:rPr>
                <w:rFonts w:eastAsia="Times New Roman"/>
                <w:b/>
              </w:rPr>
              <w:t>Sig.</w:t>
            </w:r>
          </w:p>
        </w:tc>
      </w:tr>
      <w:tr w:rsidR="008C119C" w:rsidRPr="00C0591E" w14:paraId="6D79D719" w14:textId="77777777" w:rsidTr="00816BF6">
        <w:trPr>
          <w:trHeight w:val="288"/>
        </w:trPr>
        <w:tc>
          <w:tcPr>
            <w:tcW w:w="618" w:type="pct"/>
            <w:tcBorders>
              <w:top w:val="nil"/>
              <w:left w:val="nil"/>
              <w:bottom w:val="nil"/>
              <w:right w:val="nil"/>
            </w:tcBorders>
            <w:shd w:val="clear" w:color="auto" w:fill="auto"/>
            <w:noWrap/>
            <w:vAlign w:val="bottom"/>
            <w:hideMark/>
          </w:tcPr>
          <w:p w14:paraId="2F58DBDE" w14:textId="77777777" w:rsidR="008C119C" w:rsidRPr="00C0591E" w:rsidRDefault="008C119C" w:rsidP="008C119C">
            <w:pPr>
              <w:spacing w:before="0" w:after="0"/>
              <w:rPr>
                <w:rFonts w:eastAsia="Times New Roman"/>
              </w:rPr>
            </w:pPr>
            <w:r w:rsidRPr="00C0591E">
              <w:rPr>
                <w:rFonts w:eastAsia="Times New Roman"/>
              </w:rPr>
              <w:t>1</w:t>
            </w:r>
          </w:p>
        </w:tc>
        <w:tc>
          <w:tcPr>
            <w:tcW w:w="851" w:type="pct"/>
            <w:tcBorders>
              <w:top w:val="nil"/>
              <w:left w:val="nil"/>
              <w:bottom w:val="nil"/>
              <w:right w:val="nil"/>
            </w:tcBorders>
            <w:shd w:val="clear" w:color="auto" w:fill="auto"/>
            <w:noWrap/>
            <w:vAlign w:val="bottom"/>
            <w:hideMark/>
          </w:tcPr>
          <w:p w14:paraId="7EF7A04C" w14:textId="77777777" w:rsidR="008C119C" w:rsidRPr="00C0591E" w:rsidRDefault="008C119C" w:rsidP="008C119C">
            <w:pPr>
              <w:spacing w:before="0" w:after="0"/>
              <w:rPr>
                <w:rFonts w:eastAsia="Times New Roman"/>
              </w:rPr>
            </w:pPr>
            <w:r w:rsidRPr="00C0591E">
              <w:rPr>
                <w:rFonts w:eastAsia="Times New Roman"/>
              </w:rPr>
              <w:t>Regression</w:t>
            </w:r>
          </w:p>
        </w:tc>
        <w:tc>
          <w:tcPr>
            <w:tcW w:w="1045" w:type="pct"/>
            <w:tcBorders>
              <w:top w:val="nil"/>
              <w:left w:val="nil"/>
              <w:bottom w:val="nil"/>
              <w:right w:val="nil"/>
            </w:tcBorders>
            <w:shd w:val="clear" w:color="auto" w:fill="auto"/>
            <w:noWrap/>
            <w:vAlign w:val="bottom"/>
            <w:hideMark/>
          </w:tcPr>
          <w:p w14:paraId="7CCD7CD7" w14:textId="77777777" w:rsidR="008C119C" w:rsidRPr="00C0591E" w:rsidRDefault="008C119C" w:rsidP="008C119C">
            <w:pPr>
              <w:spacing w:before="0" w:after="0"/>
              <w:jc w:val="center"/>
              <w:rPr>
                <w:rFonts w:eastAsia="Times New Roman"/>
              </w:rPr>
            </w:pPr>
            <w:r w:rsidRPr="00C0591E">
              <w:rPr>
                <w:rFonts w:eastAsia="Times New Roman"/>
              </w:rPr>
              <w:t>25.756</w:t>
            </w:r>
          </w:p>
        </w:tc>
        <w:tc>
          <w:tcPr>
            <w:tcW w:w="395" w:type="pct"/>
            <w:tcBorders>
              <w:top w:val="nil"/>
              <w:left w:val="nil"/>
              <w:bottom w:val="nil"/>
              <w:right w:val="nil"/>
            </w:tcBorders>
            <w:shd w:val="clear" w:color="auto" w:fill="auto"/>
            <w:noWrap/>
            <w:vAlign w:val="bottom"/>
            <w:hideMark/>
          </w:tcPr>
          <w:p w14:paraId="723B4069" w14:textId="77777777" w:rsidR="008C119C" w:rsidRPr="00C0591E" w:rsidRDefault="008C119C" w:rsidP="008C119C">
            <w:pPr>
              <w:spacing w:before="0" w:after="0"/>
              <w:jc w:val="center"/>
              <w:rPr>
                <w:rFonts w:eastAsia="Times New Roman"/>
              </w:rPr>
            </w:pPr>
            <w:r w:rsidRPr="00C0591E">
              <w:rPr>
                <w:rFonts w:eastAsia="Times New Roman"/>
              </w:rPr>
              <w:t>1</w:t>
            </w:r>
          </w:p>
        </w:tc>
        <w:tc>
          <w:tcPr>
            <w:tcW w:w="902" w:type="pct"/>
            <w:tcBorders>
              <w:top w:val="nil"/>
              <w:left w:val="nil"/>
              <w:bottom w:val="nil"/>
              <w:right w:val="nil"/>
            </w:tcBorders>
            <w:shd w:val="clear" w:color="auto" w:fill="auto"/>
            <w:noWrap/>
            <w:vAlign w:val="bottom"/>
            <w:hideMark/>
          </w:tcPr>
          <w:p w14:paraId="6622E32B" w14:textId="77777777" w:rsidR="008C119C" w:rsidRPr="00C0591E" w:rsidRDefault="008C119C" w:rsidP="008C119C">
            <w:pPr>
              <w:spacing w:before="0" w:after="0"/>
              <w:jc w:val="center"/>
              <w:rPr>
                <w:rFonts w:eastAsia="Times New Roman"/>
              </w:rPr>
            </w:pPr>
            <w:r w:rsidRPr="00C0591E">
              <w:rPr>
                <w:rFonts w:eastAsia="Times New Roman"/>
              </w:rPr>
              <w:t>25.756</w:t>
            </w:r>
          </w:p>
        </w:tc>
        <w:tc>
          <w:tcPr>
            <w:tcW w:w="674" w:type="pct"/>
            <w:tcBorders>
              <w:top w:val="nil"/>
              <w:left w:val="nil"/>
              <w:bottom w:val="nil"/>
              <w:right w:val="nil"/>
            </w:tcBorders>
            <w:shd w:val="clear" w:color="auto" w:fill="auto"/>
            <w:noWrap/>
            <w:vAlign w:val="bottom"/>
            <w:hideMark/>
          </w:tcPr>
          <w:p w14:paraId="6371DF88" w14:textId="77777777" w:rsidR="008C119C" w:rsidRPr="00C0591E" w:rsidRDefault="008C119C" w:rsidP="008C119C">
            <w:pPr>
              <w:spacing w:before="0" w:after="0"/>
              <w:jc w:val="center"/>
              <w:rPr>
                <w:rFonts w:eastAsia="Times New Roman"/>
              </w:rPr>
            </w:pPr>
            <w:r w:rsidRPr="00C0591E">
              <w:rPr>
                <w:rFonts w:eastAsia="Times New Roman"/>
              </w:rPr>
              <w:t>362.084</w:t>
            </w:r>
          </w:p>
        </w:tc>
        <w:tc>
          <w:tcPr>
            <w:tcW w:w="516" w:type="pct"/>
            <w:tcBorders>
              <w:top w:val="nil"/>
              <w:left w:val="nil"/>
              <w:bottom w:val="nil"/>
              <w:right w:val="nil"/>
            </w:tcBorders>
            <w:shd w:val="clear" w:color="auto" w:fill="auto"/>
            <w:noWrap/>
            <w:vAlign w:val="bottom"/>
            <w:hideMark/>
          </w:tcPr>
          <w:p w14:paraId="2299485D" w14:textId="77777777" w:rsidR="008C119C" w:rsidRPr="00C0591E" w:rsidRDefault="008C119C" w:rsidP="008C119C">
            <w:pPr>
              <w:spacing w:before="0" w:after="0"/>
              <w:jc w:val="center"/>
              <w:rPr>
                <w:rFonts w:eastAsia="Times New Roman"/>
              </w:rPr>
            </w:pPr>
            <w:r w:rsidRPr="00C0591E">
              <w:rPr>
                <w:rFonts w:eastAsia="Times New Roman"/>
              </w:rPr>
              <w:t>.000b</w:t>
            </w:r>
          </w:p>
        </w:tc>
      </w:tr>
      <w:tr w:rsidR="008C119C" w:rsidRPr="00C0591E" w14:paraId="242B3887" w14:textId="77777777" w:rsidTr="00816BF6">
        <w:trPr>
          <w:trHeight w:val="288"/>
        </w:trPr>
        <w:tc>
          <w:tcPr>
            <w:tcW w:w="618" w:type="pct"/>
            <w:tcBorders>
              <w:top w:val="nil"/>
              <w:left w:val="nil"/>
              <w:bottom w:val="nil"/>
              <w:right w:val="nil"/>
            </w:tcBorders>
            <w:shd w:val="clear" w:color="auto" w:fill="auto"/>
            <w:noWrap/>
            <w:vAlign w:val="bottom"/>
            <w:hideMark/>
          </w:tcPr>
          <w:p w14:paraId="763DC693" w14:textId="77777777" w:rsidR="008C119C" w:rsidRPr="00C0591E" w:rsidRDefault="008C119C" w:rsidP="008C119C">
            <w:pPr>
              <w:spacing w:before="0" w:after="0"/>
              <w:rPr>
                <w:rFonts w:eastAsia="Times New Roman"/>
              </w:rPr>
            </w:pPr>
          </w:p>
        </w:tc>
        <w:tc>
          <w:tcPr>
            <w:tcW w:w="851" w:type="pct"/>
            <w:tcBorders>
              <w:top w:val="nil"/>
              <w:left w:val="nil"/>
              <w:bottom w:val="nil"/>
              <w:right w:val="nil"/>
            </w:tcBorders>
            <w:shd w:val="clear" w:color="auto" w:fill="auto"/>
            <w:noWrap/>
            <w:vAlign w:val="bottom"/>
            <w:hideMark/>
          </w:tcPr>
          <w:p w14:paraId="3AF7F634" w14:textId="77777777" w:rsidR="008C119C" w:rsidRPr="00C0591E" w:rsidRDefault="008C119C" w:rsidP="008C119C">
            <w:pPr>
              <w:spacing w:before="0" w:after="0"/>
              <w:rPr>
                <w:rFonts w:eastAsia="Times New Roman"/>
              </w:rPr>
            </w:pPr>
            <w:r w:rsidRPr="00C0591E">
              <w:rPr>
                <w:rFonts w:eastAsia="Times New Roman"/>
              </w:rPr>
              <w:t>Residual</w:t>
            </w:r>
          </w:p>
        </w:tc>
        <w:tc>
          <w:tcPr>
            <w:tcW w:w="1045" w:type="pct"/>
            <w:tcBorders>
              <w:top w:val="nil"/>
              <w:left w:val="nil"/>
              <w:bottom w:val="nil"/>
              <w:right w:val="nil"/>
            </w:tcBorders>
            <w:shd w:val="clear" w:color="auto" w:fill="auto"/>
            <w:noWrap/>
            <w:vAlign w:val="bottom"/>
            <w:hideMark/>
          </w:tcPr>
          <w:p w14:paraId="55AD0C05" w14:textId="77777777" w:rsidR="008C119C" w:rsidRPr="00C0591E" w:rsidRDefault="008C119C" w:rsidP="008C119C">
            <w:pPr>
              <w:spacing w:before="0" w:after="0"/>
              <w:jc w:val="center"/>
              <w:rPr>
                <w:rFonts w:eastAsia="Times New Roman"/>
              </w:rPr>
            </w:pPr>
            <w:r w:rsidRPr="00C0591E">
              <w:rPr>
                <w:rFonts w:eastAsia="Times New Roman"/>
              </w:rPr>
              <w:t>20.913</w:t>
            </w:r>
          </w:p>
        </w:tc>
        <w:tc>
          <w:tcPr>
            <w:tcW w:w="395" w:type="pct"/>
            <w:tcBorders>
              <w:top w:val="nil"/>
              <w:left w:val="nil"/>
              <w:bottom w:val="nil"/>
              <w:right w:val="nil"/>
            </w:tcBorders>
            <w:shd w:val="clear" w:color="auto" w:fill="auto"/>
            <w:noWrap/>
            <w:vAlign w:val="bottom"/>
            <w:hideMark/>
          </w:tcPr>
          <w:p w14:paraId="6AB30191" w14:textId="77777777" w:rsidR="008C119C" w:rsidRPr="00C0591E" w:rsidRDefault="008C119C" w:rsidP="008C119C">
            <w:pPr>
              <w:spacing w:before="0" w:after="0"/>
              <w:jc w:val="center"/>
              <w:rPr>
                <w:rFonts w:eastAsia="Times New Roman"/>
              </w:rPr>
            </w:pPr>
            <w:r w:rsidRPr="00C0591E">
              <w:rPr>
                <w:rFonts w:eastAsia="Times New Roman"/>
              </w:rPr>
              <w:t>294</w:t>
            </w:r>
          </w:p>
        </w:tc>
        <w:tc>
          <w:tcPr>
            <w:tcW w:w="902" w:type="pct"/>
            <w:tcBorders>
              <w:top w:val="nil"/>
              <w:left w:val="nil"/>
              <w:bottom w:val="nil"/>
              <w:right w:val="nil"/>
            </w:tcBorders>
            <w:shd w:val="clear" w:color="auto" w:fill="auto"/>
            <w:noWrap/>
            <w:vAlign w:val="bottom"/>
            <w:hideMark/>
          </w:tcPr>
          <w:p w14:paraId="70500B23" w14:textId="77777777" w:rsidR="008C119C" w:rsidRPr="00C0591E" w:rsidRDefault="008C119C" w:rsidP="008C119C">
            <w:pPr>
              <w:spacing w:before="0" w:after="0"/>
              <w:jc w:val="center"/>
              <w:rPr>
                <w:rFonts w:eastAsia="Times New Roman"/>
              </w:rPr>
            </w:pPr>
            <w:r w:rsidRPr="00C0591E">
              <w:rPr>
                <w:rFonts w:eastAsia="Times New Roman"/>
              </w:rPr>
              <w:t>0.071</w:t>
            </w:r>
          </w:p>
        </w:tc>
        <w:tc>
          <w:tcPr>
            <w:tcW w:w="674" w:type="pct"/>
            <w:tcBorders>
              <w:top w:val="nil"/>
              <w:left w:val="nil"/>
              <w:bottom w:val="nil"/>
              <w:right w:val="nil"/>
            </w:tcBorders>
            <w:shd w:val="clear" w:color="auto" w:fill="auto"/>
            <w:noWrap/>
            <w:vAlign w:val="bottom"/>
            <w:hideMark/>
          </w:tcPr>
          <w:p w14:paraId="49C83A65" w14:textId="77777777" w:rsidR="008C119C" w:rsidRPr="00C0591E" w:rsidRDefault="008C119C" w:rsidP="008C119C">
            <w:pPr>
              <w:spacing w:before="0" w:after="0"/>
              <w:jc w:val="center"/>
              <w:rPr>
                <w:rFonts w:eastAsia="Times New Roman"/>
              </w:rPr>
            </w:pPr>
          </w:p>
        </w:tc>
        <w:tc>
          <w:tcPr>
            <w:tcW w:w="516" w:type="pct"/>
            <w:tcBorders>
              <w:top w:val="nil"/>
              <w:left w:val="nil"/>
              <w:bottom w:val="nil"/>
              <w:right w:val="nil"/>
            </w:tcBorders>
            <w:shd w:val="clear" w:color="auto" w:fill="auto"/>
            <w:noWrap/>
            <w:vAlign w:val="bottom"/>
            <w:hideMark/>
          </w:tcPr>
          <w:p w14:paraId="21751820" w14:textId="77777777" w:rsidR="008C119C" w:rsidRPr="00C0591E" w:rsidRDefault="008C119C" w:rsidP="008C119C">
            <w:pPr>
              <w:spacing w:before="0" w:after="0"/>
              <w:jc w:val="center"/>
              <w:rPr>
                <w:rFonts w:eastAsia="Times New Roman" w:cs="Times New Roman"/>
                <w:sz w:val="20"/>
                <w:szCs w:val="20"/>
              </w:rPr>
            </w:pPr>
          </w:p>
        </w:tc>
      </w:tr>
      <w:tr w:rsidR="008C119C" w:rsidRPr="00C0591E" w14:paraId="4746584E" w14:textId="77777777" w:rsidTr="00816BF6">
        <w:trPr>
          <w:trHeight w:val="288"/>
        </w:trPr>
        <w:tc>
          <w:tcPr>
            <w:tcW w:w="618" w:type="pct"/>
            <w:tcBorders>
              <w:top w:val="nil"/>
              <w:left w:val="nil"/>
              <w:bottom w:val="nil"/>
              <w:right w:val="nil"/>
            </w:tcBorders>
            <w:shd w:val="clear" w:color="auto" w:fill="auto"/>
            <w:noWrap/>
            <w:vAlign w:val="bottom"/>
            <w:hideMark/>
          </w:tcPr>
          <w:p w14:paraId="29244FA9" w14:textId="77777777" w:rsidR="008C119C" w:rsidRPr="00C0591E" w:rsidRDefault="008C119C" w:rsidP="008C119C">
            <w:pPr>
              <w:spacing w:before="0" w:after="0"/>
              <w:rPr>
                <w:rFonts w:eastAsia="Times New Roman" w:cs="Times New Roman"/>
                <w:sz w:val="20"/>
                <w:szCs w:val="20"/>
              </w:rPr>
            </w:pPr>
          </w:p>
        </w:tc>
        <w:tc>
          <w:tcPr>
            <w:tcW w:w="851" w:type="pct"/>
            <w:tcBorders>
              <w:top w:val="nil"/>
              <w:left w:val="nil"/>
              <w:bottom w:val="nil"/>
              <w:right w:val="nil"/>
            </w:tcBorders>
            <w:shd w:val="clear" w:color="auto" w:fill="auto"/>
            <w:noWrap/>
            <w:vAlign w:val="bottom"/>
            <w:hideMark/>
          </w:tcPr>
          <w:p w14:paraId="7110DE35" w14:textId="77777777" w:rsidR="008C119C" w:rsidRPr="00C0591E" w:rsidRDefault="008C119C" w:rsidP="008C119C">
            <w:pPr>
              <w:spacing w:before="0" w:after="0"/>
              <w:rPr>
                <w:rFonts w:eastAsia="Times New Roman"/>
              </w:rPr>
            </w:pPr>
            <w:r w:rsidRPr="00C0591E">
              <w:rPr>
                <w:rFonts w:eastAsia="Times New Roman"/>
              </w:rPr>
              <w:t>Total</w:t>
            </w:r>
          </w:p>
        </w:tc>
        <w:tc>
          <w:tcPr>
            <w:tcW w:w="1045" w:type="pct"/>
            <w:tcBorders>
              <w:top w:val="nil"/>
              <w:left w:val="nil"/>
              <w:bottom w:val="nil"/>
              <w:right w:val="nil"/>
            </w:tcBorders>
            <w:shd w:val="clear" w:color="auto" w:fill="auto"/>
            <w:noWrap/>
            <w:vAlign w:val="bottom"/>
            <w:hideMark/>
          </w:tcPr>
          <w:p w14:paraId="2F2992F6" w14:textId="77777777" w:rsidR="008C119C" w:rsidRPr="00C0591E" w:rsidRDefault="008C119C" w:rsidP="008C119C">
            <w:pPr>
              <w:spacing w:before="0" w:after="0"/>
              <w:jc w:val="center"/>
              <w:rPr>
                <w:rFonts w:eastAsia="Times New Roman"/>
              </w:rPr>
            </w:pPr>
            <w:r w:rsidRPr="00C0591E">
              <w:rPr>
                <w:rFonts w:eastAsia="Times New Roman"/>
              </w:rPr>
              <w:t>46.67</w:t>
            </w:r>
          </w:p>
        </w:tc>
        <w:tc>
          <w:tcPr>
            <w:tcW w:w="395" w:type="pct"/>
            <w:tcBorders>
              <w:top w:val="nil"/>
              <w:left w:val="nil"/>
              <w:bottom w:val="nil"/>
              <w:right w:val="nil"/>
            </w:tcBorders>
            <w:shd w:val="clear" w:color="auto" w:fill="auto"/>
            <w:noWrap/>
            <w:vAlign w:val="bottom"/>
            <w:hideMark/>
          </w:tcPr>
          <w:p w14:paraId="68F7BD02" w14:textId="77777777" w:rsidR="008C119C" w:rsidRPr="00C0591E" w:rsidRDefault="008C119C" w:rsidP="008C119C">
            <w:pPr>
              <w:spacing w:before="0" w:after="0"/>
              <w:jc w:val="center"/>
              <w:rPr>
                <w:rFonts w:eastAsia="Times New Roman"/>
              </w:rPr>
            </w:pPr>
            <w:r w:rsidRPr="00C0591E">
              <w:rPr>
                <w:rFonts w:eastAsia="Times New Roman"/>
              </w:rPr>
              <w:t>295</w:t>
            </w:r>
          </w:p>
        </w:tc>
        <w:tc>
          <w:tcPr>
            <w:tcW w:w="902" w:type="pct"/>
            <w:tcBorders>
              <w:top w:val="nil"/>
              <w:left w:val="nil"/>
              <w:bottom w:val="nil"/>
              <w:right w:val="nil"/>
            </w:tcBorders>
            <w:shd w:val="clear" w:color="auto" w:fill="auto"/>
            <w:noWrap/>
            <w:vAlign w:val="bottom"/>
            <w:hideMark/>
          </w:tcPr>
          <w:p w14:paraId="031AE72C" w14:textId="77777777" w:rsidR="008C119C" w:rsidRPr="00C0591E" w:rsidRDefault="008C119C" w:rsidP="008C119C">
            <w:pPr>
              <w:spacing w:before="0" w:after="0"/>
              <w:jc w:val="center"/>
              <w:rPr>
                <w:rFonts w:eastAsia="Times New Roman"/>
              </w:rPr>
            </w:pPr>
          </w:p>
        </w:tc>
        <w:tc>
          <w:tcPr>
            <w:tcW w:w="674" w:type="pct"/>
            <w:tcBorders>
              <w:top w:val="nil"/>
              <w:left w:val="nil"/>
              <w:bottom w:val="nil"/>
              <w:right w:val="nil"/>
            </w:tcBorders>
            <w:shd w:val="clear" w:color="auto" w:fill="auto"/>
            <w:noWrap/>
            <w:vAlign w:val="bottom"/>
            <w:hideMark/>
          </w:tcPr>
          <w:p w14:paraId="3A23369C" w14:textId="77777777" w:rsidR="008C119C" w:rsidRPr="00C0591E" w:rsidRDefault="008C119C" w:rsidP="008C119C">
            <w:pPr>
              <w:spacing w:before="0" w:after="0"/>
              <w:jc w:val="center"/>
              <w:rPr>
                <w:rFonts w:eastAsia="Times New Roman" w:cs="Times New Roman"/>
                <w:sz w:val="20"/>
                <w:szCs w:val="20"/>
              </w:rPr>
            </w:pPr>
          </w:p>
        </w:tc>
        <w:tc>
          <w:tcPr>
            <w:tcW w:w="516" w:type="pct"/>
            <w:tcBorders>
              <w:top w:val="nil"/>
              <w:left w:val="nil"/>
              <w:bottom w:val="nil"/>
              <w:right w:val="nil"/>
            </w:tcBorders>
            <w:shd w:val="clear" w:color="auto" w:fill="auto"/>
            <w:noWrap/>
            <w:vAlign w:val="bottom"/>
            <w:hideMark/>
          </w:tcPr>
          <w:p w14:paraId="73F2DE48" w14:textId="77777777" w:rsidR="008C119C" w:rsidRPr="00C0591E" w:rsidRDefault="008C119C" w:rsidP="008C119C">
            <w:pPr>
              <w:spacing w:before="0" w:after="0"/>
              <w:jc w:val="center"/>
              <w:rPr>
                <w:rFonts w:eastAsia="Times New Roman" w:cs="Times New Roman"/>
                <w:sz w:val="20"/>
                <w:szCs w:val="20"/>
              </w:rPr>
            </w:pPr>
          </w:p>
        </w:tc>
      </w:tr>
      <w:tr w:rsidR="008C119C" w:rsidRPr="00C0591E" w14:paraId="78E2C70A" w14:textId="77777777" w:rsidTr="00816BF6">
        <w:trPr>
          <w:trHeight w:val="288"/>
        </w:trPr>
        <w:tc>
          <w:tcPr>
            <w:tcW w:w="618" w:type="pct"/>
            <w:tcBorders>
              <w:top w:val="nil"/>
              <w:left w:val="nil"/>
              <w:bottom w:val="nil"/>
              <w:right w:val="nil"/>
            </w:tcBorders>
            <w:shd w:val="clear" w:color="auto" w:fill="auto"/>
            <w:noWrap/>
            <w:vAlign w:val="bottom"/>
            <w:hideMark/>
          </w:tcPr>
          <w:p w14:paraId="1373300B" w14:textId="480F24F5" w:rsidR="008C119C" w:rsidRPr="00C0591E" w:rsidRDefault="00816BF6" w:rsidP="008C119C">
            <w:pPr>
              <w:spacing w:before="0" w:after="0"/>
              <w:rPr>
                <w:rFonts w:eastAsia="Times New Roman"/>
                <w:color w:val="000000"/>
              </w:rPr>
            </w:pPr>
            <w:r w:rsidRPr="00C0591E">
              <w:rPr>
                <w:rFonts w:eastAsia="Times New Roman"/>
                <w:color w:val="000000"/>
              </w:rPr>
              <w:t>2</w:t>
            </w:r>
          </w:p>
        </w:tc>
        <w:tc>
          <w:tcPr>
            <w:tcW w:w="851" w:type="pct"/>
            <w:tcBorders>
              <w:top w:val="nil"/>
              <w:left w:val="nil"/>
              <w:bottom w:val="nil"/>
              <w:right w:val="nil"/>
            </w:tcBorders>
            <w:shd w:val="clear" w:color="auto" w:fill="auto"/>
            <w:noWrap/>
            <w:vAlign w:val="bottom"/>
            <w:hideMark/>
          </w:tcPr>
          <w:p w14:paraId="4506D516" w14:textId="77777777" w:rsidR="008C119C" w:rsidRPr="00C0591E" w:rsidRDefault="008C119C" w:rsidP="008C119C">
            <w:pPr>
              <w:spacing w:before="0" w:after="0"/>
              <w:rPr>
                <w:rFonts w:eastAsia="Times New Roman"/>
                <w:color w:val="000000"/>
              </w:rPr>
            </w:pPr>
            <w:r w:rsidRPr="00C0591E">
              <w:rPr>
                <w:rFonts w:eastAsia="Times New Roman"/>
                <w:color w:val="000000"/>
              </w:rPr>
              <w:t>Regression</w:t>
            </w:r>
          </w:p>
        </w:tc>
        <w:tc>
          <w:tcPr>
            <w:tcW w:w="1045" w:type="pct"/>
            <w:tcBorders>
              <w:top w:val="nil"/>
              <w:left w:val="nil"/>
              <w:bottom w:val="nil"/>
              <w:right w:val="nil"/>
            </w:tcBorders>
            <w:shd w:val="clear" w:color="auto" w:fill="auto"/>
            <w:noWrap/>
            <w:vAlign w:val="bottom"/>
            <w:hideMark/>
          </w:tcPr>
          <w:p w14:paraId="32298496" w14:textId="77777777" w:rsidR="008C119C" w:rsidRPr="00C0591E" w:rsidRDefault="008C119C" w:rsidP="008C119C">
            <w:pPr>
              <w:spacing w:before="0" w:after="0"/>
              <w:jc w:val="center"/>
              <w:rPr>
                <w:rFonts w:eastAsia="Times New Roman"/>
                <w:color w:val="000000"/>
              </w:rPr>
            </w:pPr>
            <w:r w:rsidRPr="00C0591E">
              <w:rPr>
                <w:rFonts w:eastAsia="Times New Roman"/>
                <w:color w:val="000000"/>
              </w:rPr>
              <w:t>30.215</w:t>
            </w:r>
          </w:p>
        </w:tc>
        <w:tc>
          <w:tcPr>
            <w:tcW w:w="395" w:type="pct"/>
            <w:tcBorders>
              <w:top w:val="nil"/>
              <w:left w:val="nil"/>
              <w:bottom w:val="nil"/>
              <w:right w:val="nil"/>
            </w:tcBorders>
            <w:shd w:val="clear" w:color="auto" w:fill="auto"/>
            <w:noWrap/>
            <w:vAlign w:val="bottom"/>
            <w:hideMark/>
          </w:tcPr>
          <w:p w14:paraId="7DD02EED" w14:textId="08C4DFD2" w:rsidR="008C119C" w:rsidRPr="00C0591E" w:rsidRDefault="00326A07" w:rsidP="008C119C">
            <w:pPr>
              <w:spacing w:before="0" w:after="0"/>
              <w:jc w:val="center"/>
              <w:rPr>
                <w:rFonts w:eastAsia="Times New Roman"/>
                <w:color w:val="000000"/>
              </w:rPr>
            </w:pPr>
            <w:r w:rsidRPr="00C0591E">
              <w:rPr>
                <w:rFonts w:eastAsia="Times New Roman"/>
                <w:color w:val="000000"/>
              </w:rPr>
              <w:t>2</w:t>
            </w:r>
          </w:p>
        </w:tc>
        <w:tc>
          <w:tcPr>
            <w:tcW w:w="902" w:type="pct"/>
            <w:tcBorders>
              <w:top w:val="nil"/>
              <w:left w:val="nil"/>
              <w:bottom w:val="nil"/>
              <w:right w:val="nil"/>
            </w:tcBorders>
            <w:shd w:val="clear" w:color="auto" w:fill="auto"/>
            <w:noWrap/>
            <w:vAlign w:val="bottom"/>
            <w:hideMark/>
          </w:tcPr>
          <w:p w14:paraId="36A54265" w14:textId="77777777" w:rsidR="008C119C" w:rsidRPr="00C0591E" w:rsidRDefault="008C119C" w:rsidP="008C119C">
            <w:pPr>
              <w:spacing w:before="0" w:after="0"/>
              <w:jc w:val="center"/>
              <w:rPr>
                <w:rFonts w:eastAsia="Times New Roman"/>
                <w:color w:val="000000"/>
              </w:rPr>
            </w:pPr>
            <w:r w:rsidRPr="00C0591E">
              <w:rPr>
                <w:rFonts w:eastAsia="Times New Roman"/>
                <w:color w:val="000000"/>
              </w:rPr>
              <w:t>4.316</w:t>
            </w:r>
          </w:p>
        </w:tc>
        <w:tc>
          <w:tcPr>
            <w:tcW w:w="674" w:type="pct"/>
            <w:tcBorders>
              <w:top w:val="nil"/>
              <w:left w:val="nil"/>
              <w:bottom w:val="nil"/>
              <w:right w:val="nil"/>
            </w:tcBorders>
            <w:shd w:val="clear" w:color="auto" w:fill="auto"/>
            <w:noWrap/>
            <w:vAlign w:val="bottom"/>
            <w:hideMark/>
          </w:tcPr>
          <w:p w14:paraId="7CF0DFC0" w14:textId="77777777" w:rsidR="008C119C" w:rsidRPr="00C0591E" w:rsidRDefault="008C119C" w:rsidP="008C119C">
            <w:pPr>
              <w:spacing w:before="0" w:after="0"/>
              <w:jc w:val="center"/>
              <w:rPr>
                <w:rFonts w:eastAsia="Times New Roman"/>
                <w:color w:val="000000"/>
              </w:rPr>
            </w:pPr>
            <w:r w:rsidRPr="00C0591E">
              <w:rPr>
                <w:rFonts w:eastAsia="Times New Roman"/>
                <w:color w:val="000000"/>
              </w:rPr>
              <w:t>75.547</w:t>
            </w:r>
          </w:p>
        </w:tc>
        <w:tc>
          <w:tcPr>
            <w:tcW w:w="516" w:type="pct"/>
            <w:tcBorders>
              <w:top w:val="nil"/>
              <w:left w:val="nil"/>
              <w:bottom w:val="nil"/>
              <w:right w:val="nil"/>
            </w:tcBorders>
            <w:shd w:val="clear" w:color="auto" w:fill="auto"/>
            <w:noWrap/>
            <w:vAlign w:val="bottom"/>
            <w:hideMark/>
          </w:tcPr>
          <w:p w14:paraId="3FC4B865" w14:textId="77777777" w:rsidR="008C119C" w:rsidRPr="00C0591E" w:rsidRDefault="008C119C" w:rsidP="008C119C">
            <w:pPr>
              <w:spacing w:before="0" w:after="0"/>
              <w:jc w:val="center"/>
              <w:rPr>
                <w:rFonts w:eastAsia="Times New Roman"/>
                <w:color w:val="000000"/>
              </w:rPr>
            </w:pPr>
            <w:r w:rsidRPr="00C0591E">
              <w:rPr>
                <w:rFonts w:eastAsia="Times New Roman"/>
                <w:color w:val="000000"/>
              </w:rPr>
              <w:t>.000b</w:t>
            </w:r>
          </w:p>
        </w:tc>
      </w:tr>
      <w:tr w:rsidR="008C119C" w:rsidRPr="00C0591E" w14:paraId="0827FA88" w14:textId="77777777" w:rsidTr="00816BF6">
        <w:trPr>
          <w:trHeight w:val="288"/>
        </w:trPr>
        <w:tc>
          <w:tcPr>
            <w:tcW w:w="618" w:type="pct"/>
            <w:tcBorders>
              <w:top w:val="nil"/>
              <w:left w:val="nil"/>
              <w:bottom w:val="nil"/>
              <w:right w:val="nil"/>
            </w:tcBorders>
            <w:shd w:val="clear" w:color="auto" w:fill="auto"/>
            <w:noWrap/>
            <w:vAlign w:val="bottom"/>
            <w:hideMark/>
          </w:tcPr>
          <w:p w14:paraId="2EFACE5C" w14:textId="77777777" w:rsidR="008C119C" w:rsidRPr="00C0591E" w:rsidRDefault="008C119C" w:rsidP="008C119C">
            <w:pPr>
              <w:spacing w:before="0" w:after="0"/>
              <w:rPr>
                <w:rFonts w:eastAsia="Times New Roman"/>
                <w:color w:val="000000"/>
              </w:rPr>
            </w:pPr>
          </w:p>
        </w:tc>
        <w:tc>
          <w:tcPr>
            <w:tcW w:w="851" w:type="pct"/>
            <w:tcBorders>
              <w:top w:val="nil"/>
              <w:left w:val="nil"/>
              <w:bottom w:val="nil"/>
              <w:right w:val="nil"/>
            </w:tcBorders>
            <w:shd w:val="clear" w:color="auto" w:fill="auto"/>
            <w:noWrap/>
            <w:vAlign w:val="bottom"/>
            <w:hideMark/>
          </w:tcPr>
          <w:p w14:paraId="66CB5F7C" w14:textId="77777777" w:rsidR="008C119C" w:rsidRPr="00C0591E" w:rsidRDefault="008C119C" w:rsidP="008C119C">
            <w:pPr>
              <w:spacing w:before="0" w:after="0"/>
              <w:rPr>
                <w:rFonts w:eastAsia="Times New Roman"/>
                <w:color w:val="000000"/>
              </w:rPr>
            </w:pPr>
            <w:r w:rsidRPr="00C0591E">
              <w:rPr>
                <w:rFonts w:eastAsia="Times New Roman"/>
                <w:color w:val="000000"/>
              </w:rPr>
              <w:t>Residual</w:t>
            </w:r>
          </w:p>
        </w:tc>
        <w:tc>
          <w:tcPr>
            <w:tcW w:w="1045" w:type="pct"/>
            <w:tcBorders>
              <w:top w:val="nil"/>
              <w:left w:val="nil"/>
              <w:bottom w:val="nil"/>
              <w:right w:val="nil"/>
            </w:tcBorders>
            <w:shd w:val="clear" w:color="auto" w:fill="auto"/>
            <w:noWrap/>
            <w:vAlign w:val="bottom"/>
            <w:hideMark/>
          </w:tcPr>
          <w:p w14:paraId="231AFD80" w14:textId="77777777" w:rsidR="008C119C" w:rsidRPr="00C0591E" w:rsidRDefault="008C119C" w:rsidP="008C119C">
            <w:pPr>
              <w:spacing w:before="0" w:after="0"/>
              <w:jc w:val="center"/>
              <w:rPr>
                <w:rFonts w:eastAsia="Times New Roman"/>
                <w:color w:val="000000"/>
              </w:rPr>
            </w:pPr>
            <w:r w:rsidRPr="00C0591E">
              <w:rPr>
                <w:rFonts w:eastAsia="Times New Roman"/>
                <w:color w:val="000000"/>
              </w:rPr>
              <w:t>16.455</w:t>
            </w:r>
          </w:p>
        </w:tc>
        <w:tc>
          <w:tcPr>
            <w:tcW w:w="395" w:type="pct"/>
            <w:tcBorders>
              <w:top w:val="nil"/>
              <w:left w:val="nil"/>
              <w:bottom w:val="nil"/>
              <w:right w:val="nil"/>
            </w:tcBorders>
            <w:shd w:val="clear" w:color="auto" w:fill="auto"/>
            <w:noWrap/>
            <w:vAlign w:val="bottom"/>
            <w:hideMark/>
          </w:tcPr>
          <w:p w14:paraId="5D7BEF17" w14:textId="729246B5" w:rsidR="008C119C" w:rsidRPr="00C0591E" w:rsidRDefault="00326A07" w:rsidP="008C119C">
            <w:pPr>
              <w:spacing w:before="0" w:after="0"/>
              <w:jc w:val="center"/>
              <w:rPr>
                <w:rFonts w:eastAsia="Times New Roman"/>
                <w:color w:val="000000"/>
              </w:rPr>
            </w:pPr>
            <w:r w:rsidRPr="00C0591E">
              <w:rPr>
                <w:rFonts w:eastAsia="Times New Roman"/>
                <w:color w:val="000000"/>
              </w:rPr>
              <w:t>293</w:t>
            </w:r>
          </w:p>
        </w:tc>
        <w:tc>
          <w:tcPr>
            <w:tcW w:w="902" w:type="pct"/>
            <w:tcBorders>
              <w:top w:val="nil"/>
              <w:left w:val="nil"/>
              <w:bottom w:val="nil"/>
              <w:right w:val="nil"/>
            </w:tcBorders>
            <w:shd w:val="clear" w:color="auto" w:fill="auto"/>
            <w:noWrap/>
            <w:vAlign w:val="bottom"/>
            <w:hideMark/>
          </w:tcPr>
          <w:p w14:paraId="76902C27" w14:textId="77777777" w:rsidR="008C119C" w:rsidRPr="00C0591E" w:rsidRDefault="008C119C" w:rsidP="008C119C">
            <w:pPr>
              <w:spacing w:before="0" w:after="0"/>
              <w:jc w:val="center"/>
              <w:rPr>
                <w:rFonts w:eastAsia="Times New Roman"/>
                <w:color w:val="000000"/>
              </w:rPr>
            </w:pPr>
            <w:r w:rsidRPr="00C0591E">
              <w:rPr>
                <w:rFonts w:eastAsia="Times New Roman"/>
                <w:color w:val="000000"/>
              </w:rPr>
              <w:t>0.057</w:t>
            </w:r>
          </w:p>
        </w:tc>
        <w:tc>
          <w:tcPr>
            <w:tcW w:w="674" w:type="pct"/>
            <w:tcBorders>
              <w:top w:val="nil"/>
              <w:left w:val="nil"/>
              <w:bottom w:val="nil"/>
              <w:right w:val="nil"/>
            </w:tcBorders>
            <w:shd w:val="clear" w:color="auto" w:fill="auto"/>
            <w:noWrap/>
            <w:vAlign w:val="bottom"/>
            <w:hideMark/>
          </w:tcPr>
          <w:p w14:paraId="13FADC77" w14:textId="77777777" w:rsidR="008C119C" w:rsidRPr="00C0591E" w:rsidRDefault="008C119C" w:rsidP="008C119C">
            <w:pPr>
              <w:spacing w:before="0" w:after="0"/>
              <w:jc w:val="center"/>
              <w:rPr>
                <w:rFonts w:eastAsia="Times New Roman"/>
                <w:color w:val="000000"/>
              </w:rPr>
            </w:pPr>
          </w:p>
        </w:tc>
        <w:tc>
          <w:tcPr>
            <w:tcW w:w="516" w:type="pct"/>
            <w:tcBorders>
              <w:top w:val="nil"/>
              <w:left w:val="nil"/>
              <w:bottom w:val="nil"/>
              <w:right w:val="nil"/>
            </w:tcBorders>
            <w:shd w:val="clear" w:color="auto" w:fill="auto"/>
            <w:noWrap/>
            <w:vAlign w:val="bottom"/>
            <w:hideMark/>
          </w:tcPr>
          <w:p w14:paraId="19E8844B" w14:textId="77777777" w:rsidR="008C119C" w:rsidRPr="00C0591E" w:rsidRDefault="008C119C" w:rsidP="008C119C">
            <w:pPr>
              <w:spacing w:before="0" w:after="0"/>
              <w:jc w:val="center"/>
              <w:rPr>
                <w:rFonts w:eastAsia="Times New Roman" w:cs="Times New Roman"/>
                <w:sz w:val="20"/>
                <w:szCs w:val="20"/>
              </w:rPr>
            </w:pPr>
          </w:p>
        </w:tc>
      </w:tr>
      <w:tr w:rsidR="008C119C" w:rsidRPr="00C0591E" w14:paraId="4B2B8357" w14:textId="77777777" w:rsidTr="00816BF6">
        <w:trPr>
          <w:trHeight w:val="288"/>
        </w:trPr>
        <w:tc>
          <w:tcPr>
            <w:tcW w:w="618" w:type="pct"/>
            <w:tcBorders>
              <w:top w:val="nil"/>
              <w:left w:val="nil"/>
              <w:bottom w:val="single" w:sz="4" w:space="0" w:color="auto"/>
              <w:right w:val="nil"/>
            </w:tcBorders>
            <w:shd w:val="clear" w:color="auto" w:fill="auto"/>
            <w:noWrap/>
            <w:vAlign w:val="bottom"/>
            <w:hideMark/>
          </w:tcPr>
          <w:p w14:paraId="00C2D940" w14:textId="77777777" w:rsidR="008C119C" w:rsidRPr="00C0591E" w:rsidRDefault="008C119C" w:rsidP="008C119C">
            <w:pPr>
              <w:spacing w:before="0" w:after="0"/>
              <w:rPr>
                <w:rFonts w:eastAsia="Times New Roman"/>
                <w:color w:val="000000"/>
              </w:rPr>
            </w:pPr>
            <w:r w:rsidRPr="00C0591E">
              <w:rPr>
                <w:rFonts w:eastAsia="Times New Roman"/>
                <w:color w:val="000000"/>
              </w:rPr>
              <w:t> </w:t>
            </w:r>
          </w:p>
        </w:tc>
        <w:tc>
          <w:tcPr>
            <w:tcW w:w="851" w:type="pct"/>
            <w:tcBorders>
              <w:top w:val="nil"/>
              <w:left w:val="nil"/>
              <w:bottom w:val="single" w:sz="4" w:space="0" w:color="auto"/>
              <w:right w:val="nil"/>
            </w:tcBorders>
            <w:shd w:val="clear" w:color="auto" w:fill="auto"/>
            <w:noWrap/>
            <w:vAlign w:val="bottom"/>
            <w:hideMark/>
          </w:tcPr>
          <w:p w14:paraId="4E15154F" w14:textId="77777777" w:rsidR="008C119C" w:rsidRPr="00C0591E" w:rsidRDefault="008C119C" w:rsidP="008C119C">
            <w:pPr>
              <w:spacing w:before="0" w:after="0"/>
              <w:rPr>
                <w:rFonts w:eastAsia="Times New Roman"/>
                <w:color w:val="000000"/>
              </w:rPr>
            </w:pPr>
            <w:r w:rsidRPr="00C0591E">
              <w:rPr>
                <w:rFonts w:eastAsia="Times New Roman"/>
                <w:color w:val="000000"/>
              </w:rPr>
              <w:t>Total</w:t>
            </w:r>
          </w:p>
        </w:tc>
        <w:tc>
          <w:tcPr>
            <w:tcW w:w="1045" w:type="pct"/>
            <w:tcBorders>
              <w:top w:val="nil"/>
              <w:left w:val="nil"/>
              <w:bottom w:val="single" w:sz="4" w:space="0" w:color="auto"/>
              <w:right w:val="nil"/>
            </w:tcBorders>
            <w:shd w:val="clear" w:color="auto" w:fill="auto"/>
            <w:noWrap/>
            <w:vAlign w:val="bottom"/>
            <w:hideMark/>
          </w:tcPr>
          <w:p w14:paraId="19DF6639" w14:textId="77777777" w:rsidR="008C119C" w:rsidRPr="00C0591E" w:rsidRDefault="008C119C" w:rsidP="008C119C">
            <w:pPr>
              <w:spacing w:before="0" w:after="0"/>
              <w:jc w:val="center"/>
              <w:rPr>
                <w:rFonts w:eastAsia="Times New Roman"/>
                <w:color w:val="000000"/>
              </w:rPr>
            </w:pPr>
            <w:r w:rsidRPr="00C0591E">
              <w:rPr>
                <w:rFonts w:eastAsia="Times New Roman"/>
                <w:color w:val="000000"/>
              </w:rPr>
              <w:t>46.67</w:t>
            </w:r>
          </w:p>
        </w:tc>
        <w:tc>
          <w:tcPr>
            <w:tcW w:w="395" w:type="pct"/>
            <w:tcBorders>
              <w:top w:val="nil"/>
              <w:left w:val="nil"/>
              <w:bottom w:val="single" w:sz="4" w:space="0" w:color="auto"/>
              <w:right w:val="nil"/>
            </w:tcBorders>
            <w:shd w:val="clear" w:color="auto" w:fill="auto"/>
            <w:noWrap/>
            <w:vAlign w:val="bottom"/>
            <w:hideMark/>
          </w:tcPr>
          <w:p w14:paraId="2A615494" w14:textId="77777777" w:rsidR="008C119C" w:rsidRPr="00C0591E" w:rsidRDefault="008C119C" w:rsidP="008C119C">
            <w:pPr>
              <w:spacing w:before="0" w:after="0"/>
              <w:jc w:val="center"/>
              <w:rPr>
                <w:rFonts w:eastAsia="Times New Roman"/>
                <w:color w:val="000000"/>
              </w:rPr>
            </w:pPr>
            <w:r w:rsidRPr="00C0591E">
              <w:rPr>
                <w:rFonts w:eastAsia="Times New Roman"/>
                <w:color w:val="000000"/>
              </w:rPr>
              <w:t>295</w:t>
            </w:r>
          </w:p>
        </w:tc>
        <w:tc>
          <w:tcPr>
            <w:tcW w:w="902" w:type="pct"/>
            <w:tcBorders>
              <w:top w:val="nil"/>
              <w:left w:val="nil"/>
              <w:bottom w:val="single" w:sz="4" w:space="0" w:color="auto"/>
              <w:right w:val="nil"/>
            </w:tcBorders>
            <w:shd w:val="clear" w:color="auto" w:fill="auto"/>
            <w:noWrap/>
            <w:vAlign w:val="bottom"/>
            <w:hideMark/>
          </w:tcPr>
          <w:p w14:paraId="72F66A42" w14:textId="33A951B0" w:rsidR="008C119C" w:rsidRPr="00C0591E" w:rsidRDefault="008C119C" w:rsidP="008C119C">
            <w:pPr>
              <w:spacing w:before="0" w:after="0"/>
              <w:jc w:val="center"/>
              <w:rPr>
                <w:rFonts w:eastAsia="Times New Roman"/>
                <w:color w:val="000000"/>
              </w:rPr>
            </w:pPr>
          </w:p>
        </w:tc>
        <w:tc>
          <w:tcPr>
            <w:tcW w:w="674" w:type="pct"/>
            <w:tcBorders>
              <w:top w:val="nil"/>
              <w:left w:val="nil"/>
              <w:bottom w:val="single" w:sz="4" w:space="0" w:color="auto"/>
              <w:right w:val="nil"/>
            </w:tcBorders>
            <w:shd w:val="clear" w:color="auto" w:fill="auto"/>
            <w:noWrap/>
            <w:vAlign w:val="bottom"/>
            <w:hideMark/>
          </w:tcPr>
          <w:p w14:paraId="72576487" w14:textId="01AF9FF6" w:rsidR="008C119C" w:rsidRPr="00C0591E" w:rsidRDefault="008C119C" w:rsidP="008C119C">
            <w:pPr>
              <w:spacing w:before="0" w:after="0"/>
              <w:jc w:val="center"/>
              <w:rPr>
                <w:rFonts w:eastAsia="Times New Roman"/>
                <w:color w:val="000000"/>
              </w:rPr>
            </w:pPr>
          </w:p>
        </w:tc>
        <w:tc>
          <w:tcPr>
            <w:tcW w:w="516" w:type="pct"/>
            <w:tcBorders>
              <w:top w:val="nil"/>
              <w:left w:val="nil"/>
              <w:bottom w:val="single" w:sz="4" w:space="0" w:color="auto"/>
              <w:right w:val="nil"/>
            </w:tcBorders>
            <w:shd w:val="clear" w:color="auto" w:fill="auto"/>
            <w:noWrap/>
            <w:vAlign w:val="bottom"/>
            <w:hideMark/>
          </w:tcPr>
          <w:p w14:paraId="1DB8874E" w14:textId="49985DBC" w:rsidR="008C119C" w:rsidRPr="00C0591E" w:rsidRDefault="008C119C" w:rsidP="008C119C">
            <w:pPr>
              <w:spacing w:before="0" w:after="0"/>
              <w:jc w:val="center"/>
              <w:rPr>
                <w:rFonts w:eastAsia="Times New Roman"/>
                <w:color w:val="000000"/>
              </w:rPr>
            </w:pPr>
          </w:p>
        </w:tc>
      </w:tr>
    </w:tbl>
    <w:p w14:paraId="7C370AE7" w14:textId="77777777" w:rsidR="008C119C" w:rsidRPr="00C0591E" w:rsidRDefault="008C119C" w:rsidP="005E125E">
      <w:pPr>
        <w:rPr>
          <w:lang w:val="en-GB"/>
        </w:rPr>
      </w:pPr>
    </w:p>
    <w:p w14:paraId="5FCED3E9" w14:textId="371D0A06" w:rsidR="00816BF6" w:rsidRDefault="00816BF6" w:rsidP="00682D49">
      <w:pPr>
        <w:rPr>
          <w:lang w:val="en-GB" w:eastAsia="en-GB"/>
        </w:rPr>
      </w:pPr>
      <w:r w:rsidRPr="00C0591E">
        <w:rPr>
          <w:lang w:val="en-GB" w:eastAsia="en-GB"/>
        </w:rPr>
        <w:t xml:space="preserve">Analysis of Variance </w:t>
      </w:r>
      <w:r w:rsidR="00191F36" w:rsidRPr="00C0591E">
        <w:rPr>
          <w:lang w:val="en-GB" w:eastAsia="en-GB"/>
        </w:rPr>
        <w:t>in T</w:t>
      </w:r>
      <w:r w:rsidRPr="00C0591E">
        <w:rPr>
          <w:lang w:val="en-GB" w:eastAsia="en-GB"/>
        </w:rPr>
        <w:t xml:space="preserve">able </w:t>
      </w:r>
      <w:r w:rsidR="00191F36" w:rsidRPr="00C0591E">
        <w:rPr>
          <w:lang w:val="en-GB" w:eastAsia="en-GB"/>
        </w:rPr>
        <w:t>32</w:t>
      </w:r>
      <w:r w:rsidRPr="00C0591E">
        <w:rPr>
          <w:lang w:val="en-GB" w:eastAsia="en-GB"/>
        </w:rPr>
        <w:t xml:space="preserve"> consists of calculations that provide information about levels of variability within a regression model and form a basis for tests of significance. The F-Calculated for model one was (1, </w:t>
      </w:r>
      <w:r w:rsidRPr="00C0591E">
        <w:t>276</w:t>
      </w:r>
      <w:r w:rsidRPr="00C0591E">
        <w:rPr>
          <w:lang w:val="en-GB" w:eastAsia="en-GB"/>
        </w:rPr>
        <w:t xml:space="preserve">) = </w:t>
      </w:r>
      <w:r w:rsidRPr="00C0591E">
        <w:t xml:space="preserve">383.86, p=0.000&lt;0.05, </w:t>
      </w:r>
      <w:r w:rsidRPr="00C0591E">
        <w:rPr>
          <w:lang w:val="en-GB" w:eastAsia="en-GB"/>
        </w:rPr>
        <w:t xml:space="preserve">which is greater than F-Critical (1, 348) = 3.84 at 95% confidence level. The F-Calculated for model two was (4, </w:t>
      </w:r>
      <w:r w:rsidRPr="00C0591E">
        <w:t>276</w:t>
      </w:r>
      <w:r w:rsidRPr="00C0591E">
        <w:rPr>
          <w:lang w:val="en-GB" w:eastAsia="en-GB"/>
        </w:rPr>
        <w:t xml:space="preserve">) = </w:t>
      </w:r>
      <w:r w:rsidRPr="00C0591E">
        <w:t xml:space="preserve">230.24 </w:t>
      </w:r>
      <w:r w:rsidRPr="00C0591E">
        <w:rPr>
          <w:lang w:val="en-GB" w:eastAsia="en-GB"/>
        </w:rPr>
        <w:t xml:space="preserve">which is greater than F-Critical (4, </w:t>
      </w:r>
      <w:r w:rsidRPr="00C0591E">
        <w:t>276</w:t>
      </w:r>
      <w:r w:rsidRPr="00C0591E">
        <w:rPr>
          <w:lang w:val="en-GB" w:eastAsia="en-GB"/>
        </w:rPr>
        <w:t>) = 2.371 at 95% confidence level. Therefore, the results confirm that the regression models one and two are significant.</w:t>
      </w:r>
    </w:p>
    <w:p w14:paraId="70165936" w14:textId="652DFEFC" w:rsidR="00C813FD" w:rsidRDefault="00C813FD" w:rsidP="00682D49">
      <w:pPr>
        <w:rPr>
          <w:lang w:val="en-GB" w:eastAsia="en-GB"/>
        </w:rPr>
      </w:pPr>
    </w:p>
    <w:p w14:paraId="309BFD9D" w14:textId="77777777" w:rsidR="00C813FD" w:rsidRPr="00C0591E" w:rsidRDefault="00C813FD" w:rsidP="00682D49">
      <w:pPr>
        <w:rPr>
          <w:lang w:val="en-GB" w:eastAsia="en-GB"/>
        </w:rPr>
      </w:pPr>
    </w:p>
    <w:p w14:paraId="1CA47C92" w14:textId="77777777" w:rsidR="00816BF6" w:rsidRPr="00C0591E" w:rsidRDefault="00816BF6" w:rsidP="00816BF6">
      <w:pPr>
        <w:pStyle w:val="Heading4"/>
        <w:rPr>
          <w:lang w:val="en-GB" w:eastAsia="en-GB"/>
        </w:rPr>
      </w:pPr>
      <w:bookmarkStart w:id="311" w:name="_Toc84504829"/>
      <w:bookmarkStart w:id="312" w:name="_Toc106448869"/>
      <w:bookmarkStart w:id="313" w:name="_Toc113125168"/>
      <w:r w:rsidRPr="00C0591E">
        <w:rPr>
          <w:lang w:val="en-GB" w:eastAsia="en-GB"/>
        </w:rPr>
        <w:t xml:space="preserve">Table 33: </w:t>
      </w:r>
      <w:r w:rsidRPr="00C0591E">
        <w:t>Regression</w:t>
      </w:r>
      <w:r w:rsidRPr="00C0591E">
        <w:rPr>
          <w:lang w:val="en-GB" w:eastAsia="en-GB"/>
        </w:rPr>
        <w:t xml:space="preserve"> Coefficients for </w:t>
      </w:r>
      <w:r w:rsidRPr="00C0591E">
        <w:rPr>
          <w:color w:val="000000"/>
        </w:rPr>
        <w:t xml:space="preserve">Moderation – Mediator </w:t>
      </w:r>
      <w:r w:rsidRPr="00C0591E">
        <w:rPr>
          <w:lang w:val="en-GB" w:eastAsia="en-GB"/>
        </w:rPr>
        <w:t>Effect</w:t>
      </w:r>
      <w:bookmarkEnd w:id="311"/>
      <w:bookmarkEnd w:id="312"/>
      <w:bookmarkEnd w:id="313"/>
    </w:p>
    <w:tbl>
      <w:tblPr>
        <w:tblW w:w="5150" w:type="pct"/>
        <w:tblInd w:w="-270" w:type="dxa"/>
        <w:tblLayout w:type="fixed"/>
        <w:tblLook w:val="04A0" w:firstRow="1" w:lastRow="0" w:firstColumn="1" w:lastColumn="0" w:noHBand="0" w:noVBand="1"/>
      </w:tblPr>
      <w:tblGrid>
        <w:gridCol w:w="1081"/>
        <w:gridCol w:w="2159"/>
        <w:gridCol w:w="1621"/>
        <w:gridCol w:w="1528"/>
        <w:gridCol w:w="1025"/>
        <w:gridCol w:w="1108"/>
        <w:gridCol w:w="775"/>
      </w:tblGrid>
      <w:tr w:rsidR="00225649" w:rsidRPr="00C0591E" w14:paraId="05D0CFC9" w14:textId="77777777" w:rsidTr="00225649">
        <w:trPr>
          <w:trHeight w:val="288"/>
        </w:trPr>
        <w:tc>
          <w:tcPr>
            <w:tcW w:w="581" w:type="pct"/>
            <w:tcBorders>
              <w:top w:val="single" w:sz="4" w:space="0" w:color="auto"/>
              <w:left w:val="nil"/>
              <w:bottom w:val="nil"/>
              <w:right w:val="nil"/>
            </w:tcBorders>
            <w:shd w:val="clear" w:color="auto" w:fill="auto"/>
            <w:noWrap/>
            <w:vAlign w:val="bottom"/>
            <w:hideMark/>
          </w:tcPr>
          <w:p w14:paraId="1E73F638" w14:textId="77777777" w:rsidR="008C119C" w:rsidRPr="00C0591E" w:rsidRDefault="008C119C" w:rsidP="0057668F">
            <w:pPr>
              <w:spacing w:before="0" w:after="0" w:line="276" w:lineRule="auto"/>
              <w:rPr>
                <w:rFonts w:eastAsia="Times New Roman"/>
                <w:b/>
              </w:rPr>
            </w:pPr>
            <w:r w:rsidRPr="00C0591E">
              <w:rPr>
                <w:rFonts w:eastAsia="Times New Roman"/>
                <w:b/>
              </w:rPr>
              <w:t> </w:t>
            </w:r>
          </w:p>
        </w:tc>
        <w:tc>
          <w:tcPr>
            <w:tcW w:w="1161" w:type="pct"/>
            <w:tcBorders>
              <w:top w:val="single" w:sz="4" w:space="0" w:color="auto"/>
              <w:left w:val="nil"/>
              <w:bottom w:val="nil"/>
              <w:right w:val="nil"/>
            </w:tcBorders>
            <w:shd w:val="clear" w:color="auto" w:fill="auto"/>
            <w:noWrap/>
            <w:vAlign w:val="bottom"/>
            <w:hideMark/>
          </w:tcPr>
          <w:p w14:paraId="61B97285" w14:textId="77777777" w:rsidR="008C119C" w:rsidRPr="00C0591E" w:rsidRDefault="008C119C" w:rsidP="0057668F">
            <w:pPr>
              <w:spacing w:before="0" w:after="0" w:line="276" w:lineRule="auto"/>
              <w:rPr>
                <w:rFonts w:eastAsia="Times New Roman"/>
                <w:b/>
              </w:rPr>
            </w:pPr>
            <w:r w:rsidRPr="00C0591E">
              <w:rPr>
                <w:rFonts w:eastAsia="Times New Roman"/>
                <w:b/>
              </w:rPr>
              <w:t> </w:t>
            </w:r>
          </w:p>
        </w:tc>
        <w:tc>
          <w:tcPr>
            <w:tcW w:w="1694" w:type="pct"/>
            <w:gridSpan w:val="2"/>
            <w:tcBorders>
              <w:top w:val="single" w:sz="4" w:space="0" w:color="auto"/>
              <w:left w:val="nil"/>
              <w:bottom w:val="nil"/>
              <w:right w:val="nil"/>
            </w:tcBorders>
            <w:shd w:val="clear" w:color="auto" w:fill="auto"/>
            <w:noWrap/>
            <w:vAlign w:val="bottom"/>
            <w:hideMark/>
          </w:tcPr>
          <w:p w14:paraId="226B50A7" w14:textId="77777777" w:rsidR="008C119C" w:rsidRPr="00C0591E" w:rsidRDefault="008C119C" w:rsidP="0057668F">
            <w:pPr>
              <w:spacing w:before="0" w:after="0" w:line="276" w:lineRule="auto"/>
              <w:rPr>
                <w:rFonts w:eastAsia="Times New Roman"/>
                <w:b/>
              </w:rPr>
            </w:pPr>
            <w:r w:rsidRPr="00C0591E">
              <w:rPr>
                <w:rFonts w:eastAsia="Times New Roman"/>
                <w:b/>
              </w:rPr>
              <w:t>Unstandardized Coefficients</w:t>
            </w:r>
          </w:p>
        </w:tc>
        <w:tc>
          <w:tcPr>
            <w:tcW w:w="1564" w:type="pct"/>
            <w:gridSpan w:val="3"/>
            <w:tcBorders>
              <w:top w:val="single" w:sz="4" w:space="0" w:color="auto"/>
              <w:left w:val="nil"/>
              <w:bottom w:val="nil"/>
              <w:right w:val="nil"/>
            </w:tcBorders>
            <w:shd w:val="clear" w:color="auto" w:fill="auto"/>
            <w:noWrap/>
            <w:vAlign w:val="bottom"/>
            <w:hideMark/>
          </w:tcPr>
          <w:p w14:paraId="0A01E592" w14:textId="77777777" w:rsidR="008C119C" w:rsidRPr="00C0591E" w:rsidRDefault="008C119C" w:rsidP="0057668F">
            <w:pPr>
              <w:spacing w:before="0" w:after="0" w:line="276" w:lineRule="auto"/>
              <w:rPr>
                <w:rFonts w:eastAsia="Times New Roman"/>
                <w:b/>
              </w:rPr>
            </w:pPr>
            <w:r w:rsidRPr="00C0591E">
              <w:rPr>
                <w:rFonts w:eastAsia="Times New Roman"/>
                <w:b/>
              </w:rPr>
              <w:t>Standardized Coefficients</w:t>
            </w:r>
          </w:p>
        </w:tc>
      </w:tr>
      <w:tr w:rsidR="00225649" w:rsidRPr="00C0591E" w14:paraId="743A2E42" w14:textId="77777777" w:rsidTr="00225649">
        <w:trPr>
          <w:trHeight w:val="288"/>
        </w:trPr>
        <w:tc>
          <w:tcPr>
            <w:tcW w:w="581" w:type="pct"/>
            <w:tcBorders>
              <w:top w:val="nil"/>
              <w:left w:val="nil"/>
              <w:bottom w:val="single" w:sz="4" w:space="0" w:color="auto"/>
              <w:right w:val="nil"/>
            </w:tcBorders>
            <w:shd w:val="clear" w:color="auto" w:fill="auto"/>
            <w:noWrap/>
            <w:vAlign w:val="bottom"/>
            <w:hideMark/>
          </w:tcPr>
          <w:p w14:paraId="36BFF8E9" w14:textId="77777777" w:rsidR="008C119C" w:rsidRPr="00C0591E" w:rsidRDefault="008C119C" w:rsidP="0057668F">
            <w:pPr>
              <w:spacing w:before="0" w:after="0" w:line="276" w:lineRule="auto"/>
              <w:rPr>
                <w:rFonts w:eastAsia="Times New Roman"/>
                <w:b/>
              </w:rPr>
            </w:pPr>
            <w:r w:rsidRPr="00C0591E">
              <w:rPr>
                <w:rFonts w:eastAsia="Times New Roman"/>
                <w:b/>
              </w:rPr>
              <w:t>Model</w:t>
            </w:r>
          </w:p>
        </w:tc>
        <w:tc>
          <w:tcPr>
            <w:tcW w:w="1161" w:type="pct"/>
            <w:tcBorders>
              <w:top w:val="nil"/>
              <w:left w:val="nil"/>
              <w:bottom w:val="single" w:sz="4" w:space="0" w:color="auto"/>
              <w:right w:val="nil"/>
            </w:tcBorders>
            <w:shd w:val="clear" w:color="auto" w:fill="auto"/>
            <w:noWrap/>
            <w:vAlign w:val="bottom"/>
            <w:hideMark/>
          </w:tcPr>
          <w:p w14:paraId="7DBCC088" w14:textId="77777777" w:rsidR="008C119C" w:rsidRPr="00C0591E" w:rsidRDefault="008C119C" w:rsidP="0057668F">
            <w:pPr>
              <w:spacing w:before="0" w:after="0" w:line="276" w:lineRule="auto"/>
              <w:rPr>
                <w:rFonts w:eastAsia="Times New Roman"/>
                <w:b/>
              </w:rPr>
            </w:pPr>
            <w:r w:rsidRPr="00C0591E">
              <w:rPr>
                <w:rFonts w:eastAsia="Times New Roman"/>
                <w:b/>
              </w:rPr>
              <w:t> </w:t>
            </w:r>
          </w:p>
        </w:tc>
        <w:tc>
          <w:tcPr>
            <w:tcW w:w="872" w:type="pct"/>
            <w:tcBorders>
              <w:top w:val="nil"/>
              <w:left w:val="nil"/>
              <w:bottom w:val="single" w:sz="4" w:space="0" w:color="auto"/>
              <w:right w:val="nil"/>
            </w:tcBorders>
            <w:shd w:val="clear" w:color="auto" w:fill="auto"/>
            <w:noWrap/>
            <w:vAlign w:val="bottom"/>
            <w:hideMark/>
          </w:tcPr>
          <w:p w14:paraId="4D3322F5" w14:textId="77777777" w:rsidR="008C119C" w:rsidRPr="00C0591E" w:rsidRDefault="008C119C" w:rsidP="003311EA">
            <w:pPr>
              <w:spacing w:before="0" w:after="0" w:line="276" w:lineRule="auto"/>
              <w:jc w:val="center"/>
              <w:rPr>
                <w:rFonts w:eastAsia="Times New Roman"/>
                <w:b/>
              </w:rPr>
            </w:pPr>
            <w:r w:rsidRPr="00C0591E">
              <w:rPr>
                <w:rFonts w:eastAsia="Times New Roman"/>
                <w:b/>
              </w:rPr>
              <w:t>B</w:t>
            </w:r>
          </w:p>
        </w:tc>
        <w:tc>
          <w:tcPr>
            <w:tcW w:w="822" w:type="pct"/>
            <w:tcBorders>
              <w:top w:val="nil"/>
              <w:left w:val="nil"/>
              <w:bottom w:val="single" w:sz="4" w:space="0" w:color="auto"/>
              <w:right w:val="nil"/>
            </w:tcBorders>
            <w:shd w:val="clear" w:color="auto" w:fill="auto"/>
            <w:noWrap/>
            <w:vAlign w:val="bottom"/>
            <w:hideMark/>
          </w:tcPr>
          <w:p w14:paraId="3DD0ED17" w14:textId="77777777" w:rsidR="008C119C" w:rsidRPr="00C0591E" w:rsidRDefault="008C119C" w:rsidP="003311EA">
            <w:pPr>
              <w:spacing w:before="0" w:after="0" w:line="276" w:lineRule="auto"/>
              <w:jc w:val="center"/>
              <w:rPr>
                <w:rFonts w:eastAsia="Times New Roman"/>
                <w:b/>
              </w:rPr>
            </w:pPr>
            <w:r w:rsidRPr="00C0591E">
              <w:rPr>
                <w:rFonts w:eastAsia="Times New Roman"/>
                <w:b/>
              </w:rPr>
              <w:t>Std. Error</w:t>
            </w:r>
          </w:p>
        </w:tc>
        <w:tc>
          <w:tcPr>
            <w:tcW w:w="551" w:type="pct"/>
            <w:tcBorders>
              <w:top w:val="nil"/>
              <w:left w:val="nil"/>
              <w:bottom w:val="single" w:sz="4" w:space="0" w:color="auto"/>
              <w:right w:val="nil"/>
            </w:tcBorders>
            <w:shd w:val="clear" w:color="auto" w:fill="auto"/>
            <w:noWrap/>
            <w:vAlign w:val="bottom"/>
            <w:hideMark/>
          </w:tcPr>
          <w:p w14:paraId="13246E44" w14:textId="77777777" w:rsidR="008C119C" w:rsidRPr="00C0591E" w:rsidRDefault="008C119C" w:rsidP="003311EA">
            <w:pPr>
              <w:spacing w:before="0" w:after="0" w:line="276" w:lineRule="auto"/>
              <w:jc w:val="center"/>
              <w:rPr>
                <w:rFonts w:eastAsia="Times New Roman"/>
                <w:b/>
              </w:rPr>
            </w:pPr>
            <w:r w:rsidRPr="00C0591E">
              <w:rPr>
                <w:rFonts w:eastAsia="Times New Roman"/>
                <w:b/>
              </w:rPr>
              <w:t>Beta</w:t>
            </w:r>
          </w:p>
        </w:tc>
        <w:tc>
          <w:tcPr>
            <w:tcW w:w="596" w:type="pct"/>
            <w:tcBorders>
              <w:top w:val="nil"/>
              <w:left w:val="nil"/>
              <w:bottom w:val="single" w:sz="4" w:space="0" w:color="auto"/>
              <w:right w:val="nil"/>
            </w:tcBorders>
            <w:shd w:val="clear" w:color="auto" w:fill="auto"/>
            <w:noWrap/>
            <w:vAlign w:val="bottom"/>
            <w:hideMark/>
          </w:tcPr>
          <w:p w14:paraId="77A6D12F" w14:textId="77777777" w:rsidR="008C119C" w:rsidRPr="00C0591E" w:rsidRDefault="008C119C" w:rsidP="003311EA">
            <w:pPr>
              <w:spacing w:before="0" w:after="0" w:line="276" w:lineRule="auto"/>
              <w:jc w:val="center"/>
              <w:rPr>
                <w:rFonts w:eastAsia="Times New Roman"/>
                <w:b/>
              </w:rPr>
            </w:pPr>
            <w:r w:rsidRPr="00C0591E">
              <w:rPr>
                <w:rFonts w:eastAsia="Times New Roman"/>
                <w:b/>
              </w:rPr>
              <w:t>t</w:t>
            </w:r>
          </w:p>
        </w:tc>
        <w:tc>
          <w:tcPr>
            <w:tcW w:w="417" w:type="pct"/>
            <w:tcBorders>
              <w:top w:val="nil"/>
              <w:left w:val="nil"/>
              <w:bottom w:val="single" w:sz="4" w:space="0" w:color="auto"/>
              <w:right w:val="nil"/>
            </w:tcBorders>
            <w:shd w:val="clear" w:color="auto" w:fill="auto"/>
            <w:noWrap/>
            <w:vAlign w:val="bottom"/>
            <w:hideMark/>
          </w:tcPr>
          <w:p w14:paraId="55B3F7E7" w14:textId="77777777" w:rsidR="008C119C" w:rsidRPr="00C0591E" w:rsidRDefault="008C119C" w:rsidP="003311EA">
            <w:pPr>
              <w:spacing w:before="0" w:after="0" w:line="276" w:lineRule="auto"/>
              <w:jc w:val="center"/>
              <w:rPr>
                <w:rFonts w:eastAsia="Times New Roman"/>
                <w:b/>
              </w:rPr>
            </w:pPr>
            <w:r w:rsidRPr="00C0591E">
              <w:rPr>
                <w:rFonts w:eastAsia="Times New Roman"/>
                <w:b/>
              </w:rPr>
              <w:t>Sig.</w:t>
            </w:r>
          </w:p>
        </w:tc>
      </w:tr>
      <w:tr w:rsidR="00225649" w:rsidRPr="00C0591E" w14:paraId="4DB447DA" w14:textId="77777777" w:rsidTr="00225649">
        <w:trPr>
          <w:trHeight w:val="288"/>
        </w:trPr>
        <w:tc>
          <w:tcPr>
            <w:tcW w:w="581" w:type="pct"/>
            <w:tcBorders>
              <w:top w:val="nil"/>
              <w:left w:val="nil"/>
              <w:bottom w:val="nil"/>
              <w:right w:val="nil"/>
            </w:tcBorders>
            <w:shd w:val="clear" w:color="auto" w:fill="auto"/>
            <w:noWrap/>
            <w:vAlign w:val="bottom"/>
            <w:hideMark/>
          </w:tcPr>
          <w:p w14:paraId="770D95E8" w14:textId="77777777" w:rsidR="008C119C" w:rsidRPr="00C0591E" w:rsidRDefault="008C119C" w:rsidP="0057668F">
            <w:pPr>
              <w:spacing w:before="0" w:after="0" w:line="276" w:lineRule="auto"/>
              <w:rPr>
                <w:rFonts w:eastAsia="Times New Roman"/>
              </w:rPr>
            </w:pPr>
            <w:r w:rsidRPr="00C0591E">
              <w:rPr>
                <w:rFonts w:eastAsia="Times New Roman"/>
              </w:rPr>
              <w:t>1</w:t>
            </w:r>
          </w:p>
        </w:tc>
        <w:tc>
          <w:tcPr>
            <w:tcW w:w="1161" w:type="pct"/>
            <w:tcBorders>
              <w:top w:val="nil"/>
              <w:left w:val="nil"/>
              <w:bottom w:val="nil"/>
              <w:right w:val="nil"/>
            </w:tcBorders>
            <w:shd w:val="clear" w:color="auto" w:fill="auto"/>
            <w:noWrap/>
            <w:vAlign w:val="bottom"/>
            <w:hideMark/>
          </w:tcPr>
          <w:p w14:paraId="5F3CCFE7" w14:textId="77777777" w:rsidR="008C119C" w:rsidRPr="00C0591E" w:rsidRDefault="008C119C" w:rsidP="0057668F">
            <w:pPr>
              <w:spacing w:before="0" w:after="0" w:line="276" w:lineRule="auto"/>
              <w:rPr>
                <w:rFonts w:eastAsia="Times New Roman"/>
              </w:rPr>
            </w:pPr>
            <w:r w:rsidRPr="00C0591E">
              <w:rPr>
                <w:rFonts w:eastAsia="Times New Roman"/>
              </w:rPr>
              <w:t>(Constant)</w:t>
            </w:r>
          </w:p>
        </w:tc>
        <w:tc>
          <w:tcPr>
            <w:tcW w:w="872" w:type="pct"/>
            <w:tcBorders>
              <w:top w:val="nil"/>
              <w:left w:val="nil"/>
              <w:bottom w:val="nil"/>
              <w:right w:val="nil"/>
            </w:tcBorders>
            <w:shd w:val="clear" w:color="auto" w:fill="auto"/>
            <w:noWrap/>
            <w:vAlign w:val="bottom"/>
            <w:hideMark/>
          </w:tcPr>
          <w:p w14:paraId="3B00BD0A" w14:textId="77777777" w:rsidR="008C119C" w:rsidRPr="00C0591E" w:rsidRDefault="008C119C" w:rsidP="003311EA">
            <w:pPr>
              <w:spacing w:before="0" w:after="0" w:line="276" w:lineRule="auto"/>
              <w:jc w:val="center"/>
              <w:rPr>
                <w:rFonts w:eastAsia="Times New Roman"/>
              </w:rPr>
            </w:pPr>
            <w:r w:rsidRPr="00C0591E">
              <w:rPr>
                <w:rFonts w:eastAsia="Times New Roman"/>
              </w:rPr>
              <w:t>2.827</w:t>
            </w:r>
          </w:p>
        </w:tc>
        <w:tc>
          <w:tcPr>
            <w:tcW w:w="822" w:type="pct"/>
            <w:tcBorders>
              <w:top w:val="nil"/>
              <w:left w:val="nil"/>
              <w:bottom w:val="nil"/>
              <w:right w:val="nil"/>
            </w:tcBorders>
            <w:shd w:val="clear" w:color="auto" w:fill="auto"/>
            <w:noWrap/>
            <w:vAlign w:val="bottom"/>
            <w:hideMark/>
          </w:tcPr>
          <w:p w14:paraId="26610698" w14:textId="77777777" w:rsidR="008C119C" w:rsidRPr="00C0591E" w:rsidRDefault="008C119C" w:rsidP="003311EA">
            <w:pPr>
              <w:spacing w:before="0" w:after="0" w:line="276" w:lineRule="auto"/>
              <w:jc w:val="center"/>
              <w:rPr>
                <w:rFonts w:eastAsia="Times New Roman"/>
              </w:rPr>
            </w:pPr>
            <w:r w:rsidRPr="00C0591E">
              <w:rPr>
                <w:rFonts w:eastAsia="Times New Roman"/>
              </w:rPr>
              <w:t>0.037</w:t>
            </w:r>
          </w:p>
        </w:tc>
        <w:tc>
          <w:tcPr>
            <w:tcW w:w="551" w:type="pct"/>
            <w:tcBorders>
              <w:top w:val="nil"/>
              <w:left w:val="nil"/>
              <w:bottom w:val="nil"/>
              <w:right w:val="nil"/>
            </w:tcBorders>
            <w:shd w:val="clear" w:color="auto" w:fill="auto"/>
            <w:noWrap/>
            <w:vAlign w:val="bottom"/>
            <w:hideMark/>
          </w:tcPr>
          <w:p w14:paraId="7346C683" w14:textId="77777777" w:rsidR="008C119C" w:rsidRPr="00C0591E" w:rsidRDefault="008C119C" w:rsidP="003311EA">
            <w:pPr>
              <w:spacing w:before="0" w:after="0" w:line="276" w:lineRule="auto"/>
              <w:jc w:val="center"/>
              <w:rPr>
                <w:rFonts w:eastAsia="Times New Roman"/>
              </w:rPr>
            </w:pPr>
          </w:p>
        </w:tc>
        <w:tc>
          <w:tcPr>
            <w:tcW w:w="596" w:type="pct"/>
            <w:tcBorders>
              <w:top w:val="nil"/>
              <w:left w:val="nil"/>
              <w:bottom w:val="nil"/>
              <w:right w:val="nil"/>
            </w:tcBorders>
            <w:shd w:val="clear" w:color="auto" w:fill="auto"/>
            <w:noWrap/>
            <w:vAlign w:val="bottom"/>
            <w:hideMark/>
          </w:tcPr>
          <w:p w14:paraId="7D3A92DC" w14:textId="77777777" w:rsidR="008C119C" w:rsidRPr="00C0591E" w:rsidRDefault="008C119C" w:rsidP="003311EA">
            <w:pPr>
              <w:spacing w:before="0" w:after="0" w:line="276" w:lineRule="auto"/>
              <w:jc w:val="center"/>
              <w:rPr>
                <w:rFonts w:eastAsia="Times New Roman"/>
              </w:rPr>
            </w:pPr>
            <w:r w:rsidRPr="00C0591E">
              <w:rPr>
                <w:rFonts w:eastAsia="Times New Roman"/>
              </w:rPr>
              <w:t>77.094</w:t>
            </w:r>
          </w:p>
        </w:tc>
        <w:tc>
          <w:tcPr>
            <w:tcW w:w="417" w:type="pct"/>
            <w:tcBorders>
              <w:top w:val="nil"/>
              <w:left w:val="nil"/>
              <w:bottom w:val="nil"/>
              <w:right w:val="nil"/>
            </w:tcBorders>
            <w:shd w:val="clear" w:color="auto" w:fill="auto"/>
            <w:noWrap/>
            <w:vAlign w:val="bottom"/>
            <w:hideMark/>
          </w:tcPr>
          <w:p w14:paraId="4B210B1D" w14:textId="77777777" w:rsidR="008C119C" w:rsidRPr="00C0591E" w:rsidRDefault="008C119C" w:rsidP="003311EA">
            <w:pPr>
              <w:spacing w:before="0" w:after="0" w:line="276" w:lineRule="auto"/>
              <w:jc w:val="center"/>
              <w:rPr>
                <w:rFonts w:eastAsia="Times New Roman"/>
              </w:rPr>
            </w:pPr>
            <w:r w:rsidRPr="00C0591E">
              <w:rPr>
                <w:rFonts w:eastAsia="Times New Roman"/>
              </w:rPr>
              <w:t>0.000</w:t>
            </w:r>
          </w:p>
        </w:tc>
      </w:tr>
      <w:tr w:rsidR="00225649" w:rsidRPr="00C0591E" w14:paraId="2D441D26" w14:textId="77777777" w:rsidTr="00225649">
        <w:trPr>
          <w:trHeight w:val="288"/>
        </w:trPr>
        <w:tc>
          <w:tcPr>
            <w:tcW w:w="581" w:type="pct"/>
            <w:tcBorders>
              <w:top w:val="nil"/>
              <w:left w:val="nil"/>
              <w:bottom w:val="nil"/>
              <w:right w:val="nil"/>
            </w:tcBorders>
            <w:shd w:val="clear" w:color="auto" w:fill="auto"/>
            <w:noWrap/>
            <w:vAlign w:val="bottom"/>
            <w:hideMark/>
          </w:tcPr>
          <w:p w14:paraId="18355AC0" w14:textId="77777777" w:rsidR="008C119C" w:rsidRPr="00C0591E" w:rsidRDefault="008C119C" w:rsidP="0057668F">
            <w:pPr>
              <w:spacing w:before="0" w:after="0" w:line="276" w:lineRule="auto"/>
              <w:rPr>
                <w:rFonts w:eastAsia="Times New Roman"/>
              </w:rPr>
            </w:pPr>
          </w:p>
        </w:tc>
        <w:tc>
          <w:tcPr>
            <w:tcW w:w="1161" w:type="pct"/>
            <w:tcBorders>
              <w:top w:val="nil"/>
              <w:left w:val="nil"/>
              <w:bottom w:val="nil"/>
              <w:right w:val="nil"/>
            </w:tcBorders>
            <w:shd w:val="clear" w:color="auto" w:fill="auto"/>
            <w:noWrap/>
            <w:vAlign w:val="bottom"/>
            <w:hideMark/>
          </w:tcPr>
          <w:p w14:paraId="51E74872" w14:textId="60CFA064" w:rsidR="008C119C" w:rsidRPr="00C0591E" w:rsidRDefault="00173C67" w:rsidP="0057668F">
            <w:pPr>
              <w:spacing w:before="0" w:after="0" w:line="276" w:lineRule="auto"/>
              <w:rPr>
                <w:rFonts w:eastAsia="Times New Roman"/>
              </w:rPr>
            </w:pPr>
            <w:r>
              <w:rPr>
                <w:rFonts w:eastAsia="Times New Roman"/>
              </w:rPr>
              <w:t>Pillars of corporate governance</w:t>
            </w:r>
          </w:p>
        </w:tc>
        <w:tc>
          <w:tcPr>
            <w:tcW w:w="872" w:type="pct"/>
            <w:tcBorders>
              <w:top w:val="nil"/>
              <w:left w:val="nil"/>
              <w:bottom w:val="nil"/>
              <w:right w:val="nil"/>
            </w:tcBorders>
            <w:shd w:val="clear" w:color="auto" w:fill="auto"/>
            <w:noWrap/>
            <w:vAlign w:val="bottom"/>
            <w:hideMark/>
          </w:tcPr>
          <w:p w14:paraId="30D32F4E" w14:textId="77777777" w:rsidR="008C119C" w:rsidRPr="00C0591E" w:rsidRDefault="008C119C" w:rsidP="003311EA">
            <w:pPr>
              <w:spacing w:before="0" w:after="0" w:line="276" w:lineRule="auto"/>
              <w:jc w:val="center"/>
              <w:rPr>
                <w:rFonts w:eastAsia="Times New Roman"/>
              </w:rPr>
            </w:pPr>
            <w:r w:rsidRPr="00C0591E">
              <w:rPr>
                <w:rFonts w:eastAsia="Times New Roman"/>
              </w:rPr>
              <w:t>0.222</w:t>
            </w:r>
          </w:p>
        </w:tc>
        <w:tc>
          <w:tcPr>
            <w:tcW w:w="822" w:type="pct"/>
            <w:tcBorders>
              <w:top w:val="nil"/>
              <w:left w:val="nil"/>
              <w:bottom w:val="nil"/>
              <w:right w:val="nil"/>
            </w:tcBorders>
            <w:shd w:val="clear" w:color="auto" w:fill="auto"/>
            <w:noWrap/>
            <w:vAlign w:val="bottom"/>
            <w:hideMark/>
          </w:tcPr>
          <w:p w14:paraId="30CAA0C6" w14:textId="77777777" w:rsidR="008C119C" w:rsidRPr="00C0591E" w:rsidRDefault="008C119C" w:rsidP="003311EA">
            <w:pPr>
              <w:spacing w:before="0" w:after="0" w:line="276" w:lineRule="auto"/>
              <w:jc w:val="center"/>
              <w:rPr>
                <w:rFonts w:eastAsia="Times New Roman"/>
              </w:rPr>
            </w:pPr>
            <w:r w:rsidRPr="00C0591E">
              <w:rPr>
                <w:rFonts w:eastAsia="Times New Roman"/>
              </w:rPr>
              <w:t>0.012</w:t>
            </w:r>
          </w:p>
        </w:tc>
        <w:tc>
          <w:tcPr>
            <w:tcW w:w="551" w:type="pct"/>
            <w:tcBorders>
              <w:top w:val="nil"/>
              <w:left w:val="nil"/>
              <w:bottom w:val="nil"/>
              <w:right w:val="nil"/>
            </w:tcBorders>
            <w:shd w:val="clear" w:color="auto" w:fill="auto"/>
            <w:noWrap/>
            <w:vAlign w:val="bottom"/>
            <w:hideMark/>
          </w:tcPr>
          <w:p w14:paraId="688692CF" w14:textId="77777777" w:rsidR="008C119C" w:rsidRPr="00C0591E" w:rsidRDefault="008C119C" w:rsidP="003311EA">
            <w:pPr>
              <w:spacing w:before="0" w:after="0" w:line="276" w:lineRule="auto"/>
              <w:jc w:val="center"/>
              <w:rPr>
                <w:rFonts w:eastAsia="Times New Roman"/>
              </w:rPr>
            </w:pPr>
            <w:r w:rsidRPr="00C0591E">
              <w:rPr>
                <w:rFonts w:eastAsia="Times New Roman"/>
              </w:rPr>
              <w:t>0.743</w:t>
            </w:r>
          </w:p>
        </w:tc>
        <w:tc>
          <w:tcPr>
            <w:tcW w:w="596" w:type="pct"/>
            <w:tcBorders>
              <w:top w:val="nil"/>
              <w:left w:val="nil"/>
              <w:bottom w:val="nil"/>
              <w:right w:val="nil"/>
            </w:tcBorders>
            <w:shd w:val="clear" w:color="auto" w:fill="auto"/>
            <w:noWrap/>
            <w:vAlign w:val="bottom"/>
            <w:hideMark/>
          </w:tcPr>
          <w:p w14:paraId="0DBB08F6" w14:textId="77777777" w:rsidR="008C119C" w:rsidRPr="00C0591E" w:rsidRDefault="008C119C" w:rsidP="003311EA">
            <w:pPr>
              <w:spacing w:before="0" w:after="0" w:line="276" w:lineRule="auto"/>
              <w:jc w:val="center"/>
              <w:rPr>
                <w:rFonts w:eastAsia="Times New Roman"/>
              </w:rPr>
            </w:pPr>
            <w:r w:rsidRPr="00C0591E">
              <w:rPr>
                <w:rFonts w:eastAsia="Times New Roman"/>
              </w:rPr>
              <w:t>19.029</w:t>
            </w:r>
          </w:p>
        </w:tc>
        <w:tc>
          <w:tcPr>
            <w:tcW w:w="417" w:type="pct"/>
            <w:tcBorders>
              <w:top w:val="nil"/>
              <w:left w:val="nil"/>
              <w:bottom w:val="nil"/>
              <w:right w:val="nil"/>
            </w:tcBorders>
            <w:shd w:val="clear" w:color="auto" w:fill="auto"/>
            <w:noWrap/>
            <w:vAlign w:val="bottom"/>
            <w:hideMark/>
          </w:tcPr>
          <w:p w14:paraId="5B537F36" w14:textId="77777777" w:rsidR="008C119C" w:rsidRPr="00C0591E" w:rsidRDefault="008C119C" w:rsidP="003311EA">
            <w:pPr>
              <w:spacing w:before="0" w:after="0" w:line="276" w:lineRule="auto"/>
              <w:jc w:val="center"/>
              <w:rPr>
                <w:rFonts w:eastAsia="Times New Roman"/>
              </w:rPr>
            </w:pPr>
            <w:r w:rsidRPr="00C0591E">
              <w:rPr>
                <w:rFonts w:eastAsia="Times New Roman"/>
              </w:rPr>
              <w:t>0.000</w:t>
            </w:r>
          </w:p>
        </w:tc>
      </w:tr>
      <w:tr w:rsidR="00225649" w:rsidRPr="00C0591E" w14:paraId="73F47436" w14:textId="77777777" w:rsidTr="00225649">
        <w:trPr>
          <w:trHeight w:val="288"/>
        </w:trPr>
        <w:tc>
          <w:tcPr>
            <w:tcW w:w="581" w:type="pct"/>
            <w:tcBorders>
              <w:top w:val="nil"/>
              <w:left w:val="nil"/>
              <w:bottom w:val="nil"/>
              <w:right w:val="nil"/>
            </w:tcBorders>
            <w:shd w:val="clear" w:color="auto" w:fill="auto"/>
            <w:noWrap/>
            <w:vAlign w:val="bottom"/>
            <w:hideMark/>
          </w:tcPr>
          <w:p w14:paraId="360F4F48" w14:textId="7257A5A2" w:rsidR="008C119C" w:rsidRPr="00C0591E" w:rsidRDefault="00816BF6" w:rsidP="0057668F">
            <w:pPr>
              <w:spacing w:before="0" w:after="0" w:line="276" w:lineRule="auto"/>
              <w:rPr>
                <w:rFonts w:eastAsia="Times New Roman"/>
                <w:color w:val="000000"/>
              </w:rPr>
            </w:pPr>
            <w:r w:rsidRPr="00C0591E">
              <w:rPr>
                <w:rFonts w:eastAsia="Times New Roman"/>
                <w:color w:val="000000"/>
              </w:rPr>
              <w:t>2</w:t>
            </w:r>
          </w:p>
        </w:tc>
        <w:tc>
          <w:tcPr>
            <w:tcW w:w="1161" w:type="pct"/>
            <w:tcBorders>
              <w:top w:val="nil"/>
              <w:left w:val="nil"/>
              <w:bottom w:val="nil"/>
              <w:right w:val="nil"/>
            </w:tcBorders>
            <w:shd w:val="clear" w:color="auto" w:fill="auto"/>
            <w:noWrap/>
            <w:vAlign w:val="bottom"/>
            <w:hideMark/>
          </w:tcPr>
          <w:p w14:paraId="04615593" w14:textId="77777777" w:rsidR="008C119C" w:rsidRPr="00C0591E" w:rsidRDefault="008C119C" w:rsidP="0057668F">
            <w:pPr>
              <w:spacing w:before="0" w:after="0" w:line="276" w:lineRule="auto"/>
              <w:rPr>
                <w:rFonts w:eastAsia="Times New Roman"/>
                <w:color w:val="000000"/>
              </w:rPr>
            </w:pPr>
            <w:r w:rsidRPr="00C0591E">
              <w:rPr>
                <w:rFonts w:eastAsia="Times New Roman"/>
                <w:color w:val="000000"/>
              </w:rPr>
              <w:t>(Constant)</w:t>
            </w:r>
          </w:p>
        </w:tc>
        <w:tc>
          <w:tcPr>
            <w:tcW w:w="872" w:type="pct"/>
            <w:tcBorders>
              <w:top w:val="nil"/>
              <w:left w:val="nil"/>
              <w:bottom w:val="nil"/>
              <w:right w:val="nil"/>
            </w:tcBorders>
            <w:shd w:val="clear" w:color="auto" w:fill="auto"/>
            <w:noWrap/>
            <w:vAlign w:val="bottom"/>
            <w:hideMark/>
          </w:tcPr>
          <w:p w14:paraId="251CA8C5"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2.627</w:t>
            </w:r>
          </w:p>
        </w:tc>
        <w:tc>
          <w:tcPr>
            <w:tcW w:w="822" w:type="pct"/>
            <w:tcBorders>
              <w:top w:val="nil"/>
              <w:left w:val="nil"/>
              <w:bottom w:val="nil"/>
              <w:right w:val="nil"/>
            </w:tcBorders>
            <w:shd w:val="clear" w:color="auto" w:fill="auto"/>
            <w:noWrap/>
            <w:vAlign w:val="bottom"/>
            <w:hideMark/>
          </w:tcPr>
          <w:p w14:paraId="5783422A"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0.047</w:t>
            </w:r>
          </w:p>
        </w:tc>
        <w:tc>
          <w:tcPr>
            <w:tcW w:w="551" w:type="pct"/>
            <w:tcBorders>
              <w:top w:val="nil"/>
              <w:left w:val="nil"/>
              <w:bottom w:val="nil"/>
              <w:right w:val="nil"/>
            </w:tcBorders>
            <w:shd w:val="clear" w:color="auto" w:fill="auto"/>
            <w:noWrap/>
            <w:vAlign w:val="bottom"/>
            <w:hideMark/>
          </w:tcPr>
          <w:p w14:paraId="618E32BA" w14:textId="77777777" w:rsidR="008C119C" w:rsidRPr="00C0591E" w:rsidRDefault="008C119C" w:rsidP="003311EA">
            <w:pPr>
              <w:spacing w:before="0" w:after="0" w:line="276" w:lineRule="auto"/>
              <w:jc w:val="center"/>
              <w:rPr>
                <w:rFonts w:eastAsia="Times New Roman"/>
                <w:color w:val="000000"/>
              </w:rPr>
            </w:pPr>
          </w:p>
        </w:tc>
        <w:tc>
          <w:tcPr>
            <w:tcW w:w="596" w:type="pct"/>
            <w:tcBorders>
              <w:top w:val="nil"/>
              <w:left w:val="nil"/>
              <w:bottom w:val="nil"/>
              <w:right w:val="nil"/>
            </w:tcBorders>
            <w:shd w:val="clear" w:color="auto" w:fill="auto"/>
            <w:noWrap/>
            <w:vAlign w:val="bottom"/>
            <w:hideMark/>
          </w:tcPr>
          <w:p w14:paraId="273CF1DF"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55.848</w:t>
            </w:r>
          </w:p>
        </w:tc>
        <w:tc>
          <w:tcPr>
            <w:tcW w:w="417" w:type="pct"/>
            <w:tcBorders>
              <w:top w:val="nil"/>
              <w:left w:val="nil"/>
              <w:bottom w:val="nil"/>
              <w:right w:val="nil"/>
            </w:tcBorders>
            <w:shd w:val="clear" w:color="auto" w:fill="auto"/>
            <w:noWrap/>
            <w:vAlign w:val="bottom"/>
            <w:hideMark/>
          </w:tcPr>
          <w:p w14:paraId="6817CBDB"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0.000</w:t>
            </w:r>
          </w:p>
        </w:tc>
      </w:tr>
      <w:tr w:rsidR="00225649" w:rsidRPr="00C0591E" w14:paraId="5E9EF61D" w14:textId="77777777" w:rsidTr="00225649">
        <w:trPr>
          <w:trHeight w:val="288"/>
        </w:trPr>
        <w:tc>
          <w:tcPr>
            <w:tcW w:w="581" w:type="pct"/>
            <w:tcBorders>
              <w:top w:val="nil"/>
              <w:left w:val="nil"/>
              <w:bottom w:val="nil"/>
              <w:right w:val="nil"/>
            </w:tcBorders>
            <w:shd w:val="clear" w:color="auto" w:fill="auto"/>
            <w:noWrap/>
            <w:vAlign w:val="bottom"/>
            <w:hideMark/>
          </w:tcPr>
          <w:p w14:paraId="041B2BCA" w14:textId="77777777" w:rsidR="008C119C" w:rsidRPr="00C0591E" w:rsidRDefault="008C119C" w:rsidP="0057668F">
            <w:pPr>
              <w:spacing w:before="0" w:after="0" w:line="276" w:lineRule="auto"/>
              <w:rPr>
                <w:rFonts w:eastAsia="Times New Roman"/>
                <w:color w:val="000000"/>
              </w:rPr>
            </w:pPr>
          </w:p>
        </w:tc>
        <w:tc>
          <w:tcPr>
            <w:tcW w:w="1161" w:type="pct"/>
            <w:tcBorders>
              <w:top w:val="nil"/>
              <w:left w:val="nil"/>
              <w:bottom w:val="nil"/>
              <w:right w:val="nil"/>
            </w:tcBorders>
            <w:shd w:val="clear" w:color="auto" w:fill="auto"/>
            <w:noWrap/>
            <w:vAlign w:val="bottom"/>
            <w:hideMark/>
          </w:tcPr>
          <w:p w14:paraId="216B94B7" w14:textId="6C3D5FFB" w:rsidR="008C119C" w:rsidRPr="00C0591E" w:rsidRDefault="00173C67" w:rsidP="0057668F">
            <w:pPr>
              <w:spacing w:before="0" w:after="0" w:line="276" w:lineRule="auto"/>
              <w:rPr>
                <w:rFonts w:eastAsia="Times New Roman"/>
                <w:color w:val="000000"/>
              </w:rPr>
            </w:pPr>
            <w:r>
              <w:rPr>
                <w:rFonts w:eastAsia="Times New Roman"/>
                <w:color w:val="000000"/>
              </w:rPr>
              <w:t>Pillars of corporate governance</w:t>
            </w:r>
          </w:p>
        </w:tc>
        <w:tc>
          <w:tcPr>
            <w:tcW w:w="872" w:type="pct"/>
            <w:tcBorders>
              <w:top w:val="nil"/>
              <w:left w:val="nil"/>
              <w:bottom w:val="nil"/>
              <w:right w:val="nil"/>
            </w:tcBorders>
            <w:shd w:val="clear" w:color="auto" w:fill="auto"/>
            <w:noWrap/>
            <w:vAlign w:val="bottom"/>
            <w:hideMark/>
          </w:tcPr>
          <w:p w14:paraId="3734EA07"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0.031</w:t>
            </w:r>
          </w:p>
        </w:tc>
        <w:tc>
          <w:tcPr>
            <w:tcW w:w="822" w:type="pct"/>
            <w:tcBorders>
              <w:top w:val="nil"/>
              <w:left w:val="nil"/>
              <w:bottom w:val="nil"/>
              <w:right w:val="nil"/>
            </w:tcBorders>
            <w:shd w:val="clear" w:color="auto" w:fill="auto"/>
            <w:noWrap/>
            <w:vAlign w:val="bottom"/>
            <w:hideMark/>
          </w:tcPr>
          <w:p w14:paraId="0402D534"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0.011</w:t>
            </w:r>
          </w:p>
        </w:tc>
        <w:tc>
          <w:tcPr>
            <w:tcW w:w="551" w:type="pct"/>
            <w:tcBorders>
              <w:top w:val="nil"/>
              <w:left w:val="nil"/>
              <w:bottom w:val="nil"/>
              <w:right w:val="nil"/>
            </w:tcBorders>
            <w:shd w:val="clear" w:color="auto" w:fill="auto"/>
            <w:noWrap/>
            <w:vAlign w:val="bottom"/>
            <w:hideMark/>
          </w:tcPr>
          <w:p w14:paraId="7BB9EA61"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0.103</w:t>
            </w:r>
          </w:p>
        </w:tc>
        <w:tc>
          <w:tcPr>
            <w:tcW w:w="596" w:type="pct"/>
            <w:tcBorders>
              <w:top w:val="nil"/>
              <w:left w:val="nil"/>
              <w:bottom w:val="nil"/>
              <w:right w:val="nil"/>
            </w:tcBorders>
            <w:shd w:val="clear" w:color="auto" w:fill="auto"/>
            <w:noWrap/>
            <w:vAlign w:val="bottom"/>
            <w:hideMark/>
          </w:tcPr>
          <w:p w14:paraId="266177D0"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2.770</w:t>
            </w:r>
          </w:p>
        </w:tc>
        <w:tc>
          <w:tcPr>
            <w:tcW w:w="417" w:type="pct"/>
            <w:tcBorders>
              <w:top w:val="nil"/>
              <w:left w:val="nil"/>
              <w:bottom w:val="nil"/>
              <w:right w:val="nil"/>
            </w:tcBorders>
            <w:shd w:val="clear" w:color="auto" w:fill="auto"/>
            <w:noWrap/>
            <w:vAlign w:val="bottom"/>
            <w:hideMark/>
          </w:tcPr>
          <w:p w14:paraId="043E21AF"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0.020</w:t>
            </w:r>
          </w:p>
        </w:tc>
      </w:tr>
      <w:tr w:rsidR="00225649" w:rsidRPr="00C0591E" w14:paraId="37AEDDF1" w14:textId="77777777" w:rsidTr="00225649">
        <w:trPr>
          <w:trHeight w:val="288"/>
        </w:trPr>
        <w:tc>
          <w:tcPr>
            <w:tcW w:w="581" w:type="pct"/>
            <w:tcBorders>
              <w:top w:val="nil"/>
              <w:left w:val="nil"/>
              <w:bottom w:val="nil"/>
              <w:right w:val="nil"/>
            </w:tcBorders>
            <w:shd w:val="clear" w:color="auto" w:fill="auto"/>
            <w:noWrap/>
            <w:vAlign w:val="bottom"/>
            <w:hideMark/>
          </w:tcPr>
          <w:p w14:paraId="13549193" w14:textId="77777777" w:rsidR="008C119C" w:rsidRPr="00C0591E" w:rsidRDefault="008C119C" w:rsidP="0057668F">
            <w:pPr>
              <w:spacing w:before="0" w:after="0" w:line="276" w:lineRule="auto"/>
              <w:rPr>
                <w:rFonts w:eastAsia="Times New Roman"/>
                <w:color w:val="000000"/>
              </w:rPr>
            </w:pPr>
          </w:p>
        </w:tc>
        <w:tc>
          <w:tcPr>
            <w:tcW w:w="1161" w:type="pct"/>
            <w:tcBorders>
              <w:top w:val="nil"/>
              <w:left w:val="nil"/>
              <w:bottom w:val="nil"/>
              <w:right w:val="nil"/>
            </w:tcBorders>
            <w:shd w:val="clear" w:color="auto" w:fill="auto"/>
            <w:noWrap/>
            <w:vAlign w:val="bottom"/>
            <w:hideMark/>
          </w:tcPr>
          <w:p w14:paraId="2E61827B" w14:textId="1FB40C4A" w:rsidR="008C119C" w:rsidRPr="00C0591E" w:rsidRDefault="008C119C" w:rsidP="0057668F">
            <w:pPr>
              <w:spacing w:before="0" w:after="0" w:line="276" w:lineRule="auto"/>
              <w:rPr>
                <w:rFonts w:eastAsia="Times New Roman"/>
                <w:color w:val="000000"/>
              </w:rPr>
            </w:pPr>
            <w:r w:rsidRPr="00C0591E">
              <w:rPr>
                <w:rFonts w:eastAsia="Times New Roman"/>
                <w:color w:val="000000"/>
              </w:rPr>
              <w:t>Investment Policies</w:t>
            </w:r>
          </w:p>
        </w:tc>
        <w:tc>
          <w:tcPr>
            <w:tcW w:w="872" w:type="pct"/>
            <w:tcBorders>
              <w:top w:val="nil"/>
              <w:left w:val="nil"/>
              <w:bottom w:val="nil"/>
              <w:right w:val="nil"/>
            </w:tcBorders>
            <w:shd w:val="clear" w:color="auto" w:fill="auto"/>
            <w:noWrap/>
            <w:vAlign w:val="bottom"/>
            <w:hideMark/>
          </w:tcPr>
          <w:p w14:paraId="6DD7667F"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0.019</w:t>
            </w:r>
          </w:p>
        </w:tc>
        <w:tc>
          <w:tcPr>
            <w:tcW w:w="822" w:type="pct"/>
            <w:tcBorders>
              <w:top w:val="nil"/>
              <w:left w:val="nil"/>
              <w:bottom w:val="nil"/>
              <w:right w:val="nil"/>
            </w:tcBorders>
            <w:shd w:val="clear" w:color="auto" w:fill="auto"/>
            <w:noWrap/>
            <w:vAlign w:val="bottom"/>
            <w:hideMark/>
          </w:tcPr>
          <w:p w14:paraId="7B8410B7"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0.023</w:t>
            </w:r>
          </w:p>
        </w:tc>
        <w:tc>
          <w:tcPr>
            <w:tcW w:w="551" w:type="pct"/>
            <w:tcBorders>
              <w:top w:val="nil"/>
              <w:left w:val="nil"/>
              <w:bottom w:val="nil"/>
              <w:right w:val="nil"/>
            </w:tcBorders>
            <w:shd w:val="clear" w:color="auto" w:fill="auto"/>
            <w:noWrap/>
            <w:vAlign w:val="bottom"/>
            <w:hideMark/>
          </w:tcPr>
          <w:p w14:paraId="148242FB"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0.063</w:t>
            </w:r>
          </w:p>
        </w:tc>
        <w:tc>
          <w:tcPr>
            <w:tcW w:w="596" w:type="pct"/>
            <w:tcBorders>
              <w:top w:val="nil"/>
              <w:left w:val="nil"/>
              <w:bottom w:val="nil"/>
              <w:right w:val="nil"/>
            </w:tcBorders>
            <w:shd w:val="clear" w:color="auto" w:fill="auto"/>
            <w:noWrap/>
            <w:vAlign w:val="bottom"/>
            <w:hideMark/>
          </w:tcPr>
          <w:p w14:paraId="64504C75" w14:textId="7B043D9A" w:rsidR="008C119C" w:rsidRPr="00C0591E" w:rsidRDefault="00682D49" w:rsidP="003311EA">
            <w:pPr>
              <w:spacing w:before="0" w:after="0" w:line="276" w:lineRule="auto"/>
              <w:jc w:val="center"/>
              <w:rPr>
                <w:rFonts w:eastAsia="Times New Roman"/>
                <w:color w:val="000000"/>
              </w:rPr>
            </w:pPr>
            <w:r w:rsidRPr="00C0591E">
              <w:rPr>
                <w:rFonts w:eastAsia="Times New Roman"/>
                <w:color w:val="000000"/>
              </w:rPr>
              <w:t>2</w:t>
            </w:r>
            <w:r w:rsidR="008C119C" w:rsidRPr="00C0591E">
              <w:rPr>
                <w:rFonts w:eastAsia="Times New Roman"/>
                <w:color w:val="000000"/>
              </w:rPr>
              <w:t>.809</w:t>
            </w:r>
          </w:p>
        </w:tc>
        <w:tc>
          <w:tcPr>
            <w:tcW w:w="417" w:type="pct"/>
            <w:tcBorders>
              <w:top w:val="nil"/>
              <w:left w:val="nil"/>
              <w:bottom w:val="nil"/>
              <w:right w:val="nil"/>
            </w:tcBorders>
            <w:shd w:val="clear" w:color="auto" w:fill="auto"/>
            <w:noWrap/>
            <w:vAlign w:val="bottom"/>
            <w:hideMark/>
          </w:tcPr>
          <w:p w14:paraId="779203F6" w14:textId="1A534B91"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w:t>
            </w:r>
            <w:r w:rsidR="00682D49" w:rsidRPr="00C0591E">
              <w:rPr>
                <w:rFonts w:eastAsia="Times New Roman"/>
                <w:color w:val="000000"/>
              </w:rPr>
              <w:t>041</w:t>
            </w:r>
          </w:p>
        </w:tc>
      </w:tr>
      <w:tr w:rsidR="00225649" w:rsidRPr="00C0591E" w14:paraId="5A493197" w14:textId="77777777" w:rsidTr="00225649">
        <w:trPr>
          <w:trHeight w:val="288"/>
        </w:trPr>
        <w:tc>
          <w:tcPr>
            <w:tcW w:w="581" w:type="pct"/>
            <w:tcBorders>
              <w:top w:val="nil"/>
              <w:left w:val="nil"/>
              <w:bottom w:val="nil"/>
              <w:right w:val="nil"/>
            </w:tcBorders>
            <w:shd w:val="clear" w:color="auto" w:fill="auto"/>
            <w:noWrap/>
            <w:vAlign w:val="bottom"/>
            <w:hideMark/>
          </w:tcPr>
          <w:p w14:paraId="4A853DD8" w14:textId="77777777" w:rsidR="008C119C" w:rsidRPr="00C0591E" w:rsidRDefault="008C119C" w:rsidP="0057668F">
            <w:pPr>
              <w:spacing w:before="0" w:after="0" w:line="276" w:lineRule="auto"/>
              <w:rPr>
                <w:rFonts w:eastAsia="Times New Roman"/>
                <w:color w:val="000000"/>
              </w:rPr>
            </w:pPr>
          </w:p>
        </w:tc>
        <w:tc>
          <w:tcPr>
            <w:tcW w:w="1161" w:type="pct"/>
            <w:tcBorders>
              <w:top w:val="nil"/>
              <w:left w:val="nil"/>
              <w:bottom w:val="nil"/>
              <w:right w:val="nil"/>
            </w:tcBorders>
            <w:shd w:val="clear" w:color="auto" w:fill="auto"/>
            <w:noWrap/>
            <w:vAlign w:val="bottom"/>
            <w:hideMark/>
          </w:tcPr>
          <w:p w14:paraId="74A25265" w14:textId="47D027A3" w:rsidR="008C119C" w:rsidRPr="00C0591E" w:rsidRDefault="008C119C" w:rsidP="0057668F">
            <w:pPr>
              <w:spacing w:before="0" w:after="0" w:line="276" w:lineRule="auto"/>
              <w:rPr>
                <w:rFonts w:eastAsia="Times New Roman"/>
                <w:color w:val="000000"/>
              </w:rPr>
            </w:pPr>
            <w:r w:rsidRPr="00C0591E">
              <w:rPr>
                <w:rFonts w:eastAsia="Times New Roman"/>
                <w:color w:val="000000"/>
              </w:rPr>
              <w:t>Government Regulation</w:t>
            </w:r>
          </w:p>
        </w:tc>
        <w:tc>
          <w:tcPr>
            <w:tcW w:w="872" w:type="pct"/>
            <w:tcBorders>
              <w:top w:val="nil"/>
              <w:left w:val="nil"/>
              <w:bottom w:val="nil"/>
              <w:right w:val="nil"/>
            </w:tcBorders>
            <w:shd w:val="clear" w:color="auto" w:fill="auto"/>
            <w:noWrap/>
            <w:vAlign w:val="bottom"/>
            <w:hideMark/>
          </w:tcPr>
          <w:p w14:paraId="123FDF1C"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0.060</w:t>
            </w:r>
          </w:p>
        </w:tc>
        <w:tc>
          <w:tcPr>
            <w:tcW w:w="822" w:type="pct"/>
            <w:tcBorders>
              <w:top w:val="nil"/>
              <w:left w:val="nil"/>
              <w:bottom w:val="nil"/>
              <w:right w:val="nil"/>
            </w:tcBorders>
            <w:shd w:val="clear" w:color="auto" w:fill="auto"/>
            <w:noWrap/>
            <w:vAlign w:val="bottom"/>
            <w:hideMark/>
          </w:tcPr>
          <w:p w14:paraId="375EF6BC"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0.026</w:t>
            </w:r>
          </w:p>
        </w:tc>
        <w:tc>
          <w:tcPr>
            <w:tcW w:w="551" w:type="pct"/>
            <w:tcBorders>
              <w:top w:val="nil"/>
              <w:left w:val="nil"/>
              <w:bottom w:val="nil"/>
              <w:right w:val="nil"/>
            </w:tcBorders>
            <w:shd w:val="clear" w:color="auto" w:fill="auto"/>
            <w:noWrap/>
            <w:vAlign w:val="bottom"/>
            <w:hideMark/>
          </w:tcPr>
          <w:p w14:paraId="512C61AA"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0.195</w:t>
            </w:r>
          </w:p>
        </w:tc>
        <w:tc>
          <w:tcPr>
            <w:tcW w:w="596" w:type="pct"/>
            <w:tcBorders>
              <w:top w:val="nil"/>
              <w:left w:val="nil"/>
              <w:bottom w:val="nil"/>
              <w:right w:val="nil"/>
            </w:tcBorders>
            <w:shd w:val="clear" w:color="auto" w:fill="auto"/>
            <w:noWrap/>
            <w:vAlign w:val="bottom"/>
            <w:hideMark/>
          </w:tcPr>
          <w:p w14:paraId="2EAB88A8"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2.335</w:t>
            </w:r>
          </w:p>
        </w:tc>
        <w:tc>
          <w:tcPr>
            <w:tcW w:w="417" w:type="pct"/>
            <w:tcBorders>
              <w:top w:val="nil"/>
              <w:left w:val="nil"/>
              <w:bottom w:val="nil"/>
              <w:right w:val="nil"/>
            </w:tcBorders>
            <w:shd w:val="clear" w:color="auto" w:fill="auto"/>
            <w:noWrap/>
            <w:vAlign w:val="bottom"/>
            <w:hideMark/>
          </w:tcPr>
          <w:p w14:paraId="05A65CF7"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0.020</w:t>
            </w:r>
          </w:p>
        </w:tc>
      </w:tr>
      <w:tr w:rsidR="00225649" w:rsidRPr="00C0591E" w14:paraId="59D7F9F0" w14:textId="77777777" w:rsidTr="00225649">
        <w:trPr>
          <w:trHeight w:val="288"/>
        </w:trPr>
        <w:tc>
          <w:tcPr>
            <w:tcW w:w="581" w:type="pct"/>
            <w:tcBorders>
              <w:top w:val="nil"/>
              <w:left w:val="nil"/>
              <w:bottom w:val="nil"/>
              <w:right w:val="nil"/>
            </w:tcBorders>
            <w:shd w:val="clear" w:color="auto" w:fill="auto"/>
            <w:noWrap/>
            <w:vAlign w:val="bottom"/>
            <w:hideMark/>
          </w:tcPr>
          <w:p w14:paraId="45006118" w14:textId="77777777" w:rsidR="008C119C" w:rsidRPr="00C0591E" w:rsidRDefault="008C119C" w:rsidP="0057668F">
            <w:pPr>
              <w:spacing w:before="0" w:after="0" w:line="276" w:lineRule="auto"/>
              <w:rPr>
                <w:rFonts w:eastAsia="Times New Roman"/>
                <w:color w:val="000000"/>
              </w:rPr>
            </w:pPr>
          </w:p>
        </w:tc>
        <w:tc>
          <w:tcPr>
            <w:tcW w:w="1161" w:type="pct"/>
            <w:tcBorders>
              <w:top w:val="nil"/>
              <w:left w:val="nil"/>
              <w:bottom w:val="nil"/>
              <w:right w:val="nil"/>
            </w:tcBorders>
            <w:shd w:val="clear" w:color="auto" w:fill="auto"/>
            <w:noWrap/>
            <w:vAlign w:val="bottom"/>
            <w:hideMark/>
          </w:tcPr>
          <w:p w14:paraId="3A99BD7F" w14:textId="0D4A0B43" w:rsidR="008C119C" w:rsidRPr="00C0591E" w:rsidRDefault="00C5420E" w:rsidP="0057668F">
            <w:pPr>
              <w:spacing w:before="0" w:after="0" w:line="276" w:lineRule="auto"/>
              <w:rPr>
                <w:rFonts w:eastAsia="Times New Roman"/>
                <w:color w:val="000000"/>
              </w:rPr>
            </w:pPr>
            <w:r w:rsidRPr="00C0591E">
              <w:rPr>
                <w:rFonts w:eastAsia="Times New Roman"/>
                <w:color w:val="000000"/>
              </w:rPr>
              <w:t>GR</w:t>
            </w:r>
            <w:r w:rsidR="003311EA" w:rsidRPr="00C0591E">
              <w:rPr>
                <w:rFonts w:eastAsia="Times New Roman"/>
                <w:color w:val="000000"/>
              </w:rPr>
              <w:t>*</w:t>
            </w:r>
            <w:r w:rsidRPr="00C0591E">
              <w:rPr>
                <w:rFonts w:eastAsia="Times New Roman"/>
                <w:color w:val="000000"/>
              </w:rPr>
              <w:t>IP</w:t>
            </w:r>
          </w:p>
        </w:tc>
        <w:tc>
          <w:tcPr>
            <w:tcW w:w="872" w:type="pct"/>
            <w:tcBorders>
              <w:top w:val="nil"/>
              <w:left w:val="nil"/>
              <w:bottom w:val="nil"/>
              <w:right w:val="nil"/>
            </w:tcBorders>
            <w:shd w:val="clear" w:color="auto" w:fill="auto"/>
            <w:noWrap/>
            <w:vAlign w:val="bottom"/>
            <w:hideMark/>
          </w:tcPr>
          <w:p w14:paraId="37077A91"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0.013</w:t>
            </w:r>
          </w:p>
        </w:tc>
        <w:tc>
          <w:tcPr>
            <w:tcW w:w="822" w:type="pct"/>
            <w:tcBorders>
              <w:top w:val="nil"/>
              <w:left w:val="nil"/>
              <w:bottom w:val="nil"/>
              <w:right w:val="nil"/>
            </w:tcBorders>
            <w:shd w:val="clear" w:color="auto" w:fill="auto"/>
            <w:noWrap/>
            <w:vAlign w:val="bottom"/>
            <w:hideMark/>
          </w:tcPr>
          <w:p w14:paraId="34F5E6D1"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0.005</w:t>
            </w:r>
          </w:p>
        </w:tc>
        <w:tc>
          <w:tcPr>
            <w:tcW w:w="551" w:type="pct"/>
            <w:tcBorders>
              <w:top w:val="nil"/>
              <w:left w:val="nil"/>
              <w:bottom w:val="nil"/>
              <w:right w:val="nil"/>
            </w:tcBorders>
            <w:shd w:val="clear" w:color="auto" w:fill="auto"/>
            <w:noWrap/>
            <w:vAlign w:val="bottom"/>
            <w:hideMark/>
          </w:tcPr>
          <w:p w14:paraId="58A4A71B"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0.177</w:t>
            </w:r>
          </w:p>
        </w:tc>
        <w:tc>
          <w:tcPr>
            <w:tcW w:w="596" w:type="pct"/>
            <w:tcBorders>
              <w:top w:val="nil"/>
              <w:left w:val="nil"/>
              <w:bottom w:val="nil"/>
              <w:right w:val="nil"/>
            </w:tcBorders>
            <w:shd w:val="clear" w:color="auto" w:fill="auto"/>
            <w:noWrap/>
            <w:vAlign w:val="bottom"/>
            <w:hideMark/>
          </w:tcPr>
          <w:p w14:paraId="3FABA614"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2.598</w:t>
            </w:r>
          </w:p>
        </w:tc>
        <w:tc>
          <w:tcPr>
            <w:tcW w:w="417" w:type="pct"/>
            <w:tcBorders>
              <w:top w:val="nil"/>
              <w:left w:val="nil"/>
              <w:bottom w:val="nil"/>
              <w:right w:val="nil"/>
            </w:tcBorders>
            <w:shd w:val="clear" w:color="auto" w:fill="auto"/>
            <w:noWrap/>
            <w:vAlign w:val="bottom"/>
            <w:hideMark/>
          </w:tcPr>
          <w:p w14:paraId="370F1CFD" w14:textId="77777777" w:rsidR="008C119C" w:rsidRPr="00C0591E" w:rsidRDefault="008C119C" w:rsidP="003311EA">
            <w:pPr>
              <w:spacing w:before="0" w:after="0" w:line="276" w:lineRule="auto"/>
              <w:jc w:val="center"/>
              <w:rPr>
                <w:rFonts w:eastAsia="Times New Roman"/>
                <w:color w:val="000000"/>
              </w:rPr>
            </w:pPr>
            <w:r w:rsidRPr="00C0591E">
              <w:rPr>
                <w:rFonts w:eastAsia="Times New Roman"/>
                <w:color w:val="000000"/>
              </w:rPr>
              <w:t>0.010</w:t>
            </w:r>
          </w:p>
        </w:tc>
      </w:tr>
    </w:tbl>
    <w:p w14:paraId="4062EC35" w14:textId="77777777" w:rsidR="00CA7D65" w:rsidRPr="00C0591E" w:rsidRDefault="00CA7D65" w:rsidP="00CA7D65">
      <w:r w:rsidRPr="00C0591E">
        <w:t>The fitted model was:</w:t>
      </w:r>
    </w:p>
    <w:p w14:paraId="486217FD" w14:textId="304A7645" w:rsidR="00CA7D65" w:rsidRPr="00C0591E" w:rsidRDefault="00CA7D65" w:rsidP="00CA7D65">
      <w:r w:rsidRPr="00C0591E">
        <w:t xml:space="preserve">Model 1:     P = </w:t>
      </w:r>
      <w:r w:rsidRPr="00C0591E">
        <w:rPr>
          <w:rFonts w:eastAsia="Times New Roman"/>
        </w:rPr>
        <w:t>2.827</w:t>
      </w:r>
      <w:r w:rsidRPr="00C0591E">
        <w:t xml:space="preserve"> + </w:t>
      </w:r>
      <w:r w:rsidRPr="00C0591E">
        <w:rPr>
          <w:rFonts w:eastAsia="Times New Roman"/>
        </w:rPr>
        <w:t>0.222</w:t>
      </w:r>
      <w:r w:rsidRPr="00C0591E">
        <w:t xml:space="preserve">CG </w:t>
      </w:r>
    </w:p>
    <w:p w14:paraId="763F2723" w14:textId="18ADDCC9" w:rsidR="00CA7D65" w:rsidRPr="00C0591E" w:rsidRDefault="00CA7D65" w:rsidP="00CA7D65">
      <w:r w:rsidRPr="00C0591E">
        <w:t xml:space="preserve">Model 2:     P = </w:t>
      </w:r>
      <w:r w:rsidRPr="00C0591E">
        <w:rPr>
          <w:rFonts w:eastAsia="Times New Roman"/>
          <w:color w:val="000000"/>
        </w:rPr>
        <w:t>2.627</w:t>
      </w:r>
      <w:r w:rsidRPr="00C0591E">
        <w:t xml:space="preserve">+ </w:t>
      </w:r>
      <w:r w:rsidRPr="00C0591E">
        <w:rPr>
          <w:rFonts w:eastAsia="Times New Roman"/>
          <w:color w:val="000000"/>
        </w:rPr>
        <w:t>0.031</w:t>
      </w:r>
      <w:r w:rsidRPr="00C0591E">
        <w:t xml:space="preserve">CG+ </w:t>
      </w:r>
      <w:r w:rsidRPr="00C0591E">
        <w:rPr>
          <w:rFonts w:eastAsia="Times New Roman"/>
          <w:color w:val="000000"/>
        </w:rPr>
        <w:t>0.019</w:t>
      </w:r>
      <w:r w:rsidRPr="00C0591E">
        <w:t xml:space="preserve">GR+ </w:t>
      </w:r>
      <w:r w:rsidRPr="00C0591E">
        <w:rPr>
          <w:rFonts w:eastAsia="Times New Roman"/>
          <w:color w:val="000000"/>
        </w:rPr>
        <w:t>0.060</w:t>
      </w:r>
      <w:r w:rsidRPr="00C0591E">
        <w:t xml:space="preserve">IP + </w:t>
      </w:r>
      <w:r w:rsidRPr="00C0591E">
        <w:rPr>
          <w:rFonts w:eastAsia="Times New Roman"/>
          <w:color w:val="000000"/>
        </w:rPr>
        <w:t>0.013</w:t>
      </w:r>
      <w:r w:rsidRPr="00C0591E">
        <w:t xml:space="preserve">GR*IP </w:t>
      </w:r>
    </w:p>
    <w:p w14:paraId="4EB2224E" w14:textId="77777777" w:rsidR="00CA7D65" w:rsidRPr="00C0591E" w:rsidRDefault="00CA7D65" w:rsidP="00CA7D65">
      <w:r w:rsidRPr="00C0591E">
        <w:t>Where:</w:t>
      </w:r>
    </w:p>
    <w:p w14:paraId="77CA4B74" w14:textId="2FF95EE1" w:rsidR="00CA7D65" w:rsidRPr="00C0591E" w:rsidRDefault="00CA7D65" w:rsidP="00CA7D65">
      <w:pPr>
        <w:autoSpaceDE w:val="0"/>
        <w:autoSpaceDN w:val="0"/>
        <w:adjustRightInd w:val="0"/>
        <w:spacing w:before="0" w:after="0"/>
        <w:jc w:val="left"/>
        <w:rPr>
          <w:rFonts w:cs="Times New Roman"/>
          <w:sz w:val="20"/>
          <w:szCs w:val="20"/>
        </w:rPr>
      </w:pPr>
      <w:r w:rsidRPr="00C0591E">
        <w:rPr>
          <w:rFonts w:cs="Times New Roman"/>
          <w:sz w:val="20"/>
          <w:szCs w:val="20"/>
        </w:rPr>
        <w:t>P=Organizational Performance, CG=</w:t>
      </w:r>
      <w:r w:rsidR="00173C67">
        <w:rPr>
          <w:rFonts w:cs="Times New Roman"/>
          <w:sz w:val="20"/>
          <w:szCs w:val="20"/>
        </w:rPr>
        <w:t>Pillars of corporate governance</w:t>
      </w:r>
      <w:r w:rsidRPr="00C0591E">
        <w:rPr>
          <w:rFonts w:cs="Times New Roman"/>
          <w:sz w:val="20"/>
          <w:szCs w:val="20"/>
        </w:rPr>
        <w:t>, IP= Investment Policies, GR = Government Regulations, GR*IP= interaction for Government Regulations and Investment Policies</w:t>
      </w:r>
    </w:p>
    <w:p w14:paraId="6B0A3964" w14:textId="4FAAB68C" w:rsidR="003311EA" w:rsidRPr="00C0591E" w:rsidRDefault="00CA7D65" w:rsidP="00CA7D65">
      <w:r w:rsidRPr="00C0591E">
        <w:t xml:space="preserve">The regression of coefficients results depicted in Table 33 shows that in step one, the regression model of </w:t>
      </w:r>
      <w:r w:rsidR="00173C67">
        <w:t>Pillars of corporate governance</w:t>
      </w:r>
      <w:r w:rsidRPr="00C0591E">
        <w:t xml:space="preserve"> on performance was significant with β=</w:t>
      </w:r>
      <w:r w:rsidRPr="00C0591E">
        <w:rPr>
          <w:rFonts w:eastAsia="Times New Roman"/>
        </w:rPr>
        <w:t>0.222</w:t>
      </w:r>
      <w:r w:rsidRPr="00C0591E">
        <w:t xml:space="preserve">, p=0.000&lt;0.05. In step two, the results show </w:t>
      </w:r>
      <w:r w:rsidR="00682D49" w:rsidRPr="00C0591E">
        <w:t xml:space="preserve">that the regression model of </w:t>
      </w:r>
      <w:r w:rsidR="00173C67">
        <w:t>pillars of corporate governance</w:t>
      </w:r>
      <w:r w:rsidR="00682D49" w:rsidRPr="00C0591E">
        <w:t>, investment policies, government regulation</w:t>
      </w:r>
      <w:r w:rsidRPr="00C0591E">
        <w:t xml:space="preserve">, GR*IP on </w:t>
      </w:r>
      <w:r w:rsidR="00682D49" w:rsidRPr="00C0591E">
        <w:t xml:space="preserve">performance of pension fund managers </w:t>
      </w:r>
      <w:r w:rsidRPr="00C0591E">
        <w:t>in Kenya was significant with β</w:t>
      </w:r>
      <w:r w:rsidRPr="00C0591E">
        <w:rPr>
          <w:vertAlign w:val="subscript"/>
        </w:rPr>
        <w:t>1</w:t>
      </w:r>
      <w:r w:rsidRPr="00C0591E">
        <w:t>=</w:t>
      </w:r>
      <w:r w:rsidR="00682D49" w:rsidRPr="00C0591E">
        <w:rPr>
          <w:rFonts w:eastAsia="Times New Roman"/>
          <w:color w:val="000000"/>
        </w:rPr>
        <w:t>0.031</w:t>
      </w:r>
      <w:r w:rsidRPr="00C0591E">
        <w:t>, p=</w:t>
      </w:r>
      <w:r w:rsidR="00682D49" w:rsidRPr="00C0591E">
        <w:rPr>
          <w:rFonts w:eastAsia="Times New Roman"/>
          <w:color w:val="000000"/>
        </w:rPr>
        <w:t>0.020</w:t>
      </w:r>
      <w:r w:rsidRPr="00C0591E">
        <w:t>&lt;0.05: β</w:t>
      </w:r>
      <w:r w:rsidRPr="00C0591E">
        <w:rPr>
          <w:vertAlign w:val="subscript"/>
        </w:rPr>
        <w:t>2</w:t>
      </w:r>
      <w:r w:rsidRPr="00C0591E">
        <w:t>=</w:t>
      </w:r>
      <w:r w:rsidR="00682D49" w:rsidRPr="00C0591E">
        <w:rPr>
          <w:rFonts w:eastAsia="Times New Roman"/>
          <w:color w:val="000000"/>
        </w:rPr>
        <w:t>0.019</w:t>
      </w:r>
      <w:r w:rsidRPr="00C0591E">
        <w:t>, p=</w:t>
      </w:r>
      <w:r w:rsidR="00682D49" w:rsidRPr="00C0591E">
        <w:rPr>
          <w:rFonts w:eastAsia="Times New Roman"/>
          <w:color w:val="000000"/>
        </w:rPr>
        <w:t>0.041</w:t>
      </w:r>
      <w:r w:rsidRPr="00C0591E">
        <w:t>&lt;0.05: β</w:t>
      </w:r>
      <w:r w:rsidRPr="00C0591E">
        <w:rPr>
          <w:vertAlign w:val="subscript"/>
        </w:rPr>
        <w:t>3</w:t>
      </w:r>
      <w:r w:rsidRPr="00C0591E">
        <w:t>=</w:t>
      </w:r>
      <w:r w:rsidR="00682D49" w:rsidRPr="00C0591E">
        <w:rPr>
          <w:rFonts w:eastAsia="Times New Roman"/>
          <w:color w:val="000000"/>
        </w:rPr>
        <w:t>0.060</w:t>
      </w:r>
      <w:r w:rsidRPr="00C0591E">
        <w:t>, p=</w:t>
      </w:r>
      <w:r w:rsidR="00682D49" w:rsidRPr="00C0591E">
        <w:rPr>
          <w:rFonts w:eastAsia="Times New Roman"/>
          <w:color w:val="000000"/>
        </w:rPr>
        <w:t>0.020</w:t>
      </w:r>
      <w:r w:rsidRPr="00C0591E">
        <w:t>&lt;0.05, β</w:t>
      </w:r>
      <w:r w:rsidRPr="00C0591E">
        <w:rPr>
          <w:vertAlign w:val="subscript"/>
        </w:rPr>
        <w:t>4</w:t>
      </w:r>
      <w:r w:rsidRPr="00C0591E">
        <w:t>=</w:t>
      </w:r>
      <w:r w:rsidR="00682D49" w:rsidRPr="00C0591E">
        <w:rPr>
          <w:rFonts w:eastAsia="Times New Roman"/>
          <w:color w:val="000000"/>
        </w:rPr>
        <w:t>0.013</w:t>
      </w:r>
      <w:r w:rsidRPr="00C0591E">
        <w:t>, p=</w:t>
      </w:r>
      <w:r w:rsidR="00682D49" w:rsidRPr="00C0591E">
        <w:t>0.010</w:t>
      </w:r>
      <w:r w:rsidRPr="00C0591E">
        <w:t>&lt;0.05. Since, the p value for the Moderation mediating term (</w:t>
      </w:r>
      <w:r w:rsidR="00682D49" w:rsidRPr="00C0591E">
        <w:t>GR</w:t>
      </w:r>
      <w:r w:rsidRPr="00C0591E">
        <w:t>*</w:t>
      </w:r>
      <w:r w:rsidR="00682D49" w:rsidRPr="00C0591E">
        <w:t>IP</w:t>
      </w:r>
      <w:r w:rsidRPr="00C0591E">
        <w:t xml:space="preserve">) was significant 0.000&lt;0.05 was less than the critical value 0.05, the study rejected the null hypotheses that </w:t>
      </w:r>
      <w:r w:rsidRPr="00C0591E">
        <w:rPr>
          <w:color w:val="000000"/>
        </w:rPr>
        <w:t>t</w:t>
      </w:r>
      <w:r w:rsidR="00682D49" w:rsidRPr="00C0591E">
        <w:rPr>
          <w:color w:val="000000"/>
        </w:rPr>
        <w:t xml:space="preserve">here no significant moderation – mediator effect on the relationship between </w:t>
      </w:r>
      <w:r w:rsidR="00173C67">
        <w:rPr>
          <w:color w:val="000000"/>
        </w:rPr>
        <w:t>pillars of corporate governance</w:t>
      </w:r>
      <w:r w:rsidR="00682D49" w:rsidRPr="00C0591E">
        <w:rPr>
          <w:color w:val="000000"/>
        </w:rPr>
        <w:t xml:space="preserve"> and performance of pension fund managers in Kenya</w:t>
      </w:r>
      <w:r w:rsidR="003311EA" w:rsidRPr="00C0591E">
        <w:t>.</w:t>
      </w:r>
    </w:p>
    <w:p w14:paraId="4F7B421E" w14:textId="77777777" w:rsidR="00FB4DCE" w:rsidRPr="00C0591E" w:rsidRDefault="00FB4DCE" w:rsidP="00FB4DCE">
      <w:pPr>
        <w:pStyle w:val="Heading2"/>
        <w:rPr>
          <w:lang w:eastAsia="en-GB"/>
        </w:rPr>
      </w:pPr>
      <w:bookmarkStart w:id="314" w:name="_Toc507861186"/>
      <w:bookmarkStart w:id="315" w:name="_Toc512000210"/>
      <w:bookmarkStart w:id="316" w:name="_Toc514675197"/>
      <w:bookmarkStart w:id="317" w:name="_Toc78303062"/>
      <w:bookmarkStart w:id="318" w:name="_Toc84504765"/>
      <w:bookmarkStart w:id="319" w:name="_Toc109897119"/>
      <w:bookmarkStart w:id="320" w:name="_Toc113125112"/>
      <w:r w:rsidRPr="00C0591E">
        <w:rPr>
          <w:lang w:eastAsia="en-GB"/>
        </w:rPr>
        <w:t>4.8 Chapter</w:t>
      </w:r>
      <w:bookmarkEnd w:id="314"/>
      <w:bookmarkEnd w:id="315"/>
      <w:bookmarkEnd w:id="316"/>
      <w:r w:rsidRPr="00C0591E">
        <w:rPr>
          <w:lang w:eastAsia="en-GB"/>
        </w:rPr>
        <w:t xml:space="preserve"> Summary</w:t>
      </w:r>
      <w:bookmarkEnd w:id="317"/>
      <w:bookmarkEnd w:id="318"/>
      <w:bookmarkEnd w:id="319"/>
      <w:bookmarkEnd w:id="320"/>
    </w:p>
    <w:p w14:paraId="46A46219" w14:textId="51A35D4F" w:rsidR="00FB4DCE" w:rsidRPr="00C0591E" w:rsidRDefault="00FB4DCE" w:rsidP="00FB4DCE">
      <w:pPr>
        <w:rPr>
          <w:lang w:val="en-GB" w:eastAsia="en-GB"/>
        </w:rPr>
      </w:pPr>
      <w:r w:rsidRPr="00C0591E">
        <w:rPr>
          <w:lang w:val="en-GB" w:eastAsia="en-GB"/>
        </w:rPr>
        <w:t xml:space="preserve">This chapter presented the analysis of the data collected and discussion of the findings. The study utilized descriptive statistics, correlation analysis and regression analysis. The chapter also presented the findings and summary of the hypotheses. Correlation and regression analysis results confirmed a significant relationship between </w:t>
      </w:r>
      <w:r w:rsidR="00173C67">
        <w:rPr>
          <w:lang w:val="en-GB" w:eastAsia="en-GB"/>
        </w:rPr>
        <w:t>pillars of corporate governance</w:t>
      </w:r>
      <w:r w:rsidRPr="00C0591E">
        <w:rPr>
          <w:lang w:val="en-GB" w:eastAsia="en-GB"/>
        </w:rPr>
        <w:t xml:space="preserve"> and performance of pension fund managers in Kenya, and the intervening effect of investment policies on the relationship between </w:t>
      </w:r>
      <w:r w:rsidR="00173C67">
        <w:rPr>
          <w:lang w:val="en-GB" w:eastAsia="en-GB"/>
        </w:rPr>
        <w:t>pillars of corporate governance</w:t>
      </w:r>
      <w:r w:rsidRPr="00C0591E">
        <w:rPr>
          <w:lang w:val="en-GB" w:eastAsia="en-GB"/>
        </w:rPr>
        <w:t xml:space="preserve"> and performance of pension fund managers in Kenya. The moderating effect of government regulations on the relationship between </w:t>
      </w:r>
      <w:r w:rsidR="00173C67">
        <w:rPr>
          <w:lang w:val="en-GB" w:eastAsia="en-GB"/>
        </w:rPr>
        <w:t>pillars of corporate governance</w:t>
      </w:r>
      <w:r w:rsidRPr="00C0591E">
        <w:rPr>
          <w:lang w:val="en-GB" w:eastAsia="en-GB"/>
        </w:rPr>
        <w:t xml:space="preserve"> and performance of pension fund managers in Kenya was confirmed. Lastly, the </w:t>
      </w:r>
      <w:r w:rsidRPr="00C0591E">
        <w:rPr>
          <w:color w:val="000000"/>
        </w:rPr>
        <w:t xml:space="preserve">moderation – mediator effect on the relationship between </w:t>
      </w:r>
      <w:r w:rsidR="00173C67">
        <w:rPr>
          <w:rFonts w:eastAsia="Calibri"/>
        </w:rPr>
        <w:t>pillars of corporate governance</w:t>
      </w:r>
      <w:r w:rsidR="00A0371A" w:rsidRPr="00A0371A">
        <w:rPr>
          <w:rFonts w:eastAsia="Calibri"/>
        </w:rPr>
        <w:t xml:space="preserve"> </w:t>
      </w:r>
      <w:r w:rsidRPr="00C0591E">
        <w:rPr>
          <w:rFonts w:eastAsia="Calibri"/>
        </w:rPr>
        <w:t xml:space="preserve">and </w:t>
      </w:r>
      <w:r w:rsidR="00A0371A" w:rsidRPr="00C0591E">
        <w:rPr>
          <w:lang w:val="en-GB" w:eastAsia="en-GB"/>
        </w:rPr>
        <w:t xml:space="preserve">performance of pension fund managers in Kenya </w:t>
      </w:r>
      <w:r w:rsidRPr="00C0591E">
        <w:rPr>
          <w:lang w:val="en-GB" w:eastAsia="en-GB"/>
        </w:rPr>
        <w:t xml:space="preserve">was </w:t>
      </w:r>
      <w:r w:rsidRPr="00C0591E">
        <w:rPr>
          <w:rFonts w:eastAsia="Calibri"/>
        </w:rPr>
        <w:t>confirmed to be significant.</w:t>
      </w:r>
    </w:p>
    <w:p w14:paraId="23A1F6C0" w14:textId="7852AEA5" w:rsidR="009F1112" w:rsidRPr="00C0591E" w:rsidRDefault="009F1112" w:rsidP="008D5072"/>
    <w:p w14:paraId="1702E608" w14:textId="6D3C9224" w:rsidR="009F1112" w:rsidRPr="00C0591E" w:rsidRDefault="009F1112" w:rsidP="008D5072"/>
    <w:p w14:paraId="47BF6E15" w14:textId="092A54E5" w:rsidR="009F1112" w:rsidRPr="00C0591E" w:rsidRDefault="009F1112" w:rsidP="008D5072"/>
    <w:p w14:paraId="38078988" w14:textId="253542C2" w:rsidR="009F1112" w:rsidRPr="00C0591E" w:rsidRDefault="009F1112" w:rsidP="008D5072"/>
    <w:p w14:paraId="074ECF9E" w14:textId="2F841F8B" w:rsidR="009F1112" w:rsidRDefault="009F1112" w:rsidP="008D5072"/>
    <w:p w14:paraId="7ABAF261" w14:textId="1ABF5751" w:rsidR="00C813FD" w:rsidRDefault="00C813FD" w:rsidP="008D5072"/>
    <w:p w14:paraId="39858229" w14:textId="7A66DD0C" w:rsidR="00C813FD" w:rsidRDefault="00C813FD" w:rsidP="008D5072"/>
    <w:p w14:paraId="573B1F4D" w14:textId="42DE9684" w:rsidR="00C813FD" w:rsidRDefault="00C813FD" w:rsidP="008D5072"/>
    <w:p w14:paraId="70411DEB" w14:textId="4675105E" w:rsidR="00C813FD" w:rsidRDefault="00C813FD" w:rsidP="008D5072"/>
    <w:p w14:paraId="1401CE87" w14:textId="346FA415" w:rsidR="00C813FD" w:rsidRDefault="00C813FD" w:rsidP="008D5072"/>
    <w:p w14:paraId="39F695A4" w14:textId="44B9FB36" w:rsidR="00C813FD" w:rsidRDefault="00C813FD" w:rsidP="008D5072"/>
    <w:p w14:paraId="2DE72541" w14:textId="10D98E6B" w:rsidR="00C813FD" w:rsidRDefault="00C813FD" w:rsidP="008D5072"/>
    <w:p w14:paraId="053955CC" w14:textId="428DA116" w:rsidR="00C813FD" w:rsidRDefault="00C813FD" w:rsidP="008D5072"/>
    <w:p w14:paraId="4E69A4C7" w14:textId="6BA862C4" w:rsidR="00C813FD" w:rsidRDefault="00C813FD" w:rsidP="008D5072"/>
    <w:p w14:paraId="35E1DC56" w14:textId="77777777" w:rsidR="00C813FD" w:rsidRPr="00C0591E" w:rsidRDefault="00C813FD" w:rsidP="008D5072"/>
    <w:p w14:paraId="5263BF0B" w14:textId="71862E39" w:rsidR="00FB4DCE" w:rsidRPr="00C0591E" w:rsidRDefault="00FB4DCE" w:rsidP="008D5072"/>
    <w:p w14:paraId="43A83046" w14:textId="77777777" w:rsidR="00FB4DCE" w:rsidRPr="00C0591E" w:rsidRDefault="00FB4DCE" w:rsidP="008D5072"/>
    <w:p w14:paraId="0AB3FDAF" w14:textId="77777777" w:rsidR="009F1112" w:rsidRPr="00C0591E" w:rsidRDefault="009F1112" w:rsidP="009F1112">
      <w:pPr>
        <w:pStyle w:val="Heading1"/>
      </w:pPr>
      <w:bookmarkStart w:id="321" w:name="_Toc39669974"/>
      <w:bookmarkStart w:id="322" w:name="_Toc113125113"/>
      <w:r w:rsidRPr="00C0591E">
        <w:t>CHAPTER FIVE</w:t>
      </w:r>
      <w:bookmarkEnd w:id="321"/>
      <w:bookmarkEnd w:id="322"/>
    </w:p>
    <w:p w14:paraId="3617E93C" w14:textId="77777777" w:rsidR="009F1112" w:rsidRPr="00C0591E" w:rsidRDefault="009F1112" w:rsidP="009F1112">
      <w:pPr>
        <w:pStyle w:val="Heading1"/>
      </w:pPr>
      <w:bookmarkStart w:id="323" w:name="_Toc39669975"/>
      <w:bookmarkStart w:id="324" w:name="_Toc113125114"/>
      <w:r w:rsidRPr="00C0591E">
        <w:t>FINDINGS AND DISCUSSION</w:t>
      </w:r>
      <w:bookmarkEnd w:id="323"/>
      <w:bookmarkEnd w:id="324"/>
      <w:r w:rsidRPr="00C0591E">
        <w:t xml:space="preserve"> </w:t>
      </w:r>
    </w:p>
    <w:p w14:paraId="4E5B6149" w14:textId="77777777" w:rsidR="009F1112" w:rsidRPr="00C0591E" w:rsidRDefault="009F1112" w:rsidP="009F1112">
      <w:pPr>
        <w:pStyle w:val="Heading2"/>
      </w:pPr>
      <w:bookmarkStart w:id="325" w:name="_Toc39669976"/>
      <w:bookmarkStart w:id="326" w:name="_Toc113125115"/>
      <w:r w:rsidRPr="00C0591E">
        <w:t>5.1 Introduction</w:t>
      </w:r>
      <w:bookmarkEnd w:id="325"/>
      <w:bookmarkEnd w:id="326"/>
      <w:r w:rsidRPr="00C0591E">
        <w:t xml:space="preserve"> </w:t>
      </w:r>
    </w:p>
    <w:p w14:paraId="22B01A18" w14:textId="52056C93" w:rsidR="009F1112" w:rsidRPr="00C0591E" w:rsidRDefault="009F1112" w:rsidP="009F1112">
      <w:r w:rsidRPr="00C0591E">
        <w:t>This chapter explains the findings of the study and discusses the study results describing the consistencies and contradictions of the findings with the findings of previous studies in regard to the issues investigated.</w:t>
      </w:r>
    </w:p>
    <w:p w14:paraId="7B4A5A3A" w14:textId="77777777" w:rsidR="007003EF" w:rsidRPr="00C0591E" w:rsidRDefault="007003EF" w:rsidP="007003EF">
      <w:pPr>
        <w:pStyle w:val="Heading2"/>
      </w:pPr>
      <w:bookmarkStart w:id="327" w:name="_Toc10827080"/>
      <w:bookmarkStart w:id="328" w:name="_Toc23781778"/>
      <w:bookmarkStart w:id="329" w:name="_Toc113125116"/>
      <w:r w:rsidRPr="00C0591E">
        <w:t>5.2 Discussion of the Hypotheses Tests and Research Findings</w:t>
      </w:r>
      <w:bookmarkEnd w:id="327"/>
      <w:bookmarkEnd w:id="328"/>
      <w:bookmarkEnd w:id="329"/>
    </w:p>
    <w:p w14:paraId="49D71B57" w14:textId="5B162324" w:rsidR="007003EF" w:rsidRPr="00C0591E" w:rsidRDefault="007003EF" w:rsidP="007003EF">
      <w:r w:rsidRPr="00C0591E">
        <w:t xml:space="preserve">The study sought to establish the relationship between </w:t>
      </w:r>
      <w:r w:rsidR="00173C67">
        <w:t>Pillars of corporate governance</w:t>
      </w:r>
      <w:r w:rsidRPr="00C0591E">
        <w:t>, Government Regulations and Investment Policies on Performance of Pension Fund Managers in Kenya. The tests were carried out using simple regression analysis, multiple regression analysis, correlation analysis and stepwise regression analysis. The tests were done at 5% significance level (α = 0.05). The evaluation focused on the hypotheses derived from the objectives of the study.</w:t>
      </w:r>
    </w:p>
    <w:p w14:paraId="60E21EE5" w14:textId="00D7344C" w:rsidR="007003EF" w:rsidRPr="00C0591E" w:rsidRDefault="00262DDF" w:rsidP="00262DDF">
      <w:pPr>
        <w:pStyle w:val="Heading3"/>
      </w:pPr>
      <w:r w:rsidRPr="00C0591E">
        <w:rPr>
          <w:lang w:val="en-GB"/>
        </w:rPr>
        <w:t>5.2.1</w:t>
      </w:r>
      <w:r w:rsidR="007003EF" w:rsidRPr="00C0591E">
        <w:rPr>
          <w:lang w:val="en-GB"/>
        </w:rPr>
        <w:t xml:space="preserve"> </w:t>
      </w:r>
      <w:r w:rsidR="00173C67">
        <w:t>Pillars of corporate governance</w:t>
      </w:r>
      <w:r w:rsidR="007003EF" w:rsidRPr="00C0591E">
        <w:t xml:space="preserve"> and Performance of Pension Fund Managers</w:t>
      </w:r>
    </w:p>
    <w:p w14:paraId="7A09D7C9" w14:textId="25C304B2" w:rsidR="007003EF" w:rsidRPr="00C0591E" w:rsidRDefault="007003EF" w:rsidP="007003EF">
      <w:r w:rsidRPr="00C0591E">
        <w:t xml:space="preserve">The first objective of the study was to establish the relationship between </w:t>
      </w:r>
      <w:r w:rsidR="00173C67">
        <w:t>pillars of corporate governance</w:t>
      </w:r>
      <w:r w:rsidRPr="00C0591E">
        <w:t xml:space="preserve"> and performance of pension fund managers. A simple regression model was used to test the statistical significance of the independent variable (</w:t>
      </w:r>
      <w:r w:rsidR="00173C67">
        <w:t>pillars of corporate governance</w:t>
      </w:r>
      <w:r w:rsidRPr="00C0591E">
        <w:t xml:space="preserve">) on the dependent variable (performance) in of pension fund managers in Kenya. </w:t>
      </w:r>
      <w:r w:rsidRPr="00C0591E">
        <w:rPr>
          <w:color w:val="000000"/>
        </w:rPr>
        <w:t>The first hypothesis stated in the null form is as follows:</w:t>
      </w:r>
    </w:p>
    <w:p w14:paraId="66A8405D" w14:textId="1ABAA198" w:rsidR="007003EF" w:rsidRPr="00C0591E" w:rsidRDefault="007003EF" w:rsidP="007003EF">
      <w:pPr>
        <w:rPr>
          <w:rFonts w:cs="Times New Roman"/>
          <w:szCs w:val="24"/>
        </w:rPr>
      </w:pPr>
      <w:r w:rsidRPr="00C0591E">
        <w:rPr>
          <w:rFonts w:eastAsia="Times New Roman"/>
          <w:b/>
          <w:szCs w:val="24"/>
        </w:rPr>
        <w:t>H</w:t>
      </w:r>
      <w:r w:rsidRPr="00C0591E">
        <w:rPr>
          <w:rFonts w:eastAsia="Times New Roman"/>
          <w:b/>
          <w:szCs w:val="24"/>
          <w:vertAlign w:val="subscript"/>
        </w:rPr>
        <w:t>01</w:t>
      </w:r>
      <w:r w:rsidRPr="00C0591E">
        <w:rPr>
          <w:rFonts w:eastAsia="Times New Roman"/>
          <w:b/>
          <w:szCs w:val="24"/>
        </w:rPr>
        <w:t>:</w:t>
      </w:r>
      <w:r w:rsidRPr="00C0591E">
        <w:rPr>
          <w:rFonts w:eastAsia="Times New Roman"/>
          <w:szCs w:val="24"/>
        </w:rPr>
        <w:t xml:space="preserve"> There is no significant relationship between </w:t>
      </w:r>
      <w:r w:rsidR="00173C67">
        <w:rPr>
          <w:rFonts w:eastAsia="Times New Roman"/>
          <w:szCs w:val="24"/>
        </w:rPr>
        <w:t>pillars of corporate governance</w:t>
      </w:r>
      <w:r w:rsidRPr="00C0591E">
        <w:rPr>
          <w:rFonts w:eastAsia="Times New Roman"/>
          <w:szCs w:val="24"/>
        </w:rPr>
        <w:t xml:space="preserve"> and </w:t>
      </w:r>
      <w:r w:rsidRPr="00C0591E">
        <w:rPr>
          <w:rFonts w:cs="Times New Roman"/>
          <w:szCs w:val="24"/>
        </w:rPr>
        <w:t>performance of pension fund managers in Kenya.</w:t>
      </w:r>
    </w:p>
    <w:p w14:paraId="12F43450" w14:textId="29FC6944" w:rsidR="007003EF" w:rsidRPr="00C0591E" w:rsidRDefault="007003EF" w:rsidP="007003EF">
      <w:r w:rsidRPr="00C0591E">
        <w:t xml:space="preserve">Hypothesis 1 sought to establish the relationship </w:t>
      </w:r>
      <w:r w:rsidR="00A0371A" w:rsidRPr="00C0591E">
        <w:rPr>
          <w:rFonts w:eastAsia="Times New Roman"/>
          <w:szCs w:val="24"/>
        </w:rPr>
        <w:t xml:space="preserve">between </w:t>
      </w:r>
      <w:r w:rsidR="00173C67">
        <w:rPr>
          <w:rFonts w:eastAsia="Times New Roman"/>
          <w:szCs w:val="24"/>
        </w:rPr>
        <w:t>pillars of corporate governance</w:t>
      </w:r>
      <w:r w:rsidR="00A0371A" w:rsidRPr="00C0591E">
        <w:rPr>
          <w:rFonts w:eastAsia="Times New Roman"/>
          <w:szCs w:val="24"/>
        </w:rPr>
        <w:t xml:space="preserve"> and </w:t>
      </w:r>
      <w:r w:rsidR="00A0371A" w:rsidRPr="00C0591E">
        <w:rPr>
          <w:rFonts w:cs="Times New Roman"/>
          <w:szCs w:val="24"/>
        </w:rPr>
        <w:t>performance of pension fund managers in Kenya</w:t>
      </w:r>
      <w:r w:rsidRPr="00C0591E">
        <w:t xml:space="preserve">. This hypothesis was tested by regressing composite index </w:t>
      </w:r>
      <w:r w:rsidR="00173C67">
        <w:t>pillars of corporate governance</w:t>
      </w:r>
      <w:r w:rsidRPr="00C0591E">
        <w:t xml:space="preserve"> (CG) and performance (P) guided by the equation P= β</w:t>
      </w:r>
      <w:r w:rsidRPr="00C0591E">
        <w:rPr>
          <w:vertAlign w:val="subscript"/>
        </w:rPr>
        <w:t>0</w:t>
      </w:r>
      <w:r w:rsidRPr="00C0591E">
        <w:t>+β</w:t>
      </w:r>
      <w:r w:rsidRPr="00C0591E">
        <w:rPr>
          <w:vertAlign w:val="subscript"/>
        </w:rPr>
        <w:t>1</w:t>
      </w:r>
      <w:r w:rsidRPr="00C0591E">
        <w:t xml:space="preserve">CG, where CG represented composite </w:t>
      </w:r>
      <w:r w:rsidR="00173C67">
        <w:t>pillars of corporate governance</w:t>
      </w:r>
      <w:r w:rsidRPr="00C0591E">
        <w:t xml:space="preserve"> and P denoted performance of pension fund managers. The findings indicated that the coefficient of determination R Square was 0.61. The model indicated that </w:t>
      </w:r>
      <w:r w:rsidR="00173C67">
        <w:t>pillars of corporate governance</w:t>
      </w:r>
      <w:r w:rsidRPr="00C0591E">
        <w:t xml:space="preserve"> explains 61% of the variation in performance of pension fund managers. This implied that there exist a significant relationship between </w:t>
      </w:r>
      <w:r w:rsidR="00173C67">
        <w:t>pillars of corporate governance</w:t>
      </w:r>
      <w:r w:rsidRPr="00C0591E">
        <w:t xml:space="preserve"> and performance of pension fund managers. The findings showed that p-value = 0.000 &lt; 0.05. This further confirmed that </w:t>
      </w:r>
      <w:r w:rsidR="00173C67">
        <w:t>pillars of corporate governance</w:t>
      </w:r>
      <w:r w:rsidRPr="00C0591E">
        <w:t xml:space="preserve"> positively and significantly influences performance of pension fund managers. The study thus, rejected the null hypothesis and adopted the alternative hypothesis that there is significant relationship between corporate governance and performance of pension fund managers</w:t>
      </w:r>
      <w:r w:rsidRPr="00C0591E">
        <w:rPr>
          <w:lang w:val="en-GB"/>
        </w:rPr>
        <w:t xml:space="preserve"> </w:t>
      </w:r>
      <w:r w:rsidRPr="00C0591E">
        <w:t>in Kenya.</w:t>
      </w:r>
    </w:p>
    <w:p w14:paraId="370A0164" w14:textId="2F615368" w:rsidR="006B411C" w:rsidRPr="00C0591E" w:rsidRDefault="006B411C" w:rsidP="006B411C">
      <w:r w:rsidRPr="00C0591E">
        <w:t>This is consistent with Ujunwa (</w:t>
      </w:r>
      <w:r w:rsidR="00C940EA" w:rsidRPr="00C0591E">
        <w:t>2019</w:t>
      </w:r>
      <w:r w:rsidRPr="00C0591E">
        <w:t>) whose findings indicated that the board size, duality of the CEO and the diversity of was negatively correlated to the firm performance, while nationality of the board, ethnic diversity and the number of board members who had doctorate qualification positively influenced firms’ performance. Duality of the board was also linked to this good performance of the board. This study addressed the major components of corporate governance and their relationship to the performance of a firm but did not take into account firms that are not listed and the different observations across industries.</w:t>
      </w:r>
    </w:p>
    <w:p w14:paraId="27EC1EF3" w14:textId="71430BCF" w:rsidR="006B411C" w:rsidRPr="00C0591E" w:rsidRDefault="006B411C" w:rsidP="006B411C">
      <w:r w:rsidRPr="00C0591E">
        <w:t xml:space="preserve">The </w:t>
      </w:r>
      <w:r w:rsidR="00D200C7" w:rsidRPr="00C0591E">
        <w:t>findings</w:t>
      </w:r>
      <w:r w:rsidRPr="00C0591E">
        <w:t xml:space="preserve"> are </w:t>
      </w:r>
      <w:r w:rsidR="00D200C7" w:rsidRPr="00C0591E">
        <w:t>also</w:t>
      </w:r>
      <w:r w:rsidRPr="00C0591E">
        <w:t xml:space="preserve"> in line with Kiruri (</w:t>
      </w:r>
      <w:r w:rsidR="00C940EA" w:rsidRPr="00C0591E">
        <w:t>2019</w:t>
      </w:r>
      <w:r w:rsidRPr="00C0591E">
        <w:t xml:space="preserve">) who found that ownership concentration and state ownership had negative and significant effects on bank profitability while foreign ownership and domestic ownership had positive and significant effects on bank profitability. Further </w:t>
      </w:r>
      <w:r w:rsidRPr="00C0591E">
        <w:rPr>
          <w:szCs w:val="24"/>
        </w:rPr>
        <w:t xml:space="preserve">Amba (2014) found a positive correlation between financial performance and proportion of institution ownership among firms. The study </w:t>
      </w:r>
      <w:r w:rsidRPr="00C0591E">
        <w:rPr>
          <w:color w:val="000000" w:themeColor="text1"/>
          <w:szCs w:val="24"/>
        </w:rPr>
        <w:t>also</w:t>
      </w:r>
      <w:r w:rsidRPr="00C0591E">
        <w:rPr>
          <w:szCs w:val="24"/>
        </w:rPr>
        <w:t xml:space="preserve"> finds that CEO duality and proportion of </w:t>
      </w:r>
      <w:r w:rsidR="00906426" w:rsidRPr="00C0591E">
        <w:rPr>
          <w:szCs w:val="24"/>
        </w:rPr>
        <w:t>non-executive</w:t>
      </w:r>
      <w:r w:rsidRPr="00C0591E">
        <w:rPr>
          <w:szCs w:val="24"/>
        </w:rPr>
        <w:t xml:space="preserve"> directors have a negative influence on performance. On the other hand, Zaman </w:t>
      </w:r>
      <w:r w:rsidRPr="00C0591E">
        <w:rPr>
          <w:i/>
          <w:szCs w:val="24"/>
        </w:rPr>
        <w:t>et al.</w:t>
      </w:r>
      <w:r w:rsidRPr="00C0591E">
        <w:rPr>
          <w:szCs w:val="24"/>
        </w:rPr>
        <w:t xml:space="preserve">, (2014) conclude that financial performance was positively related to transparency and disclosure among the banks. The findings also agree with </w:t>
      </w:r>
      <w:r w:rsidRPr="00C0591E">
        <w:rPr>
          <w:rFonts w:eastAsia="Times New Roman"/>
          <w:szCs w:val="24"/>
        </w:rPr>
        <w:t xml:space="preserve">Ullah </w:t>
      </w:r>
      <w:r w:rsidRPr="00C0591E">
        <w:rPr>
          <w:i/>
          <w:szCs w:val="24"/>
        </w:rPr>
        <w:t>et al.</w:t>
      </w:r>
      <w:r w:rsidRPr="00C0591E">
        <w:rPr>
          <w:szCs w:val="24"/>
        </w:rPr>
        <w:t>, (2019) who established a p</w:t>
      </w:r>
      <w:r w:rsidRPr="00C0591E">
        <w:rPr>
          <w:rFonts w:eastAsia="Times New Roman"/>
          <w:szCs w:val="24"/>
        </w:rPr>
        <w:t>ositive relationship between accountability, transparency and organizational performance.</w:t>
      </w:r>
      <w:r w:rsidRPr="00C0591E">
        <w:rPr>
          <w:szCs w:val="24"/>
        </w:rPr>
        <w:t xml:space="preserve"> The study findings also illustrated that accountability and transparency had a significant impact on the firm performance. </w:t>
      </w:r>
    </w:p>
    <w:p w14:paraId="67BEB1CE" w14:textId="45FA5A99" w:rsidR="00546931" w:rsidRPr="00C0591E" w:rsidRDefault="00906426" w:rsidP="00546931">
      <w:r w:rsidRPr="00C0591E">
        <w:rPr>
          <w:szCs w:val="24"/>
        </w:rPr>
        <w:t xml:space="preserve">The findings are also in line with </w:t>
      </w:r>
      <w:r w:rsidR="00546931" w:rsidRPr="00C0591E">
        <w:rPr>
          <w:szCs w:val="24"/>
        </w:rPr>
        <w:t>Mang’unyi (</w:t>
      </w:r>
      <w:r w:rsidR="00C940EA" w:rsidRPr="00C0591E">
        <w:rPr>
          <w:szCs w:val="24"/>
        </w:rPr>
        <w:t>2019</w:t>
      </w:r>
      <w:r w:rsidR="00546931" w:rsidRPr="00C0591E">
        <w:rPr>
          <w:szCs w:val="24"/>
        </w:rPr>
        <w:t xml:space="preserve">) </w:t>
      </w:r>
      <w:r w:rsidRPr="00C0591E">
        <w:rPr>
          <w:szCs w:val="24"/>
        </w:rPr>
        <w:t xml:space="preserve">who </w:t>
      </w:r>
      <w:r w:rsidR="00546931" w:rsidRPr="00C0591E">
        <w:rPr>
          <w:szCs w:val="24"/>
        </w:rPr>
        <w:t>established a positive relationship between ownership structure and financial performance of selected banks in Kenya. The study posits the need for promoting corporate governance to attract potential investors. Mokaya and Jagongo (2015) finds a significant positive association between financial performances, ownership structure and ownership concentration of firms</w:t>
      </w:r>
      <w:r w:rsidRPr="00C0591E">
        <w:rPr>
          <w:szCs w:val="24"/>
        </w:rPr>
        <w:t>. Their study r</w:t>
      </w:r>
      <w:r w:rsidR="00546931" w:rsidRPr="00C0591E">
        <w:rPr>
          <w:szCs w:val="24"/>
        </w:rPr>
        <w:t>egression analysis results show a significant association between financial performance, ownership structure and ownership concentration</w:t>
      </w:r>
      <w:r w:rsidRPr="00C0591E">
        <w:rPr>
          <w:szCs w:val="24"/>
        </w:rPr>
        <w:t>.</w:t>
      </w:r>
    </w:p>
    <w:p w14:paraId="45429E0F" w14:textId="0C979740" w:rsidR="00546931" w:rsidRPr="00C0591E" w:rsidRDefault="00906426" w:rsidP="00546931">
      <w:r w:rsidRPr="00C0591E">
        <w:t xml:space="preserve">The findings are in tandem with </w:t>
      </w:r>
      <w:r w:rsidR="00546931" w:rsidRPr="00C0591E">
        <w:t>Claessens and Yurtoglu (</w:t>
      </w:r>
      <w:r w:rsidR="00C940EA" w:rsidRPr="00C0591E">
        <w:t>2019</w:t>
      </w:r>
      <w:r w:rsidR="00546931" w:rsidRPr="00C0591E">
        <w:t>)</w:t>
      </w:r>
      <w:r w:rsidRPr="00C0591E">
        <w:t xml:space="preserve"> who posited that</w:t>
      </w:r>
      <w:r w:rsidR="00546931" w:rsidRPr="00C0591E">
        <w:t xml:space="preserve"> the ability of a board to act on behalf of the shareholders and monitor managers effectively is of crucial importance for a corporation in emerging markets where corporate governance mechanisms tend to be weak. In listed firms in emerging economies, it is common for controlling families to occupy key managerial posts, and the succession planning of a firm is usually focused upon the appointment of other family members to managerial roles rather than external professionals.</w:t>
      </w:r>
      <w:r w:rsidRPr="00C0591E">
        <w:t xml:space="preserve"> This is also in agreement with </w:t>
      </w:r>
      <w:r w:rsidR="00546931" w:rsidRPr="00C0591E">
        <w:t xml:space="preserve">Ararat and Dallas (2017) </w:t>
      </w:r>
      <w:r w:rsidRPr="00C0591E">
        <w:t>study who</w:t>
      </w:r>
      <w:r w:rsidR="00546931" w:rsidRPr="00C0591E">
        <w:t xml:space="preserve"> argued that when family members dominate boards they can become ineffective as there is not enough constructive criticism directed at the controlling shareholders. Controlling shareholders can be inclined to pursue agendas that are of little or no benefit to shareholders, with poor strategic decision-making having a negative impact upon the company.</w:t>
      </w:r>
    </w:p>
    <w:p w14:paraId="59C1463C" w14:textId="28C4ED03" w:rsidR="00906426" w:rsidRPr="00C0591E" w:rsidRDefault="00906426" w:rsidP="00906426">
      <w:r w:rsidRPr="00C0591E">
        <w:t xml:space="preserve">The findings are also consistent with </w:t>
      </w:r>
      <w:r w:rsidR="00546931" w:rsidRPr="00C0591E">
        <w:t xml:space="preserve">Haniffa and Hudaib (2016) </w:t>
      </w:r>
      <w:r w:rsidRPr="00C0591E">
        <w:t xml:space="preserve">who </w:t>
      </w:r>
      <w:r w:rsidR="00546931" w:rsidRPr="00C0591E">
        <w:t>found a positive relationship between the board size and the firm performance as measured by ROA, which is in contrast with their prior finding of a negative relationship between board size and the firm performance measured by Tobin‘s Q. This divergence takes place because of the perceptions of the investors and the management for the large boards which is based on large boards enhancing the knowledge of the business. The study found that the wider knowledge base inherent in larger boards facilitates better business decisions to reduce the agency problem. They demonstrated that their results stayed fixed and unchanged even if using inflation adjusted data. This indicates that large boards provide important role of effective monitoring in uncertain economic and political periods to reduce agency problems and improve firm performance.</w:t>
      </w:r>
      <w:r w:rsidRPr="00C0591E">
        <w:t xml:space="preserve"> The study by Apadore and Zainol (2014) argued that some principles to be complied in the construction of boards, to ensure the best structure: meeting frequently, effective communication between board members and shareholders, willingness to consider suggestions from each other, high level of integrity, concern about financial risks and awareness and rationale to solve financial problems, and to take any course of action to improve the efficiency of the company.</w:t>
      </w:r>
    </w:p>
    <w:p w14:paraId="13FA5AF0" w14:textId="254D5A88" w:rsidR="007003EF" w:rsidRPr="00C0591E" w:rsidRDefault="005A2367" w:rsidP="00262DDF">
      <w:pPr>
        <w:pStyle w:val="Heading3"/>
      </w:pPr>
      <w:r w:rsidRPr="00C0591E">
        <w:t>5.</w:t>
      </w:r>
      <w:r w:rsidR="00262DDF" w:rsidRPr="00C0591E">
        <w:t>2.2</w:t>
      </w:r>
      <w:r w:rsidRPr="00C0591E">
        <w:t xml:space="preserve"> </w:t>
      </w:r>
      <w:r w:rsidR="00173C67">
        <w:t>Pillars of corporate governance</w:t>
      </w:r>
      <w:r w:rsidRPr="00C0591E">
        <w:t xml:space="preserve">, Investment Policies and Performance </w:t>
      </w:r>
    </w:p>
    <w:p w14:paraId="0224CB9D" w14:textId="53348CF2" w:rsidR="005A2367" w:rsidRPr="00C0591E" w:rsidRDefault="005A2367" w:rsidP="00AC118A">
      <w:pPr>
        <w:rPr>
          <w:color w:val="000000"/>
        </w:rPr>
      </w:pPr>
      <w:r w:rsidRPr="00C0591E">
        <w:t xml:space="preserve">The second objective of the study was to evaluate the intervening effect of investment policies on the relationship between </w:t>
      </w:r>
      <w:r w:rsidR="00173C67">
        <w:t>pillars of corporate governance</w:t>
      </w:r>
      <w:r w:rsidRPr="00C0591E">
        <w:t xml:space="preserve"> and performance of pension fund managers in Kenya.</w:t>
      </w:r>
      <w:r w:rsidRPr="00C0591E">
        <w:rPr>
          <w:color w:val="000000"/>
        </w:rPr>
        <w:t xml:space="preserve"> The second hypothesis stated in the null form is as follows:</w:t>
      </w:r>
    </w:p>
    <w:p w14:paraId="58A3E7C0" w14:textId="7577E73C" w:rsidR="005A2367" w:rsidRPr="00C0591E" w:rsidRDefault="005A2367" w:rsidP="005A2367">
      <w:pPr>
        <w:rPr>
          <w:rFonts w:cs="Times New Roman"/>
          <w:szCs w:val="24"/>
        </w:rPr>
      </w:pPr>
      <w:r w:rsidRPr="00C0591E">
        <w:rPr>
          <w:rFonts w:eastAsia="Times New Roman"/>
          <w:b/>
          <w:szCs w:val="24"/>
        </w:rPr>
        <w:t>H</w:t>
      </w:r>
      <w:r w:rsidRPr="00C0591E">
        <w:rPr>
          <w:rFonts w:eastAsia="Times New Roman"/>
          <w:b/>
          <w:szCs w:val="24"/>
          <w:vertAlign w:val="subscript"/>
        </w:rPr>
        <w:t>02</w:t>
      </w:r>
      <w:r w:rsidRPr="00C0591E">
        <w:rPr>
          <w:rFonts w:eastAsia="Times New Roman"/>
          <w:b/>
          <w:szCs w:val="24"/>
        </w:rPr>
        <w:t>:</w:t>
      </w:r>
      <w:r w:rsidRPr="00C0591E">
        <w:rPr>
          <w:rFonts w:eastAsia="Times New Roman"/>
          <w:szCs w:val="24"/>
        </w:rPr>
        <w:t xml:space="preserve"> There is no significant </w:t>
      </w:r>
      <w:r w:rsidRPr="00C0591E">
        <w:rPr>
          <w:rFonts w:cs="Times New Roman"/>
          <w:szCs w:val="24"/>
        </w:rPr>
        <w:t xml:space="preserve">intervening effect of investment policies on the relationship between </w:t>
      </w:r>
      <w:r w:rsidR="00173C67">
        <w:rPr>
          <w:rFonts w:cs="Times New Roman"/>
          <w:szCs w:val="24"/>
        </w:rPr>
        <w:t>pillars of corporate governance</w:t>
      </w:r>
      <w:r w:rsidRPr="00C0591E">
        <w:rPr>
          <w:rFonts w:cs="Times New Roman"/>
          <w:szCs w:val="24"/>
        </w:rPr>
        <w:t xml:space="preserve"> and performance of pension fund managers in Kenya.</w:t>
      </w:r>
    </w:p>
    <w:p w14:paraId="1E563AA6" w14:textId="7CD12EA3" w:rsidR="005A2367" w:rsidRPr="00C0591E" w:rsidRDefault="005A2367" w:rsidP="005A2367">
      <w:r w:rsidRPr="00C0591E">
        <w:t xml:space="preserve">The intervening effect of investment policies was assessed and results explained using coefficient of determination (R-Square), Analysis of Variance (ANOVA) and the regression coefficients. The intervening effect of investment policies on the relationship between </w:t>
      </w:r>
      <w:r w:rsidR="00173C67">
        <w:t>pillars of corporate governance</w:t>
      </w:r>
      <w:r w:rsidRPr="00C0591E">
        <w:t xml:space="preserve"> and performance of pension fund managers in Kenya was analysed in 4 steps. Steps 1-3 was used to establish that zero-order relationship existed among the variables. Situations where one or more of the relations is non – significant depicts no possibility of mediation (Baron &amp; Kenny, 1986). If they are significant relationships from step 1 through 3, one proceeds to step 4 where mediation is supported if the effect of </w:t>
      </w:r>
      <w:r w:rsidR="00173C67">
        <w:t>pillars of corporate governance</w:t>
      </w:r>
      <w:r w:rsidRPr="00C0591E">
        <w:t xml:space="preserve"> (CG) remains significant after controlling investment policies (IP). If investment policies (IP) is not significant when </w:t>
      </w:r>
      <w:r w:rsidR="00173C67">
        <w:t>pillars of corporate governance</w:t>
      </w:r>
      <w:r w:rsidRPr="00C0591E">
        <w:t xml:space="preserve"> (CG) is controlled, there is full mediation, and if both </w:t>
      </w:r>
      <w:r w:rsidR="00173C67">
        <w:t>pillars of corporate governance</w:t>
      </w:r>
      <w:r w:rsidRPr="00C0591E">
        <w:t xml:space="preserve"> (CG) and investment policies (IP) significantly predict performance of pension fund managers</w:t>
      </w:r>
      <w:r w:rsidRPr="00C0591E">
        <w:rPr>
          <w:lang w:val="en-GB"/>
        </w:rPr>
        <w:t xml:space="preserve"> (P) </w:t>
      </w:r>
      <w:r w:rsidRPr="00C0591E">
        <w:t>there is partial mediation.</w:t>
      </w:r>
    </w:p>
    <w:p w14:paraId="236B4100" w14:textId="64E306F4" w:rsidR="005A2367" w:rsidRPr="00C0591E" w:rsidRDefault="008B3972" w:rsidP="00143506">
      <w:pPr>
        <w:rPr>
          <w:rFonts w:eastAsia="Times New Roman"/>
        </w:rPr>
      </w:pPr>
      <w:r w:rsidRPr="00C0591E">
        <w:t>Step</w:t>
      </w:r>
      <w:r w:rsidR="005A2367" w:rsidRPr="00C0591E">
        <w:t xml:space="preserve"> 1, 2 and 3 were met as the P-value were below 0.05. However, step 4 was not met as the p value for </w:t>
      </w:r>
      <w:r w:rsidR="00173C67">
        <w:t>pillars of corporate governance</w:t>
      </w:r>
      <w:r w:rsidR="005A2367" w:rsidRPr="00C0591E">
        <w:t xml:space="preserve"> was below 0.05. Therefore, this indicated that there exists a partial mediation effect on the mediating role of investment policies on the relationship between </w:t>
      </w:r>
      <w:r w:rsidR="00173C67">
        <w:t>pillars of corporate governance</w:t>
      </w:r>
      <w:r w:rsidR="005A2367" w:rsidRPr="00C0591E">
        <w:t xml:space="preserve"> and performance of pension fund managers. The study thus, rejected the null hypothesis and adopted the alternative hypothesis that there is a partial intervening effect of investment policies in the relationship between </w:t>
      </w:r>
      <w:r w:rsidR="00173C67">
        <w:rPr>
          <w:rFonts w:eastAsia="Times New Roman"/>
        </w:rPr>
        <w:t>pillars of corporate governance</w:t>
      </w:r>
      <w:r w:rsidR="005A2367" w:rsidRPr="00C0591E">
        <w:rPr>
          <w:rFonts w:eastAsia="Times New Roman"/>
        </w:rPr>
        <w:t xml:space="preserve"> and performance of pension fund managers in Kenya.</w:t>
      </w:r>
    </w:p>
    <w:p w14:paraId="02F2F766" w14:textId="2CBD620D" w:rsidR="00A62242" w:rsidRPr="00C0591E" w:rsidRDefault="00A62242" w:rsidP="00A62242">
      <w:r w:rsidRPr="00C0591E">
        <w:rPr>
          <w:rFonts w:eastAsia="Calibri"/>
        </w:rPr>
        <w:t xml:space="preserve">The findings are consistent with </w:t>
      </w:r>
      <w:r w:rsidRPr="00C0591E">
        <w:rPr>
          <w:rFonts w:eastAsia="Calibri" w:cs="Times New Roman"/>
          <w:szCs w:val="24"/>
        </w:rPr>
        <w:t xml:space="preserve">Mutula (2018) who found that diversification decisions, management competency, investment strategies, and regulation compliance have a positive and significant association with the investment performance of pension funds. This is also in line with Sau and Njeru (2018) who found out that investment strategy, members’ contribution, and regulatory framework were key determinants of financial growth of occupational retirement schemes in Kenya. The three determinants were found to have a positive and significant relationship with the financial growth of occupational retirement schemes. </w:t>
      </w:r>
      <w:r w:rsidR="00D23FF2" w:rsidRPr="00C0591E">
        <w:rPr>
          <w:rFonts w:eastAsia="Calibri"/>
        </w:rPr>
        <w:t>Further,</w:t>
      </w:r>
      <w:r w:rsidRPr="00C0591E">
        <w:rPr>
          <w:rFonts w:eastAsia="Calibri"/>
        </w:rPr>
        <w:t xml:space="preserve"> the findings agree with </w:t>
      </w:r>
      <w:r w:rsidRPr="00C0591E">
        <w:rPr>
          <w:rFonts w:eastAsia="Calibri" w:cs="Times New Roman"/>
          <w:szCs w:val="24"/>
        </w:rPr>
        <w:t>Kiprotich (</w:t>
      </w:r>
      <w:r w:rsidR="00C940EA" w:rsidRPr="00C0591E">
        <w:rPr>
          <w:rFonts w:eastAsia="Calibri" w:cs="Times New Roman"/>
          <w:szCs w:val="24"/>
        </w:rPr>
        <w:t>2019</w:t>
      </w:r>
      <w:r w:rsidRPr="00C0591E">
        <w:rPr>
          <w:rFonts w:eastAsia="Calibri" w:cs="Times New Roman"/>
          <w:szCs w:val="24"/>
        </w:rPr>
        <w:t>) whose findings showed that portfolio management strategies, the risk of asset class, selectivity and timing had a positive relationship with the schemes financial performance. This implies</w:t>
      </w:r>
      <w:r w:rsidRPr="00C0591E">
        <w:t xml:space="preserve"> </w:t>
      </w:r>
      <w:r w:rsidRPr="00C0591E">
        <w:rPr>
          <w:rFonts w:eastAsia="Calibri" w:cs="Times New Roman"/>
          <w:szCs w:val="24"/>
        </w:rPr>
        <w:t>that good management of portfolios and risks, and choice of the investment and their timing determines the performance and growth of the schemes.</w:t>
      </w:r>
    </w:p>
    <w:p w14:paraId="5928D6DB" w14:textId="23F2F801" w:rsidR="00A62242" w:rsidRPr="00C0591E" w:rsidRDefault="00A62242" w:rsidP="00A62242">
      <w:r w:rsidRPr="00C0591E">
        <w:rPr>
          <w:rFonts w:eastAsia="Calibri" w:cs="Times New Roman"/>
          <w:szCs w:val="24"/>
        </w:rPr>
        <w:t xml:space="preserve">The findings are in tandem with </w:t>
      </w:r>
      <w:r w:rsidR="00BA2666" w:rsidRPr="00C0591E">
        <w:rPr>
          <w:rFonts w:eastAsia="Calibri" w:cs="Times New Roman"/>
          <w:szCs w:val="24"/>
        </w:rPr>
        <w:t xml:space="preserve">Kimeu </w:t>
      </w:r>
      <w:r w:rsidRPr="00C0591E">
        <w:rPr>
          <w:rFonts w:eastAsia="Calibri" w:cs="Times New Roman"/>
          <w:szCs w:val="24"/>
        </w:rPr>
        <w:t xml:space="preserve">(2015), </w:t>
      </w:r>
      <w:r w:rsidR="00BA2666" w:rsidRPr="00C0591E">
        <w:rPr>
          <w:rFonts w:eastAsia="Calibri" w:cs="Times New Roman"/>
          <w:szCs w:val="24"/>
        </w:rPr>
        <w:t>study</w:t>
      </w:r>
      <w:r w:rsidRPr="00C0591E">
        <w:rPr>
          <w:rFonts w:eastAsia="Calibri" w:cs="Times New Roman"/>
          <w:szCs w:val="24"/>
        </w:rPr>
        <w:t xml:space="preserve"> that</w:t>
      </w:r>
      <w:r w:rsidR="00BA2666" w:rsidRPr="00C0591E">
        <w:rPr>
          <w:rFonts w:eastAsia="Calibri" w:cs="Times New Roman"/>
          <w:szCs w:val="24"/>
        </w:rPr>
        <w:t xml:space="preserve"> found that investment </w:t>
      </w:r>
      <w:r w:rsidRPr="00C0591E">
        <w:rPr>
          <w:rFonts w:eastAsia="Calibri" w:cs="Times New Roman"/>
          <w:szCs w:val="24"/>
        </w:rPr>
        <w:t xml:space="preserve">policies </w:t>
      </w:r>
      <w:r w:rsidR="00BA2666" w:rsidRPr="00C0591E">
        <w:rPr>
          <w:rFonts w:eastAsia="Calibri" w:cs="Times New Roman"/>
          <w:szCs w:val="24"/>
        </w:rPr>
        <w:t xml:space="preserve">positively influences the financial performance of investment companies listed in the Nairobi Securities Exchange. The study also found that investment in real estate and equity by investment companies positively </w:t>
      </w:r>
      <w:r w:rsidR="00D23FF2" w:rsidRPr="00C0591E">
        <w:rPr>
          <w:rFonts w:eastAsia="Calibri" w:cs="Times New Roman"/>
          <w:szCs w:val="24"/>
        </w:rPr>
        <w:t>affected</w:t>
      </w:r>
      <w:r w:rsidR="00BA2666" w:rsidRPr="00C0591E">
        <w:rPr>
          <w:rFonts w:eastAsia="Calibri" w:cs="Times New Roman"/>
          <w:szCs w:val="24"/>
        </w:rPr>
        <w:t xml:space="preserve"> their financial performance</w:t>
      </w:r>
      <w:r w:rsidRPr="00C0591E">
        <w:rPr>
          <w:rFonts w:eastAsia="Calibri" w:cs="Times New Roman"/>
          <w:szCs w:val="24"/>
        </w:rPr>
        <w:t xml:space="preserve">. The study by </w:t>
      </w:r>
      <w:r w:rsidR="00BA2666" w:rsidRPr="00C0591E">
        <w:rPr>
          <w:rFonts w:eastAsia="Calibri"/>
        </w:rPr>
        <w:t>Njuguna (</w:t>
      </w:r>
      <w:r w:rsidR="00C940EA" w:rsidRPr="00C0591E">
        <w:rPr>
          <w:rFonts w:eastAsia="Calibri"/>
        </w:rPr>
        <w:t>2019</w:t>
      </w:r>
      <w:r w:rsidR="00BA2666" w:rsidRPr="00C0591E">
        <w:rPr>
          <w:rFonts w:eastAsia="Calibri"/>
        </w:rPr>
        <w:t>)</w:t>
      </w:r>
      <w:r w:rsidRPr="00C0591E">
        <w:rPr>
          <w:rFonts w:eastAsia="Calibri"/>
        </w:rPr>
        <w:t xml:space="preserve"> also</w:t>
      </w:r>
      <w:r w:rsidR="00BA2666" w:rsidRPr="00C0591E">
        <w:rPr>
          <w:rFonts w:eastAsia="Calibri"/>
        </w:rPr>
        <w:t xml:space="preserve"> </w:t>
      </w:r>
      <w:r w:rsidRPr="00C0591E">
        <w:rPr>
          <w:rFonts w:eastAsia="Calibri"/>
        </w:rPr>
        <w:t xml:space="preserve">found that </w:t>
      </w:r>
      <w:r w:rsidR="00BA2666" w:rsidRPr="00C0591E">
        <w:rPr>
          <w:rFonts w:eastAsia="Calibri"/>
        </w:rPr>
        <w:t>the influence of risk factor as of great concern especially in the bearish financial times. Ideally, the choice of investments should be on the basis of how they interact with one another rather than how they perform in isolation</w:t>
      </w:r>
      <w:r w:rsidRPr="00C0591E">
        <w:rPr>
          <w:rFonts w:eastAsia="Calibri"/>
        </w:rPr>
        <w:t xml:space="preserve">. Nguthu (2019) in his research to establish how much asset allocation policy contributed to the returns level retirement benefit fund in Kenya found that the variation in returns over time for pension schemes. </w:t>
      </w:r>
      <w:r w:rsidRPr="00C0591E">
        <w:rPr>
          <w:rFonts w:eastAsia="Calibri" w:cs="Times New Roman"/>
          <w:szCs w:val="24"/>
        </w:rPr>
        <w:t>Blake, Lehmann and Timmermann (2019) also found that the vast majority of time variation in returns was due to the strategic asset allocation decisions, very little of the variation was due to stock selection.</w:t>
      </w:r>
    </w:p>
    <w:p w14:paraId="1755FF8A" w14:textId="1DF54D05" w:rsidR="00BA2666" w:rsidRPr="00C0591E" w:rsidRDefault="00BA2666" w:rsidP="008824FD">
      <w:r w:rsidRPr="00C0591E">
        <w:rPr>
          <w:rFonts w:eastAsia="Calibri"/>
        </w:rPr>
        <w:t>Patrick (2015) in his study on the relationship between corporate governance and financial performance of parastatals in Kenya found that good corporate governance practices were positively correlated to the financial performance of parastatals in Kenya. The study also found that audit committee, a major component of the board in exercising control through monitoring of financial and operational activities through internal and external audit mechanisms as well as monitoring compliance to ensure efficiency and effectiveness of operations, showed that their exist a positive but weak relationship to financial performance.</w:t>
      </w:r>
      <w:r w:rsidR="00A62242" w:rsidRPr="00C0591E">
        <w:rPr>
          <w:rFonts w:eastAsia="Calibri"/>
        </w:rPr>
        <w:t xml:space="preserve"> </w:t>
      </w:r>
      <w:r w:rsidRPr="00C0591E">
        <w:rPr>
          <w:rFonts w:eastAsia="Calibri"/>
        </w:rPr>
        <w:t xml:space="preserve">Namusonge, Sakwa and Gathogo (2017) </w:t>
      </w:r>
      <w:r w:rsidR="00A62242" w:rsidRPr="00C0591E">
        <w:rPr>
          <w:rFonts w:eastAsia="Calibri"/>
        </w:rPr>
        <w:t xml:space="preserve">also indicated </w:t>
      </w:r>
      <w:r w:rsidRPr="00C0591E">
        <w:rPr>
          <w:rFonts w:eastAsia="Calibri"/>
        </w:rPr>
        <w:t>that the asset mix has an immensely positive influence on the financial performance of occupational pension scheme</w:t>
      </w:r>
    </w:p>
    <w:p w14:paraId="5A720CAB" w14:textId="22436F9E" w:rsidR="00382E18" w:rsidRPr="00C0591E" w:rsidRDefault="00262DDF" w:rsidP="00262DDF">
      <w:pPr>
        <w:pStyle w:val="Heading3"/>
      </w:pPr>
      <w:r w:rsidRPr="00C0591E">
        <w:t>5.2.3</w:t>
      </w:r>
      <w:r w:rsidR="00382E18" w:rsidRPr="00C0591E">
        <w:t xml:space="preserve"> </w:t>
      </w:r>
      <w:r w:rsidR="00173C67">
        <w:t>Pillars of corporate governance</w:t>
      </w:r>
      <w:r w:rsidR="00382E18" w:rsidRPr="00C0591E">
        <w:t xml:space="preserve">, Government Regulation and Performance </w:t>
      </w:r>
    </w:p>
    <w:p w14:paraId="4D43C116" w14:textId="6ED102AF" w:rsidR="00143506" w:rsidRPr="00C0591E" w:rsidRDefault="00143506" w:rsidP="00143506">
      <w:r w:rsidRPr="00C0591E">
        <w:t xml:space="preserve">The third objective was to establish the moderating effect of government regulations on the relationship between </w:t>
      </w:r>
      <w:r w:rsidR="00173C67">
        <w:t>pillars of corporate governance</w:t>
      </w:r>
      <w:r w:rsidRPr="00C0591E">
        <w:t xml:space="preserve"> and performance of pension fund managers in Kenya. The third hypothesis stated in the null form is as follows:</w:t>
      </w:r>
    </w:p>
    <w:p w14:paraId="3B5354F7" w14:textId="59A70C15" w:rsidR="00143506" w:rsidRPr="00C0591E" w:rsidRDefault="00143506" w:rsidP="00143506">
      <w:pPr>
        <w:jc w:val="left"/>
        <w:rPr>
          <w:rFonts w:cs="Times New Roman"/>
          <w:szCs w:val="24"/>
        </w:rPr>
      </w:pPr>
      <w:r w:rsidRPr="00C0591E">
        <w:rPr>
          <w:rFonts w:eastAsia="Times New Roman"/>
          <w:b/>
          <w:szCs w:val="24"/>
        </w:rPr>
        <w:t>H</w:t>
      </w:r>
      <w:r w:rsidRPr="00C0591E">
        <w:rPr>
          <w:rFonts w:eastAsia="Times New Roman"/>
          <w:b/>
          <w:szCs w:val="24"/>
          <w:vertAlign w:val="subscript"/>
        </w:rPr>
        <w:t>03</w:t>
      </w:r>
      <w:r w:rsidRPr="00C0591E">
        <w:rPr>
          <w:rFonts w:eastAsia="Times New Roman"/>
          <w:b/>
          <w:szCs w:val="24"/>
        </w:rPr>
        <w:t>:</w:t>
      </w:r>
      <w:r w:rsidRPr="00C0591E">
        <w:rPr>
          <w:rFonts w:eastAsia="Times New Roman"/>
          <w:szCs w:val="24"/>
        </w:rPr>
        <w:t xml:space="preserve"> There is no significant </w:t>
      </w:r>
      <w:r w:rsidRPr="00C0591E">
        <w:rPr>
          <w:rFonts w:cs="Times New Roman"/>
          <w:szCs w:val="24"/>
        </w:rPr>
        <w:t xml:space="preserve">moderating effect of government regulations on the relationship between </w:t>
      </w:r>
      <w:r w:rsidR="00173C67">
        <w:rPr>
          <w:rFonts w:cs="Times New Roman"/>
          <w:szCs w:val="24"/>
        </w:rPr>
        <w:t>pillars of corporate governance</w:t>
      </w:r>
      <w:r w:rsidRPr="00C0591E">
        <w:rPr>
          <w:rFonts w:cs="Times New Roman"/>
          <w:szCs w:val="24"/>
        </w:rPr>
        <w:t xml:space="preserve"> and performance of pension fund managers in Kenya</w:t>
      </w:r>
    </w:p>
    <w:p w14:paraId="06EF57C2" w14:textId="7F1F2473" w:rsidR="00143506" w:rsidRPr="00C0591E" w:rsidRDefault="00143506" w:rsidP="00143506">
      <w:r w:rsidRPr="00C0591E">
        <w:t xml:space="preserve">The moderating effect of government regulations was assessed and results explained using coefficient of determination (R-Square), Analysis of Variance (ANOVA) and the regression coefficients. Hierarchical regression analysis was performed with an interaction term (a product of </w:t>
      </w:r>
      <w:r w:rsidR="00173C67">
        <w:rPr>
          <w:rFonts w:eastAsia="Times New Roman" w:cs="Times New Roman"/>
          <w:szCs w:val="24"/>
        </w:rPr>
        <w:t>pillars of corporate governance</w:t>
      </w:r>
      <w:r w:rsidRPr="00C0591E">
        <w:rPr>
          <w:rFonts w:eastAsia="Times New Roman" w:cs="Times New Roman"/>
          <w:szCs w:val="24"/>
        </w:rPr>
        <w:t xml:space="preserve"> and</w:t>
      </w:r>
      <w:r w:rsidRPr="00C0591E">
        <w:rPr>
          <w:rFonts w:eastAsia="Times New Roman" w:cs="Times New Roman"/>
          <w:b/>
          <w:szCs w:val="24"/>
        </w:rPr>
        <w:t xml:space="preserve"> </w:t>
      </w:r>
      <w:r w:rsidRPr="00C0591E">
        <w:t xml:space="preserve">government regulations) introduced as an additional predictor. The moderating effect was analyzed in 3 models </w:t>
      </w:r>
    </w:p>
    <w:p w14:paraId="65B5DB44" w14:textId="73FD2CCB" w:rsidR="00143506" w:rsidRPr="00C0591E" w:rsidRDefault="00143506" w:rsidP="00D5212B">
      <w:r w:rsidRPr="00C0591E">
        <w:rPr>
          <w:color w:val="000000"/>
          <w:szCs w:val="24"/>
        </w:rPr>
        <w:t>Since the P value of the interaction term (CG*GR) is 0.000&lt; 0.05 and the R</w:t>
      </w:r>
      <w:r w:rsidRPr="00C0591E">
        <w:rPr>
          <w:color w:val="000000"/>
          <w:szCs w:val="24"/>
          <w:vertAlign w:val="superscript"/>
        </w:rPr>
        <w:t>2</w:t>
      </w:r>
      <w:r w:rsidRPr="00C0591E">
        <w:rPr>
          <w:color w:val="000000"/>
          <w:szCs w:val="24"/>
        </w:rPr>
        <w:t xml:space="preserve"> </w:t>
      </w:r>
      <w:r w:rsidRPr="00C0591E">
        <w:t xml:space="preserve">increased from 55.2% to 61% and 62.7% after the interaction term and thus, we conclude that government regulations moderates the relationship between </w:t>
      </w:r>
      <w:r w:rsidR="00173C67">
        <w:t>pillars of corporate governance</w:t>
      </w:r>
      <w:r w:rsidRPr="00C0591E">
        <w:t xml:space="preserve"> and </w:t>
      </w:r>
      <w:r w:rsidRPr="00C0591E">
        <w:rPr>
          <w:rFonts w:cs="Times New Roman"/>
          <w:szCs w:val="24"/>
        </w:rPr>
        <w:t xml:space="preserve">performance of pension fund managers </w:t>
      </w:r>
      <w:r w:rsidRPr="00C0591E">
        <w:t xml:space="preserve">in Kenya. The study thus rejected the null hypothesis and adopted the alternative hypothesis that there is a significant moderating effect of government regulations on the relationship between </w:t>
      </w:r>
      <w:r w:rsidR="00173C67">
        <w:t>pillars of corporate governance</w:t>
      </w:r>
      <w:r w:rsidRPr="00C0591E">
        <w:t xml:space="preserve"> and </w:t>
      </w:r>
      <w:r w:rsidRPr="00C0591E">
        <w:rPr>
          <w:rFonts w:cs="Times New Roman"/>
          <w:szCs w:val="24"/>
        </w:rPr>
        <w:t>performance of pension fund managers</w:t>
      </w:r>
      <w:r w:rsidRPr="00C0591E">
        <w:t xml:space="preserve"> in Kenya.</w:t>
      </w:r>
    </w:p>
    <w:p w14:paraId="0AF38D75" w14:textId="6852B6A5" w:rsidR="004875AC" w:rsidRPr="00C0591E" w:rsidRDefault="00D5212B" w:rsidP="004875AC">
      <w:r w:rsidRPr="00C0591E">
        <w:t xml:space="preserve">This is in line with </w:t>
      </w:r>
      <w:r w:rsidR="004875AC" w:rsidRPr="00C0591E">
        <w:t xml:space="preserve">Klapper (2014) </w:t>
      </w:r>
      <w:r w:rsidRPr="00C0591E">
        <w:t>who found that</w:t>
      </w:r>
      <w:r w:rsidR="004875AC" w:rsidRPr="00C0591E">
        <w:t xml:space="preserve"> better firm level governance mechanism can improve the investor’s protection to a certain degree but firms alone cannot fully compensate the absence of strong legal </w:t>
      </w:r>
      <w:r w:rsidRPr="00C0591E">
        <w:t>system. Further,</w:t>
      </w:r>
      <w:r w:rsidR="004875AC" w:rsidRPr="00C0591E">
        <w:t xml:space="preserve"> Fasterling (2015</w:t>
      </w:r>
      <w:r w:rsidRPr="00C0591E">
        <w:t>) found that</w:t>
      </w:r>
      <w:r w:rsidR="004875AC" w:rsidRPr="00C0591E">
        <w:t xml:space="preserve"> performance is enhanced when regulations and guidelines have been adhered to. Investors, regulators and other stakeholders clearly consider compliance to be important. In addition to regulation, corporate governance practices are also reflected in different factors such as culture, traditional financial options, corporate ownership patterns and legal origins. Chohan (2017) </w:t>
      </w:r>
      <w:r w:rsidRPr="00C0591E">
        <w:t>also found that</w:t>
      </w:r>
      <w:r w:rsidR="004875AC" w:rsidRPr="00C0591E">
        <w:t xml:space="preserve"> regulatory compliance and corporate governance act in a complementary manner to resolve the agency problem. Regulations reduce management dominance in the firm by increasing the influence of external parties such as auditors and shareholders. Conversely, deregulation increases the influence of management</w:t>
      </w:r>
    </w:p>
    <w:p w14:paraId="05903607" w14:textId="510725F5" w:rsidR="00D5212B" w:rsidRPr="00C0591E" w:rsidRDefault="00D5212B" w:rsidP="00D5212B">
      <w:r w:rsidRPr="00C0591E">
        <w:t xml:space="preserve">This is in agreement with </w:t>
      </w:r>
      <w:r w:rsidR="004875AC" w:rsidRPr="00C0591E">
        <w:t xml:space="preserve">Allen (2015) </w:t>
      </w:r>
      <w:r w:rsidRPr="00C0591E">
        <w:t>who found that</w:t>
      </w:r>
      <w:r w:rsidR="004875AC" w:rsidRPr="00C0591E">
        <w:t xml:space="preserve"> corporate governance in emerging markets has lately attracted much attention due to the weaknesses of corporate governance in developing countries, which was an important reason for a series of economic crises that affected these countries. Emerging markets tend to have quite well-developed physical financial infrastructure including central banks, commercial banks and stock exchanges, but to have less well-developed processes and systems of accounting, governance, regulation and other financial infrastructure, and less efficient markets with less liquidity than the world's most advanced systems. These differences lead to greater uncertainty and risk, and they enhance the international diversification possibilities for investors from all countries in the world.</w:t>
      </w:r>
      <w:r w:rsidRPr="00C0591E">
        <w:t xml:space="preserve"> </w:t>
      </w:r>
      <w:r w:rsidR="004875AC" w:rsidRPr="00C0591E">
        <w:t>Conyon (2017)</w:t>
      </w:r>
      <w:r w:rsidRPr="00C0591E">
        <w:t xml:space="preserve"> also established that</w:t>
      </w:r>
      <w:r w:rsidR="004875AC" w:rsidRPr="00C0591E">
        <w:t xml:space="preserve"> regulatory compliance plays a significant role in determining the success of a corporate governance system and a good corporate governance is more likely to be associated with countries that have a strong legal system</w:t>
      </w:r>
      <w:r w:rsidRPr="00C0591E">
        <w:t>. Njuguna (</w:t>
      </w:r>
      <w:r w:rsidR="00C940EA" w:rsidRPr="00C0591E">
        <w:t>2019</w:t>
      </w:r>
      <w:r w:rsidRPr="00C0591E">
        <w:t xml:space="preserve">) also found that fund regulations influence how funds are governed and led. Adherence to the identified fund regulations were shown to improve fund governance and leadership. </w:t>
      </w:r>
    </w:p>
    <w:p w14:paraId="22CE9226" w14:textId="1CD09870" w:rsidR="00D5212B" w:rsidRPr="00C0591E" w:rsidRDefault="00D5212B" w:rsidP="00D5212B">
      <w:r w:rsidRPr="00C0591E">
        <w:rPr>
          <w:rFonts w:eastAsia="Calibri" w:cs="Times New Roman"/>
          <w:szCs w:val="24"/>
        </w:rPr>
        <w:t xml:space="preserve">The findings also are consistent with Mutula (2018) who established that regulation compliance have a positive and significant association with the investment performance of pension funds and also posited that pension funds should continue adhering to the set regulations. </w:t>
      </w:r>
      <w:r w:rsidRPr="00C0591E">
        <w:t>Bennett and Meerten (2018) found various types of, and approaches to, regulatory and legal structures directly and indirectly affect the time horizons of organizations in different ways. Licensing procedures, patent lives, work place safety regulations, and environmental regulations can either extend or constrain the time horizons of organizations depending on the situation and the manner in which government laws and regulations are implemented. The use of regulation to create or stabilize markets was an important public role in encouraging long-term investment. Government regulation plays an important role in creating safe and reliable financial and air transport markets, albeit the definition of safety in the two markets is quite different. Government's ability to create a monopoly during certain stages of an industry's development is another tool to promote long-term investment (Biondi &amp; Boisseau-Sierra, 2017).</w:t>
      </w:r>
    </w:p>
    <w:p w14:paraId="297C49BB" w14:textId="09019470" w:rsidR="008824FD" w:rsidRPr="00C0591E" w:rsidRDefault="00D5212B" w:rsidP="005162DD">
      <w:r w:rsidRPr="00C0591E">
        <w:rPr>
          <w:rFonts w:eastAsia="Calibri" w:cs="Times New Roman"/>
          <w:szCs w:val="24"/>
        </w:rPr>
        <w:t xml:space="preserve">However the findings are in contradiction with </w:t>
      </w:r>
      <w:r w:rsidRPr="00C0591E">
        <w:rPr>
          <w:rFonts w:cs="Times New Roman"/>
          <w:color w:val="222222"/>
          <w:szCs w:val="20"/>
          <w:shd w:val="clear" w:color="auto" w:fill="FFFFFF"/>
        </w:rPr>
        <w:t>Dempsey</w:t>
      </w:r>
      <w:r w:rsidRPr="00C0591E">
        <w:t xml:space="preserve"> (</w:t>
      </w:r>
      <w:r w:rsidR="00C940EA" w:rsidRPr="00C0591E">
        <w:t>2019</w:t>
      </w:r>
      <w:r w:rsidRPr="00C0591E">
        <w:t xml:space="preserve">) on the impact of government policy on pension profitability found that pension fund are impacted by regulation in the United States, and that this impact has a negative correlation with the profitability of </w:t>
      </w:r>
      <w:r w:rsidR="00BD5130" w:rsidRPr="00C0591E">
        <w:t>pension fund managers</w:t>
      </w:r>
      <w:r w:rsidRPr="00C0591E">
        <w:t>. Through this determination, it can be concluded that regulation has an inherent inefficiency, and this inefficiency has been a factor in the decreased stability of the aviation industry. Regulations’ negative impact on profitability suggests that the government is not accurate when conducting cost analyses prior to the implementation of new regulations.</w:t>
      </w:r>
      <w:r w:rsidR="005162DD" w:rsidRPr="00C0591E">
        <w:t xml:space="preserve"> Biondi and Boisseau-Sierra (2017) also found that the use of regulation to create or stabilize markets is an important public role in encouraging long-term investment. Government regulation plays an important role in creating safe and reliable financial and air transport markets, albeit the definition of safety in the two markets is quite </w:t>
      </w:r>
      <w:r w:rsidR="007C04F6" w:rsidRPr="00C0591E">
        <w:t>different.</w:t>
      </w:r>
    </w:p>
    <w:p w14:paraId="01F12291" w14:textId="0DA79B02" w:rsidR="00143506" w:rsidRPr="00C0591E" w:rsidRDefault="00262DDF" w:rsidP="00262DDF">
      <w:pPr>
        <w:pStyle w:val="Heading3"/>
      </w:pPr>
      <w:r w:rsidRPr="00C0591E">
        <w:t>5.2.4</w:t>
      </w:r>
      <w:r w:rsidR="00143506" w:rsidRPr="00C0591E">
        <w:t xml:space="preserve"> </w:t>
      </w:r>
      <w:r w:rsidR="00682D49" w:rsidRPr="00C0591E">
        <w:t>Moderation – Mediator Effect</w:t>
      </w:r>
    </w:p>
    <w:p w14:paraId="3EE110CA" w14:textId="53E2B92D" w:rsidR="00346C57" w:rsidRPr="00C0591E" w:rsidRDefault="00346C57" w:rsidP="00BD5130">
      <w:pPr>
        <w:rPr>
          <w:rFonts w:eastAsia="Calibri" w:cs="Times New Roman"/>
          <w:szCs w:val="24"/>
        </w:rPr>
      </w:pPr>
      <w:r w:rsidRPr="00C0591E">
        <w:t xml:space="preserve">The fourth objective of the study was to determine </w:t>
      </w:r>
      <w:r w:rsidR="00682D49" w:rsidRPr="00C0591E">
        <w:t>the</w:t>
      </w:r>
      <w:r w:rsidRPr="00C0591E">
        <w:t xml:space="preserve"> </w:t>
      </w:r>
      <w:r w:rsidR="00682D49" w:rsidRPr="00C0591E">
        <w:t xml:space="preserve">moderation - mediator effect on the relationship between </w:t>
      </w:r>
      <w:r w:rsidR="00173C67">
        <w:t>pillars of corporate governance</w:t>
      </w:r>
      <w:r w:rsidR="00682D49" w:rsidRPr="00C0591E">
        <w:t xml:space="preserve"> and performance of pension fund managers in Kenya</w:t>
      </w:r>
      <w:r w:rsidRPr="00C0591E">
        <w:t xml:space="preserve">. </w:t>
      </w:r>
      <w:r w:rsidRPr="00C0591E">
        <w:rPr>
          <w:rFonts w:eastAsia="Calibri" w:cs="Times New Roman"/>
          <w:color w:val="000000"/>
        </w:rPr>
        <w:t xml:space="preserve">The fourth hypothesis stated in the null form </w:t>
      </w:r>
      <w:r w:rsidR="00682D49" w:rsidRPr="00C0591E">
        <w:rPr>
          <w:rFonts w:eastAsia="Calibri" w:cs="Times New Roman"/>
          <w:color w:val="000000"/>
        </w:rPr>
        <w:t>was</w:t>
      </w:r>
      <w:r w:rsidRPr="00C0591E">
        <w:rPr>
          <w:rFonts w:eastAsia="Calibri" w:cs="Times New Roman"/>
          <w:color w:val="000000"/>
        </w:rPr>
        <w:t xml:space="preserve"> as follows:</w:t>
      </w:r>
    </w:p>
    <w:p w14:paraId="5B4DDA3E" w14:textId="0567F57F" w:rsidR="00346C57" w:rsidRPr="00C0591E" w:rsidRDefault="00346C57" w:rsidP="00346C57">
      <w:pPr>
        <w:rPr>
          <w:rFonts w:cs="Times New Roman"/>
          <w:szCs w:val="24"/>
        </w:rPr>
      </w:pPr>
      <w:r w:rsidRPr="00C0591E">
        <w:rPr>
          <w:rFonts w:eastAsia="Times New Roman"/>
          <w:b/>
          <w:szCs w:val="24"/>
        </w:rPr>
        <w:t>H0</w:t>
      </w:r>
      <w:r w:rsidRPr="00C0591E">
        <w:rPr>
          <w:rFonts w:eastAsia="Times New Roman"/>
          <w:b/>
          <w:szCs w:val="24"/>
          <w:vertAlign w:val="subscript"/>
        </w:rPr>
        <w:t>4</w:t>
      </w:r>
      <w:r w:rsidRPr="00C0591E">
        <w:rPr>
          <w:rFonts w:eastAsia="Times New Roman"/>
          <w:b/>
          <w:szCs w:val="24"/>
        </w:rPr>
        <w:t>:</w:t>
      </w:r>
      <w:r w:rsidRPr="00C0591E">
        <w:rPr>
          <w:rFonts w:eastAsia="Times New Roman"/>
          <w:szCs w:val="24"/>
        </w:rPr>
        <w:t xml:space="preserve"> </w:t>
      </w:r>
      <w:r w:rsidR="006C3137" w:rsidRPr="00C0591E">
        <w:rPr>
          <w:rFonts w:eastAsia="Times New Roman"/>
          <w:szCs w:val="24"/>
        </w:rPr>
        <w:t xml:space="preserve">There is no significant moderation – mediator effect on the relationship between </w:t>
      </w:r>
      <w:r w:rsidR="00173C67">
        <w:rPr>
          <w:rFonts w:eastAsia="Times New Roman"/>
          <w:szCs w:val="24"/>
        </w:rPr>
        <w:t>pillars of corporate governance</w:t>
      </w:r>
      <w:r w:rsidR="006C3137" w:rsidRPr="00C0591E">
        <w:rPr>
          <w:rFonts w:eastAsia="Times New Roman"/>
          <w:szCs w:val="24"/>
        </w:rPr>
        <w:t xml:space="preserve"> and performance of pension fund managers in Kenya</w:t>
      </w:r>
      <w:r w:rsidRPr="00C0591E">
        <w:rPr>
          <w:rFonts w:cs="Times New Roman"/>
          <w:szCs w:val="24"/>
        </w:rPr>
        <w:t>.</w:t>
      </w:r>
    </w:p>
    <w:p w14:paraId="081C0EF6" w14:textId="46DC8B9E" w:rsidR="00346C57" w:rsidRPr="00C0591E" w:rsidRDefault="00682D49" w:rsidP="00A9297F">
      <w:r w:rsidRPr="00C0591E">
        <w:rPr>
          <w:rFonts w:eastAsia="Times New Roman"/>
          <w:lang w:val="en-GB" w:eastAsia="en-GB"/>
        </w:rPr>
        <w:t xml:space="preserve">Hayes and Rockwood (2020) model for moderation - mediator was adopted. The effect was assessed, and results explained using coefficient of determination (R-Square), Analysis of Variance (ANOVA) and the regression coefficients. Analysis of Variance consists of calculations that provide information about levels of variability within a regression model and form a basis for tests of significance. </w:t>
      </w:r>
      <w:r w:rsidRPr="00C0591E">
        <w:t xml:space="preserve">The regression of coefficients results shows that in step one, the regression model of </w:t>
      </w:r>
      <w:r w:rsidR="00173C67">
        <w:t>pillars of corporate governance</w:t>
      </w:r>
      <w:r w:rsidR="006C3137" w:rsidRPr="00C0591E">
        <w:t xml:space="preserve"> </w:t>
      </w:r>
      <w:r w:rsidRPr="00C0591E">
        <w:t xml:space="preserve">on </w:t>
      </w:r>
      <w:r w:rsidR="006C3137" w:rsidRPr="00C0591E">
        <w:t>performance</w:t>
      </w:r>
      <w:r w:rsidRPr="00C0591E">
        <w:t xml:space="preserve"> was significant. In step two, the results show that the regression model of </w:t>
      </w:r>
      <w:r w:rsidR="00173C67">
        <w:t>pillars of corporate governance</w:t>
      </w:r>
      <w:r w:rsidRPr="00C0591E">
        <w:t xml:space="preserve">, </w:t>
      </w:r>
      <w:r w:rsidR="006C3137" w:rsidRPr="00C0591E">
        <w:t>government</w:t>
      </w:r>
      <w:r w:rsidRPr="00C0591E">
        <w:t xml:space="preserve"> </w:t>
      </w:r>
      <w:r w:rsidR="006C3137" w:rsidRPr="00C0591E">
        <w:t>r</w:t>
      </w:r>
      <w:r w:rsidRPr="00C0591E">
        <w:t xml:space="preserve">egulation, </w:t>
      </w:r>
      <w:r w:rsidR="006C3137" w:rsidRPr="00C0591E">
        <w:t>investment policies</w:t>
      </w:r>
      <w:r w:rsidRPr="00C0591E">
        <w:t xml:space="preserve"> and the interaction term </w:t>
      </w:r>
      <w:r w:rsidR="006C3137" w:rsidRPr="00C0591E">
        <w:t xml:space="preserve">government regulation*investment policies </w:t>
      </w:r>
      <w:r w:rsidRPr="00C0591E">
        <w:t xml:space="preserve">on </w:t>
      </w:r>
      <w:r w:rsidR="00A9297F" w:rsidRPr="00C0591E">
        <w:t xml:space="preserve">performance of pension fund managers </w:t>
      </w:r>
      <w:r w:rsidRPr="00C0591E">
        <w:t xml:space="preserve">was significant. Since, the p value for the Moderation - mediating term (CS*ER) was significant 0.000&lt;0.05 was less than the critical value 0.05, </w:t>
      </w:r>
      <w:bookmarkStart w:id="330" w:name="_Hlk87777263"/>
      <w:r w:rsidRPr="00C0591E">
        <w:t xml:space="preserve">the study rejected the null hypotheses that </w:t>
      </w:r>
      <w:r w:rsidRPr="00C0591E">
        <w:rPr>
          <w:color w:val="000000"/>
        </w:rPr>
        <w:t xml:space="preserve">there is no significant </w:t>
      </w:r>
      <w:r w:rsidR="00A9297F" w:rsidRPr="00C0591E">
        <w:rPr>
          <w:rFonts w:eastAsia="Times New Roman"/>
        </w:rPr>
        <w:t xml:space="preserve">moderation – mediator effect on the relationship between </w:t>
      </w:r>
      <w:r w:rsidR="00173C67">
        <w:rPr>
          <w:rFonts w:eastAsia="Times New Roman"/>
        </w:rPr>
        <w:t>pillars of corporate governance</w:t>
      </w:r>
      <w:r w:rsidR="00A9297F" w:rsidRPr="00C0591E">
        <w:rPr>
          <w:rFonts w:eastAsia="Times New Roman"/>
        </w:rPr>
        <w:t xml:space="preserve"> and performance of pension fund managers in Kenya</w:t>
      </w:r>
      <w:r w:rsidRPr="00C0591E">
        <w:t>.</w:t>
      </w:r>
      <w:bookmarkEnd w:id="330"/>
    </w:p>
    <w:p w14:paraId="3E4CBE30" w14:textId="78AC3B31" w:rsidR="00D200C7" w:rsidRPr="00C0591E" w:rsidRDefault="000E79A6" w:rsidP="007C04F6">
      <w:pPr>
        <w:rPr>
          <w:rFonts w:eastAsia="Calibri" w:cs="Times New Roman"/>
        </w:rPr>
      </w:pPr>
      <w:r w:rsidRPr="00C0591E">
        <w:t xml:space="preserve">The findings agree with </w:t>
      </w:r>
      <w:r w:rsidR="00D200C7" w:rsidRPr="00C0591E">
        <w:t xml:space="preserve">Amba (2014) who found a positive correlation between financial performance and proportion of institution ownership among firms. On the other hand, Zaman </w:t>
      </w:r>
      <w:r w:rsidR="00D200C7" w:rsidRPr="00C0591E">
        <w:rPr>
          <w:i/>
        </w:rPr>
        <w:t>et al.</w:t>
      </w:r>
      <w:r w:rsidR="00D200C7" w:rsidRPr="00C0591E">
        <w:t xml:space="preserve">, (2014) conclude that financial performance was positively related to transparency and disclosure among the banks. The findings also agree with </w:t>
      </w:r>
      <w:r w:rsidR="00D200C7" w:rsidRPr="00C0591E">
        <w:rPr>
          <w:rFonts w:eastAsia="Times New Roman"/>
        </w:rPr>
        <w:t xml:space="preserve">Ullah </w:t>
      </w:r>
      <w:r w:rsidR="00D200C7" w:rsidRPr="00C0591E">
        <w:rPr>
          <w:i/>
        </w:rPr>
        <w:t>et al.</w:t>
      </w:r>
      <w:r w:rsidR="00D200C7" w:rsidRPr="00C0591E">
        <w:t>, (2019) who established a p</w:t>
      </w:r>
      <w:r w:rsidR="00D200C7" w:rsidRPr="00C0591E">
        <w:rPr>
          <w:rFonts w:eastAsia="Times New Roman"/>
        </w:rPr>
        <w:t>ositive relationship between accountability, transparency and organizational performance.</w:t>
      </w:r>
      <w:r w:rsidR="00D200C7" w:rsidRPr="00C0591E">
        <w:t xml:space="preserve"> The study findings also illustrated that accountability and transparency had a significant impact on the firm performance. The findings are also in line with Mang’unyi (</w:t>
      </w:r>
      <w:r w:rsidR="00C940EA" w:rsidRPr="00C0591E">
        <w:t>2019</w:t>
      </w:r>
      <w:r w:rsidR="00D200C7" w:rsidRPr="00C0591E">
        <w:t xml:space="preserve">) who established a positive relationship between ownership structure and financial performance of selected banks in Kenya. The study posits the need for promoting corporate governance to attract potential investors. Mokaya and Jagongo (2015) finds a significant positive association between financial performances, ownership structure and ownership concentration of firms. Their study regression analysis results show a significant association between financial performance, ownership structure and ownership concentration. </w:t>
      </w:r>
      <w:r w:rsidR="00E2184C" w:rsidRPr="00C0591E">
        <w:rPr>
          <w:rFonts w:eastAsia="Calibri"/>
        </w:rPr>
        <w:t>Further,</w:t>
      </w:r>
      <w:r w:rsidR="00D200C7" w:rsidRPr="00C0591E">
        <w:rPr>
          <w:rFonts w:eastAsia="Calibri"/>
        </w:rPr>
        <w:t xml:space="preserve"> the findings agree with </w:t>
      </w:r>
      <w:r w:rsidR="00D200C7" w:rsidRPr="00C0591E">
        <w:rPr>
          <w:rFonts w:eastAsia="Calibri" w:cs="Times New Roman"/>
        </w:rPr>
        <w:t>Kiprotich (</w:t>
      </w:r>
      <w:r w:rsidR="00C940EA" w:rsidRPr="00C0591E">
        <w:rPr>
          <w:rFonts w:eastAsia="Calibri" w:cs="Times New Roman"/>
        </w:rPr>
        <w:t>2019</w:t>
      </w:r>
      <w:r w:rsidR="00D200C7" w:rsidRPr="00C0591E">
        <w:rPr>
          <w:rFonts w:eastAsia="Calibri" w:cs="Times New Roman"/>
        </w:rPr>
        <w:t>) whose findings showed that portfolio management strategies, the risk of asset class, selectivity and timing had a positive relationship with the schemes financial performance. This implies</w:t>
      </w:r>
      <w:r w:rsidR="00D200C7" w:rsidRPr="00C0591E">
        <w:t xml:space="preserve"> </w:t>
      </w:r>
      <w:r w:rsidR="00D200C7" w:rsidRPr="00C0591E">
        <w:rPr>
          <w:rFonts w:eastAsia="Calibri" w:cs="Times New Roman"/>
        </w:rPr>
        <w:t>that good management of portfolios and risks, and choice of the investment and their timing determines the performance and growth of the schemes.</w:t>
      </w:r>
    </w:p>
    <w:p w14:paraId="1C855CF9" w14:textId="2C00F3BC" w:rsidR="00A565CE" w:rsidRDefault="007C04F6" w:rsidP="00A565CE">
      <w:pPr>
        <w:rPr>
          <w:rFonts w:eastAsia="Calibri" w:cs="Times New Roman"/>
          <w:szCs w:val="24"/>
        </w:rPr>
      </w:pPr>
      <w:r w:rsidRPr="00C0591E">
        <w:t xml:space="preserve">Bonizzi and Churchill (2017) found that as the investment return on pension funds’ assets determines the costs of providing a defined-benefit pension plan, the efficiency argument requires efficiency of the investment process. Woods (2017) found that regulation of the asset investment of pension funds is generally classified along two broad concepts. The prudent person principle as the qualitative regulatory principle requiring diversification of assets and the limit setting of the quantitative regulatory approach. Gompers, </w:t>
      </w:r>
      <w:r w:rsidRPr="00C0591E">
        <w:rPr>
          <w:i/>
        </w:rPr>
        <w:t>et al</w:t>
      </w:r>
      <w:r w:rsidRPr="00C0591E">
        <w:t>. (</w:t>
      </w:r>
      <w:r w:rsidR="00C940EA" w:rsidRPr="00C0591E">
        <w:t>2019</w:t>
      </w:r>
      <w:r w:rsidRPr="00C0591E">
        <w:t>) study also found the contribution of institutional ownership and ownership concentration as a strong correlation between good corporate governance practices and company performance</w:t>
      </w:r>
      <w:r w:rsidR="00A565CE" w:rsidRPr="00C0591E">
        <w:t xml:space="preserve">. </w:t>
      </w:r>
      <w:r w:rsidR="00A565CE" w:rsidRPr="00C0591E">
        <w:rPr>
          <w:rFonts w:eastAsia="Calibri"/>
        </w:rPr>
        <w:t>Njuguna (</w:t>
      </w:r>
      <w:r w:rsidR="00C940EA" w:rsidRPr="00C0591E">
        <w:rPr>
          <w:rFonts w:eastAsia="Calibri"/>
        </w:rPr>
        <w:t>2019</w:t>
      </w:r>
      <w:r w:rsidR="00A565CE" w:rsidRPr="00C0591E">
        <w:rPr>
          <w:rFonts w:eastAsia="Calibri"/>
        </w:rPr>
        <w:t xml:space="preserve">) also found that the influence of risk factor as of great concern especially in the bearish financial times. Ideally, the choice of investments should be on the basis of how they interact with one another rather than how they perform in isolation. Nguthu (2019) in his research to establish how much asset allocation policy contributed to the returns level retirement benefit fund in Kenya found that the variation in returns over time for pension schemes. </w:t>
      </w:r>
      <w:r w:rsidR="00A565CE" w:rsidRPr="00C0591E">
        <w:rPr>
          <w:rFonts w:eastAsia="Calibri" w:cs="Times New Roman"/>
          <w:szCs w:val="24"/>
        </w:rPr>
        <w:t>Blake, Lehmann and Timmermann (2019) also found that the vast majority of time variation in returns was due to the strategic asset allocation decisions, very little of the variation was due to stock selection.</w:t>
      </w:r>
    </w:p>
    <w:p w14:paraId="3B932D24" w14:textId="1772233E" w:rsidR="00C56B91" w:rsidRPr="00C56B91" w:rsidRDefault="00C56B91" w:rsidP="00A565CE">
      <w:r w:rsidRPr="00C0591E">
        <w:t>The findings are also consistent with Haniffa and Hudaib (2016) who found a positive relationship between the board size and the firm performance as measured by ROA, which is in contrast with their prior finding of a negative relationship between board size and the firm performance measured by Tobin‘s Q. This divergence takes place because of the perceptions of the investors and the management for the large boards which is based on large boards enhancing the knowledge of the business. The study found that the wider knowledge base inherent in larger boards facilitates better business decisions to reduce the agency problem. They demonstrated that their results stayed fixed and unchanged even if using inflation adjusted data. This indicates that large boards provide important role of effective monitoring in uncertain economic and political periods to reduce agency problems and improve firm performance. The study by Apadore and Zainol (2014) argued that some principles to be complied in the construction of boards, to ensure the best structure: meeting frequently, effective communication between board members and shareholders, willingness to consider suggestions from each other, high level of integrity, concern about financial risks and awareness and rationale to solve financial problems, and to take any course of action to improve the efficiency of the company.</w:t>
      </w:r>
    </w:p>
    <w:p w14:paraId="470B1E2B" w14:textId="77777777" w:rsidR="00262DDF" w:rsidRPr="00C0591E" w:rsidRDefault="00262DDF" w:rsidP="00262DDF">
      <w:pPr>
        <w:pStyle w:val="Heading2"/>
        <w:rPr>
          <w:lang w:eastAsia="en-GB"/>
        </w:rPr>
      </w:pPr>
      <w:bookmarkStart w:id="331" w:name="_Toc78303067"/>
      <w:bookmarkStart w:id="332" w:name="_Toc84504770"/>
      <w:bookmarkStart w:id="333" w:name="_Toc109897124"/>
      <w:bookmarkStart w:id="334" w:name="_Toc113125117"/>
      <w:r w:rsidRPr="00C0591E">
        <w:rPr>
          <w:lang w:eastAsia="en-GB"/>
        </w:rPr>
        <w:t xml:space="preserve">5.3 </w:t>
      </w:r>
      <w:r w:rsidRPr="00C0591E">
        <w:t>Summary</w:t>
      </w:r>
      <w:r w:rsidRPr="00C0591E">
        <w:rPr>
          <w:lang w:eastAsia="en-GB"/>
        </w:rPr>
        <w:t xml:space="preserve"> of Research Findings</w:t>
      </w:r>
      <w:bookmarkEnd w:id="331"/>
      <w:bookmarkEnd w:id="332"/>
      <w:bookmarkEnd w:id="333"/>
      <w:bookmarkEnd w:id="334"/>
    </w:p>
    <w:p w14:paraId="1091331D" w14:textId="247D9D46" w:rsidR="00262DDF" w:rsidRDefault="00262DDF" w:rsidP="00262DDF">
      <w:pPr>
        <w:rPr>
          <w:lang w:val="en-GB" w:eastAsia="en-GB"/>
        </w:rPr>
      </w:pPr>
      <w:r w:rsidRPr="00C0591E">
        <w:rPr>
          <w:lang w:val="en-GB" w:eastAsia="en-GB"/>
        </w:rPr>
        <w:t>Chapter five presented discussions of the findings of the study. The discussions and interpretations have been made using statistical knowledge and the existing body of theoretical and empirical literature. Based on the findings, hypotheses one, three and four were not confirmed, while hypothesis two presented partial mediation. The summary of the results is outlined in Table 34.</w:t>
      </w:r>
    </w:p>
    <w:p w14:paraId="02074E97" w14:textId="2B3CC9DD" w:rsidR="00C813FD" w:rsidRDefault="00C813FD" w:rsidP="00262DDF">
      <w:pPr>
        <w:rPr>
          <w:lang w:val="en-GB" w:eastAsia="en-GB"/>
        </w:rPr>
      </w:pPr>
    </w:p>
    <w:p w14:paraId="5618E90B" w14:textId="3693C452" w:rsidR="00C813FD" w:rsidRDefault="00C813FD" w:rsidP="00262DDF">
      <w:pPr>
        <w:rPr>
          <w:lang w:val="en-GB" w:eastAsia="en-GB"/>
        </w:rPr>
      </w:pPr>
    </w:p>
    <w:p w14:paraId="5DDF493E" w14:textId="0C63A770" w:rsidR="00C813FD" w:rsidRDefault="00C813FD" w:rsidP="00262DDF">
      <w:pPr>
        <w:rPr>
          <w:lang w:val="en-GB" w:eastAsia="en-GB"/>
        </w:rPr>
      </w:pPr>
    </w:p>
    <w:p w14:paraId="21B874E4" w14:textId="1A1E0AC6" w:rsidR="00C813FD" w:rsidRPr="00C0591E" w:rsidRDefault="00C813FD" w:rsidP="00262DDF">
      <w:pPr>
        <w:rPr>
          <w:lang w:val="en-GB" w:eastAsia="en-GB"/>
        </w:rPr>
      </w:pPr>
    </w:p>
    <w:p w14:paraId="286ABBA9" w14:textId="67FD9987" w:rsidR="00191F36" w:rsidRPr="00C0591E" w:rsidRDefault="00191F36" w:rsidP="00191F36">
      <w:pPr>
        <w:pStyle w:val="Heading4"/>
      </w:pPr>
      <w:bookmarkStart w:id="335" w:name="_Toc106448871"/>
      <w:bookmarkStart w:id="336" w:name="_Toc113125169"/>
      <w:r w:rsidRPr="00C0591E">
        <w:t>Table 34: Summary of Key Findings</w:t>
      </w:r>
      <w:bookmarkEnd w:id="335"/>
      <w:bookmarkEnd w:id="336"/>
    </w:p>
    <w:tbl>
      <w:tblPr>
        <w:tblStyle w:val="ListTable6Colorful"/>
        <w:tblW w:w="5000" w:type="pct"/>
        <w:shd w:val="clear" w:color="auto" w:fill="FFFFFF" w:themeFill="background1"/>
        <w:tblLook w:val="04A0" w:firstRow="1" w:lastRow="0" w:firstColumn="1" w:lastColumn="0" w:noHBand="0" w:noVBand="1"/>
      </w:tblPr>
      <w:tblGrid>
        <w:gridCol w:w="2701"/>
        <w:gridCol w:w="2791"/>
        <w:gridCol w:w="1982"/>
        <w:gridCol w:w="1552"/>
      </w:tblGrid>
      <w:tr w:rsidR="007336EB" w:rsidRPr="00C0591E" w14:paraId="383224D8" w14:textId="77777777" w:rsidTr="00191F3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96" w:type="pct"/>
            <w:shd w:val="clear" w:color="auto" w:fill="FFFFFF" w:themeFill="background1"/>
          </w:tcPr>
          <w:p w14:paraId="0478C038" w14:textId="77777777" w:rsidR="00262DDF" w:rsidRPr="00C0591E" w:rsidRDefault="00262DDF" w:rsidP="007336EB">
            <w:pPr>
              <w:autoSpaceDE w:val="0"/>
              <w:autoSpaceDN w:val="0"/>
              <w:adjustRightInd w:val="0"/>
              <w:spacing w:before="0" w:after="0" w:line="276" w:lineRule="auto"/>
              <w:rPr>
                <w:rFonts w:cs="Times New Roman"/>
                <w:sz w:val="22"/>
              </w:rPr>
            </w:pPr>
            <w:r w:rsidRPr="00C0591E">
              <w:rPr>
                <w:rFonts w:cs="Times New Roman"/>
                <w:sz w:val="22"/>
              </w:rPr>
              <w:t>Objective</w:t>
            </w:r>
          </w:p>
        </w:tc>
        <w:tc>
          <w:tcPr>
            <w:tcW w:w="1546" w:type="pct"/>
            <w:shd w:val="clear" w:color="auto" w:fill="FFFFFF" w:themeFill="background1"/>
          </w:tcPr>
          <w:p w14:paraId="2772E469" w14:textId="77777777" w:rsidR="00262DDF" w:rsidRPr="00C0591E" w:rsidRDefault="00262DDF" w:rsidP="007336EB">
            <w:pPr>
              <w:autoSpaceDE w:val="0"/>
              <w:autoSpaceDN w:val="0"/>
              <w:adjustRightInd w:val="0"/>
              <w:spacing w:before="0" w:after="0" w:line="276" w:lineRule="auto"/>
              <w:cnfStyle w:val="100000000000" w:firstRow="1" w:lastRow="0" w:firstColumn="0" w:lastColumn="0" w:oddVBand="0" w:evenVBand="0" w:oddHBand="0" w:evenHBand="0" w:firstRowFirstColumn="0" w:firstRowLastColumn="0" w:lastRowFirstColumn="0" w:lastRowLastColumn="0"/>
              <w:rPr>
                <w:rFonts w:cs="Times New Roman"/>
                <w:sz w:val="22"/>
              </w:rPr>
            </w:pPr>
            <w:r w:rsidRPr="00C0591E">
              <w:rPr>
                <w:rFonts w:cs="Times New Roman"/>
                <w:sz w:val="22"/>
              </w:rPr>
              <w:t>Hypotheses</w:t>
            </w:r>
          </w:p>
        </w:tc>
        <w:tc>
          <w:tcPr>
            <w:tcW w:w="1098" w:type="pct"/>
            <w:shd w:val="clear" w:color="auto" w:fill="FFFFFF" w:themeFill="background1"/>
          </w:tcPr>
          <w:p w14:paraId="7DB14F3B" w14:textId="5F86A3E8" w:rsidR="00262DDF" w:rsidRPr="00C0591E" w:rsidRDefault="00262DDF" w:rsidP="007336EB">
            <w:pPr>
              <w:autoSpaceDE w:val="0"/>
              <w:autoSpaceDN w:val="0"/>
              <w:adjustRightInd w:val="0"/>
              <w:spacing w:before="0" w:after="0" w:line="276" w:lineRule="auto"/>
              <w:jc w:val="left"/>
              <w:cnfStyle w:val="100000000000" w:firstRow="1" w:lastRow="0" w:firstColumn="0" w:lastColumn="0" w:oddVBand="0" w:evenVBand="0" w:oddHBand="0" w:evenHBand="0" w:firstRowFirstColumn="0" w:firstRowLastColumn="0" w:lastRowFirstColumn="0" w:lastRowLastColumn="0"/>
              <w:rPr>
                <w:rFonts w:cs="Times New Roman"/>
                <w:sz w:val="22"/>
              </w:rPr>
            </w:pPr>
            <w:r w:rsidRPr="00C0591E">
              <w:rPr>
                <w:rFonts w:cs="Times New Roman"/>
                <w:sz w:val="22"/>
              </w:rPr>
              <w:t>Acceptance / Rejection criteria</w:t>
            </w:r>
          </w:p>
        </w:tc>
        <w:tc>
          <w:tcPr>
            <w:tcW w:w="860" w:type="pct"/>
            <w:shd w:val="clear" w:color="auto" w:fill="FFFFFF" w:themeFill="background1"/>
          </w:tcPr>
          <w:p w14:paraId="584D46F1" w14:textId="77777777" w:rsidR="00262DDF" w:rsidRPr="00C0591E" w:rsidRDefault="00262DDF" w:rsidP="007336EB">
            <w:pPr>
              <w:autoSpaceDE w:val="0"/>
              <w:autoSpaceDN w:val="0"/>
              <w:adjustRightInd w:val="0"/>
              <w:spacing w:before="0" w:after="0" w:line="276" w:lineRule="auto"/>
              <w:jc w:val="left"/>
              <w:cnfStyle w:val="100000000000" w:firstRow="1" w:lastRow="0" w:firstColumn="0" w:lastColumn="0" w:oddVBand="0" w:evenVBand="0" w:oddHBand="0" w:evenHBand="0" w:firstRowFirstColumn="0" w:firstRowLastColumn="0" w:lastRowFirstColumn="0" w:lastRowLastColumn="0"/>
              <w:rPr>
                <w:rFonts w:cs="Times New Roman"/>
                <w:sz w:val="22"/>
              </w:rPr>
            </w:pPr>
            <w:r w:rsidRPr="00C0591E">
              <w:rPr>
                <w:rFonts w:cs="Times New Roman"/>
                <w:sz w:val="22"/>
              </w:rPr>
              <w:t xml:space="preserve">Hypotheses </w:t>
            </w:r>
          </w:p>
          <w:p w14:paraId="16398864" w14:textId="27A76850" w:rsidR="00262DDF" w:rsidRPr="00C0591E" w:rsidRDefault="00262DDF" w:rsidP="007336EB">
            <w:pPr>
              <w:autoSpaceDE w:val="0"/>
              <w:autoSpaceDN w:val="0"/>
              <w:adjustRightInd w:val="0"/>
              <w:spacing w:before="0" w:after="0" w:line="276" w:lineRule="auto"/>
              <w:jc w:val="left"/>
              <w:cnfStyle w:val="100000000000" w:firstRow="1" w:lastRow="0" w:firstColumn="0" w:lastColumn="0" w:oddVBand="0" w:evenVBand="0" w:oddHBand="0" w:evenHBand="0" w:firstRowFirstColumn="0" w:firstRowLastColumn="0" w:lastRowFirstColumn="0" w:lastRowLastColumn="0"/>
              <w:rPr>
                <w:rFonts w:cs="Times New Roman"/>
                <w:sz w:val="22"/>
              </w:rPr>
            </w:pPr>
            <w:r w:rsidRPr="00C0591E">
              <w:rPr>
                <w:rFonts w:cs="Times New Roman"/>
                <w:sz w:val="22"/>
              </w:rPr>
              <w:t>Test Results</w:t>
            </w:r>
          </w:p>
        </w:tc>
      </w:tr>
      <w:tr w:rsidR="007336EB" w:rsidRPr="00C0591E" w14:paraId="42E37D19" w14:textId="77777777" w:rsidTr="00191F36">
        <w:trPr>
          <w:cnfStyle w:val="000000100000" w:firstRow="0" w:lastRow="0" w:firstColumn="0" w:lastColumn="0" w:oddVBand="0" w:evenVBand="0" w:oddHBand="1" w:evenHBand="0" w:firstRowFirstColumn="0" w:firstRowLastColumn="0" w:lastRowFirstColumn="0" w:lastRowLastColumn="0"/>
          <w:trHeight w:val="699"/>
        </w:trPr>
        <w:tc>
          <w:tcPr>
            <w:cnfStyle w:val="001000000000" w:firstRow="0" w:lastRow="0" w:firstColumn="1" w:lastColumn="0" w:oddVBand="0" w:evenVBand="0" w:oddHBand="0" w:evenHBand="0" w:firstRowFirstColumn="0" w:firstRowLastColumn="0" w:lastRowFirstColumn="0" w:lastRowLastColumn="0"/>
            <w:tcW w:w="1496" w:type="pct"/>
            <w:shd w:val="clear" w:color="auto" w:fill="FFFFFF" w:themeFill="background1"/>
          </w:tcPr>
          <w:p w14:paraId="76BC3501" w14:textId="4BCB4BAE" w:rsidR="00262DDF" w:rsidRPr="00C0591E" w:rsidRDefault="00262DDF" w:rsidP="007336EB">
            <w:pPr>
              <w:spacing w:before="0" w:after="0" w:line="276" w:lineRule="auto"/>
              <w:jc w:val="left"/>
              <w:rPr>
                <w:rFonts w:cs="Times New Roman"/>
                <w:b w:val="0"/>
                <w:sz w:val="22"/>
                <w:lang w:val="en-GB"/>
              </w:rPr>
            </w:pPr>
            <w:r w:rsidRPr="00C0591E">
              <w:rPr>
                <w:rFonts w:cs="Times New Roman"/>
                <w:b w:val="0"/>
                <w:sz w:val="22"/>
                <w:lang w:val="en-GB"/>
              </w:rPr>
              <w:t xml:space="preserve">To determine the relationship between </w:t>
            </w:r>
            <w:r w:rsidR="00173C67">
              <w:rPr>
                <w:rFonts w:cs="Times New Roman"/>
                <w:b w:val="0"/>
                <w:sz w:val="22"/>
                <w:lang w:val="en-GB"/>
              </w:rPr>
              <w:t>pillars of corporate governance</w:t>
            </w:r>
            <w:r w:rsidRPr="00C0591E">
              <w:rPr>
                <w:rFonts w:cs="Times New Roman"/>
                <w:b w:val="0"/>
                <w:sz w:val="22"/>
                <w:lang w:val="en-GB"/>
              </w:rPr>
              <w:t xml:space="preserve"> and performance of pension fund managers in Kenya.</w:t>
            </w:r>
          </w:p>
          <w:p w14:paraId="2D4A4C98" w14:textId="77777777" w:rsidR="00262DDF" w:rsidRPr="00C0591E" w:rsidRDefault="00262DDF" w:rsidP="007336EB">
            <w:pPr>
              <w:spacing w:before="0" w:after="0" w:line="276" w:lineRule="auto"/>
              <w:jc w:val="left"/>
              <w:rPr>
                <w:rFonts w:cs="Times New Roman"/>
                <w:sz w:val="22"/>
                <w:lang w:val="en-GB"/>
              </w:rPr>
            </w:pPr>
          </w:p>
        </w:tc>
        <w:tc>
          <w:tcPr>
            <w:tcW w:w="1546" w:type="pct"/>
            <w:shd w:val="clear" w:color="auto" w:fill="FFFFFF" w:themeFill="background1"/>
          </w:tcPr>
          <w:p w14:paraId="166925FC" w14:textId="35782D7A" w:rsidR="00262DDF" w:rsidRPr="00C0591E" w:rsidRDefault="00262DDF" w:rsidP="007336EB">
            <w:pPr>
              <w:spacing w:before="0" w:after="0" w:line="276" w:lineRule="auto"/>
              <w:jc w:val="left"/>
              <w:cnfStyle w:val="000000100000" w:firstRow="0" w:lastRow="0" w:firstColumn="0" w:lastColumn="0" w:oddVBand="0" w:evenVBand="0" w:oddHBand="1" w:evenHBand="0" w:firstRowFirstColumn="0" w:firstRowLastColumn="0" w:lastRowFirstColumn="0" w:lastRowLastColumn="0"/>
              <w:rPr>
                <w:rFonts w:cs="Times New Roman"/>
                <w:sz w:val="22"/>
                <w:lang w:val="en-GB"/>
              </w:rPr>
            </w:pPr>
            <w:r w:rsidRPr="00C0591E">
              <w:rPr>
                <w:rFonts w:cs="Times New Roman"/>
                <w:b/>
                <w:sz w:val="22"/>
                <w:lang w:val="en-GB"/>
              </w:rPr>
              <w:t>H</w:t>
            </w:r>
            <w:r w:rsidRPr="00C0591E">
              <w:rPr>
                <w:rFonts w:cs="Times New Roman"/>
                <w:b/>
                <w:sz w:val="22"/>
                <w:vertAlign w:val="subscript"/>
                <w:lang w:val="en-GB"/>
              </w:rPr>
              <w:t>1</w:t>
            </w:r>
            <w:r w:rsidRPr="00C0591E">
              <w:rPr>
                <w:rFonts w:cs="Times New Roman"/>
                <w:b/>
                <w:sz w:val="22"/>
                <w:lang w:val="en-GB"/>
              </w:rPr>
              <w:t>:</w:t>
            </w:r>
            <w:r w:rsidRPr="00C0591E">
              <w:rPr>
                <w:rFonts w:cs="Times New Roman"/>
                <w:sz w:val="22"/>
                <w:lang w:val="en-GB"/>
              </w:rPr>
              <w:t xml:space="preserve"> There is no significant relationship of </w:t>
            </w:r>
            <w:r w:rsidR="00173C67">
              <w:rPr>
                <w:rFonts w:cs="Times New Roman"/>
                <w:sz w:val="22"/>
                <w:lang w:val="en-GB"/>
              </w:rPr>
              <w:t>pillars of corporate governance</w:t>
            </w:r>
            <w:r w:rsidRPr="00C0591E">
              <w:rPr>
                <w:rFonts w:cs="Times New Roman"/>
                <w:sz w:val="22"/>
                <w:lang w:val="en-GB"/>
              </w:rPr>
              <w:t xml:space="preserve"> and performance of pension fund managers in Kenya.</w:t>
            </w:r>
          </w:p>
        </w:tc>
        <w:tc>
          <w:tcPr>
            <w:tcW w:w="1098" w:type="pct"/>
            <w:shd w:val="clear" w:color="auto" w:fill="FFFFFF" w:themeFill="background1"/>
          </w:tcPr>
          <w:p w14:paraId="4A0DC452" w14:textId="1A1CB189" w:rsidR="00262DDF" w:rsidRPr="00C0591E" w:rsidRDefault="00262DDF" w:rsidP="007336EB">
            <w:pPr>
              <w:autoSpaceDE w:val="0"/>
              <w:autoSpaceDN w:val="0"/>
              <w:adjustRightInd w:val="0"/>
              <w:spacing w:before="0" w:after="0" w:line="276" w:lineRule="auto"/>
              <w:jc w:val="left"/>
              <w:cnfStyle w:val="000000100000" w:firstRow="0" w:lastRow="0" w:firstColumn="0" w:lastColumn="0" w:oddVBand="0" w:evenVBand="0" w:oddHBand="1" w:evenHBand="0" w:firstRowFirstColumn="0" w:firstRowLastColumn="0" w:lastRowFirstColumn="0" w:lastRowLastColumn="0"/>
              <w:rPr>
                <w:rFonts w:cs="Times New Roman"/>
                <w:sz w:val="22"/>
              </w:rPr>
            </w:pPr>
            <w:r w:rsidRPr="00C0591E">
              <w:rPr>
                <w:rFonts w:cs="Times New Roman"/>
                <w:sz w:val="22"/>
              </w:rPr>
              <w:t>Rejection if p&lt;0.05</w:t>
            </w:r>
          </w:p>
        </w:tc>
        <w:tc>
          <w:tcPr>
            <w:tcW w:w="860" w:type="pct"/>
            <w:shd w:val="clear" w:color="auto" w:fill="FFFFFF" w:themeFill="background1"/>
          </w:tcPr>
          <w:p w14:paraId="39350A93" w14:textId="0B8357E8" w:rsidR="00262DDF" w:rsidRPr="00C0591E" w:rsidRDefault="00262DDF" w:rsidP="007336EB">
            <w:pPr>
              <w:autoSpaceDE w:val="0"/>
              <w:autoSpaceDN w:val="0"/>
              <w:adjustRightInd w:val="0"/>
              <w:spacing w:before="0" w:after="0" w:line="276" w:lineRule="auto"/>
              <w:jc w:val="left"/>
              <w:cnfStyle w:val="000000100000" w:firstRow="0" w:lastRow="0" w:firstColumn="0" w:lastColumn="0" w:oddVBand="0" w:evenVBand="0" w:oddHBand="1" w:evenHBand="0" w:firstRowFirstColumn="0" w:firstRowLastColumn="0" w:lastRowFirstColumn="0" w:lastRowLastColumn="0"/>
              <w:rPr>
                <w:rFonts w:cs="Times New Roman"/>
                <w:sz w:val="22"/>
              </w:rPr>
            </w:pPr>
            <w:r w:rsidRPr="00C0591E">
              <w:rPr>
                <w:sz w:val="22"/>
              </w:rPr>
              <w:t>Rejected</w:t>
            </w:r>
          </w:p>
        </w:tc>
      </w:tr>
      <w:tr w:rsidR="007336EB" w:rsidRPr="00C0591E" w14:paraId="68A79FFF" w14:textId="77777777" w:rsidTr="00191F36">
        <w:trPr>
          <w:trHeight w:val="1556"/>
        </w:trPr>
        <w:tc>
          <w:tcPr>
            <w:cnfStyle w:val="001000000000" w:firstRow="0" w:lastRow="0" w:firstColumn="1" w:lastColumn="0" w:oddVBand="0" w:evenVBand="0" w:oddHBand="0" w:evenHBand="0" w:firstRowFirstColumn="0" w:firstRowLastColumn="0" w:lastRowFirstColumn="0" w:lastRowLastColumn="0"/>
            <w:tcW w:w="1496" w:type="pct"/>
            <w:shd w:val="clear" w:color="auto" w:fill="FFFFFF" w:themeFill="background1"/>
          </w:tcPr>
          <w:p w14:paraId="2C42FDCD" w14:textId="1C0B6C21" w:rsidR="00262DDF" w:rsidRPr="00C0591E" w:rsidRDefault="00262DDF" w:rsidP="007336EB">
            <w:pPr>
              <w:spacing w:before="0" w:after="0" w:line="276" w:lineRule="auto"/>
              <w:jc w:val="left"/>
              <w:rPr>
                <w:rFonts w:cs="Times New Roman"/>
                <w:b w:val="0"/>
                <w:sz w:val="22"/>
                <w:lang w:val="en-GB"/>
              </w:rPr>
            </w:pPr>
            <w:r w:rsidRPr="00C0591E">
              <w:rPr>
                <w:rFonts w:cs="Times New Roman"/>
                <w:b w:val="0"/>
                <w:sz w:val="22"/>
                <w:lang w:val="en-GB"/>
              </w:rPr>
              <w:t xml:space="preserve">To find out the mediating effect of investment policies on the relationship between </w:t>
            </w:r>
            <w:r w:rsidR="00173C67">
              <w:rPr>
                <w:rFonts w:cs="Times New Roman"/>
                <w:b w:val="0"/>
                <w:sz w:val="22"/>
                <w:lang w:val="en-GB"/>
              </w:rPr>
              <w:t>pillars of corporate governance</w:t>
            </w:r>
            <w:r w:rsidRPr="00C0591E">
              <w:rPr>
                <w:rFonts w:cs="Times New Roman"/>
                <w:b w:val="0"/>
                <w:sz w:val="22"/>
                <w:lang w:val="en-GB"/>
              </w:rPr>
              <w:t xml:space="preserve"> and performance of pension fund managers in Kenya.</w:t>
            </w:r>
          </w:p>
          <w:p w14:paraId="210F7385" w14:textId="77777777" w:rsidR="00262DDF" w:rsidRPr="00C0591E" w:rsidRDefault="00262DDF" w:rsidP="007336EB">
            <w:pPr>
              <w:spacing w:before="0" w:after="0" w:line="276" w:lineRule="auto"/>
              <w:jc w:val="left"/>
              <w:rPr>
                <w:rFonts w:cs="Times New Roman"/>
                <w:sz w:val="22"/>
                <w:lang w:val="en-GB"/>
              </w:rPr>
            </w:pPr>
          </w:p>
        </w:tc>
        <w:tc>
          <w:tcPr>
            <w:tcW w:w="1546" w:type="pct"/>
            <w:shd w:val="clear" w:color="auto" w:fill="FFFFFF" w:themeFill="background1"/>
          </w:tcPr>
          <w:p w14:paraId="68CF8B2F" w14:textId="518D104A" w:rsidR="00262DDF" w:rsidRPr="00C0591E" w:rsidRDefault="00262DDF" w:rsidP="007336EB">
            <w:pPr>
              <w:spacing w:before="0" w:after="0" w:line="276" w:lineRule="auto"/>
              <w:jc w:val="left"/>
              <w:cnfStyle w:val="000000000000" w:firstRow="0" w:lastRow="0" w:firstColumn="0" w:lastColumn="0" w:oddVBand="0" w:evenVBand="0" w:oddHBand="0" w:evenHBand="0" w:firstRowFirstColumn="0" w:firstRowLastColumn="0" w:lastRowFirstColumn="0" w:lastRowLastColumn="0"/>
              <w:rPr>
                <w:rFonts w:cs="Times New Roman"/>
                <w:sz w:val="22"/>
                <w:lang w:val="en-GB"/>
              </w:rPr>
            </w:pPr>
            <w:r w:rsidRPr="00C0591E">
              <w:rPr>
                <w:rFonts w:cs="Times New Roman"/>
                <w:b/>
                <w:sz w:val="22"/>
                <w:lang w:val="en-GB"/>
              </w:rPr>
              <w:t>H</w:t>
            </w:r>
            <w:r w:rsidRPr="00C0591E">
              <w:rPr>
                <w:rFonts w:cs="Times New Roman"/>
                <w:b/>
                <w:sz w:val="22"/>
                <w:vertAlign w:val="subscript"/>
                <w:lang w:val="en-GB"/>
              </w:rPr>
              <w:t>2</w:t>
            </w:r>
            <w:r w:rsidRPr="00C0591E">
              <w:rPr>
                <w:rFonts w:cs="Times New Roman"/>
                <w:b/>
                <w:sz w:val="22"/>
                <w:lang w:val="en-GB"/>
              </w:rPr>
              <w:t>:</w:t>
            </w:r>
            <w:r w:rsidRPr="00C0591E">
              <w:rPr>
                <w:rFonts w:cs="Times New Roman"/>
                <w:sz w:val="22"/>
                <w:lang w:val="en-GB"/>
              </w:rPr>
              <w:t xml:space="preserve"> There is no significant mediating effect of investment policies on the relationship between </w:t>
            </w:r>
            <w:r w:rsidR="00173C67">
              <w:rPr>
                <w:rFonts w:cs="Times New Roman"/>
                <w:sz w:val="22"/>
                <w:lang w:val="en-GB"/>
              </w:rPr>
              <w:t>pillars of corporate governance</w:t>
            </w:r>
            <w:r w:rsidRPr="00C0591E">
              <w:rPr>
                <w:rFonts w:cs="Times New Roman"/>
                <w:sz w:val="22"/>
                <w:lang w:val="en-GB"/>
              </w:rPr>
              <w:t xml:space="preserve"> and performance of pension fund managers in Kenya.</w:t>
            </w:r>
          </w:p>
          <w:p w14:paraId="7D1B6A0E" w14:textId="77777777" w:rsidR="00262DDF" w:rsidRPr="00C0591E" w:rsidRDefault="00262DDF" w:rsidP="007336EB">
            <w:pPr>
              <w:spacing w:before="0" w:after="0" w:line="276" w:lineRule="auto"/>
              <w:jc w:val="left"/>
              <w:cnfStyle w:val="000000000000" w:firstRow="0" w:lastRow="0" w:firstColumn="0" w:lastColumn="0" w:oddVBand="0" w:evenVBand="0" w:oddHBand="0" w:evenHBand="0" w:firstRowFirstColumn="0" w:firstRowLastColumn="0" w:lastRowFirstColumn="0" w:lastRowLastColumn="0"/>
              <w:rPr>
                <w:rFonts w:cs="Times New Roman"/>
                <w:sz w:val="22"/>
                <w:lang w:val="en-GB"/>
              </w:rPr>
            </w:pPr>
          </w:p>
        </w:tc>
        <w:tc>
          <w:tcPr>
            <w:tcW w:w="1098" w:type="pct"/>
            <w:shd w:val="clear" w:color="auto" w:fill="FFFFFF" w:themeFill="background1"/>
          </w:tcPr>
          <w:p w14:paraId="39C54B12" w14:textId="1D04536E" w:rsidR="00262DDF" w:rsidRPr="00C0591E" w:rsidRDefault="00262DDF" w:rsidP="007336EB">
            <w:pPr>
              <w:autoSpaceDE w:val="0"/>
              <w:autoSpaceDN w:val="0"/>
              <w:adjustRightInd w:val="0"/>
              <w:spacing w:before="0" w:after="0" w:line="276" w:lineRule="auto"/>
              <w:jc w:val="left"/>
              <w:cnfStyle w:val="000000000000" w:firstRow="0" w:lastRow="0" w:firstColumn="0" w:lastColumn="0" w:oddVBand="0" w:evenVBand="0" w:oddHBand="0" w:evenHBand="0" w:firstRowFirstColumn="0" w:firstRowLastColumn="0" w:lastRowFirstColumn="0" w:lastRowLastColumn="0"/>
              <w:rPr>
                <w:rFonts w:cs="Times New Roman"/>
                <w:sz w:val="22"/>
                <w:vertAlign w:val="subscript"/>
              </w:rPr>
            </w:pPr>
            <w:r w:rsidRPr="00C0591E">
              <w:rPr>
                <w:rFonts w:cs="Times New Roman"/>
                <w:sz w:val="22"/>
              </w:rPr>
              <w:t>Rejection if p&lt;0.05</w:t>
            </w:r>
          </w:p>
        </w:tc>
        <w:tc>
          <w:tcPr>
            <w:tcW w:w="860" w:type="pct"/>
            <w:shd w:val="clear" w:color="auto" w:fill="FFFFFF" w:themeFill="background1"/>
          </w:tcPr>
          <w:p w14:paraId="6C45DBC1" w14:textId="77777777" w:rsidR="00262DDF" w:rsidRPr="00C0591E" w:rsidRDefault="00262DDF" w:rsidP="007336EB">
            <w:pPr>
              <w:spacing w:before="0" w:after="0" w:line="276" w:lineRule="auto"/>
              <w:jc w:val="left"/>
              <w:cnfStyle w:val="000000000000" w:firstRow="0" w:lastRow="0" w:firstColumn="0" w:lastColumn="0" w:oddVBand="0" w:evenVBand="0" w:oddHBand="0" w:evenHBand="0" w:firstRowFirstColumn="0" w:firstRowLastColumn="0" w:lastRowFirstColumn="0" w:lastRowLastColumn="0"/>
              <w:rPr>
                <w:sz w:val="22"/>
              </w:rPr>
            </w:pPr>
            <w:r w:rsidRPr="00C0591E">
              <w:rPr>
                <w:sz w:val="22"/>
              </w:rPr>
              <w:t>Partial Mediation</w:t>
            </w:r>
          </w:p>
          <w:p w14:paraId="0044C0DD" w14:textId="4F0C74F2" w:rsidR="00262DDF" w:rsidRPr="00C0591E" w:rsidRDefault="00262DDF" w:rsidP="007336EB">
            <w:pPr>
              <w:autoSpaceDE w:val="0"/>
              <w:autoSpaceDN w:val="0"/>
              <w:adjustRightInd w:val="0"/>
              <w:spacing w:before="0" w:after="0" w:line="276"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C0591E">
              <w:rPr>
                <w:sz w:val="22"/>
              </w:rPr>
              <w:t>confirmed</w:t>
            </w:r>
          </w:p>
        </w:tc>
      </w:tr>
      <w:tr w:rsidR="007336EB" w:rsidRPr="00C0591E" w14:paraId="37F82CA3" w14:textId="77777777" w:rsidTr="00191F36">
        <w:trPr>
          <w:cnfStyle w:val="000000100000" w:firstRow="0" w:lastRow="0" w:firstColumn="0" w:lastColumn="0" w:oddVBand="0" w:evenVBand="0" w:oddHBand="1" w:evenHBand="0" w:firstRowFirstColumn="0" w:firstRowLastColumn="0" w:lastRowFirstColumn="0" w:lastRowLastColumn="0"/>
          <w:trHeight w:val="1520"/>
        </w:trPr>
        <w:tc>
          <w:tcPr>
            <w:cnfStyle w:val="001000000000" w:firstRow="0" w:lastRow="0" w:firstColumn="1" w:lastColumn="0" w:oddVBand="0" w:evenVBand="0" w:oddHBand="0" w:evenHBand="0" w:firstRowFirstColumn="0" w:firstRowLastColumn="0" w:lastRowFirstColumn="0" w:lastRowLastColumn="0"/>
            <w:tcW w:w="1496" w:type="pct"/>
            <w:shd w:val="clear" w:color="auto" w:fill="FFFFFF" w:themeFill="background1"/>
          </w:tcPr>
          <w:p w14:paraId="01B1DEF2" w14:textId="7A905351" w:rsidR="00262DDF" w:rsidRPr="00C0591E" w:rsidRDefault="00262DDF" w:rsidP="007336EB">
            <w:pPr>
              <w:autoSpaceDE w:val="0"/>
              <w:autoSpaceDN w:val="0"/>
              <w:adjustRightInd w:val="0"/>
              <w:spacing w:before="0" w:after="0" w:line="276" w:lineRule="auto"/>
              <w:jc w:val="left"/>
              <w:rPr>
                <w:rFonts w:cs="Times New Roman"/>
                <w:b w:val="0"/>
                <w:sz w:val="22"/>
                <w:lang w:val="en-GB"/>
              </w:rPr>
            </w:pPr>
            <w:r w:rsidRPr="00C0591E">
              <w:rPr>
                <w:rFonts w:cs="Times New Roman"/>
                <w:b w:val="0"/>
                <w:sz w:val="22"/>
                <w:lang w:val="en-GB"/>
              </w:rPr>
              <w:t xml:space="preserve">To establish the moderating effect of government regulations on the relationship between </w:t>
            </w:r>
            <w:r w:rsidR="00173C67">
              <w:rPr>
                <w:rFonts w:cs="Times New Roman"/>
                <w:b w:val="0"/>
                <w:sz w:val="22"/>
                <w:lang w:val="en-GB"/>
              </w:rPr>
              <w:t>pillars of corporate governance</w:t>
            </w:r>
            <w:r w:rsidRPr="00C0591E">
              <w:rPr>
                <w:rFonts w:cs="Times New Roman"/>
                <w:b w:val="0"/>
                <w:sz w:val="22"/>
                <w:lang w:val="en-GB"/>
              </w:rPr>
              <w:t xml:space="preserve"> and performance of pension fund managers in Kenya.</w:t>
            </w:r>
          </w:p>
          <w:p w14:paraId="1FC29B98" w14:textId="77777777" w:rsidR="00262DDF" w:rsidRPr="00C0591E" w:rsidRDefault="00262DDF" w:rsidP="007336EB">
            <w:pPr>
              <w:spacing w:before="0" w:after="0" w:line="276" w:lineRule="auto"/>
              <w:jc w:val="left"/>
              <w:rPr>
                <w:rFonts w:cs="Times New Roman"/>
                <w:b w:val="0"/>
                <w:sz w:val="22"/>
                <w:lang w:val="en-GB"/>
              </w:rPr>
            </w:pPr>
          </w:p>
        </w:tc>
        <w:tc>
          <w:tcPr>
            <w:tcW w:w="1546" w:type="pct"/>
            <w:shd w:val="clear" w:color="auto" w:fill="FFFFFF" w:themeFill="background1"/>
          </w:tcPr>
          <w:p w14:paraId="07D7DA1C" w14:textId="7FAFB8F7" w:rsidR="00262DDF" w:rsidRPr="00C0591E" w:rsidRDefault="00262DDF" w:rsidP="007336EB">
            <w:pPr>
              <w:autoSpaceDE w:val="0"/>
              <w:autoSpaceDN w:val="0"/>
              <w:adjustRightInd w:val="0"/>
              <w:spacing w:before="0" w:after="0" w:line="276" w:lineRule="auto"/>
              <w:jc w:val="left"/>
              <w:cnfStyle w:val="000000100000" w:firstRow="0" w:lastRow="0" w:firstColumn="0" w:lastColumn="0" w:oddVBand="0" w:evenVBand="0" w:oddHBand="1" w:evenHBand="0" w:firstRowFirstColumn="0" w:firstRowLastColumn="0" w:lastRowFirstColumn="0" w:lastRowLastColumn="0"/>
              <w:rPr>
                <w:rFonts w:cs="Times New Roman"/>
                <w:sz w:val="22"/>
                <w:lang w:val="en-GB"/>
              </w:rPr>
            </w:pPr>
            <w:r w:rsidRPr="00C0591E">
              <w:rPr>
                <w:rFonts w:cs="Times New Roman"/>
                <w:b/>
                <w:sz w:val="22"/>
                <w:lang w:val="en-GB"/>
              </w:rPr>
              <w:t>H</w:t>
            </w:r>
            <w:r w:rsidRPr="00C0591E">
              <w:rPr>
                <w:rFonts w:cs="Times New Roman"/>
                <w:b/>
                <w:sz w:val="22"/>
                <w:vertAlign w:val="subscript"/>
                <w:lang w:val="en-GB"/>
              </w:rPr>
              <w:t>3</w:t>
            </w:r>
            <w:r w:rsidRPr="00C0591E">
              <w:rPr>
                <w:rFonts w:cs="Times New Roman"/>
                <w:b/>
                <w:sz w:val="22"/>
                <w:lang w:val="en-GB"/>
              </w:rPr>
              <w:t>:</w:t>
            </w:r>
            <w:r w:rsidRPr="00C0591E">
              <w:rPr>
                <w:rFonts w:eastAsia="Times New Roman" w:cs="Times New Roman"/>
                <w:sz w:val="22"/>
              </w:rPr>
              <w:t xml:space="preserve"> </w:t>
            </w:r>
            <w:r w:rsidRPr="00C0591E">
              <w:rPr>
                <w:rFonts w:cs="Times New Roman"/>
                <w:sz w:val="22"/>
                <w:lang w:val="en-GB"/>
              </w:rPr>
              <w:t xml:space="preserve">There is no significant moderating effect of government regulations on the relationship between </w:t>
            </w:r>
            <w:r w:rsidR="00173C67">
              <w:rPr>
                <w:rFonts w:cs="Times New Roman"/>
                <w:sz w:val="22"/>
                <w:lang w:val="en-GB"/>
              </w:rPr>
              <w:t>pillars of corporate governance</w:t>
            </w:r>
            <w:r w:rsidRPr="00C0591E">
              <w:rPr>
                <w:rFonts w:cs="Times New Roman"/>
                <w:sz w:val="22"/>
                <w:lang w:val="en-GB"/>
              </w:rPr>
              <w:t xml:space="preserve"> and performance of pension fund managers in Kenya.</w:t>
            </w:r>
          </w:p>
        </w:tc>
        <w:tc>
          <w:tcPr>
            <w:tcW w:w="1098" w:type="pct"/>
            <w:shd w:val="clear" w:color="auto" w:fill="FFFFFF" w:themeFill="background1"/>
          </w:tcPr>
          <w:p w14:paraId="13E7C0CC" w14:textId="503E7D07" w:rsidR="00262DDF" w:rsidRPr="00C0591E" w:rsidRDefault="00262DDF" w:rsidP="007336EB">
            <w:pPr>
              <w:autoSpaceDE w:val="0"/>
              <w:autoSpaceDN w:val="0"/>
              <w:adjustRightInd w:val="0"/>
              <w:spacing w:before="0" w:after="0" w:line="276" w:lineRule="auto"/>
              <w:jc w:val="left"/>
              <w:cnfStyle w:val="000000100000" w:firstRow="0" w:lastRow="0" w:firstColumn="0" w:lastColumn="0" w:oddVBand="0" w:evenVBand="0" w:oddHBand="1" w:evenHBand="0" w:firstRowFirstColumn="0" w:firstRowLastColumn="0" w:lastRowFirstColumn="0" w:lastRowLastColumn="0"/>
              <w:rPr>
                <w:rFonts w:cs="Times New Roman"/>
                <w:sz w:val="22"/>
              </w:rPr>
            </w:pPr>
            <w:r w:rsidRPr="00C0591E">
              <w:rPr>
                <w:rFonts w:cs="Times New Roman"/>
                <w:sz w:val="22"/>
              </w:rPr>
              <w:t>Rejection if p&lt;0.05</w:t>
            </w:r>
          </w:p>
          <w:p w14:paraId="5F48033E" w14:textId="7BEDD19F" w:rsidR="00262DDF" w:rsidRPr="00C0591E" w:rsidRDefault="00262DDF" w:rsidP="007336EB">
            <w:pPr>
              <w:autoSpaceDE w:val="0"/>
              <w:autoSpaceDN w:val="0"/>
              <w:adjustRightInd w:val="0"/>
              <w:spacing w:before="0" w:after="0" w:line="276" w:lineRule="auto"/>
              <w:jc w:val="left"/>
              <w:cnfStyle w:val="000000100000" w:firstRow="0" w:lastRow="0" w:firstColumn="0" w:lastColumn="0" w:oddVBand="0" w:evenVBand="0" w:oddHBand="1" w:evenHBand="0" w:firstRowFirstColumn="0" w:firstRowLastColumn="0" w:lastRowFirstColumn="0" w:lastRowLastColumn="0"/>
              <w:rPr>
                <w:rFonts w:cs="Times New Roman"/>
                <w:sz w:val="22"/>
              </w:rPr>
            </w:pPr>
          </w:p>
        </w:tc>
        <w:tc>
          <w:tcPr>
            <w:tcW w:w="860" w:type="pct"/>
            <w:shd w:val="clear" w:color="auto" w:fill="FFFFFF" w:themeFill="background1"/>
          </w:tcPr>
          <w:p w14:paraId="60550044" w14:textId="0D1E69F0" w:rsidR="00262DDF" w:rsidRPr="00C0591E" w:rsidRDefault="00262DDF" w:rsidP="007336EB">
            <w:pPr>
              <w:autoSpaceDE w:val="0"/>
              <w:autoSpaceDN w:val="0"/>
              <w:adjustRightInd w:val="0"/>
              <w:spacing w:before="0" w:after="0" w:line="276" w:lineRule="auto"/>
              <w:jc w:val="left"/>
              <w:cnfStyle w:val="000000100000" w:firstRow="0" w:lastRow="0" w:firstColumn="0" w:lastColumn="0" w:oddVBand="0" w:evenVBand="0" w:oddHBand="1" w:evenHBand="0" w:firstRowFirstColumn="0" w:firstRowLastColumn="0" w:lastRowFirstColumn="0" w:lastRowLastColumn="0"/>
              <w:rPr>
                <w:rFonts w:cs="Times New Roman"/>
                <w:sz w:val="22"/>
              </w:rPr>
            </w:pPr>
            <w:r w:rsidRPr="00C0591E">
              <w:rPr>
                <w:sz w:val="22"/>
              </w:rPr>
              <w:t>Rejected</w:t>
            </w:r>
            <w:r w:rsidRPr="00C0591E">
              <w:rPr>
                <w:rFonts w:cs="Times New Roman"/>
                <w:sz w:val="22"/>
              </w:rPr>
              <w:t xml:space="preserve"> </w:t>
            </w:r>
          </w:p>
        </w:tc>
      </w:tr>
      <w:tr w:rsidR="007336EB" w:rsidRPr="00C0591E" w14:paraId="27623FAA" w14:textId="77777777" w:rsidTr="00191F36">
        <w:trPr>
          <w:trHeight w:val="771"/>
        </w:trPr>
        <w:tc>
          <w:tcPr>
            <w:cnfStyle w:val="001000000000" w:firstRow="0" w:lastRow="0" w:firstColumn="1" w:lastColumn="0" w:oddVBand="0" w:evenVBand="0" w:oddHBand="0" w:evenHBand="0" w:firstRowFirstColumn="0" w:firstRowLastColumn="0" w:lastRowFirstColumn="0" w:lastRowLastColumn="0"/>
            <w:tcW w:w="1496" w:type="pct"/>
            <w:shd w:val="clear" w:color="auto" w:fill="FFFFFF" w:themeFill="background1"/>
          </w:tcPr>
          <w:p w14:paraId="7B38A742" w14:textId="5B490CA8" w:rsidR="00262DDF" w:rsidRPr="00C0591E" w:rsidRDefault="000524F5" w:rsidP="007336EB">
            <w:pPr>
              <w:spacing w:before="0" w:after="0" w:line="276" w:lineRule="auto"/>
              <w:jc w:val="left"/>
              <w:rPr>
                <w:rFonts w:cs="Times New Roman"/>
                <w:b w:val="0"/>
                <w:sz w:val="22"/>
                <w:lang w:val="en-GB"/>
              </w:rPr>
            </w:pPr>
            <w:r w:rsidRPr="00C0591E">
              <w:rPr>
                <w:rFonts w:cs="Times New Roman"/>
                <w:b w:val="0"/>
                <w:sz w:val="22"/>
                <w:lang w:val="en-GB"/>
              </w:rPr>
              <w:t xml:space="preserve">To determine the moderation - mediator effect on the relationship between </w:t>
            </w:r>
            <w:r w:rsidR="00173C67">
              <w:rPr>
                <w:rFonts w:cs="Times New Roman"/>
                <w:b w:val="0"/>
                <w:sz w:val="22"/>
                <w:lang w:val="en-GB"/>
              </w:rPr>
              <w:t>pillars of corporate governance</w:t>
            </w:r>
            <w:r w:rsidRPr="00C0591E">
              <w:rPr>
                <w:rFonts w:cs="Times New Roman"/>
                <w:b w:val="0"/>
                <w:sz w:val="22"/>
                <w:lang w:val="en-GB"/>
              </w:rPr>
              <w:t xml:space="preserve"> and performance of pension fund managers in Kenya</w:t>
            </w:r>
            <w:r w:rsidR="00262DDF" w:rsidRPr="00C0591E">
              <w:rPr>
                <w:rFonts w:cs="Times New Roman"/>
                <w:b w:val="0"/>
                <w:sz w:val="22"/>
                <w:lang w:val="en-GB"/>
              </w:rPr>
              <w:t>.</w:t>
            </w:r>
          </w:p>
        </w:tc>
        <w:tc>
          <w:tcPr>
            <w:tcW w:w="1546" w:type="pct"/>
            <w:shd w:val="clear" w:color="auto" w:fill="FFFFFF" w:themeFill="background1"/>
          </w:tcPr>
          <w:p w14:paraId="47759493" w14:textId="6E60A4D2" w:rsidR="00262DDF" w:rsidRPr="00C0591E" w:rsidRDefault="00262DDF" w:rsidP="007336EB">
            <w:pPr>
              <w:spacing w:before="0" w:after="0" w:line="276" w:lineRule="auto"/>
              <w:jc w:val="left"/>
              <w:cnfStyle w:val="000000000000" w:firstRow="0" w:lastRow="0" w:firstColumn="0" w:lastColumn="0" w:oddVBand="0" w:evenVBand="0" w:oddHBand="0" w:evenHBand="0" w:firstRowFirstColumn="0" w:firstRowLastColumn="0" w:lastRowFirstColumn="0" w:lastRowLastColumn="0"/>
              <w:rPr>
                <w:rFonts w:cs="Times New Roman"/>
                <w:sz w:val="22"/>
                <w:lang w:val="en-GB"/>
              </w:rPr>
            </w:pPr>
            <w:r w:rsidRPr="00C0591E">
              <w:rPr>
                <w:rFonts w:cs="Times New Roman"/>
                <w:b/>
                <w:sz w:val="22"/>
                <w:lang w:val="en-GB"/>
              </w:rPr>
              <w:t>H</w:t>
            </w:r>
            <w:r w:rsidRPr="00C0591E">
              <w:rPr>
                <w:rFonts w:cs="Times New Roman"/>
                <w:b/>
                <w:sz w:val="22"/>
                <w:vertAlign w:val="subscript"/>
                <w:lang w:val="en-GB"/>
              </w:rPr>
              <w:t>4</w:t>
            </w:r>
            <w:r w:rsidRPr="00C0591E">
              <w:rPr>
                <w:rFonts w:cs="Times New Roman"/>
                <w:b/>
                <w:sz w:val="22"/>
                <w:lang w:val="en-GB"/>
              </w:rPr>
              <w:t>:</w:t>
            </w:r>
            <w:r w:rsidRPr="00C0591E">
              <w:rPr>
                <w:rFonts w:cs="Times New Roman"/>
                <w:sz w:val="22"/>
                <w:lang w:val="en-GB"/>
              </w:rPr>
              <w:t xml:space="preserve"> </w:t>
            </w:r>
            <w:r w:rsidR="000524F5" w:rsidRPr="00C0591E">
              <w:rPr>
                <w:rFonts w:cs="Times New Roman"/>
                <w:sz w:val="22"/>
                <w:lang w:val="en-GB"/>
              </w:rPr>
              <w:t xml:space="preserve">There is no significant moderation – mediator effect on the relationship between </w:t>
            </w:r>
            <w:r w:rsidR="00173C67">
              <w:rPr>
                <w:rFonts w:cs="Times New Roman"/>
                <w:sz w:val="22"/>
                <w:lang w:val="en-GB"/>
              </w:rPr>
              <w:t>pillars of corporate governance</w:t>
            </w:r>
            <w:r w:rsidR="000524F5" w:rsidRPr="00C0591E">
              <w:rPr>
                <w:rFonts w:cs="Times New Roman"/>
                <w:sz w:val="22"/>
                <w:lang w:val="en-GB"/>
              </w:rPr>
              <w:t xml:space="preserve"> and performance of pension fund managers in Kenya</w:t>
            </w:r>
            <w:r w:rsidRPr="00C0591E">
              <w:rPr>
                <w:rFonts w:cs="Times New Roman"/>
                <w:sz w:val="22"/>
                <w:lang w:val="en-GB"/>
              </w:rPr>
              <w:t>.</w:t>
            </w:r>
          </w:p>
          <w:p w14:paraId="04D1A026" w14:textId="77777777" w:rsidR="00262DDF" w:rsidRPr="00C0591E" w:rsidRDefault="00262DDF" w:rsidP="007336EB">
            <w:pPr>
              <w:spacing w:before="0" w:after="0" w:line="276" w:lineRule="auto"/>
              <w:jc w:val="left"/>
              <w:cnfStyle w:val="000000000000" w:firstRow="0" w:lastRow="0" w:firstColumn="0" w:lastColumn="0" w:oddVBand="0" w:evenVBand="0" w:oddHBand="0" w:evenHBand="0" w:firstRowFirstColumn="0" w:firstRowLastColumn="0" w:lastRowFirstColumn="0" w:lastRowLastColumn="0"/>
              <w:rPr>
                <w:rFonts w:cs="Times New Roman"/>
                <w:sz w:val="22"/>
                <w:lang w:val="en-GB"/>
              </w:rPr>
            </w:pPr>
          </w:p>
        </w:tc>
        <w:tc>
          <w:tcPr>
            <w:tcW w:w="1098" w:type="pct"/>
            <w:shd w:val="clear" w:color="auto" w:fill="FFFFFF" w:themeFill="background1"/>
          </w:tcPr>
          <w:p w14:paraId="1497C618" w14:textId="6399FE2A" w:rsidR="00262DDF" w:rsidRPr="00C0591E" w:rsidRDefault="00262DDF" w:rsidP="007336EB">
            <w:pPr>
              <w:autoSpaceDE w:val="0"/>
              <w:autoSpaceDN w:val="0"/>
              <w:adjustRightInd w:val="0"/>
              <w:spacing w:before="0" w:after="0" w:line="276"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p>
          <w:p w14:paraId="26B5F3C6" w14:textId="2A0E9FEB" w:rsidR="00262DDF" w:rsidRPr="00C0591E" w:rsidRDefault="00262DDF" w:rsidP="007336EB">
            <w:pPr>
              <w:autoSpaceDE w:val="0"/>
              <w:autoSpaceDN w:val="0"/>
              <w:adjustRightInd w:val="0"/>
              <w:spacing w:before="0" w:after="0" w:line="276"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C0591E">
              <w:rPr>
                <w:rFonts w:cs="Times New Roman"/>
                <w:sz w:val="22"/>
              </w:rPr>
              <w:t>Rejection if p&lt;0.05</w:t>
            </w:r>
          </w:p>
        </w:tc>
        <w:tc>
          <w:tcPr>
            <w:tcW w:w="860" w:type="pct"/>
            <w:shd w:val="clear" w:color="auto" w:fill="FFFFFF" w:themeFill="background1"/>
          </w:tcPr>
          <w:p w14:paraId="4CA314D0" w14:textId="06EF866B" w:rsidR="00262DDF" w:rsidRPr="00C0591E" w:rsidRDefault="00262DDF" w:rsidP="007336EB">
            <w:pPr>
              <w:autoSpaceDE w:val="0"/>
              <w:autoSpaceDN w:val="0"/>
              <w:adjustRightInd w:val="0"/>
              <w:spacing w:before="0" w:after="0" w:line="276"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C0591E">
              <w:rPr>
                <w:sz w:val="22"/>
              </w:rPr>
              <w:t>Rejected</w:t>
            </w:r>
            <w:r w:rsidRPr="00C0591E">
              <w:rPr>
                <w:rFonts w:cs="Times New Roman"/>
                <w:sz w:val="22"/>
              </w:rPr>
              <w:t xml:space="preserve"> </w:t>
            </w:r>
          </w:p>
        </w:tc>
      </w:tr>
    </w:tbl>
    <w:p w14:paraId="702A9C8F" w14:textId="2277259A" w:rsidR="005A2367" w:rsidRPr="00C0591E" w:rsidRDefault="007336EB" w:rsidP="00FE1EEB">
      <w:pPr>
        <w:pStyle w:val="Heading2"/>
        <w:rPr>
          <w:rFonts w:eastAsia="Times New Roman"/>
        </w:rPr>
      </w:pPr>
      <w:bookmarkStart w:id="337" w:name="_Toc113125118"/>
      <w:r w:rsidRPr="00C0591E">
        <w:rPr>
          <w:rFonts w:eastAsia="Times New Roman"/>
        </w:rPr>
        <w:t>5.4</w:t>
      </w:r>
      <w:r w:rsidR="00FE1EEB" w:rsidRPr="00C0591E">
        <w:rPr>
          <w:rFonts w:eastAsia="Times New Roman"/>
        </w:rPr>
        <w:t xml:space="preserve"> </w:t>
      </w:r>
      <w:r w:rsidR="00E62E31" w:rsidRPr="00C0591E">
        <w:rPr>
          <w:rFonts w:eastAsia="Times New Roman"/>
        </w:rPr>
        <w:t>Optimal</w:t>
      </w:r>
      <w:r w:rsidR="00FE1EEB" w:rsidRPr="00C0591E">
        <w:rPr>
          <w:rFonts w:eastAsia="Times New Roman"/>
        </w:rPr>
        <w:t xml:space="preserve"> Model</w:t>
      </w:r>
      <w:bookmarkEnd w:id="337"/>
    </w:p>
    <w:p w14:paraId="35C306E6" w14:textId="1C540489" w:rsidR="00C56D67" w:rsidRDefault="00FE1EEB" w:rsidP="005162DD">
      <w:r w:rsidRPr="00C0591E">
        <w:t xml:space="preserve">Based on the study findings, a model optimization was conducted. The aim of model optimization was to guide in derivation of the </w:t>
      </w:r>
      <w:r w:rsidR="00817EFD" w:rsidRPr="00C0591E">
        <w:t>optimal</w:t>
      </w:r>
      <w:r w:rsidRPr="00C0591E">
        <w:t xml:space="preserve"> model where only the significant variables are included for objectivity. Results were arrived at through running multiple regressions. Results of the new conceptual frame</w:t>
      </w:r>
      <w:r w:rsidR="009213B7" w:rsidRPr="00C0591E">
        <w:t>work are presented in Figure 3</w:t>
      </w:r>
      <w:r w:rsidRPr="00C0591E">
        <w:t>.</w:t>
      </w:r>
    </w:p>
    <w:p w14:paraId="5E3EC50D" w14:textId="77593A4F" w:rsidR="00C813FD" w:rsidRDefault="00C813FD" w:rsidP="005162DD"/>
    <w:p w14:paraId="351ED7F8" w14:textId="649076A4" w:rsidR="00C813FD" w:rsidRDefault="00C813FD" w:rsidP="005162DD"/>
    <w:p w14:paraId="15244FFE" w14:textId="77777777" w:rsidR="00C813FD" w:rsidRPr="00C0591E" w:rsidRDefault="00C813FD" w:rsidP="005162DD">
      <w:pPr>
        <w:rPr>
          <w:szCs w:val="24"/>
        </w:rPr>
      </w:pPr>
    </w:p>
    <w:p w14:paraId="40AA2C82" w14:textId="77777777" w:rsidR="00FE1EEB" w:rsidRPr="00C0591E" w:rsidRDefault="00FE1EEB" w:rsidP="00FE1EEB">
      <w:pPr>
        <w:tabs>
          <w:tab w:val="left" w:pos="3810"/>
        </w:tabs>
        <w:spacing w:after="0" w:line="276" w:lineRule="auto"/>
        <w:rPr>
          <w:b/>
          <w:szCs w:val="24"/>
        </w:rPr>
      </w:pPr>
      <w:r w:rsidRPr="00C0591E">
        <w:rPr>
          <w:noProof/>
        </w:rPr>
        <mc:AlternateContent>
          <mc:Choice Requires="wps">
            <w:drawing>
              <wp:anchor distT="0" distB="0" distL="114300" distR="114300" simplePos="0" relativeHeight="251731968" behindDoc="0" locked="0" layoutInCell="1" allowOverlap="1" wp14:anchorId="3EBBDB10" wp14:editId="47CFBCD2">
                <wp:simplePos x="0" y="0"/>
                <wp:positionH relativeFrom="column">
                  <wp:posOffset>3028950</wp:posOffset>
                </wp:positionH>
                <wp:positionV relativeFrom="paragraph">
                  <wp:posOffset>13335</wp:posOffset>
                </wp:positionV>
                <wp:extent cx="476250" cy="281305"/>
                <wp:effectExtent l="0" t="0" r="19050" b="23495"/>
                <wp:wrapNone/>
                <wp:docPr id="3"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0" cy="281305"/>
                        </a:xfrm>
                        <a:prstGeom prst="rect">
                          <a:avLst/>
                        </a:prstGeom>
                        <a:solidFill>
                          <a:srgbClr val="FFFFFF"/>
                        </a:solidFill>
                        <a:ln w="9525">
                          <a:solidFill>
                            <a:sysClr val="window" lastClr="FFFFFF"/>
                          </a:solidFill>
                          <a:miter lim="800000"/>
                          <a:headEnd/>
                          <a:tailEnd/>
                        </a:ln>
                      </wps:spPr>
                      <wps:txbx>
                        <w:txbxContent>
                          <w:p w14:paraId="52DF94AF" w14:textId="77777777" w:rsidR="003A104A" w:rsidRPr="00D06714" w:rsidRDefault="003A104A" w:rsidP="00FE1EEB">
                            <w:pPr>
                              <w:spacing w:before="0" w:line="240" w:lineRule="auto"/>
                              <w:rPr>
                                <w:b/>
                              </w:rPr>
                            </w:pPr>
                            <w:r w:rsidRPr="00D06714">
                              <w:rPr>
                                <w:b/>
                              </w:rPr>
                              <w:t>H</w:t>
                            </w:r>
                            <w:r>
                              <w:rPr>
                                <w:b/>
                              </w:rPr>
                              <w:t>0</w:t>
                            </w:r>
                            <w:r w:rsidRPr="00D06714">
                              <w:rPr>
                                <w:b/>
                                <w:vertAlign w:val="subscript"/>
                              </w:rPr>
                              <w:t>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EBBDB10" id="Text Box 80" o:spid="_x0000_s1052" type="#_x0000_t202" style="position:absolute;left:0;text-align:left;margin-left:238.5pt;margin-top:1.05pt;width:37.5pt;height:22.1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" strokecolor="window">
                <v:textbox>
                  <w:txbxContent>
                    <w:p w14:paraId="52DF94AF" w14:textId="77777777" w:rsidR="003A104A" w:rsidRPr="00D06714" w:rsidRDefault="003A104A" w:rsidP="00FE1EEB">
                      <w:pPr>
                        <w:spacing w:before="0" w:line="240" w:lineRule="auto"/>
                        <w:rPr>
                          <w:b/>
                        </w:rPr>
                      </w:pPr>
                      <w:r w:rsidRPr="00D06714">
                        <w:rPr>
                          <w:b/>
                        </w:rPr>
                        <w:t>H</w:t>
                      </w:r>
                      <w:r>
                        <w:rPr>
                          <w:b/>
                        </w:rPr>
                        <w:t>0</w:t>
                      </w:r>
                      <w:r w:rsidRPr="00D06714">
                        <w:rPr>
                          <w:b/>
                          <w:vertAlign w:val="subscript"/>
                        </w:rPr>
                        <w:t>1</w:t>
                      </w:r>
                    </w:p>
                  </w:txbxContent>
                </v:textbox>
              </v:shape>
            </w:pict>
          </mc:Fallback>
        </mc:AlternateContent>
      </w:r>
    </w:p>
    <w:p w14:paraId="5B7A5EA0" w14:textId="77777777" w:rsidR="00FE1EEB" w:rsidRPr="00C0591E" w:rsidRDefault="00FE1EEB" w:rsidP="00FE1EEB">
      <w:pPr>
        <w:tabs>
          <w:tab w:val="left" w:pos="3810"/>
        </w:tabs>
        <w:spacing w:after="0" w:line="276" w:lineRule="auto"/>
        <w:rPr>
          <w:b/>
          <w:szCs w:val="24"/>
        </w:rPr>
      </w:pPr>
      <w:r w:rsidRPr="00C0591E">
        <w:rPr>
          <w:noProof/>
        </w:rPr>
        <mc:AlternateContent>
          <mc:Choice Requires="wps">
            <w:drawing>
              <wp:anchor distT="0" distB="0" distL="114300" distR="114300" simplePos="0" relativeHeight="251749376" behindDoc="0" locked="0" layoutInCell="1" allowOverlap="1" wp14:anchorId="078B8D20" wp14:editId="0FB1A705">
                <wp:simplePos x="0" y="0"/>
                <wp:positionH relativeFrom="column">
                  <wp:posOffset>5533390</wp:posOffset>
                </wp:positionH>
                <wp:positionV relativeFrom="paragraph">
                  <wp:posOffset>73025</wp:posOffset>
                </wp:positionV>
                <wp:extent cx="0" cy="676275"/>
                <wp:effectExtent l="76200" t="0" r="95250" b="47625"/>
                <wp:wrapNone/>
                <wp:docPr id="4" name="Straight Arrow Connector 4"/>
                <wp:cNvGraphicFramePr/>
                <a:graphic xmlns:a="http://schemas.openxmlformats.org/drawingml/2006/main">
                  <a:graphicData uri="http://schemas.microsoft.com/office/word/2010/wordprocessingShape">
                    <wps:wsp>
                      <wps:cNvCnPr/>
                      <wps:spPr>
                        <a:xfrm>
                          <a:off x="0" y="0"/>
                          <a:ext cx="0" cy="6762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1E720718" id="Straight Arrow Connector 4" o:spid="_x0000_s1026" type="#_x0000_t32" style="position:absolute;margin-left:435.7pt;margin-top:5.75pt;width:0;height:53.25pt;z-index:251749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" strokecolor="windowText" strokeweight=".5pt">
                <v:stroke endarrow="block" joinstyle="miter"/>
              </v:shape>
            </w:pict>
          </mc:Fallback>
        </mc:AlternateContent>
      </w:r>
      <w:r w:rsidRPr="00C0591E">
        <w:rPr>
          <w:noProof/>
        </w:rPr>
        <mc:AlternateContent>
          <mc:Choice Requires="wps">
            <w:drawing>
              <wp:anchor distT="0" distB="0" distL="114298" distR="114298" simplePos="0" relativeHeight="251742208" behindDoc="0" locked="0" layoutInCell="1" allowOverlap="1" wp14:anchorId="2D612C9B" wp14:editId="03F8FC38">
                <wp:simplePos x="0" y="0"/>
                <wp:positionH relativeFrom="column">
                  <wp:posOffset>866140</wp:posOffset>
                </wp:positionH>
                <wp:positionV relativeFrom="paragraph">
                  <wp:posOffset>76200</wp:posOffset>
                </wp:positionV>
                <wp:extent cx="0" cy="603250"/>
                <wp:effectExtent l="0" t="0" r="19050" b="6350"/>
                <wp:wrapNone/>
                <wp:docPr id="8" name="AutoShap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0325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0EB4F2B0" id="AutoShape 77" o:spid="_x0000_s1026" type="#_x0000_t32" style="position:absolute;margin-left:68.2pt;margin-top:6pt;width:0;height:47.5pt;flip:y;z-index:2517422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"/>
            </w:pict>
          </mc:Fallback>
        </mc:AlternateContent>
      </w:r>
      <w:r w:rsidRPr="00C0591E">
        <w:rPr>
          <w:noProof/>
        </w:rPr>
        <mc:AlternateContent>
          <mc:Choice Requires="wps">
            <w:drawing>
              <wp:anchor distT="4294967294" distB="4294967294" distL="114300" distR="114300" simplePos="0" relativeHeight="251743232" behindDoc="0" locked="0" layoutInCell="1" allowOverlap="1" wp14:anchorId="01F0B5E2" wp14:editId="0A7E41CC">
                <wp:simplePos x="0" y="0"/>
                <wp:positionH relativeFrom="column">
                  <wp:posOffset>866775</wp:posOffset>
                </wp:positionH>
                <wp:positionV relativeFrom="paragraph">
                  <wp:posOffset>75565</wp:posOffset>
                </wp:positionV>
                <wp:extent cx="4657725" cy="0"/>
                <wp:effectExtent l="0" t="0" r="0" b="0"/>
                <wp:wrapNone/>
                <wp:docPr id="9" name="AutoShap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5772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482EABBB" id="AutoShape 78" o:spid="_x0000_s1026" type="#_x0000_t32" style="position:absolute;margin-left:68.25pt;margin-top:5.95pt;width:366.75pt;height:0;z-index:2517432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"/>
            </w:pict>
          </mc:Fallback>
        </mc:AlternateContent>
      </w:r>
    </w:p>
    <w:p w14:paraId="008D1372" w14:textId="77777777" w:rsidR="00FE1EEB" w:rsidRPr="00C0591E" w:rsidRDefault="00FE1EEB" w:rsidP="00FE1EEB">
      <w:pPr>
        <w:tabs>
          <w:tab w:val="left" w:pos="2391"/>
        </w:tabs>
        <w:spacing w:after="0" w:line="276" w:lineRule="auto"/>
      </w:pPr>
      <w:r w:rsidRPr="00C0591E">
        <w:tab/>
      </w:r>
    </w:p>
    <w:p w14:paraId="3F2F9E6F" w14:textId="64E7303F" w:rsidR="00FE1EEB" w:rsidRPr="00C0591E" w:rsidRDefault="00AC118A" w:rsidP="00FE1EEB">
      <w:pPr>
        <w:tabs>
          <w:tab w:val="left" w:pos="3810"/>
        </w:tabs>
        <w:spacing w:after="0" w:line="276" w:lineRule="auto"/>
        <w:rPr>
          <w:szCs w:val="24"/>
        </w:rPr>
      </w:pPr>
      <w:r w:rsidRPr="00C0591E">
        <w:rPr>
          <w:noProof/>
          <w:szCs w:val="24"/>
        </w:rPr>
        <mc:AlternateContent>
          <mc:Choice Requires="wps">
            <w:drawing>
              <wp:anchor distT="0" distB="0" distL="114300" distR="114300" simplePos="0" relativeHeight="251730944" behindDoc="0" locked="0" layoutInCell="1" allowOverlap="1" wp14:anchorId="5BD06764" wp14:editId="7E9DE555">
                <wp:simplePos x="0" y="0"/>
                <wp:positionH relativeFrom="column">
                  <wp:posOffset>266700</wp:posOffset>
                </wp:positionH>
                <wp:positionV relativeFrom="paragraph">
                  <wp:posOffset>149860</wp:posOffset>
                </wp:positionV>
                <wp:extent cx="1696720" cy="2004060"/>
                <wp:effectExtent l="0" t="0" r="17780" b="15240"/>
                <wp:wrapNone/>
                <wp:docPr id="1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6720" cy="200406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0481F185" w14:textId="77777777" w:rsidR="003A104A" w:rsidRDefault="003A104A" w:rsidP="00FE1EEB">
                            <w:pPr>
                              <w:spacing w:after="0"/>
                              <w:rPr>
                                <w:rFonts w:eastAsia="Times New Roman"/>
                                <w:b/>
                                <w:szCs w:val="24"/>
                              </w:rPr>
                            </w:pPr>
                          </w:p>
                          <w:p w14:paraId="5EDD833B" w14:textId="77777777" w:rsidR="003A104A" w:rsidRDefault="003A104A" w:rsidP="00FE1EEB">
                            <w:pPr>
                              <w:spacing w:after="0"/>
                              <w:rPr>
                                <w:rFonts w:eastAsia="Times New Roman"/>
                                <w:b/>
                                <w:szCs w:val="24"/>
                              </w:rPr>
                            </w:pPr>
                          </w:p>
                          <w:p w14:paraId="2874031A" w14:textId="7742F5D2" w:rsidR="003A104A" w:rsidRDefault="003A104A" w:rsidP="00FE1EEB">
                            <w:pPr>
                              <w:spacing w:after="0"/>
                              <w:rPr>
                                <w:rFonts w:eastAsia="Times New Roman"/>
                                <w:b/>
                                <w:szCs w:val="24"/>
                              </w:rPr>
                            </w:pPr>
                            <w:r w:rsidRPr="0001387E">
                              <w:rPr>
                                <w:rFonts w:eastAsia="Times New Roman"/>
                                <w:b/>
                                <w:szCs w:val="24"/>
                              </w:rPr>
                              <w:t xml:space="preserve">Corporate </w:t>
                            </w:r>
                            <w:r>
                              <w:rPr>
                                <w:rFonts w:eastAsia="Times New Roman"/>
                                <w:b/>
                                <w:szCs w:val="24"/>
                              </w:rPr>
                              <w:t>G</w:t>
                            </w:r>
                            <w:r w:rsidRPr="0001387E">
                              <w:rPr>
                                <w:rFonts w:eastAsia="Times New Roman"/>
                                <w:b/>
                                <w:szCs w:val="24"/>
                              </w:rPr>
                              <w:t>overnance</w:t>
                            </w:r>
                          </w:p>
                          <w:p w14:paraId="05A7BF83" w14:textId="77777777" w:rsidR="003A104A" w:rsidRPr="00692D90" w:rsidRDefault="003A104A" w:rsidP="00FE1EEB">
                            <w:pPr>
                              <w:spacing w:line="240" w:lineRule="auto"/>
                              <w:rPr>
                                <w:rFonts w:cs="Times New Roman"/>
                                <w:sz w:val="22"/>
                              </w:rPr>
                            </w:pPr>
                          </w:p>
                          <w:p w14:paraId="0F6AA782" w14:textId="77777777" w:rsidR="003A104A" w:rsidRPr="009D00B8" w:rsidRDefault="003A104A" w:rsidP="00FE1EEB">
                            <w:pPr>
                              <w:pStyle w:val="ListParagraph"/>
                              <w:spacing w:line="240" w:lineRule="auto"/>
                              <w:rPr>
                                <w:rFonts w:cs="Times New Roman"/>
                                <w:sz w:val="22"/>
                              </w:rPr>
                            </w:pPr>
                          </w:p>
                          <w:p w14:paraId="09A8F26F" w14:textId="77777777" w:rsidR="003A104A" w:rsidRPr="009D00B8" w:rsidRDefault="003A104A" w:rsidP="00FE1EEB">
                            <w:pPr>
                              <w:spacing w:line="240" w:lineRule="auto"/>
                              <w:ind w:left="360"/>
                              <w:rPr>
                                <w:sz w:val="22"/>
                              </w:rPr>
                            </w:pPr>
                          </w:p>
                          <w:p w14:paraId="31693563" w14:textId="77777777" w:rsidR="003A104A" w:rsidRPr="009D00B8" w:rsidRDefault="003A104A" w:rsidP="00FE1EEB">
                            <w:pPr>
                              <w:ind w:left="360"/>
                              <w:rPr>
                                <w:sz w:val="22"/>
                              </w:rPr>
                            </w:pPr>
                          </w:p>
                          <w:p w14:paraId="2C31DF1F" w14:textId="77777777" w:rsidR="003A104A" w:rsidRPr="009D00B8" w:rsidRDefault="003A104A" w:rsidP="00FE1EEB">
                            <w:pPr>
                              <w:rPr>
                                <w:b/>
                                <w:sz w:val="2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BD06764" id="Text Box 8" o:spid="_x0000_s1053" type="#_x0000_t202" style="position:absolute;left:0;text-align:left;margin-left:21pt;margin-top:11.8pt;width:133.6pt;height:157.8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" strokeweight="1.5pt">
                <v:shadow opacity=".5" offset="-6pt,-6pt"/>
                <v:textbox>
                  <w:txbxContent>
                    <w:p w14:paraId="0481F185" w14:textId="77777777" w:rsidR="003A104A" w:rsidRDefault="003A104A" w:rsidP="00FE1EEB">
                      <w:pPr>
                        <w:spacing w:after="0"/>
                        <w:rPr>
                          <w:rFonts w:eastAsia="Times New Roman"/>
                          <w:b/>
                          <w:szCs w:val="24"/>
                        </w:rPr>
                      </w:pPr>
                    </w:p>
                    <w:p w14:paraId="5EDD833B" w14:textId="77777777" w:rsidR="003A104A" w:rsidRDefault="003A104A" w:rsidP="00FE1EEB">
                      <w:pPr>
                        <w:spacing w:after="0"/>
                        <w:rPr>
                          <w:rFonts w:eastAsia="Times New Roman"/>
                          <w:b/>
                          <w:szCs w:val="24"/>
                        </w:rPr>
                      </w:pPr>
                    </w:p>
                    <w:p w14:paraId="2874031A" w14:textId="7742F5D2" w:rsidR="003A104A" w:rsidRDefault="003A104A" w:rsidP="00FE1EEB">
                      <w:pPr>
                        <w:spacing w:after="0"/>
                        <w:rPr>
                          <w:rFonts w:eastAsia="Times New Roman"/>
                          <w:b/>
                          <w:szCs w:val="24"/>
                        </w:rPr>
                      </w:pPr>
                      <w:r w:rsidRPr="0001387E">
                        <w:rPr>
                          <w:rFonts w:eastAsia="Times New Roman"/>
                          <w:b/>
                          <w:szCs w:val="24"/>
                        </w:rPr>
                        <w:t xml:space="preserve">Corporate </w:t>
                      </w:r>
                      <w:r>
                        <w:rPr>
                          <w:rFonts w:eastAsia="Times New Roman"/>
                          <w:b/>
                          <w:szCs w:val="24"/>
                        </w:rPr>
                        <w:t>G</w:t>
                      </w:r>
                      <w:r w:rsidRPr="0001387E">
                        <w:rPr>
                          <w:rFonts w:eastAsia="Times New Roman"/>
                          <w:b/>
                          <w:szCs w:val="24"/>
                        </w:rPr>
                        <w:t>overnance</w:t>
                      </w:r>
                    </w:p>
                    <w:p w14:paraId="05A7BF83" w14:textId="77777777" w:rsidR="003A104A" w:rsidRPr="00692D90" w:rsidRDefault="003A104A" w:rsidP="00FE1EEB">
                      <w:pPr>
                        <w:spacing w:line="240" w:lineRule="auto"/>
                        <w:rPr>
                          <w:rFonts w:cs="Times New Roman"/>
                          <w:sz w:val="22"/>
                        </w:rPr>
                      </w:pPr>
                    </w:p>
                    <w:p w14:paraId="0F6AA782" w14:textId="77777777" w:rsidR="003A104A" w:rsidRPr="009D00B8" w:rsidRDefault="003A104A" w:rsidP="00FE1EEB">
                      <w:pPr>
                        <w:pStyle w:val="ListParagraph"/>
                        <w:spacing w:line="240" w:lineRule="auto"/>
                        <w:rPr>
                          <w:rFonts w:cs="Times New Roman"/>
                          <w:sz w:val="22"/>
                        </w:rPr>
                      </w:pPr>
                    </w:p>
                    <w:p w14:paraId="09A8F26F" w14:textId="77777777" w:rsidR="003A104A" w:rsidRPr="009D00B8" w:rsidRDefault="003A104A" w:rsidP="00FE1EEB">
                      <w:pPr>
                        <w:spacing w:line="240" w:lineRule="auto"/>
                        <w:ind w:left="360"/>
                        <w:rPr>
                          <w:sz w:val="22"/>
                        </w:rPr>
                      </w:pPr>
                    </w:p>
                    <w:p w14:paraId="31693563" w14:textId="77777777" w:rsidR="003A104A" w:rsidRPr="009D00B8" w:rsidRDefault="003A104A" w:rsidP="00FE1EEB">
                      <w:pPr>
                        <w:ind w:left="360"/>
                        <w:rPr>
                          <w:sz w:val="22"/>
                        </w:rPr>
                      </w:pPr>
                    </w:p>
                    <w:p w14:paraId="2C31DF1F" w14:textId="77777777" w:rsidR="003A104A" w:rsidRPr="009D00B8" w:rsidRDefault="003A104A" w:rsidP="00FE1EEB">
                      <w:pPr>
                        <w:rPr>
                          <w:b/>
                          <w:sz w:val="22"/>
                        </w:rPr>
                      </w:pPr>
                    </w:p>
                  </w:txbxContent>
                </v:textbox>
              </v:shape>
            </w:pict>
          </mc:Fallback>
        </mc:AlternateContent>
      </w:r>
      <w:r w:rsidR="00FE1EEB" w:rsidRPr="00C0591E">
        <w:rPr>
          <w:noProof/>
          <w:szCs w:val="24"/>
        </w:rPr>
        <mc:AlternateContent>
          <mc:Choice Requires="wps">
            <w:drawing>
              <wp:anchor distT="0" distB="0" distL="114300" distR="114300" simplePos="0" relativeHeight="251735040" behindDoc="0" locked="0" layoutInCell="1" allowOverlap="1" wp14:anchorId="28AEE669" wp14:editId="1DDFDB00">
                <wp:simplePos x="0" y="0"/>
                <wp:positionH relativeFrom="column">
                  <wp:posOffset>4763386</wp:posOffset>
                </wp:positionH>
                <wp:positionV relativeFrom="paragraph">
                  <wp:posOffset>214660</wp:posOffset>
                </wp:positionV>
                <wp:extent cx="1232210" cy="1701209"/>
                <wp:effectExtent l="0" t="0" r="25400" b="13335"/>
                <wp:wrapNone/>
                <wp:docPr id="1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2210" cy="1701209"/>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521838E1" w14:textId="77777777" w:rsidR="003A104A" w:rsidRDefault="003A104A" w:rsidP="00FE1EEB">
                            <w:pPr>
                              <w:spacing w:after="0" w:line="240" w:lineRule="auto"/>
                              <w:rPr>
                                <w:sz w:val="22"/>
                              </w:rPr>
                            </w:pPr>
                          </w:p>
                          <w:p w14:paraId="064AEB4E" w14:textId="77777777" w:rsidR="003A104A" w:rsidRDefault="003A104A" w:rsidP="00FE1EEB">
                            <w:pPr>
                              <w:spacing w:after="0" w:line="240" w:lineRule="auto"/>
                              <w:rPr>
                                <w:sz w:val="22"/>
                              </w:rPr>
                            </w:pPr>
                          </w:p>
                          <w:p w14:paraId="3CF6A028" w14:textId="516809A6" w:rsidR="003A104A" w:rsidRDefault="003A104A" w:rsidP="00FE1EEB">
                            <w:pPr>
                              <w:pStyle w:val="Heading7"/>
                            </w:pPr>
                            <w:r w:rsidRPr="00D06714">
                              <w:t>Performance</w:t>
                            </w:r>
                          </w:p>
                          <w:p w14:paraId="1F46FC26" w14:textId="1E97405F" w:rsidR="003A104A" w:rsidRDefault="003A104A" w:rsidP="00FE1EEB"/>
                          <w:p w14:paraId="2B8D438C" w14:textId="77777777" w:rsidR="003A104A" w:rsidRPr="00FE1EEB" w:rsidRDefault="003A104A" w:rsidP="00FE1EEB"/>
                          <w:p w14:paraId="5C6AFD04" w14:textId="77777777" w:rsidR="003A104A" w:rsidRPr="003E56A0" w:rsidRDefault="003A104A" w:rsidP="00FE1EEB">
                            <w:pPr>
                              <w:pStyle w:val="ListParagraph"/>
                              <w:spacing w:after="0" w:line="240" w:lineRule="auto"/>
                              <w:ind w:left="360"/>
                              <w:rPr>
                                <w:sz w:val="22"/>
                              </w:rPr>
                            </w:pPr>
                          </w:p>
                          <w:p w14:paraId="0F795E2B" w14:textId="77777777" w:rsidR="003A104A" w:rsidRDefault="003A104A" w:rsidP="00FE1EEB">
                            <w:pPr>
                              <w:pStyle w:val="ListParagraph"/>
                              <w:spacing w:after="0" w:line="240" w:lineRule="auto"/>
                              <w:rPr>
                                <w:sz w:val="22"/>
                              </w:rPr>
                            </w:pPr>
                          </w:p>
                          <w:p w14:paraId="3E1E57AF" w14:textId="77777777" w:rsidR="003A104A" w:rsidRDefault="003A104A" w:rsidP="00FE1EEB">
                            <w:pPr>
                              <w:pStyle w:val="ListParagraph"/>
                              <w:spacing w:after="0" w:line="240" w:lineRule="auto"/>
                              <w:rPr>
                                <w:rFonts w:cs="Times New Roman"/>
                                <w:sz w:val="2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AEE669" id="Text Box 13" o:spid="_x0000_s1054" type="#_x0000_t202" style="position:absolute;left:0;text-align:left;margin-left:375.05pt;margin-top:16.9pt;width:97pt;height:133.9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" strokeweight="1.5pt">
                <v:shadow opacity=".5" offset="-6pt,-6pt"/>
                <v:textbox>
                  <w:txbxContent>
                    <w:p w14:paraId="521838E1" w14:textId="77777777" w:rsidR="003A104A" w:rsidRDefault="003A104A" w:rsidP="00FE1EEB">
                      <w:pPr>
                        <w:spacing w:after="0" w:line="240" w:lineRule="auto"/>
                        <w:rPr>
                          <w:sz w:val="22"/>
                        </w:rPr>
                      </w:pPr>
                    </w:p>
                    <w:p w14:paraId="064AEB4E" w14:textId="77777777" w:rsidR="003A104A" w:rsidRDefault="003A104A" w:rsidP="00FE1EEB">
                      <w:pPr>
                        <w:spacing w:after="0" w:line="240" w:lineRule="auto"/>
                        <w:rPr>
                          <w:sz w:val="22"/>
                        </w:rPr>
                      </w:pPr>
                    </w:p>
                    <w:p w14:paraId="3CF6A028" w14:textId="516809A6" w:rsidR="003A104A" w:rsidRDefault="003A104A" w:rsidP="00FE1EEB">
                      <w:pPr>
                        <w:pStyle w:val="Heading7"/>
                      </w:pPr>
                      <w:r w:rsidRPr="00D06714">
                        <w:t>Performance</w:t>
                      </w:r>
                    </w:p>
                    <w:p w14:paraId="1F46FC26" w14:textId="1E97405F" w:rsidR="003A104A" w:rsidRDefault="003A104A" w:rsidP="00FE1EEB"/>
                    <w:p w14:paraId="2B8D438C" w14:textId="77777777" w:rsidR="003A104A" w:rsidRPr="00FE1EEB" w:rsidRDefault="003A104A" w:rsidP="00FE1EEB"/>
                    <w:p w14:paraId="5C6AFD04" w14:textId="77777777" w:rsidR="003A104A" w:rsidRPr="003E56A0" w:rsidRDefault="003A104A" w:rsidP="00FE1EEB">
                      <w:pPr>
                        <w:pStyle w:val="ListParagraph"/>
                        <w:spacing w:after="0" w:line="240" w:lineRule="auto"/>
                        <w:ind w:left="360"/>
                        <w:rPr>
                          <w:sz w:val="22"/>
                        </w:rPr>
                      </w:pPr>
                    </w:p>
                    <w:p w14:paraId="0F795E2B" w14:textId="77777777" w:rsidR="003A104A" w:rsidRDefault="003A104A" w:rsidP="00FE1EEB">
                      <w:pPr>
                        <w:pStyle w:val="ListParagraph"/>
                        <w:spacing w:after="0" w:line="240" w:lineRule="auto"/>
                        <w:rPr>
                          <w:sz w:val="22"/>
                        </w:rPr>
                      </w:pPr>
                    </w:p>
                    <w:p w14:paraId="3E1E57AF" w14:textId="77777777" w:rsidR="003A104A" w:rsidRDefault="003A104A" w:rsidP="00FE1EEB">
                      <w:pPr>
                        <w:pStyle w:val="ListParagraph"/>
                        <w:spacing w:after="0" w:line="240" w:lineRule="auto"/>
                        <w:rPr>
                          <w:rFonts w:cs="Times New Roman"/>
                          <w:sz w:val="22"/>
                        </w:rPr>
                      </w:pPr>
                    </w:p>
                  </w:txbxContent>
                </v:textbox>
              </v:shape>
            </w:pict>
          </mc:Fallback>
        </mc:AlternateContent>
      </w:r>
      <w:r w:rsidR="00FE1EEB" w:rsidRPr="00C0591E">
        <w:rPr>
          <w:szCs w:val="24"/>
        </w:rPr>
        <w:tab/>
      </w:r>
    </w:p>
    <w:p w14:paraId="20DDCDA3" w14:textId="77777777" w:rsidR="00FE1EEB" w:rsidRPr="00C0591E" w:rsidRDefault="00FE1EEB" w:rsidP="00FE1EEB">
      <w:pPr>
        <w:tabs>
          <w:tab w:val="left" w:pos="3810"/>
        </w:tabs>
        <w:spacing w:after="0" w:line="276" w:lineRule="auto"/>
        <w:rPr>
          <w:szCs w:val="24"/>
        </w:rPr>
      </w:pPr>
      <w:r w:rsidRPr="00C0591E">
        <w:rPr>
          <w:noProof/>
          <w:szCs w:val="24"/>
        </w:rPr>
        <mc:AlternateContent>
          <mc:Choice Requires="wps">
            <w:drawing>
              <wp:anchor distT="0" distB="0" distL="114300" distR="114300" simplePos="0" relativeHeight="251729920" behindDoc="0" locked="0" layoutInCell="1" allowOverlap="1" wp14:anchorId="65F28E80" wp14:editId="2551B68B">
                <wp:simplePos x="0" y="0"/>
                <wp:positionH relativeFrom="column">
                  <wp:posOffset>4162425</wp:posOffset>
                </wp:positionH>
                <wp:positionV relativeFrom="paragraph">
                  <wp:posOffset>219075</wp:posOffset>
                </wp:positionV>
                <wp:extent cx="457200" cy="275590"/>
                <wp:effectExtent l="0" t="0" r="19050" b="10160"/>
                <wp:wrapNone/>
                <wp:docPr id="1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75590"/>
                        </a:xfrm>
                        <a:prstGeom prst="rect">
                          <a:avLst/>
                        </a:prstGeom>
                        <a:solidFill>
                          <a:srgbClr val="FFFFFF"/>
                        </a:solidFill>
                        <a:ln w="9525">
                          <a:solidFill>
                            <a:sysClr val="window" lastClr="FFFFFF"/>
                          </a:solidFill>
                          <a:miter lim="800000"/>
                          <a:headEnd/>
                          <a:tailEnd/>
                        </a:ln>
                      </wps:spPr>
                      <wps:txbx>
                        <w:txbxContent>
                          <w:p w14:paraId="6E9B166B" w14:textId="77777777" w:rsidR="003A104A" w:rsidRPr="00D06714" w:rsidRDefault="003A104A" w:rsidP="00FE1EEB">
                            <w:pPr>
                              <w:spacing w:before="0" w:line="240" w:lineRule="auto"/>
                              <w:rPr>
                                <w:b/>
                              </w:rPr>
                            </w:pPr>
                            <w:r w:rsidRPr="00D06714">
                              <w:rPr>
                                <w:b/>
                              </w:rPr>
                              <w:t>H</w:t>
                            </w:r>
                            <w:r>
                              <w:rPr>
                                <w:b/>
                              </w:rPr>
                              <w:t>0</w:t>
                            </w:r>
                            <w:r w:rsidRPr="00D06714">
                              <w:rPr>
                                <w:b/>
                                <w:vertAlign w:val="subscript"/>
                              </w:rPr>
                              <w:t>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5F28E80" id="Text Box 73" o:spid="_x0000_s1055" type="#_x0000_t202" style="position:absolute;left:0;text-align:left;margin-left:327.75pt;margin-top:17.25pt;width:36pt;height:21.7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" strokecolor="window">
                <v:textbox>
                  <w:txbxContent>
                    <w:p w14:paraId="6E9B166B" w14:textId="77777777" w:rsidR="003A104A" w:rsidRPr="00D06714" w:rsidRDefault="003A104A" w:rsidP="00FE1EEB">
                      <w:pPr>
                        <w:spacing w:before="0" w:line="240" w:lineRule="auto"/>
                        <w:rPr>
                          <w:b/>
                        </w:rPr>
                      </w:pPr>
                      <w:r w:rsidRPr="00D06714">
                        <w:rPr>
                          <w:b/>
                        </w:rPr>
                        <w:t>H</w:t>
                      </w:r>
                      <w:r>
                        <w:rPr>
                          <w:b/>
                        </w:rPr>
                        <w:t>0</w:t>
                      </w:r>
                      <w:r w:rsidRPr="00D06714">
                        <w:rPr>
                          <w:b/>
                          <w:vertAlign w:val="subscript"/>
                        </w:rPr>
                        <w:t>2</w:t>
                      </w:r>
                    </w:p>
                  </w:txbxContent>
                </v:textbox>
              </v:shape>
            </w:pict>
          </mc:Fallback>
        </mc:AlternateContent>
      </w:r>
      <w:r w:rsidRPr="00C0591E">
        <w:rPr>
          <w:noProof/>
          <w:szCs w:val="24"/>
        </w:rPr>
        <mc:AlternateContent>
          <mc:Choice Requires="wps">
            <w:drawing>
              <wp:anchor distT="0" distB="0" distL="114300" distR="114300" simplePos="0" relativeHeight="251732992" behindDoc="0" locked="0" layoutInCell="1" allowOverlap="1" wp14:anchorId="4AD4B781" wp14:editId="5D90B4DD">
                <wp:simplePos x="0" y="0"/>
                <wp:positionH relativeFrom="column">
                  <wp:posOffset>2280920</wp:posOffset>
                </wp:positionH>
                <wp:positionV relativeFrom="paragraph">
                  <wp:posOffset>227330</wp:posOffset>
                </wp:positionV>
                <wp:extent cx="1771015" cy="628650"/>
                <wp:effectExtent l="0" t="0" r="19685" b="1905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1015" cy="628650"/>
                        </a:xfrm>
                        <a:prstGeom prst="rect">
                          <a:avLst/>
                        </a:prstGeom>
                        <a:solidFill>
                          <a:srgbClr val="FFFFFF"/>
                        </a:solidFill>
                        <a:ln w="19050">
                          <a:solidFill>
                            <a:srgbClr val="000000"/>
                          </a:solidFill>
                          <a:miter lim="800000"/>
                          <a:headEnd/>
                          <a:tailEnd/>
                        </a:ln>
                      </wps:spPr>
                      <wps:txbx>
                        <w:txbxContent>
                          <w:p w14:paraId="01763DCC" w14:textId="77777777" w:rsidR="003A104A" w:rsidRDefault="003A104A" w:rsidP="00FE1EEB">
                            <w:pPr>
                              <w:spacing w:after="0" w:line="240" w:lineRule="auto"/>
                              <w:rPr>
                                <w:rFonts w:cs="Times New Roman"/>
                              </w:rPr>
                            </w:pPr>
                            <w:r w:rsidRPr="0001387E">
                              <w:rPr>
                                <w:rFonts w:cs="Times New Roman"/>
                                <w:b/>
                                <w:szCs w:val="24"/>
                              </w:rPr>
                              <w:t xml:space="preserve">Investment </w:t>
                            </w:r>
                            <w:r>
                              <w:rPr>
                                <w:rFonts w:cs="Times New Roman"/>
                                <w:b/>
                                <w:szCs w:val="24"/>
                              </w:rPr>
                              <w:t>P</w:t>
                            </w:r>
                            <w:r w:rsidRPr="0001387E">
                              <w:rPr>
                                <w:rFonts w:cs="Times New Roman"/>
                                <w:b/>
                                <w:szCs w:val="24"/>
                              </w:rPr>
                              <w:t>olicies</w:t>
                            </w:r>
                            <w:r w:rsidRPr="008A7657">
                              <w:rPr>
                                <w:rFonts w:cs="Times New Roman"/>
                              </w:rPr>
                              <w:t xml:space="preserve"> </w:t>
                            </w:r>
                          </w:p>
                          <w:p w14:paraId="302D7DCC" w14:textId="77777777" w:rsidR="003A104A" w:rsidRPr="00F25EC8" w:rsidRDefault="003A104A" w:rsidP="00FE1EEB">
                            <w:pPr>
                              <w:pStyle w:val="Heading8"/>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AD4B781" id="Text Box 15" o:spid="_x0000_s1056" type="#_x0000_t202" style="position:absolute;left:0;text-align:left;margin-left:179.6pt;margin-top:17.9pt;width:139.45pt;height:49.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" strokeweight="1.5pt">
                <v:textbox>
                  <w:txbxContent>
                    <w:p w14:paraId="01763DCC" w14:textId="77777777" w:rsidR="003A104A" w:rsidRDefault="003A104A" w:rsidP="00FE1EEB">
                      <w:pPr>
                        <w:spacing w:after="0" w:line="240" w:lineRule="auto"/>
                        <w:rPr>
                          <w:rFonts w:cs="Times New Roman"/>
                        </w:rPr>
                      </w:pPr>
                      <w:r w:rsidRPr="0001387E">
                        <w:rPr>
                          <w:rFonts w:cs="Times New Roman"/>
                          <w:b/>
                          <w:szCs w:val="24"/>
                        </w:rPr>
                        <w:t xml:space="preserve">Investment </w:t>
                      </w:r>
                      <w:r>
                        <w:rPr>
                          <w:rFonts w:cs="Times New Roman"/>
                          <w:b/>
                          <w:szCs w:val="24"/>
                        </w:rPr>
                        <w:t>P</w:t>
                      </w:r>
                      <w:r w:rsidRPr="0001387E">
                        <w:rPr>
                          <w:rFonts w:cs="Times New Roman"/>
                          <w:b/>
                          <w:szCs w:val="24"/>
                        </w:rPr>
                        <w:t>olicies</w:t>
                      </w:r>
                      <w:r w:rsidRPr="008A7657">
                        <w:rPr>
                          <w:rFonts w:cs="Times New Roman"/>
                        </w:rPr>
                        <w:t xml:space="preserve"> </w:t>
                      </w:r>
                    </w:p>
                    <w:p w14:paraId="302D7DCC" w14:textId="77777777" w:rsidR="003A104A" w:rsidRPr="00F25EC8" w:rsidRDefault="003A104A" w:rsidP="00FE1EEB">
                      <w:pPr>
                        <w:pStyle w:val="Heading8"/>
                      </w:pPr>
                    </w:p>
                  </w:txbxContent>
                </v:textbox>
              </v:shape>
            </w:pict>
          </mc:Fallback>
        </mc:AlternateContent>
      </w:r>
    </w:p>
    <w:p w14:paraId="7826A5D3" w14:textId="77777777" w:rsidR="00FE1EEB" w:rsidRPr="00C0591E" w:rsidRDefault="00FE1EEB" w:rsidP="00FE1EEB">
      <w:pPr>
        <w:tabs>
          <w:tab w:val="left" w:pos="3810"/>
        </w:tabs>
        <w:spacing w:after="0" w:line="276" w:lineRule="auto"/>
        <w:rPr>
          <w:szCs w:val="24"/>
        </w:rPr>
      </w:pPr>
      <w:r w:rsidRPr="00C0591E">
        <w:rPr>
          <w:noProof/>
          <w:szCs w:val="24"/>
        </w:rPr>
        <mc:AlternateContent>
          <mc:Choice Requires="wps">
            <w:drawing>
              <wp:anchor distT="4294967295" distB="4294967295" distL="114300" distR="114300" simplePos="0" relativeHeight="251746304" behindDoc="0" locked="0" layoutInCell="1" allowOverlap="1" wp14:anchorId="13777CCC" wp14:editId="69FB50E9">
                <wp:simplePos x="0" y="0"/>
                <wp:positionH relativeFrom="column">
                  <wp:posOffset>4050030</wp:posOffset>
                </wp:positionH>
                <wp:positionV relativeFrom="paragraph">
                  <wp:posOffset>254635</wp:posOffset>
                </wp:positionV>
                <wp:extent cx="680720" cy="0"/>
                <wp:effectExtent l="0" t="76200" r="5080" b="76200"/>
                <wp:wrapNone/>
                <wp:docPr id="16"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8072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6F695A8A" id="Straight Arrow Connector 16" o:spid="_x0000_s1026" type="#_x0000_t32" style="position:absolute;margin-left:318.9pt;margin-top:20.05pt;width:53.6pt;height:0;z-index:2517463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" strokecolor="windowText" strokeweight=".5pt">
                <v:stroke endarrow="block" joinstyle="miter"/>
                <o:lock v:ext="edit" shapetype="f"/>
              </v:shape>
            </w:pict>
          </mc:Fallback>
        </mc:AlternateContent>
      </w:r>
    </w:p>
    <w:p w14:paraId="7DB49805" w14:textId="77777777" w:rsidR="00FE1EEB" w:rsidRPr="00C0591E" w:rsidRDefault="00FE1EEB" w:rsidP="00FE1EEB">
      <w:pPr>
        <w:tabs>
          <w:tab w:val="left" w:pos="3810"/>
        </w:tabs>
        <w:spacing w:after="0" w:line="276" w:lineRule="auto"/>
        <w:rPr>
          <w:szCs w:val="24"/>
        </w:rPr>
      </w:pPr>
      <w:r w:rsidRPr="00C0591E">
        <w:rPr>
          <w:noProof/>
          <w:szCs w:val="24"/>
        </w:rPr>
        <mc:AlternateContent>
          <mc:Choice Requires="wps">
            <w:drawing>
              <wp:anchor distT="4294967295" distB="4294967295" distL="114300" distR="114300" simplePos="0" relativeHeight="251745280" behindDoc="0" locked="0" layoutInCell="1" allowOverlap="1" wp14:anchorId="695BDA53" wp14:editId="03D3A0A3">
                <wp:simplePos x="0" y="0"/>
                <wp:positionH relativeFrom="column">
                  <wp:posOffset>1957705</wp:posOffset>
                </wp:positionH>
                <wp:positionV relativeFrom="paragraph">
                  <wp:posOffset>43180</wp:posOffset>
                </wp:positionV>
                <wp:extent cx="318770" cy="0"/>
                <wp:effectExtent l="0" t="0" r="0" b="0"/>
                <wp:wrapNone/>
                <wp:docPr id="22" name="Straight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8770"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6A542BE7" id="Straight Connector 22" o:spid="_x0000_s1026" style="position:absolute;z-index:2517452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4.15pt,3.4pt" to="179.25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" strokecolor="windowText" strokeweight=".5pt">
                <v:stroke joinstyle="miter"/>
                <o:lock v:ext="edit" shapetype="f"/>
              </v:line>
            </w:pict>
          </mc:Fallback>
        </mc:AlternateContent>
      </w:r>
    </w:p>
    <w:p w14:paraId="1438E823" w14:textId="77777777" w:rsidR="00FE1EEB" w:rsidRPr="00C0591E" w:rsidRDefault="00FE1EEB" w:rsidP="00FE1EEB">
      <w:pPr>
        <w:tabs>
          <w:tab w:val="left" w:pos="3810"/>
        </w:tabs>
        <w:spacing w:after="0" w:line="276" w:lineRule="auto"/>
        <w:rPr>
          <w:szCs w:val="24"/>
        </w:rPr>
      </w:pPr>
      <w:r w:rsidRPr="00C0591E">
        <w:rPr>
          <w:noProof/>
          <w:szCs w:val="24"/>
        </w:rPr>
        <mc:AlternateContent>
          <mc:Choice Requires="wps">
            <w:drawing>
              <wp:anchor distT="0" distB="0" distL="114300" distR="114300" simplePos="0" relativeHeight="251748352" behindDoc="0" locked="0" layoutInCell="1" allowOverlap="1" wp14:anchorId="68C631B4" wp14:editId="166DB1D7">
                <wp:simplePos x="0" y="0"/>
                <wp:positionH relativeFrom="column">
                  <wp:posOffset>3596640</wp:posOffset>
                </wp:positionH>
                <wp:positionV relativeFrom="paragraph">
                  <wp:posOffset>57785</wp:posOffset>
                </wp:positionV>
                <wp:extent cx="354965" cy="475615"/>
                <wp:effectExtent l="0" t="0" r="26035" b="19685"/>
                <wp:wrapNone/>
                <wp:docPr id="24"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4965" cy="4756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7D64CA" id="AutoShape 26" o:spid="_x0000_s1026" type="#_x0000_t32" style="position:absolute;margin-left:283.2pt;margin-top:4.55pt;width:27.95pt;height:37.4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"/>
            </w:pict>
          </mc:Fallback>
        </mc:AlternateContent>
      </w:r>
      <w:r w:rsidRPr="00C0591E">
        <w:rPr>
          <w:b/>
          <w:noProof/>
        </w:rPr>
        <mc:AlternateContent>
          <mc:Choice Requires="wps">
            <w:drawing>
              <wp:anchor distT="0" distB="0" distL="114300" distR="114300" simplePos="0" relativeHeight="251738112" behindDoc="0" locked="0" layoutInCell="1" allowOverlap="1" wp14:anchorId="094C4AB8" wp14:editId="4EDB1E81">
                <wp:simplePos x="0" y="0"/>
                <wp:positionH relativeFrom="column">
                  <wp:posOffset>2343150</wp:posOffset>
                </wp:positionH>
                <wp:positionV relativeFrom="paragraph">
                  <wp:posOffset>118745</wp:posOffset>
                </wp:positionV>
                <wp:extent cx="1476375" cy="314325"/>
                <wp:effectExtent l="0" t="0" r="9525" b="9525"/>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6375" cy="314325"/>
                        </a:xfrm>
                        <a:prstGeom prst="rect">
                          <a:avLst/>
                        </a:prstGeom>
                        <a:solidFill>
                          <a:srgbClr val="FFFFFF"/>
                        </a:solidFill>
                        <a:ln w="9525">
                          <a:noFill/>
                          <a:miter lim="800000"/>
                          <a:headEnd/>
                          <a:tailEnd/>
                        </a:ln>
                      </wps:spPr>
                      <wps:txbx>
                        <w:txbxContent>
                          <w:p w14:paraId="15E521F5" w14:textId="77777777" w:rsidR="003A104A" w:rsidRPr="00AB058A" w:rsidRDefault="003A104A" w:rsidP="00FE1EEB">
                            <w:pPr>
                              <w:rPr>
                                <w:b/>
                                <w:sz w:val="22"/>
                              </w:rPr>
                            </w:pPr>
                            <w:r w:rsidRPr="00AB058A">
                              <w:rPr>
                                <w:b/>
                                <w:sz w:val="22"/>
                              </w:rPr>
                              <w:t>Intervening Variable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4C4AB8" id="_x0000_s1057" type="#_x0000_t202" style="position:absolute;left:0;text-align:left;margin-left:184.5pt;margin-top:9.35pt;width:116.25pt;height:24.7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" stroked="f">
                <v:textbox>
                  <w:txbxContent>
                    <w:p w14:paraId="15E521F5" w14:textId="77777777" w:rsidR="003A104A" w:rsidRPr="00AB058A" w:rsidRDefault="003A104A" w:rsidP="00FE1EEB">
                      <w:pPr>
                        <w:rPr>
                          <w:b/>
                          <w:sz w:val="22"/>
                        </w:rPr>
                      </w:pPr>
                      <w:r w:rsidRPr="00AB058A">
                        <w:rPr>
                          <w:b/>
                          <w:sz w:val="22"/>
                        </w:rPr>
                        <w:t>Intervening Variable</w:t>
                      </w:r>
                    </w:p>
                  </w:txbxContent>
                </v:textbox>
              </v:shape>
            </w:pict>
          </mc:Fallback>
        </mc:AlternateContent>
      </w:r>
    </w:p>
    <w:p w14:paraId="662E44FA" w14:textId="77777777" w:rsidR="00FE1EEB" w:rsidRPr="00C0591E" w:rsidRDefault="00FE1EEB" w:rsidP="00FE1EEB">
      <w:pPr>
        <w:tabs>
          <w:tab w:val="left" w:pos="3810"/>
        </w:tabs>
        <w:spacing w:after="0" w:line="276" w:lineRule="auto"/>
        <w:rPr>
          <w:szCs w:val="24"/>
        </w:rPr>
      </w:pPr>
      <w:r w:rsidRPr="00C0591E">
        <w:rPr>
          <w:b/>
          <w:noProof/>
          <w:szCs w:val="24"/>
        </w:rPr>
        <mc:AlternateContent>
          <mc:Choice Requires="wps">
            <w:drawing>
              <wp:anchor distT="0" distB="0" distL="114300" distR="114300" simplePos="0" relativeHeight="251740160" behindDoc="0" locked="0" layoutInCell="1" allowOverlap="1" wp14:anchorId="472E1467" wp14:editId="4DD18F94">
                <wp:simplePos x="0" y="0"/>
                <wp:positionH relativeFrom="column">
                  <wp:posOffset>3981449</wp:posOffset>
                </wp:positionH>
                <wp:positionV relativeFrom="paragraph">
                  <wp:posOffset>5715</wp:posOffset>
                </wp:positionV>
                <wp:extent cx="447675" cy="264795"/>
                <wp:effectExtent l="0" t="0" r="28575" b="20955"/>
                <wp:wrapNone/>
                <wp:docPr id="30"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47675" cy="264795"/>
                        </a:xfrm>
                        <a:prstGeom prst="rect">
                          <a:avLst/>
                        </a:prstGeom>
                        <a:solidFill>
                          <a:srgbClr val="FFFFFF"/>
                        </a:solidFill>
                        <a:ln w="9525">
                          <a:solidFill>
                            <a:sysClr val="window" lastClr="FFFFFF"/>
                          </a:solidFill>
                          <a:miter lim="800000"/>
                          <a:headEnd/>
                          <a:tailEnd/>
                        </a:ln>
                      </wps:spPr>
                      <wps:txbx>
                        <w:txbxContent>
                          <w:p w14:paraId="4B6BC759" w14:textId="77777777" w:rsidR="003A104A" w:rsidRPr="00D06714" w:rsidRDefault="003A104A" w:rsidP="00FE1EEB">
                            <w:pPr>
                              <w:spacing w:before="0" w:line="240" w:lineRule="auto"/>
                              <w:rPr>
                                <w:b/>
                              </w:rPr>
                            </w:pPr>
                            <w:r w:rsidRPr="00D06714">
                              <w:rPr>
                                <w:b/>
                              </w:rPr>
                              <w:t>H</w:t>
                            </w:r>
                            <w:r>
                              <w:rPr>
                                <w:b/>
                              </w:rPr>
                              <w:t>0</w:t>
                            </w:r>
                            <w:r w:rsidRPr="00D06714">
                              <w:rPr>
                                <w:b/>
                                <w:vertAlign w:val="subscript"/>
                              </w:rPr>
                              <w:t>4</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72E1467" id="Text Box 72" o:spid="_x0000_s1058" type="#_x0000_t202" style="position:absolute;left:0;text-align:left;margin-left:313.5pt;margin-top:.45pt;width:35.25pt;height:20.85pt;flip:x;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" strokecolor="window">
                <v:textbox>
                  <w:txbxContent>
                    <w:p w14:paraId="4B6BC759" w14:textId="77777777" w:rsidR="003A104A" w:rsidRPr="00D06714" w:rsidRDefault="003A104A" w:rsidP="00FE1EEB">
                      <w:pPr>
                        <w:spacing w:before="0" w:line="240" w:lineRule="auto"/>
                        <w:rPr>
                          <w:b/>
                        </w:rPr>
                      </w:pPr>
                      <w:r w:rsidRPr="00D06714">
                        <w:rPr>
                          <w:b/>
                        </w:rPr>
                        <w:t>H</w:t>
                      </w:r>
                      <w:r>
                        <w:rPr>
                          <w:b/>
                        </w:rPr>
                        <w:t>0</w:t>
                      </w:r>
                      <w:r w:rsidRPr="00D06714">
                        <w:rPr>
                          <w:b/>
                          <w:vertAlign w:val="subscript"/>
                        </w:rPr>
                        <w:t>4</w:t>
                      </w:r>
                    </w:p>
                  </w:txbxContent>
                </v:textbox>
              </v:shape>
            </w:pict>
          </mc:Fallback>
        </mc:AlternateContent>
      </w:r>
    </w:p>
    <w:p w14:paraId="181928DA" w14:textId="77777777" w:rsidR="00FE1EEB" w:rsidRPr="00C0591E" w:rsidRDefault="00FE1EEB" w:rsidP="00FE1EEB">
      <w:pPr>
        <w:tabs>
          <w:tab w:val="left" w:pos="3810"/>
        </w:tabs>
        <w:spacing w:after="0" w:line="276" w:lineRule="auto"/>
        <w:rPr>
          <w:szCs w:val="24"/>
        </w:rPr>
      </w:pPr>
      <w:r w:rsidRPr="00C0591E">
        <w:rPr>
          <w:noProof/>
          <w:szCs w:val="24"/>
        </w:rPr>
        <mc:AlternateContent>
          <mc:Choice Requires="wps">
            <w:drawing>
              <wp:anchor distT="0" distB="0" distL="114300" distR="114300" simplePos="0" relativeHeight="251747328" behindDoc="0" locked="0" layoutInCell="1" allowOverlap="1" wp14:anchorId="7B7E0AA3" wp14:editId="2D6B024E">
                <wp:simplePos x="0" y="0"/>
                <wp:positionH relativeFrom="column">
                  <wp:posOffset>3609340</wp:posOffset>
                </wp:positionH>
                <wp:positionV relativeFrom="paragraph">
                  <wp:posOffset>15875</wp:posOffset>
                </wp:positionV>
                <wp:extent cx="350520" cy="504190"/>
                <wp:effectExtent l="0" t="0" r="30480" b="29210"/>
                <wp:wrapNone/>
                <wp:docPr id="32"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50520" cy="504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EC48ABC" id="AutoShape 25" o:spid="_x0000_s1026" type="#_x0000_t32" style="position:absolute;margin-left:284.2pt;margin-top:1.25pt;width:27.6pt;height:39.7pt;flip:y;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"/>
            </w:pict>
          </mc:Fallback>
        </mc:AlternateContent>
      </w:r>
      <w:r w:rsidRPr="00C0591E">
        <w:rPr>
          <w:noProof/>
          <w:szCs w:val="24"/>
        </w:rPr>
        <mc:AlternateContent>
          <mc:Choice Requires="wps">
            <w:drawing>
              <wp:anchor distT="4294967295" distB="4294967295" distL="114300" distR="114300" simplePos="0" relativeHeight="251744256" behindDoc="0" locked="0" layoutInCell="1" allowOverlap="1" wp14:anchorId="7D44442C" wp14:editId="3EF84405">
                <wp:simplePos x="0" y="0"/>
                <wp:positionH relativeFrom="column">
                  <wp:posOffset>1965325</wp:posOffset>
                </wp:positionH>
                <wp:positionV relativeFrom="paragraph">
                  <wp:posOffset>19685</wp:posOffset>
                </wp:positionV>
                <wp:extent cx="2796540" cy="0"/>
                <wp:effectExtent l="0" t="76200" r="22860" b="95250"/>
                <wp:wrapNone/>
                <wp:docPr id="39" name="Straight Arrow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79654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7B400214" id="Straight Arrow Connector 39" o:spid="_x0000_s1026" type="#_x0000_t32" style="position:absolute;margin-left:154.75pt;margin-top:1.55pt;width:220.2pt;height:0;z-index:2517442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" strokecolor="windowText" strokeweight=".5pt">
                <v:stroke endarrow="block" joinstyle="miter"/>
                <o:lock v:ext="edit" shapetype="f"/>
              </v:shape>
            </w:pict>
          </mc:Fallback>
        </mc:AlternateContent>
      </w:r>
    </w:p>
    <w:p w14:paraId="1840FA9B" w14:textId="77777777" w:rsidR="00FE1EEB" w:rsidRPr="00C0591E" w:rsidRDefault="00FE1EEB" w:rsidP="00FE1EEB">
      <w:pPr>
        <w:tabs>
          <w:tab w:val="left" w:pos="3810"/>
        </w:tabs>
        <w:spacing w:after="0" w:line="276" w:lineRule="auto"/>
        <w:rPr>
          <w:szCs w:val="24"/>
        </w:rPr>
      </w:pPr>
      <w:r w:rsidRPr="00C0591E">
        <w:rPr>
          <w:noProof/>
        </w:rPr>
        <mc:AlternateContent>
          <mc:Choice Requires="wps">
            <w:drawing>
              <wp:anchor distT="0" distB="0" distL="114300" distR="114300" simplePos="0" relativeHeight="251752448" behindDoc="0" locked="0" layoutInCell="1" allowOverlap="1" wp14:anchorId="55564D5B" wp14:editId="6AE27838">
                <wp:simplePos x="0" y="0"/>
                <wp:positionH relativeFrom="column">
                  <wp:posOffset>5695950</wp:posOffset>
                </wp:positionH>
                <wp:positionV relativeFrom="paragraph">
                  <wp:posOffset>66675</wp:posOffset>
                </wp:positionV>
                <wp:extent cx="0" cy="1069340"/>
                <wp:effectExtent l="76200" t="38100" r="57150" b="16510"/>
                <wp:wrapNone/>
                <wp:docPr id="40" name="Straight Arrow Connector 40"/>
                <wp:cNvGraphicFramePr/>
                <a:graphic xmlns:a="http://schemas.openxmlformats.org/drawingml/2006/main">
                  <a:graphicData uri="http://schemas.microsoft.com/office/word/2010/wordprocessingShape">
                    <wps:wsp>
                      <wps:cNvCnPr/>
                      <wps:spPr>
                        <a:xfrm flipV="1">
                          <a:off x="0" y="0"/>
                          <a:ext cx="0" cy="106934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42ECFCAA" id="Straight Arrow Connector 40" o:spid="_x0000_s1026" type="#_x0000_t32" style="position:absolute;margin-left:448.5pt;margin-top:5.25pt;width:0;height:84.2pt;flip:y;z-index:2517524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" strokecolor="windowText" strokeweight=".5pt">
                <v:stroke endarrow="block" joinstyle="miter"/>
              </v:shape>
            </w:pict>
          </mc:Fallback>
        </mc:AlternateContent>
      </w:r>
      <w:r w:rsidRPr="00C0591E">
        <w:rPr>
          <w:noProof/>
        </w:rPr>
        <mc:AlternateContent>
          <mc:Choice Requires="wps">
            <w:drawing>
              <wp:anchor distT="0" distB="0" distL="114300" distR="114300" simplePos="0" relativeHeight="251750400" behindDoc="0" locked="0" layoutInCell="1" allowOverlap="1" wp14:anchorId="0D2AE639" wp14:editId="41CEBF25">
                <wp:simplePos x="0" y="0"/>
                <wp:positionH relativeFrom="column">
                  <wp:posOffset>1381125</wp:posOffset>
                </wp:positionH>
                <wp:positionV relativeFrom="paragraph">
                  <wp:posOffset>212089</wp:posOffset>
                </wp:positionV>
                <wp:extent cx="0" cy="923925"/>
                <wp:effectExtent l="0" t="0" r="38100" b="28575"/>
                <wp:wrapNone/>
                <wp:docPr id="41" name="Straight Connector 41"/>
                <wp:cNvGraphicFramePr/>
                <a:graphic xmlns:a="http://schemas.openxmlformats.org/drawingml/2006/main">
                  <a:graphicData uri="http://schemas.microsoft.com/office/word/2010/wordprocessingShape">
                    <wps:wsp>
                      <wps:cNvCnPr/>
                      <wps:spPr>
                        <a:xfrm>
                          <a:off x="0" y="0"/>
                          <a:ext cx="0" cy="9239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w:pict>
              <v:line w14:anchorId="5E5E678B" id="Straight Connector 41" o:spid="_x0000_s1026" style="position:absolute;z-index:251750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08.75pt,16.7pt" to="108.75pt,8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" strokecolor="windowText" strokeweight=".5pt">
                <v:stroke joinstyle="miter"/>
              </v:line>
            </w:pict>
          </mc:Fallback>
        </mc:AlternateContent>
      </w:r>
      <w:r w:rsidRPr="00C0591E">
        <w:rPr>
          <w:b/>
          <w:noProof/>
          <w:szCs w:val="24"/>
        </w:rPr>
        <mc:AlternateContent>
          <mc:Choice Requires="wps">
            <w:drawing>
              <wp:anchor distT="0" distB="0" distL="114300" distR="114300" simplePos="0" relativeHeight="251734016" behindDoc="0" locked="0" layoutInCell="1" allowOverlap="1" wp14:anchorId="3387CF40" wp14:editId="7C2697CC">
                <wp:simplePos x="0" y="0"/>
                <wp:positionH relativeFrom="column">
                  <wp:posOffset>2341880</wp:posOffset>
                </wp:positionH>
                <wp:positionV relativeFrom="paragraph">
                  <wp:posOffset>260351</wp:posOffset>
                </wp:positionV>
                <wp:extent cx="2134870" cy="580390"/>
                <wp:effectExtent l="0" t="0" r="17780" b="10160"/>
                <wp:wrapNone/>
                <wp:docPr id="4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4870" cy="580390"/>
                        </a:xfrm>
                        <a:prstGeom prst="rect">
                          <a:avLst/>
                        </a:prstGeom>
                        <a:solidFill>
                          <a:srgbClr val="FFFFFF"/>
                        </a:solidFill>
                        <a:ln w="19050">
                          <a:solidFill>
                            <a:srgbClr val="000000"/>
                          </a:solidFill>
                          <a:miter lim="800000"/>
                          <a:headEnd/>
                          <a:tailEnd/>
                        </a:ln>
                      </wps:spPr>
                      <wps:txbx>
                        <w:txbxContent>
                          <w:p w14:paraId="174A0F4B" w14:textId="77777777" w:rsidR="003A104A" w:rsidRDefault="003A104A" w:rsidP="00FE1EEB">
                            <w:pPr>
                              <w:spacing w:after="0" w:line="240" w:lineRule="auto"/>
                              <w:rPr>
                                <w:rFonts w:cs="Times New Roman"/>
                                <w:b/>
                                <w:szCs w:val="24"/>
                              </w:rPr>
                            </w:pPr>
                            <w:r w:rsidRPr="0001387E">
                              <w:rPr>
                                <w:rFonts w:cs="Times New Roman"/>
                                <w:b/>
                                <w:szCs w:val="24"/>
                              </w:rPr>
                              <w:t xml:space="preserve">Government </w:t>
                            </w:r>
                            <w:r>
                              <w:rPr>
                                <w:rFonts w:cs="Times New Roman"/>
                                <w:b/>
                                <w:szCs w:val="24"/>
                              </w:rPr>
                              <w:t>R</w:t>
                            </w:r>
                            <w:r w:rsidRPr="0001387E">
                              <w:rPr>
                                <w:rFonts w:cs="Times New Roman"/>
                                <w:b/>
                                <w:szCs w:val="24"/>
                              </w:rPr>
                              <w:t>egulations</w:t>
                            </w:r>
                          </w:p>
                          <w:p w14:paraId="0F395B8F" w14:textId="77777777" w:rsidR="003A104A" w:rsidRPr="00431AA8" w:rsidRDefault="003A104A" w:rsidP="00FE1EEB">
                            <w:pPr>
                              <w:jc w:val="center"/>
                              <w:rPr>
                                <w:b/>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87CF40" id="Text Box 11" o:spid="_x0000_s1059" type="#_x0000_t202" style="position:absolute;left:0;text-align:left;margin-left:184.4pt;margin-top:20.5pt;width:168.1pt;height:45.7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" strokeweight="1.5pt">
                <v:textbox>
                  <w:txbxContent>
                    <w:p w14:paraId="174A0F4B" w14:textId="77777777" w:rsidR="003A104A" w:rsidRDefault="003A104A" w:rsidP="00FE1EEB">
                      <w:pPr>
                        <w:spacing w:after="0" w:line="240" w:lineRule="auto"/>
                        <w:rPr>
                          <w:rFonts w:cs="Times New Roman"/>
                          <w:b/>
                          <w:szCs w:val="24"/>
                        </w:rPr>
                      </w:pPr>
                      <w:r w:rsidRPr="0001387E">
                        <w:rPr>
                          <w:rFonts w:cs="Times New Roman"/>
                          <w:b/>
                          <w:szCs w:val="24"/>
                        </w:rPr>
                        <w:t xml:space="preserve">Government </w:t>
                      </w:r>
                      <w:r>
                        <w:rPr>
                          <w:rFonts w:cs="Times New Roman"/>
                          <w:b/>
                          <w:szCs w:val="24"/>
                        </w:rPr>
                        <w:t>R</w:t>
                      </w:r>
                      <w:r w:rsidRPr="0001387E">
                        <w:rPr>
                          <w:rFonts w:cs="Times New Roman"/>
                          <w:b/>
                          <w:szCs w:val="24"/>
                        </w:rPr>
                        <w:t>egulations</w:t>
                      </w:r>
                    </w:p>
                    <w:p w14:paraId="0F395B8F" w14:textId="77777777" w:rsidR="003A104A" w:rsidRPr="00431AA8" w:rsidRDefault="003A104A" w:rsidP="00FE1EEB">
                      <w:pPr>
                        <w:jc w:val="center"/>
                        <w:rPr>
                          <w:b/>
                        </w:rPr>
                      </w:pPr>
                    </w:p>
                  </w:txbxContent>
                </v:textbox>
              </v:shape>
            </w:pict>
          </mc:Fallback>
        </mc:AlternateContent>
      </w:r>
    </w:p>
    <w:p w14:paraId="0FDAC3C2" w14:textId="77777777" w:rsidR="00FE1EEB" w:rsidRPr="00C0591E" w:rsidRDefault="00FE1EEB" w:rsidP="00FE1EEB">
      <w:pPr>
        <w:tabs>
          <w:tab w:val="left" w:pos="3810"/>
        </w:tabs>
        <w:spacing w:after="0" w:line="276" w:lineRule="auto"/>
        <w:rPr>
          <w:szCs w:val="24"/>
        </w:rPr>
      </w:pPr>
    </w:p>
    <w:p w14:paraId="5694ACD6" w14:textId="77777777" w:rsidR="00FE1EEB" w:rsidRPr="00C0591E" w:rsidRDefault="00FE1EEB" w:rsidP="00FE1EEB">
      <w:pPr>
        <w:tabs>
          <w:tab w:val="left" w:pos="3810"/>
        </w:tabs>
        <w:spacing w:after="0" w:line="276" w:lineRule="auto"/>
        <w:rPr>
          <w:szCs w:val="24"/>
        </w:rPr>
      </w:pPr>
    </w:p>
    <w:p w14:paraId="20B772E6" w14:textId="77777777" w:rsidR="00FE1EEB" w:rsidRPr="00C0591E" w:rsidRDefault="00FE1EEB" w:rsidP="00FE1EEB">
      <w:pPr>
        <w:spacing w:line="276" w:lineRule="auto"/>
        <w:rPr>
          <w:szCs w:val="24"/>
        </w:rPr>
      </w:pPr>
      <w:r w:rsidRPr="00C0591E">
        <w:rPr>
          <w:noProof/>
          <w:szCs w:val="24"/>
        </w:rPr>
        <mc:AlternateContent>
          <mc:Choice Requires="wps">
            <w:drawing>
              <wp:anchor distT="0" distB="0" distL="114300" distR="114300" simplePos="0" relativeHeight="251741184" behindDoc="0" locked="0" layoutInCell="1" allowOverlap="1" wp14:anchorId="6F9A6D3C" wp14:editId="125D8804">
                <wp:simplePos x="0" y="0"/>
                <wp:positionH relativeFrom="column">
                  <wp:posOffset>3505200</wp:posOffset>
                </wp:positionH>
                <wp:positionV relativeFrom="paragraph">
                  <wp:posOffset>62865</wp:posOffset>
                </wp:positionV>
                <wp:extent cx="450215" cy="281940"/>
                <wp:effectExtent l="0" t="0" r="26035" b="22860"/>
                <wp:wrapNone/>
                <wp:docPr id="43"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215" cy="281940"/>
                        </a:xfrm>
                        <a:prstGeom prst="rect">
                          <a:avLst/>
                        </a:prstGeom>
                        <a:solidFill>
                          <a:srgbClr val="FFFFFF"/>
                        </a:solidFill>
                        <a:ln w="9525">
                          <a:solidFill>
                            <a:sysClr val="window" lastClr="FFFFFF"/>
                          </a:solidFill>
                          <a:miter lim="800000"/>
                          <a:headEnd/>
                          <a:tailEnd/>
                        </a:ln>
                      </wps:spPr>
                      <wps:txbx>
                        <w:txbxContent>
                          <w:p w14:paraId="3A489432" w14:textId="77777777" w:rsidR="003A104A" w:rsidRPr="00D06714" w:rsidRDefault="003A104A" w:rsidP="00FE1EEB">
                            <w:pPr>
                              <w:spacing w:before="0" w:line="240" w:lineRule="auto"/>
                              <w:rPr>
                                <w:b/>
                                <w:szCs w:val="24"/>
                              </w:rPr>
                            </w:pPr>
                            <w:r w:rsidRPr="00D06714">
                              <w:rPr>
                                <w:b/>
                                <w:szCs w:val="24"/>
                              </w:rPr>
                              <w:t>H</w:t>
                            </w:r>
                            <w:r>
                              <w:rPr>
                                <w:b/>
                                <w:szCs w:val="24"/>
                              </w:rPr>
                              <w:t>0</w:t>
                            </w:r>
                            <w:r w:rsidRPr="00D06714">
                              <w:rPr>
                                <w:b/>
                                <w:szCs w:val="24"/>
                                <w:vertAlign w:val="subscript"/>
                              </w:rPr>
                              <w:t>3</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F9A6D3C" id="Text Box 74" o:spid="_x0000_s1060" type="#_x0000_t202" style="position:absolute;left:0;text-align:left;margin-left:276pt;margin-top:4.95pt;width:35.45pt;height:22.2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" strokecolor="window">
                <v:textbox>
                  <w:txbxContent>
                    <w:p w14:paraId="3A489432" w14:textId="77777777" w:rsidR="003A104A" w:rsidRPr="00D06714" w:rsidRDefault="003A104A" w:rsidP="00FE1EEB">
                      <w:pPr>
                        <w:spacing w:before="0" w:line="240" w:lineRule="auto"/>
                        <w:rPr>
                          <w:b/>
                          <w:szCs w:val="24"/>
                        </w:rPr>
                      </w:pPr>
                      <w:r w:rsidRPr="00D06714">
                        <w:rPr>
                          <w:b/>
                          <w:szCs w:val="24"/>
                        </w:rPr>
                        <w:t>H</w:t>
                      </w:r>
                      <w:r>
                        <w:rPr>
                          <w:b/>
                          <w:szCs w:val="24"/>
                        </w:rPr>
                        <w:t>0</w:t>
                      </w:r>
                      <w:r w:rsidRPr="00D06714">
                        <w:rPr>
                          <w:b/>
                          <w:szCs w:val="24"/>
                          <w:vertAlign w:val="subscript"/>
                        </w:rPr>
                        <w:t>3</w:t>
                      </w:r>
                    </w:p>
                  </w:txbxContent>
                </v:textbox>
              </v:shape>
            </w:pict>
          </mc:Fallback>
        </mc:AlternateContent>
      </w:r>
      <w:r w:rsidRPr="00C0591E">
        <w:rPr>
          <w:noProof/>
          <w:szCs w:val="24"/>
        </w:rPr>
        <mc:AlternateContent>
          <mc:Choice Requires="wps">
            <w:drawing>
              <wp:anchor distT="0" distB="0" distL="114300" distR="114300" simplePos="0" relativeHeight="251753472" behindDoc="0" locked="0" layoutInCell="1" allowOverlap="1" wp14:anchorId="2937C69D" wp14:editId="5BCB419C">
                <wp:simplePos x="0" y="0"/>
                <wp:positionH relativeFrom="column">
                  <wp:posOffset>3413125</wp:posOffset>
                </wp:positionH>
                <wp:positionV relativeFrom="paragraph">
                  <wp:posOffset>52070</wp:posOffset>
                </wp:positionV>
                <wp:extent cx="0" cy="295910"/>
                <wp:effectExtent l="76200" t="0" r="57150" b="66040"/>
                <wp:wrapNone/>
                <wp:docPr id="44" name="Straight Arrow Connector 44"/>
                <wp:cNvGraphicFramePr/>
                <a:graphic xmlns:a="http://schemas.openxmlformats.org/drawingml/2006/main">
                  <a:graphicData uri="http://schemas.microsoft.com/office/word/2010/wordprocessingShape">
                    <wps:wsp>
                      <wps:cNvCnPr/>
                      <wps:spPr>
                        <a:xfrm>
                          <a:off x="0" y="0"/>
                          <a:ext cx="0" cy="295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73EACCBC" id="Straight Arrow Connector 44" o:spid="_x0000_s1026" type="#_x0000_t32" style="position:absolute;margin-left:268.75pt;margin-top:4.1pt;width:0;height:23.3pt;z-index:251753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" strokecolor="windowText" strokeweight=".5pt">
                <v:stroke endarrow="block" joinstyle="miter"/>
              </v:shape>
            </w:pict>
          </mc:Fallback>
        </mc:AlternateContent>
      </w:r>
      <w:r w:rsidRPr="00C0591E">
        <w:rPr>
          <w:noProof/>
          <w:szCs w:val="24"/>
        </w:rPr>
        <mc:AlternateContent>
          <mc:Choice Requires="wps">
            <w:drawing>
              <wp:anchor distT="0" distB="0" distL="114300" distR="114300" simplePos="0" relativeHeight="251751424" behindDoc="0" locked="0" layoutInCell="1" allowOverlap="1" wp14:anchorId="1FA0EFF1" wp14:editId="7C21A419">
                <wp:simplePos x="0" y="0"/>
                <wp:positionH relativeFrom="column">
                  <wp:posOffset>1380490</wp:posOffset>
                </wp:positionH>
                <wp:positionV relativeFrom="paragraph">
                  <wp:posOffset>347980</wp:posOffset>
                </wp:positionV>
                <wp:extent cx="4314825" cy="0"/>
                <wp:effectExtent l="0" t="0" r="0" b="0"/>
                <wp:wrapNone/>
                <wp:docPr id="49" name="Straight Connector 49"/>
                <wp:cNvGraphicFramePr/>
                <a:graphic xmlns:a="http://schemas.openxmlformats.org/drawingml/2006/main">
                  <a:graphicData uri="http://schemas.microsoft.com/office/word/2010/wordprocessingShape">
                    <wps:wsp>
                      <wps:cNvCnPr/>
                      <wps:spPr>
                        <a:xfrm>
                          <a:off x="0" y="0"/>
                          <a:ext cx="43148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7FB6F34B" id="Straight Connector 49" o:spid="_x0000_s1026" style="position:absolute;z-index:251751424;visibility:visible;mso-wrap-style:square;mso-wrap-distance-left:9pt;mso-wrap-distance-top:0;mso-wrap-distance-right:9pt;mso-wrap-distance-bottom:0;mso-position-horizontal:absolute;mso-position-horizontal-relative:text;mso-position-vertical:absolute;mso-position-vertical-relative:text" from="108.7pt,27.4pt" to="448.4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" strokecolor="windowText" strokeweight=".5pt">
                <v:stroke joinstyle="miter"/>
              </v:line>
            </w:pict>
          </mc:Fallback>
        </mc:AlternateContent>
      </w:r>
    </w:p>
    <w:p w14:paraId="38BF9D46" w14:textId="77777777" w:rsidR="00FE1EEB" w:rsidRPr="00C0591E" w:rsidRDefault="00FE1EEB" w:rsidP="00FE1EEB">
      <w:pPr>
        <w:tabs>
          <w:tab w:val="left" w:pos="3810"/>
        </w:tabs>
        <w:spacing w:after="0" w:line="276" w:lineRule="auto"/>
        <w:rPr>
          <w:szCs w:val="24"/>
        </w:rPr>
      </w:pPr>
      <w:r w:rsidRPr="00C0591E">
        <w:rPr>
          <w:noProof/>
        </w:rPr>
        <mc:AlternateContent>
          <mc:Choice Requires="wps">
            <w:drawing>
              <wp:anchor distT="0" distB="0" distL="114300" distR="114300" simplePos="0" relativeHeight="251739136" behindDoc="0" locked="0" layoutInCell="1" allowOverlap="1" wp14:anchorId="31A15216" wp14:editId="14D6EB57">
                <wp:simplePos x="0" y="0"/>
                <wp:positionH relativeFrom="column">
                  <wp:posOffset>4541520</wp:posOffset>
                </wp:positionH>
                <wp:positionV relativeFrom="paragraph">
                  <wp:posOffset>111125</wp:posOffset>
                </wp:positionV>
                <wp:extent cx="1456690" cy="403860"/>
                <wp:effectExtent l="0" t="0" r="0" b="0"/>
                <wp:wrapNone/>
                <wp:docPr id="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6690" cy="403860"/>
                        </a:xfrm>
                        <a:prstGeom prst="rect">
                          <a:avLst/>
                        </a:prstGeom>
                        <a:solidFill>
                          <a:srgbClr val="FFFFFF"/>
                        </a:solidFill>
                        <a:ln w="9525">
                          <a:noFill/>
                          <a:miter lim="800000"/>
                          <a:headEnd/>
                          <a:tailEnd/>
                        </a:ln>
                      </wps:spPr>
                      <wps:txbx>
                        <w:txbxContent>
                          <w:p w14:paraId="38B48BAD" w14:textId="77777777" w:rsidR="003A104A" w:rsidRPr="00AB058A" w:rsidRDefault="003A104A" w:rsidP="00FE1EEB">
                            <w:pPr>
                              <w:spacing w:line="276" w:lineRule="auto"/>
                              <w:rPr>
                                <w:b/>
                                <w:sz w:val="22"/>
                              </w:rPr>
                            </w:pPr>
                            <w:r w:rsidRPr="00AB058A">
                              <w:rPr>
                                <w:b/>
                                <w:sz w:val="22"/>
                              </w:rPr>
                              <w:t>Dependent Variable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A15216" id="_x0000_s1061" type="#_x0000_t202" style="position:absolute;left:0;text-align:left;margin-left:357.6pt;margin-top:8.75pt;width:114.7pt;height:31.8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" stroked="f">
                <v:textbox>
                  <w:txbxContent>
                    <w:p w14:paraId="38B48BAD" w14:textId="77777777" w:rsidR="003A104A" w:rsidRPr="00AB058A" w:rsidRDefault="003A104A" w:rsidP="00FE1EEB">
                      <w:pPr>
                        <w:spacing w:line="276" w:lineRule="auto"/>
                        <w:rPr>
                          <w:b/>
                          <w:sz w:val="22"/>
                        </w:rPr>
                      </w:pPr>
                      <w:r w:rsidRPr="00AB058A">
                        <w:rPr>
                          <w:b/>
                          <w:sz w:val="22"/>
                        </w:rPr>
                        <w:t>Dependent Variable</w:t>
                      </w:r>
                    </w:p>
                  </w:txbxContent>
                </v:textbox>
              </v:shape>
            </w:pict>
          </mc:Fallback>
        </mc:AlternateContent>
      </w:r>
      <w:r w:rsidRPr="00C0591E">
        <w:rPr>
          <w:noProof/>
        </w:rPr>
        <mc:AlternateContent>
          <mc:Choice Requires="wps">
            <w:drawing>
              <wp:anchor distT="0" distB="0" distL="114300" distR="114300" simplePos="0" relativeHeight="251737088" behindDoc="0" locked="0" layoutInCell="1" allowOverlap="1" wp14:anchorId="140F17D0" wp14:editId="22114AAD">
                <wp:simplePos x="0" y="0"/>
                <wp:positionH relativeFrom="column">
                  <wp:posOffset>2574925</wp:posOffset>
                </wp:positionH>
                <wp:positionV relativeFrom="paragraph">
                  <wp:posOffset>53340</wp:posOffset>
                </wp:positionV>
                <wp:extent cx="1504950" cy="346075"/>
                <wp:effectExtent l="0" t="0" r="0" b="0"/>
                <wp:wrapNone/>
                <wp:docPr id="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4950" cy="346075"/>
                        </a:xfrm>
                        <a:prstGeom prst="rect">
                          <a:avLst/>
                        </a:prstGeom>
                        <a:solidFill>
                          <a:srgbClr val="FFFFFF"/>
                        </a:solidFill>
                        <a:ln w="9525">
                          <a:noFill/>
                          <a:miter lim="800000"/>
                          <a:headEnd/>
                          <a:tailEnd/>
                        </a:ln>
                      </wps:spPr>
                      <wps:txbx>
                        <w:txbxContent>
                          <w:p w14:paraId="3D2F9790" w14:textId="77777777" w:rsidR="003A104A" w:rsidRPr="009D00B8" w:rsidRDefault="003A104A" w:rsidP="00FE1EEB">
                            <w:pPr>
                              <w:rPr>
                                <w:b/>
                                <w:sz w:val="22"/>
                              </w:rPr>
                            </w:pPr>
                            <w:r w:rsidRPr="009D00B8">
                              <w:rPr>
                                <w:b/>
                                <w:sz w:val="22"/>
                              </w:rPr>
                              <w:t>Moderating Variable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0F17D0" id="_x0000_s1062" type="#_x0000_t202" style="position:absolute;left:0;text-align:left;margin-left:202.75pt;margin-top:4.2pt;width:118.5pt;height:27.2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" stroked="f">
                <v:textbox>
                  <w:txbxContent>
                    <w:p w14:paraId="3D2F9790" w14:textId="77777777" w:rsidR="003A104A" w:rsidRPr="009D00B8" w:rsidRDefault="003A104A" w:rsidP="00FE1EEB">
                      <w:pPr>
                        <w:rPr>
                          <w:b/>
                          <w:sz w:val="22"/>
                        </w:rPr>
                      </w:pPr>
                      <w:r w:rsidRPr="009D00B8">
                        <w:rPr>
                          <w:b/>
                          <w:sz w:val="22"/>
                        </w:rPr>
                        <w:t>Moderating Variable</w:t>
                      </w:r>
                    </w:p>
                  </w:txbxContent>
                </v:textbox>
              </v:shape>
            </w:pict>
          </mc:Fallback>
        </mc:AlternateContent>
      </w:r>
      <w:r w:rsidRPr="00C0591E">
        <w:rPr>
          <w:noProof/>
        </w:rPr>
        <mc:AlternateContent>
          <mc:Choice Requires="wps">
            <w:drawing>
              <wp:anchor distT="0" distB="0" distL="114300" distR="114300" simplePos="0" relativeHeight="251736064" behindDoc="0" locked="0" layoutInCell="1" allowOverlap="1" wp14:anchorId="0C6A8699" wp14:editId="6DBA5473">
                <wp:simplePos x="0" y="0"/>
                <wp:positionH relativeFrom="column">
                  <wp:posOffset>19050</wp:posOffset>
                </wp:positionH>
                <wp:positionV relativeFrom="paragraph">
                  <wp:posOffset>50165</wp:posOffset>
                </wp:positionV>
                <wp:extent cx="1571625" cy="346075"/>
                <wp:effectExtent l="0" t="0" r="9525" b="0"/>
                <wp:wrapNone/>
                <wp:docPr id="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1625" cy="346075"/>
                        </a:xfrm>
                        <a:prstGeom prst="rect">
                          <a:avLst/>
                        </a:prstGeom>
                        <a:solidFill>
                          <a:srgbClr val="FFFFFF"/>
                        </a:solidFill>
                        <a:ln w="9525">
                          <a:noFill/>
                          <a:miter lim="800000"/>
                          <a:headEnd/>
                          <a:tailEnd/>
                        </a:ln>
                      </wps:spPr>
                      <wps:txbx>
                        <w:txbxContent>
                          <w:p w14:paraId="654062A7" w14:textId="77777777" w:rsidR="003A104A" w:rsidRPr="00AB058A" w:rsidRDefault="003A104A" w:rsidP="00FE1EEB">
                            <w:pPr>
                              <w:rPr>
                                <w:b/>
                                <w:sz w:val="22"/>
                              </w:rPr>
                            </w:pPr>
                            <w:r w:rsidRPr="00AB058A">
                              <w:rPr>
                                <w:b/>
                                <w:sz w:val="22"/>
                              </w:rPr>
                              <w:t>Independent Variable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6A8699" id="_x0000_s1063" type="#_x0000_t202" style="position:absolute;left:0;text-align:left;margin-left:1.5pt;margin-top:3.95pt;width:123.75pt;height:27.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" stroked="f">
                <v:textbox>
                  <w:txbxContent>
                    <w:p w14:paraId="654062A7" w14:textId="77777777" w:rsidR="003A104A" w:rsidRPr="00AB058A" w:rsidRDefault="003A104A" w:rsidP="00FE1EEB">
                      <w:pPr>
                        <w:rPr>
                          <w:b/>
                          <w:sz w:val="22"/>
                        </w:rPr>
                      </w:pPr>
                      <w:r w:rsidRPr="00AB058A">
                        <w:rPr>
                          <w:b/>
                          <w:sz w:val="22"/>
                        </w:rPr>
                        <w:t>Independent Variable</w:t>
                      </w:r>
                    </w:p>
                  </w:txbxContent>
                </v:textbox>
              </v:shape>
            </w:pict>
          </mc:Fallback>
        </mc:AlternateContent>
      </w:r>
    </w:p>
    <w:p w14:paraId="2A01575B" w14:textId="784105D4" w:rsidR="00FE1EEB" w:rsidRPr="00C0591E" w:rsidRDefault="00FE1EEB" w:rsidP="00FE1EEB">
      <w:pPr>
        <w:spacing w:line="276" w:lineRule="auto"/>
        <w:rPr>
          <w:szCs w:val="24"/>
        </w:rPr>
      </w:pPr>
    </w:p>
    <w:p w14:paraId="1080F822" w14:textId="51B37910" w:rsidR="00FE1EEB" w:rsidRPr="00C0591E" w:rsidRDefault="00523F6D" w:rsidP="00FE1EEB">
      <w:r w:rsidRPr="00C0591E">
        <w:rPr>
          <w:noProof/>
        </w:rPr>
        <mc:AlternateContent>
          <mc:Choice Requires="wps">
            <w:drawing>
              <wp:anchor distT="0" distB="0" distL="114300" distR="114300" simplePos="0" relativeHeight="251754496" behindDoc="0" locked="0" layoutInCell="1" allowOverlap="1" wp14:anchorId="6D38346D" wp14:editId="0B4CF503">
                <wp:simplePos x="0" y="0"/>
                <wp:positionH relativeFrom="column">
                  <wp:posOffset>-83820</wp:posOffset>
                </wp:positionH>
                <wp:positionV relativeFrom="paragraph">
                  <wp:posOffset>78740</wp:posOffset>
                </wp:positionV>
                <wp:extent cx="3246120" cy="464820"/>
                <wp:effectExtent l="0" t="0" r="0" b="0"/>
                <wp:wrapNone/>
                <wp:docPr id="57" name="Text Box 57"/>
                <wp:cNvGraphicFramePr/>
                <a:graphic xmlns:a="http://schemas.openxmlformats.org/drawingml/2006/main">
                  <a:graphicData uri="http://schemas.microsoft.com/office/word/2010/wordprocessingShape">
                    <wps:wsp>
                      <wps:cNvSpPr txBox="1"/>
                      <wps:spPr>
                        <a:xfrm>
                          <a:off x="0" y="0"/>
                          <a:ext cx="3246120" cy="464820"/>
                        </a:xfrm>
                        <a:prstGeom prst="rect">
                          <a:avLst/>
                        </a:prstGeom>
                        <a:solidFill>
                          <a:schemeClr val="lt1"/>
                        </a:solidFill>
                        <a:ln w="6350">
                          <a:noFill/>
                        </a:ln>
                      </wps:spPr>
                      <wps:txbx>
                        <w:txbxContent>
                          <w:p w14:paraId="728BEFDA" w14:textId="57358DA9" w:rsidR="003A104A" w:rsidRDefault="003A104A" w:rsidP="00523F6D">
                            <w:pPr>
                              <w:pStyle w:val="Heading5"/>
                              <w:rPr>
                                <w:rFonts w:eastAsia="Times New Roman"/>
                              </w:rPr>
                            </w:pPr>
                            <w:bookmarkStart w:id="338" w:name="_Toc113125172"/>
                            <w:r>
                              <w:rPr>
                                <w:rFonts w:eastAsia="Times New Roman"/>
                              </w:rPr>
                              <w:t>Figure 3</w:t>
                            </w:r>
                            <w:r w:rsidRPr="00523F6D">
                              <w:rPr>
                                <w:rFonts w:eastAsia="Times New Roman"/>
                              </w:rPr>
                              <w:t xml:space="preserve">: </w:t>
                            </w:r>
                            <w:r>
                              <w:rPr>
                                <w:rFonts w:eastAsia="Times New Roman"/>
                              </w:rPr>
                              <w:t>Optimal</w:t>
                            </w:r>
                            <w:r w:rsidRPr="00523F6D">
                              <w:rPr>
                                <w:rFonts w:eastAsia="Times New Roman"/>
                              </w:rPr>
                              <w:t xml:space="preserve"> Conceptual </w:t>
                            </w:r>
                            <w:r>
                              <w:rPr>
                                <w:rFonts w:eastAsia="Times New Roman"/>
                              </w:rPr>
                              <w:t>Model</w:t>
                            </w:r>
                            <w:bookmarkEnd w:id="338"/>
                            <w:r>
                              <w:rPr>
                                <w:rFonts w:eastAsia="Times New Roman"/>
                              </w:rPr>
                              <w:t xml:space="preserve"> </w:t>
                            </w:r>
                          </w:p>
                          <w:p w14:paraId="2183443F" w14:textId="77777777" w:rsidR="003A104A" w:rsidRDefault="003A104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D38346D" id="Text Box 57" o:spid="_x0000_s1064" type="#_x0000_t202" style="position:absolute;left:0;text-align:left;margin-left:-6.6pt;margin-top:6.2pt;width:255.6pt;height:36.6pt;z-index:2517544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" fillcolor="white [3201]" stroked="f" strokeweight=".5pt">
                <v:textbox>
                  <w:txbxContent>
                    <w:p w14:paraId="728BEFDA" w14:textId="57358DA9" w:rsidR="003A104A" w:rsidRDefault="003A104A" w:rsidP="00523F6D">
                      <w:pPr>
                        <w:pStyle w:val="Heading5"/>
                        <w:rPr>
                          <w:rFonts w:eastAsia="Times New Roman"/>
                        </w:rPr>
                      </w:pPr>
                      <w:bookmarkStart w:id="339" w:name="_Toc113125172"/>
                      <w:r>
                        <w:rPr>
                          <w:rFonts w:eastAsia="Times New Roman"/>
                        </w:rPr>
                        <w:t>Figure 3</w:t>
                      </w:r>
                      <w:r w:rsidRPr="00523F6D">
                        <w:rPr>
                          <w:rFonts w:eastAsia="Times New Roman"/>
                        </w:rPr>
                        <w:t xml:space="preserve">: </w:t>
                      </w:r>
                      <w:r>
                        <w:rPr>
                          <w:rFonts w:eastAsia="Times New Roman"/>
                        </w:rPr>
                        <w:t>Optimal</w:t>
                      </w:r>
                      <w:r w:rsidRPr="00523F6D">
                        <w:rPr>
                          <w:rFonts w:eastAsia="Times New Roman"/>
                        </w:rPr>
                        <w:t xml:space="preserve"> Conceptual </w:t>
                      </w:r>
                      <w:r>
                        <w:rPr>
                          <w:rFonts w:eastAsia="Times New Roman"/>
                        </w:rPr>
                        <w:t>Model</w:t>
                      </w:r>
                      <w:bookmarkEnd w:id="339"/>
                      <w:r>
                        <w:rPr>
                          <w:rFonts w:eastAsia="Times New Roman"/>
                        </w:rPr>
                        <w:t xml:space="preserve"> </w:t>
                      </w:r>
                    </w:p>
                    <w:p w14:paraId="2183443F" w14:textId="77777777" w:rsidR="003A104A" w:rsidRDefault="003A104A"/>
                  </w:txbxContent>
                </v:textbox>
              </v:shape>
            </w:pict>
          </mc:Fallback>
        </mc:AlternateContent>
      </w:r>
    </w:p>
    <w:p w14:paraId="50BAA4E0" w14:textId="77777777" w:rsidR="00523F6D" w:rsidRPr="00C0591E" w:rsidRDefault="00523F6D" w:rsidP="00FE1EEB"/>
    <w:p w14:paraId="3148ECD1" w14:textId="2136F7FB" w:rsidR="00C56D67" w:rsidRPr="00C0591E" w:rsidRDefault="007B19D8" w:rsidP="00817EFD">
      <w:pPr>
        <w:rPr>
          <w:rFonts w:eastAsia="Times New Roman"/>
        </w:rPr>
      </w:pPr>
      <w:r w:rsidRPr="00C0591E">
        <w:rPr>
          <w:rFonts w:eastAsia="Times New Roman"/>
        </w:rPr>
        <w:t xml:space="preserve">As shown in Figure </w:t>
      </w:r>
      <w:r w:rsidR="00EA178E" w:rsidRPr="00C0591E">
        <w:rPr>
          <w:rFonts w:eastAsia="Times New Roman"/>
        </w:rPr>
        <w:t>3</w:t>
      </w:r>
      <w:r w:rsidRPr="00C0591E">
        <w:rPr>
          <w:rFonts w:eastAsia="Times New Roman"/>
        </w:rPr>
        <w:t xml:space="preserve">, no variable was dropped since all the variables were significant. </w:t>
      </w:r>
      <w:r w:rsidR="00817EFD" w:rsidRPr="00C0591E">
        <w:rPr>
          <w:rFonts w:eastAsia="Times New Roman"/>
        </w:rPr>
        <w:t xml:space="preserve">The optimal model depicts a significant relationship between </w:t>
      </w:r>
      <w:r w:rsidR="00173C67">
        <w:rPr>
          <w:rFonts w:eastAsia="Times New Roman"/>
        </w:rPr>
        <w:t>pillars of corporate governance</w:t>
      </w:r>
      <w:r w:rsidR="00817EFD" w:rsidRPr="00C0591E">
        <w:rPr>
          <w:rFonts w:eastAsia="Times New Roman"/>
        </w:rPr>
        <w:t xml:space="preserve"> and performance of pension fund managers in Kenya, partial intervening effect of </w:t>
      </w:r>
      <w:r w:rsidR="00624233" w:rsidRPr="00C0591E">
        <w:rPr>
          <w:rFonts w:eastAsia="Times New Roman"/>
        </w:rPr>
        <w:t xml:space="preserve">Investment Policies </w:t>
      </w:r>
      <w:r w:rsidR="00817EFD" w:rsidRPr="00C0591E">
        <w:rPr>
          <w:rFonts w:eastAsia="Times New Roman"/>
        </w:rPr>
        <w:t xml:space="preserve">on the relationship between </w:t>
      </w:r>
      <w:r w:rsidR="00173C67">
        <w:rPr>
          <w:rFonts w:eastAsia="Times New Roman"/>
        </w:rPr>
        <w:t>pillars of corporate governance</w:t>
      </w:r>
      <w:r w:rsidR="00624233" w:rsidRPr="00C0591E">
        <w:rPr>
          <w:rFonts w:eastAsia="Times New Roman"/>
        </w:rPr>
        <w:t xml:space="preserve"> and performance</w:t>
      </w:r>
      <w:r w:rsidR="00817EFD" w:rsidRPr="00C0591E">
        <w:rPr>
          <w:rFonts w:eastAsia="Times New Roman"/>
        </w:rPr>
        <w:t xml:space="preserve">, a significant moderating effect of </w:t>
      </w:r>
      <w:r w:rsidR="00624233" w:rsidRPr="00C0591E">
        <w:rPr>
          <w:rFonts w:eastAsia="Times New Roman"/>
        </w:rPr>
        <w:t xml:space="preserve">Government Regulations </w:t>
      </w:r>
      <w:r w:rsidR="00817EFD" w:rsidRPr="00C0591E">
        <w:rPr>
          <w:rFonts w:eastAsia="Times New Roman"/>
        </w:rPr>
        <w:t xml:space="preserve">on the relationship between </w:t>
      </w:r>
      <w:r w:rsidR="00173C67">
        <w:rPr>
          <w:rFonts w:eastAsia="Times New Roman"/>
        </w:rPr>
        <w:t>pillars of corporate governance</w:t>
      </w:r>
      <w:r w:rsidR="00624233" w:rsidRPr="00C0591E">
        <w:rPr>
          <w:rFonts w:eastAsia="Times New Roman"/>
        </w:rPr>
        <w:t xml:space="preserve"> and performance of pension fund managers</w:t>
      </w:r>
      <w:r w:rsidR="00817EFD" w:rsidRPr="00C0591E">
        <w:rPr>
          <w:rFonts w:eastAsia="Times New Roman"/>
        </w:rPr>
        <w:t xml:space="preserve"> and significant moderation-mediator effect on the relationship between </w:t>
      </w:r>
      <w:r w:rsidR="00173C67">
        <w:rPr>
          <w:rFonts w:eastAsia="Times New Roman"/>
        </w:rPr>
        <w:t>pillars of corporate governance</w:t>
      </w:r>
      <w:r w:rsidR="00624233" w:rsidRPr="00C0591E">
        <w:rPr>
          <w:rFonts w:eastAsia="Times New Roman"/>
        </w:rPr>
        <w:t xml:space="preserve"> </w:t>
      </w:r>
      <w:r w:rsidR="00817EFD" w:rsidRPr="00C0591E">
        <w:rPr>
          <w:rFonts w:eastAsia="Times New Roman"/>
        </w:rPr>
        <w:t>and</w:t>
      </w:r>
      <w:r w:rsidR="00624233" w:rsidRPr="00C0591E">
        <w:rPr>
          <w:rFonts w:eastAsia="Times New Roman"/>
        </w:rPr>
        <w:t xml:space="preserve"> performance</w:t>
      </w:r>
      <w:r w:rsidR="00817EFD" w:rsidRPr="00C0591E">
        <w:rPr>
          <w:rFonts w:eastAsia="Times New Roman"/>
        </w:rPr>
        <w:t>.</w:t>
      </w:r>
    </w:p>
    <w:p w14:paraId="6A729EB1" w14:textId="7BE862F8" w:rsidR="00C56D67" w:rsidRPr="00C0591E" w:rsidRDefault="00C56D67" w:rsidP="007B19D8">
      <w:pPr>
        <w:rPr>
          <w:rFonts w:eastAsia="Times New Roman"/>
        </w:rPr>
      </w:pPr>
    </w:p>
    <w:p w14:paraId="728B9F38" w14:textId="77777777" w:rsidR="00523F6D" w:rsidRPr="00C0591E" w:rsidRDefault="00523F6D" w:rsidP="00133D2A">
      <w:pPr>
        <w:pStyle w:val="Heading1"/>
      </w:pPr>
      <w:bookmarkStart w:id="339" w:name="_Toc113125119"/>
      <w:bookmarkStart w:id="340" w:name="_Toc46769368"/>
      <w:r w:rsidRPr="00C0591E">
        <w:t>CHAPTER SIX</w:t>
      </w:r>
      <w:bookmarkEnd w:id="339"/>
    </w:p>
    <w:p w14:paraId="71681303" w14:textId="1728CED8" w:rsidR="00523F6D" w:rsidRPr="00C0591E" w:rsidRDefault="00133D2A" w:rsidP="00133D2A">
      <w:pPr>
        <w:pStyle w:val="Heading1"/>
      </w:pPr>
      <w:bookmarkStart w:id="341" w:name="_Toc113125120"/>
      <w:r w:rsidRPr="00C0591E">
        <w:t>SUMMARY AND</w:t>
      </w:r>
      <w:r w:rsidR="00523F6D" w:rsidRPr="00C0591E">
        <w:t xml:space="preserve"> CONCLUSION</w:t>
      </w:r>
      <w:bookmarkEnd w:id="341"/>
      <w:r w:rsidR="00523F6D" w:rsidRPr="00C0591E">
        <w:t xml:space="preserve"> </w:t>
      </w:r>
      <w:bookmarkEnd w:id="340"/>
    </w:p>
    <w:p w14:paraId="24B3C39F" w14:textId="77777777" w:rsidR="00B37599" w:rsidRPr="00C0591E" w:rsidRDefault="00B37599" w:rsidP="00B37599">
      <w:pPr>
        <w:pStyle w:val="Heading2"/>
        <w:rPr>
          <w:rFonts w:eastAsia="Times New Roman"/>
        </w:rPr>
      </w:pPr>
      <w:bookmarkStart w:id="342" w:name="_Toc12544330"/>
      <w:bookmarkStart w:id="343" w:name="_Toc20424370"/>
      <w:bookmarkStart w:id="344" w:name="_Toc39669984"/>
      <w:bookmarkStart w:id="345" w:name="_Toc113125121"/>
      <w:r w:rsidRPr="00C0591E">
        <w:rPr>
          <w:rFonts w:eastAsia="Times New Roman"/>
        </w:rPr>
        <w:t xml:space="preserve">6.1 </w:t>
      </w:r>
      <w:r w:rsidRPr="00C0591E">
        <w:t>Introduction</w:t>
      </w:r>
      <w:bookmarkEnd w:id="342"/>
      <w:bookmarkEnd w:id="343"/>
      <w:bookmarkEnd w:id="344"/>
      <w:bookmarkEnd w:id="345"/>
      <w:r w:rsidRPr="00C0591E">
        <w:rPr>
          <w:rFonts w:eastAsia="Times New Roman"/>
        </w:rPr>
        <w:t xml:space="preserve"> </w:t>
      </w:r>
    </w:p>
    <w:p w14:paraId="7E46D61A" w14:textId="6323CED8" w:rsidR="00523F6D" w:rsidRPr="00C0591E" w:rsidRDefault="00B37599" w:rsidP="007D1113">
      <w:pPr>
        <w:rPr>
          <w:rFonts w:eastAsia="Times New Roman"/>
        </w:rPr>
      </w:pPr>
      <w:r w:rsidRPr="00C0591E">
        <w:rPr>
          <w:lang w:val="en-GB"/>
        </w:rPr>
        <w:t xml:space="preserve">This chapter presents a summary of the </w:t>
      </w:r>
      <w:r w:rsidR="00133D2A" w:rsidRPr="00C0591E">
        <w:rPr>
          <w:lang w:val="en-GB"/>
        </w:rPr>
        <w:t>findings and</w:t>
      </w:r>
      <w:r w:rsidRPr="00C0591E">
        <w:rPr>
          <w:lang w:val="en-GB"/>
        </w:rPr>
        <w:t xml:space="preserve"> conclusions for the study. The chapter gives summary of the key findings and also </w:t>
      </w:r>
      <w:r w:rsidR="007D1113" w:rsidRPr="00C0591E">
        <w:rPr>
          <w:lang w:val="en-GB"/>
        </w:rPr>
        <w:t>presents</w:t>
      </w:r>
      <w:r w:rsidRPr="00C0591E">
        <w:rPr>
          <w:lang w:val="en-GB"/>
        </w:rPr>
        <w:t xml:space="preserve"> the relationships among the variables. </w:t>
      </w:r>
    </w:p>
    <w:p w14:paraId="2E5D6001" w14:textId="2D9510C8" w:rsidR="00C7280D" w:rsidRPr="00C0591E" w:rsidRDefault="00C7280D" w:rsidP="00C7280D">
      <w:pPr>
        <w:pStyle w:val="Heading2"/>
        <w:rPr>
          <w:rFonts w:eastAsia="Times New Roman"/>
        </w:rPr>
      </w:pPr>
      <w:bookmarkStart w:id="346" w:name="_Toc12544331"/>
      <w:bookmarkStart w:id="347" w:name="_Toc23781786"/>
      <w:bookmarkStart w:id="348" w:name="_Toc113125122"/>
      <w:r w:rsidRPr="00C0591E">
        <w:rPr>
          <w:rFonts w:eastAsia="Times New Roman"/>
        </w:rPr>
        <w:t>6.2 Summary of Findings</w:t>
      </w:r>
      <w:bookmarkEnd w:id="346"/>
      <w:bookmarkEnd w:id="347"/>
      <w:bookmarkEnd w:id="348"/>
    </w:p>
    <w:p w14:paraId="4F38C899" w14:textId="425C656C" w:rsidR="00C7280D" w:rsidRPr="00C0591E" w:rsidRDefault="00C7280D" w:rsidP="0043595A">
      <w:pPr>
        <w:rPr>
          <w:rFonts w:eastAsia="Calibri"/>
          <w:lang w:val="en-GB"/>
        </w:rPr>
      </w:pPr>
      <w:r w:rsidRPr="00C0591E">
        <w:rPr>
          <w:rFonts w:eastAsia="Calibri"/>
          <w:lang w:val="en-GB"/>
        </w:rPr>
        <w:t xml:space="preserve">The main objective of the study was to establish the relationship between </w:t>
      </w:r>
      <w:r w:rsidR="00173C67">
        <w:rPr>
          <w:rFonts w:eastAsia="Calibri"/>
          <w:lang w:val="en-GB"/>
        </w:rPr>
        <w:t>pillars of corporate governance</w:t>
      </w:r>
      <w:r w:rsidRPr="00C0591E">
        <w:rPr>
          <w:rFonts w:eastAsia="Calibri"/>
          <w:lang w:val="en-GB"/>
        </w:rPr>
        <w:t>, government regulations and investment policies on performance of pension fund managers in Kenya. A survey was carried out and the questionnaire administered to respondents whom it was deemed could facilitate the objective of the study. The administration of the questionnaire achieved a response rate of 98.66%. The findings were arrived at by testing both the general and specific objectives and application of statistical techniques.</w:t>
      </w:r>
    </w:p>
    <w:p w14:paraId="6B3F8540" w14:textId="4BA1FA71" w:rsidR="0043595A" w:rsidRPr="00C0591E" w:rsidRDefault="0043595A" w:rsidP="0043595A">
      <w:pPr>
        <w:pStyle w:val="Heading3"/>
      </w:pPr>
      <w:r w:rsidRPr="00C0591E">
        <w:t xml:space="preserve">6.2.1 </w:t>
      </w:r>
      <w:r w:rsidR="00173C67">
        <w:t>Pillars of corporate governance</w:t>
      </w:r>
      <w:r w:rsidRPr="00C0591E">
        <w:t xml:space="preserve"> and Performance of Pension Fund Managers</w:t>
      </w:r>
    </w:p>
    <w:p w14:paraId="4E17709F" w14:textId="490E1DEE" w:rsidR="0043595A" w:rsidRPr="00C0591E" w:rsidRDefault="0043595A" w:rsidP="007D1113">
      <w:pPr>
        <w:rPr>
          <w:rFonts w:eastAsia="Calibri"/>
          <w:lang w:val="en-GB"/>
        </w:rPr>
      </w:pPr>
      <w:r w:rsidRPr="00C0591E">
        <w:rPr>
          <w:rFonts w:eastAsia="Calibri"/>
          <w:lang w:val="en-GB"/>
        </w:rPr>
        <w:t xml:space="preserve">The first objective of the study was to establish the relationship between </w:t>
      </w:r>
      <w:r w:rsidR="00173C67">
        <w:rPr>
          <w:rFonts w:eastAsia="Calibri"/>
          <w:lang w:val="en-GB"/>
        </w:rPr>
        <w:t>pillars of corporate governance</w:t>
      </w:r>
      <w:r w:rsidRPr="00C0591E">
        <w:rPr>
          <w:rFonts w:eastAsia="Calibri"/>
          <w:lang w:val="en-GB"/>
        </w:rPr>
        <w:t xml:space="preserve"> and performance of pension fund managers. A simple regression model was used to test the statistical significance of the independent variable </w:t>
      </w:r>
      <w:r w:rsidR="00173C67">
        <w:rPr>
          <w:rFonts w:eastAsia="Calibri"/>
          <w:lang w:val="en-GB"/>
        </w:rPr>
        <w:t>pillars of corporate governance</w:t>
      </w:r>
      <w:r w:rsidRPr="00C0591E">
        <w:rPr>
          <w:rFonts w:eastAsia="Calibri"/>
          <w:lang w:val="en-GB"/>
        </w:rPr>
        <w:t xml:space="preserve"> on the dependent variable performance of pension fund managers in Kenya.</w:t>
      </w:r>
      <w:r w:rsidRPr="00C0591E">
        <w:t xml:space="preserve"> </w:t>
      </w:r>
      <w:r w:rsidRPr="00C0591E">
        <w:rPr>
          <w:rFonts w:eastAsia="Calibri"/>
          <w:lang w:val="en-GB"/>
        </w:rPr>
        <w:t>The model proved significant in enhancing performance of pension fund managers.</w:t>
      </w:r>
      <w:r w:rsidRPr="00C0591E">
        <w:rPr>
          <w:rFonts w:eastAsia="Calibri" w:cs="Times New Roman"/>
          <w:lang w:val="en-GB"/>
        </w:rPr>
        <w:t xml:space="preserve"> The theory and empirical literature were supported by the findings.</w:t>
      </w:r>
      <w:r w:rsidR="00385EED" w:rsidRPr="00C0591E">
        <w:rPr>
          <w:rFonts w:eastAsia="Calibri" w:cs="Times New Roman"/>
          <w:lang w:val="en-GB"/>
        </w:rPr>
        <w:t xml:space="preserve"> The study indicated that</w:t>
      </w:r>
      <w:r w:rsidR="00385EED" w:rsidRPr="00C0591E">
        <w:t xml:space="preserve"> increase in </w:t>
      </w:r>
      <w:r w:rsidR="00173C67">
        <w:t>Pillars of corporate governance</w:t>
      </w:r>
      <w:r w:rsidR="007D3F8E" w:rsidRPr="00C0591E">
        <w:t xml:space="preserve"> </w:t>
      </w:r>
      <w:r w:rsidR="00385EED" w:rsidRPr="00C0591E">
        <w:t>by one unit leads to an increase in performance of pension fund managers by 0.065 units with a p-value of 0.000&lt;0.05.</w:t>
      </w:r>
      <w:r w:rsidR="007D3F8E" w:rsidRPr="00C0591E">
        <w:t xml:space="preserve"> </w:t>
      </w:r>
    </w:p>
    <w:p w14:paraId="3403810D" w14:textId="31DCD10F" w:rsidR="00385EED" w:rsidRPr="00C0591E" w:rsidRDefault="00385EED" w:rsidP="00385EED">
      <w:pPr>
        <w:pStyle w:val="Heading3"/>
      </w:pPr>
      <w:r w:rsidRPr="00C0591E">
        <w:t xml:space="preserve">6.2.2 </w:t>
      </w:r>
      <w:r w:rsidR="00173C67">
        <w:t>Pillars of corporate governance</w:t>
      </w:r>
      <w:r w:rsidRPr="00C0591E">
        <w:t>, Investment Policies and Performance of Pension Fund Managers</w:t>
      </w:r>
    </w:p>
    <w:p w14:paraId="757B8A27" w14:textId="21732390" w:rsidR="00523F6D" w:rsidRPr="00C0591E" w:rsidRDefault="00385EED" w:rsidP="007B19D8">
      <w:pPr>
        <w:rPr>
          <w:rFonts w:eastAsia="Times New Roman"/>
        </w:rPr>
      </w:pPr>
      <w:r w:rsidRPr="00C0591E">
        <w:t xml:space="preserve">The second objective of the study was to evaluate the intervening effect of investment policies on the relationship between </w:t>
      </w:r>
      <w:r w:rsidR="00173C67">
        <w:t>pillars of corporate governance</w:t>
      </w:r>
      <w:r w:rsidRPr="00C0591E">
        <w:t xml:space="preserve"> and performance of pension fund managers in Kenya. </w:t>
      </w:r>
      <w:r w:rsidRPr="00C0591E">
        <w:rPr>
          <w:rFonts w:eastAsia="Times New Roman"/>
        </w:rPr>
        <w:t xml:space="preserve">The study found that step 1, 2 and 3 were met as the P-value were below 0.05. However, step 4 was not met as the p value for </w:t>
      </w:r>
      <w:r w:rsidR="00173C67">
        <w:rPr>
          <w:rFonts w:eastAsia="Times New Roman"/>
        </w:rPr>
        <w:t>pillars of corporate governance</w:t>
      </w:r>
      <w:r w:rsidRPr="00C0591E">
        <w:rPr>
          <w:rFonts w:eastAsia="Times New Roman"/>
        </w:rPr>
        <w:t xml:space="preserve"> was below 0.05. Therefore, this indicated that there exists a partial mediation effect on the mediating role of investment policies on the relationship between </w:t>
      </w:r>
      <w:r w:rsidR="00173C67">
        <w:rPr>
          <w:rFonts w:eastAsia="Times New Roman"/>
        </w:rPr>
        <w:t>pillars of corporate governance</w:t>
      </w:r>
      <w:r w:rsidRPr="00C0591E">
        <w:rPr>
          <w:rFonts w:eastAsia="Times New Roman"/>
        </w:rPr>
        <w:t xml:space="preserve"> and performance of pension fund managers.</w:t>
      </w:r>
    </w:p>
    <w:p w14:paraId="25DF12CB" w14:textId="2D897427" w:rsidR="005110E8" w:rsidRPr="00C0591E" w:rsidRDefault="005110E8" w:rsidP="005110E8">
      <w:pPr>
        <w:pStyle w:val="Heading3"/>
      </w:pPr>
      <w:r w:rsidRPr="00C0591E">
        <w:t xml:space="preserve">6.2.3 </w:t>
      </w:r>
      <w:r w:rsidR="00173C67">
        <w:t>Pillars of corporate governance</w:t>
      </w:r>
      <w:r w:rsidRPr="00C0591E">
        <w:t>, Government Regulation and Performance of Pension Fund Managers</w:t>
      </w:r>
    </w:p>
    <w:p w14:paraId="32145AF0" w14:textId="360B3480" w:rsidR="005110E8" w:rsidRPr="00C0591E" w:rsidRDefault="005110E8" w:rsidP="005110E8">
      <w:r w:rsidRPr="00C0591E">
        <w:t xml:space="preserve">The third objective was to establish the moderating effect of government regulations on the relationship between </w:t>
      </w:r>
      <w:r w:rsidR="00173C67">
        <w:t>pillars of corporate governance</w:t>
      </w:r>
      <w:r w:rsidRPr="00C0591E">
        <w:t xml:space="preserve"> and performance of pension fund managers in Kenya. The moderating effect of government regulations was assessed and results explained using coefficient of determination (R-Square), Analysis of Variance (ANOVA) and the regression coefficients. Hierarchical regression analysis was performed with an interaction term (a product of </w:t>
      </w:r>
      <w:r w:rsidR="00173C67">
        <w:rPr>
          <w:rFonts w:eastAsia="Times New Roman" w:cs="Times New Roman"/>
          <w:szCs w:val="24"/>
        </w:rPr>
        <w:t>pillars of corporate governance</w:t>
      </w:r>
      <w:r w:rsidRPr="00C0591E">
        <w:rPr>
          <w:rFonts w:eastAsia="Times New Roman" w:cs="Times New Roman"/>
          <w:szCs w:val="24"/>
        </w:rPr>
        <w:t xml:space="preserve"> and</w:t>
      </w:r>
      <w:r w:rsidRPr="00C0591E">
        <w:rPr>
          <w:rFonts w:eastAsia="Times New Roman" w:cs="Times New Roman"/>
          <w:b/>
          <w:szCs w:val="24"/>
        </w:rPr>
        <w:t xml:space="preserve"> </w:t>
      </w:r>
      <w:r w:rsidRPr="00C0591E">
        <w:t xml:space="preserve">government regulations) introduced as an additional predictor. The moderating effect was analyzed in 3 models. </w:t>
      </w:r>
      <w:r w:rsidRPr="00C0591E">
        <w:rPr>
          <w:color w:val="000000"/>
          <w:szCs w:val="24"/>
        </w:rPr>
        <w:t>Since the P value of the interaction term (CG*GR) is 0.000&lt; 0.05 and the R</w:t>
      </w:r>
      <w:r w:rsidRPr="00C0591E">
        <w:rPr>
          <w:color w:val="000000"/>
          <w:szCs w:val="24"/>
          <w:vertAlign w:val="superscript"/>
        </w:rPr>
        <w:t>2</w:t>
      </w:r>
      <w:r w:rsidRPr="00C0591E">
        <w:rPr>
          <w:color w:val="000000"/>
          <w:szCs w:val="24"/>
        </w:rPr>
        <w:t xml:space="preserve"> </w:t>
      </w:r>
      <w:r w:rsidRPr="00C0591E">
        <w:t xml:space="preserve">increased after the interaction term and thus, we conclude that government regulations moderates the relationship between </w:t>
      </w:r>
      <w:r w:rsidR="00173C67">
        <w:t>pillars of corporate governance</w:t>
      </w:r>
      <w:r w:rsidRPr="00C0591E">
        <w:t xml:space="preserve"> and </w:t>
      </w:r>
      <w:r w:rsidRPr="00C0591E">
        <w:rPr>
          <w:rFonts w:cs="Times New Roman"/>
          <w:szCs w:val="24"/>
        </w:rPr>
        <w:t xml:space="preserve">performance of pension fund managers </w:t>
      </w:r>
      <w:r w:rsidRPr="00C0591E">
        <w:t xml:space="preserve">in Kenya. </w:t>
      </w:r>
    </w:p>
    <w:p w14:paraId="1E1B4B20" w14:textId="17AA19ED" w:rsidR="005110E8" w:rsidRPr="00C0591E" w:rsidRDefault="005110E8" w:rsidP="005110E8">
      <w:pPr>
        <w:pStyle w:val="Heading3"/>
      </w:pPr>
      <w:r w:rsidRPr="00C0591E">
        <w:t xml:space="preserve">6.2.4 </w:t>
      </w:r>
      <w:r w:rsidR="00A0371A" w:rsidRPr="00A0371A">
        <w:t>Moderation - Mediator Effect</w:t>
      </w:r>
    </w:p>
    <w:p w14:paraId="7002A65C" w14:textId="6B4931E7" w:rsidR="006C3137" w:rsidRPr="00C0591E" w:rsidRDefault="006C3137" w:rsidP="006C3137">
      <w:pPr>
        <w:rPr>
          <w:rFonts w:eastAsia="Calibri"/>
        </w:rPr>
      </w:pPr>
      <w:r w:rsidRPr="00C0591E">
        <w:rPr>
          <w:lang w:val="en-GB" w:eastAsia="en-GB"/>
        </w:rPr>
        <w:t xml:space="preserve">The fourth objective of the study was to determine the moderation - mediator effect on the relationship between </w:t>
      </w:r>
      <w:r w:rsidR="00173C67">
        <w:rPr>
          <w:lang w:val="en-GB" w:eastAsia="en-GB"/>
        </w:rPr>
        <w:t>pillars of corporate governance</w:t>
      </w:r>
      <w:r w:rsidRPr="00C0591E">
        <w:rPr>
          <w:lang w:val="en-GB" w:eastAsia="en-GB"/>
        </w:rPr>
        <w:t xml:space="preserve"> and performance of pension fund managers in Kenya. The fourth hypothesis was stated in the null form that: </w:t>
      </w:r>
      <w:r w:rsidRPr="00C0591E">
        <w:rPr>
          <w:rFonts w:eastAsia="Calibri"/>
          <w:b/>
        </w:rPr>
        <w:t>H</w:t>
      </w:r>
      <w:r w:rsidRPr="00C0591E">
        <w:rPr>
          <w:b/>
          <w:noProof/>
          <w:vertAlign w:val="subscript"/>
        </w:rPr>
        <w:t>04</w:t>
      </w:r>
      <w:r w:rsidRPr="00C0591E">
        <w:rPr>
          <w:rFonts w:eastAsia="Calibri"/>
          <w:bCs/>
        </w:rPr>
        <w:t>:</w:t>
      </w:r>
      <w:r w:rsidRPr="00C0591E">
        <w:rPr>
          <w:rFonts w:eastAsia="Calibri"/>
        </w:rPr>
        <w:t xml:space="preserve"> </w:t>
      </w:r>
      <w:r w:rsidRPr="00C0591E">
        <w:rPr>
          <w:color w:val="000000"/>
        </w:rPr>
        <w:t xml:space="preserve">There is no significant moderation – mediator effect on the relationship between </w:t>
      </w:r>
      <w:r w:rsidR="00173C67">
        <w:rPr>
          <w:rFonts w:eastAsia="Times New Roman"/>
          <w:szCs w:val="24"/>
        </w:rPr>
        <w:t>pillars of corporate governance</w:t>
      </w:r>
      <w:r w:rsidR="00A0371A" w:rsidRPr="00C0591E">
        <w:rPr>
          <w:rFonts w:eastAsia="Times New Roman"/>
          <w:szCs w:val="24"/>
        </w:rPr>
        <w:t xml:space="preserve"> and </w:t>
      </w:r>
      <w:r w:rsidR="00A0371A" w:rsidRPr="00C0591E">
        <w:rPr>
          <w:rFonts w:cs="Times New Roman"/>
          <w:szCs w:val="24"/>
        </w:rPr>
        <w:t>performance of pension fund managers in Kenya</w:t>
      </w:r>
      <w:r w:rsidRPr="00C0591E">
        <w:t>.</w:t>
      </w:r>
    </w:p>
    <w:p w14:paraId="2597F2D7" w14:textId="3F605E58" w:rsidR="005110E8" w:rsidRPr="00C0591E" w:rsidRDefault="006C3137" w:rsidP="006C3137">
      <w:r w:rsidRPr="00C0591E">
        <w:rPr>
          <w:lang w:val="en-GB" w:eastAsia="en-GB"/>
        </w:rPr>
        <w:t xml:space="preserve">Hayes and Rockwood (2020) model for moderated mediation was adopted. </w:t>
      </w:r>
      <w:r w:rsidRPr="00C0591E">
        <w:t xml:space="preserve">The results indicated that in step one, the regression model of </w:t>
      </w:r>
      <w:r w:rsidR="00173C67">
        <w:rPr>
          <w:lang w:val="en-GB" w:eastAsia="en-GB"/>
        </w:rPr>
        <w:t>pillars of corporate governance</w:t>
      </w:r>
      <w:r w:rsidRPr="00C0591E">
        <w:rPr>
          <w:lang w:val="en-GB" w:eastAsia="en-GB"/>
        </w:rPr>
        <w:t xml:space="preserve"> </w:t>
      </w:r>
      <w:r w:rsidRPr="00C0591E">
        <w:t xml:space="preserve">on performance was significant. In step two, the results show that the regression model of </w:t>
      </w:r>
      <w:r w:rsidR="00173C67">
        <w:t>pillars of corporate governance</w:t>
      </w:r>
      <w:r w:rsidR="00A0371A" w:rsidRPr="00A0371A">
        <w:t>, government regulation, investment policies and the interaction term government regulation*investment policies on performance of pension fund managers</w:t>
      </w:r>
      <w:r w:rsidRPr="00A0371A">
        <w:t xml:space="preserve"> </w:t>
      </w:r>
      <w:r w:rsidRPr="00C0591E">
        <w:t xml:space="preserve">was significant. Since, the p value for the Moderation mediating term (CS*ER) was significant 0.000&lt;0.05 was less than the critical value 0.05, the study rejected the null hypotheses that there is no significant moderation - mediator effect on the relationship between </w:t>
      </w:r>
      <w:r w:rsidR="00173C67">
        <w:t>pillars of corporate governance</w:t>
      </w:r>
      <w:r w:rsidRPr="00C0591E">
        <w:t xml:space="preserve"> and performance of pension fund managers in Kenya. The study </w:t>
      </w:r>
      <w:r w:rsidRPr="00C0591E">
        <w:rPr>
          <w:noProof/>
        </w:rPr>
        <w:t xml:space="preserve">adopted the alternative hypothesis that </w:t>
      </w:r>
      <w:r w:rsidRPr="00C0591E">
        <w:t xml:space="preserve">there is a significant the moderation - mediator effect on the relationship between </w:t>
      </w:r>
      <w:r w:rsidR="00173C67">
        <w:t>pillars of corporate governance</w:t>
      </w:r>
      <w:r w:rsidRPr="00C0591E">
        <w:t xml:space="preserve"> and performance of pension fund managers in Kenya.</w:t>
      </w:r>
    </w:p>
    <w:p w14:paraId="67A8CFF0" w14:textId="77777777" w:rsidR="00C53C95" w:rsidRPr="00C0591E" w:rsidRDefault="00C53C95" w:rsidP="00C53C95">
      <w:pPr>
        <w:pStyle w:val="Heading2"/>
      </w:pPr>
      <w:bookmarkStart w:id="349" w:name="_Toc39669986"/>
      <w:bookmarkStart w:id="350" w:name="_Toc113125123"/>
      <w:r w:rsidRPr="00C0591E">
        <w:t>6.3 Conclusion</w:t>
      </w:r>
      <w:bookmarkEnd w:id="349"/>
      <w:bookmarkEnd w:id="350"/>
    </w:p>
    <w:p w14:paraId="523E073F" w14:textId="77777777" w:rsidR="00C53C95" w:rsidRPr="00C0591E" w:rsidRDefault="00C53C95" w:rsidP="00743C71">
      <w:r w:rsidRPr="00C0591E">
        <w:t>This section draws conclusion from findings from the study. The section is divided into sections based on the research objectives in conclusion all the study objectives were achieved.</w:t>
      </w:r>
    </w:p>
    <w:p w14:paraId="1B1EE3B0" w14:textId="0A22D0BA" w:rsidR="007A62AA" w:rsidRPr="00C0591E" w:rsidRDefault="007A62AA" w:rsidP="00E715CF">
      <w:pPr>
        <w:pStyle w:val="Heading3"/>
      </w:pPr>
      <w:r w:rsidRPr="00C0591E">
        <w:rPr>
          <w:rFonts w:eastAsia="Times New Roman"/>
        </w:rPr>
        <w:t xml:space="preserve">6.3.1 </w:t>
      </w:r>
      <w:r w:rsidR="00173C67">
        <w:t>Pillars of corporate governance</w:t>
      </w:r>
      <w:r w:rsidRPr="00C0591E">
        <w:t xml:space="preserve"> and Performance of Pension Fund Managers</w:t>
      </w:r>
    </w:p>
    <w:p w14:paraId="50BDBF7C" w14:textId="7C756FD5" w:rsidR="00640F99" w:rsidRPr="00C0591E" w:rsidRDefault="00080852" w:rsidP="00F76E75">
      <w:pPr>
        <w:rPr>
          <w:rFonts w:eastAsia="Times New Roman"/>
        </w:rPr>
      </w:pPr>
      <w:r w:rsidRPr="00C0591E">
        <w:rPr>
          <w:rFonts w:eastAsia="Times New Roman"/>
        </w:rPr>
        <w:t>The study concluded that</w:t>
      </w:r>
      <w:r w:rsidRPr="00C0591E">
        <w:t xml:space="preserve"> </w:t>
      </w:r>
      <w:r w:rsidRPr="00C0591E">
        <w:rPr>
          <w:rFonts w:eastAsia="Times New Roman"/>
        </w:rPr>
        <w:t xml:space="preserve">there is significant relationship between </w:t>
      </w:r>
      <w:r w:rsidR="00173C67">
        <w:rPr>
          <w:rFonts w:eastAsia="Times New Roman"/>
        </w:rPr>
        <w:t>pillars of corporate governance</w:t>
      </w:r>
      <w:r w:rsidRPr="00C0591E">
        <w:rPr>
          <w:rFonts w:eastAsia="Times New Roman"/>
        </w:rPr>
        <w:t xml:space="preserve"> and performance of pension fund managers in Kenya.</w:t>
      </w:r>
      <w:r w:rsidR="00B81B51" w:rsidRPr="00C0591E">
        <w:rPr>
          <w:rFonts w:eastAsia="Times New Roman"/>
        </w:rPr>
        <w:t xml:space="preserve"> </w:t>
      </w:r>
      <w:r w:rsidR="00640F99" w:rsidRPr="00C0591E">
        <w:rPr>
          <w:rFonts w:eastAsia="Times New Roman"/>
        </w:rPr>
        <w:t xml:space="preserve">The study determined that the </w:t>
      </w:r>
      <w:r w:rsidR="00173C67">
        <w:rPr>
          <w:rFonts w:eastAsia="Times New Roman"/>
        </w:rPr>
        <w:t>pillars of corporate governance</w:t>
      </w:r>
      <w:r w:rsidR="00640F99" w:rsidRPr="00C0591E">
        <w:rPr>
          <w:rFonts w:eastAsia="Times New Roman"/>
        </w:rPr>
        <w:t xml:space="preserve"> practices being implemented had been incorporated in the Pension Fund’s investment management decisions with its assets being more diversified and having enhanced reporting on investments. The Pension Fund had also increased its reliance on professional advisors </w:t>
      </w:r>
      <w:r w:rsidR="00C813FD" w:rsidRPr="00C0591E">
        <w:rPr>
          <w:rFonts w:eastAsia="Times New Roman"/>
        </w:rPr>
        <w:t>and had a statement of investment principles, which</w:t>
      </w:r>
      <w:r w:rsidR="00640F99" w:rsidRPr="00C0591E">
        <w:rPr>
          <w:rFonts w:eastAsia="Times New Roman"/>
        </w:rPr>
        <w:t xml:space="preserve"> was reviewed annually to determine its continued relevance. The study further determined that investment performance had improved over the years with benefits paid to members and investment returns reported improving. It was also confirmed through a regression test that </w:t>
      </w:r>
      <w:r w:rsidR="00173C67">
        <w:rPr>
          <w:rFonts w:eastAsia="Times New Roman"/>
        </w:rPr>
        <w:t>pillars of corporate governance</w:t>
      </w:r>
      <w:r w:rsidR="00640F99" w:rsidRPr="00C0591E">
        <w:rPr>
          <w:rFonts w:eastAsia="Times New Roman"/>
        </w:rPr>
        <w:t xml:space="preserve"> practices had a positive effect on </w:t>
      </w:r>
      <w:r w:rsidR="00B81B51" w:rsidRPr="00C0591E">
        <w:rPr>
          <w:rFonts w:eastAsia="Times New Roman"/>
        </w:rPr>
        <w:t>performance of the</w:t>
      </w:r>
      <w:r w:rsidR="00640F99" w:rsidRPr="00C0591E">
        <w:rPr>
          <w:rFonts w:eastAsia="Times New Roman"/>
        </w:rPr>
        <w:t xml:space="preserve"> Pension Fund</w:t>
      </w:r>
      <w:r w:rsidR="00B81B51" w:rsidRPr="00C0591E">
        <w:rPr>
          <w:rFonts w:eastAsia="Times New Roman"/>
        </w:rPr>
        <w:t xml:space="preserve"> managers</w:t>
      </w:r>
      <w:r w:rsidR="00640F99" w:rsidRPr="00C0591E">
        <w:rPr>
          <w:rFonts w:eastAsia="Times New Roman"/>
        </w:rPr>
        <w:t xml:space="preserve">. Thus, the </w:t>
      </w:r>
      <w:r w:rsidR="00173C67">
        <w:rPr>
          <w:rFonts w:eastAsia="Times New Roman"/>
        </w:rPr>
        <w:t>pillars of corporate governance</w:t>
      </w:r>
      <w:r w:rsidR="00640F99" w:rsidRPr="00C0591E">
        <w:rPr>
          <w:rFonts w:eastAsia="Times New Roman"/>
        </w:rPr>
        <w:t xml:space="preserve"> practices that have been implemented have improved </w:t>
      </w:r>
      <w:r w:rsidR="00B81B51" w:rsidRPr="00C0591E">
        <w:rPr>
          <w:rFonts w:eastAsia="Times New Roman"/>
        </w:rPr>
        <w:t>performance of the Pension Fund managers</w:t>
      </w:r>
      <w:r w:rsidR="00640F99" w:rsidRPr="00C0591E">
        <w:rPr>
          <w:rFonts w:eastAsia="Times New Roman"/>
        </w:rPr>
        <w:t>.</w:t>
      </w:r>
    </w:p>
    <w:p w14:paraId="563608CD" w14:textId="7F6DACD5" w:rsidR="00F76E75" w:rsidRPr="00C0591E" w:rsidRDefault="00F76E75" w:rsidP="00F76E75">
      <w:pPr>
        <w:rPr>
          <w:rFonts w:eastAsia="Times New Roman"/>
        </w:rPr>
      </w:pPr>
      <w:r w:rsidRPr="00C0591E">
        <w:rPr>
          <w:rFonts w:eastAsia="Times New Roman"/>
        </w:rPr>
        <w:t xml:space="preserve">Good governance can also bring indirect benefits to pension funds. It can spare them the costs of overregulation and it can facilitate supervision by the authorities. In particular, as pension fund supervisors adopt a risk-based approach to supervision, pension fund governance has become central to deciding whether or not an institution should be closely monitored. The stronger the governance of the fund, the better risks </w:t>
      </w:r>
      <w:r w:rsidR="004605AB" w:rsidRPr="00C0591E">
        <w:rPr>
          <w:rFonts w:eastAsia="Times New Roman"/>
        </w:rPr>
        <w:t>was</w:t>
      </w:r>
      <w:r w:rsidRPr="00C0591E">
        <w:rPr>
          <w:rFonts w:eastAsia="Times New Roman"/>
        </w:rPr>
        <w:t xml:space="preserve"> managed and controlled. The supervisory approach is increasingly dictated by their assessment of a pension fund‘s risk profile, with funds judged to pose less risk likely to receive a lighter supervisory touch. This could mean that more of the day to day governance or supervision of the fund is left to the governing board itself. </w:t>
      </w:r>
    </w:p>
    <w:p w14:paraId="61AE38CA" w14:textId="69056353" w:rsidR="00A4638E" w:rsidRPr="00C0591E" w:rsidRDefault="00A4638E" w:rsidP="00A4638E">
      <w:pPr>
        <w:pStyle w:val="Heading3"/>
      </w:pPr>
      <w:r w:rsidRPr="00C0591E">
        <w:t xml:space="preserve">6.3.2 </w:t>
      </w:r>
      <w:r w:rsidR="00173C67">
        <w:t>Pillars of corporate governance</w:t>
      </w:r>
      <w:r w:rsidRPr="00C0591E">
        <w:t>, Investment Policies and Performance of Pension Fund Managers</w:t>
      </w:r>
    </w:p>
    <w:p w14:paraId="157F99C4" w14:textId="0D4CFF19" w:rsidR="00743C71" w:rsidRPr="00C0591E" w:rsidRDefault="00F76E75" w:rsidP="00AB4E07">
      <w:pPr>
        <w:rPr>
          <w:rFonts w:eastAsia="Times New Roman"/>
        </w:rPr>
      </w:pPr>
      <w:r w:rsidRPr="00C0591E">
        <w:rPr>
          <w:rFonts w:eastAsia="Times New Roman"/>
        </w:rPr>
        <w:t xml:space="preserve">The study concluded that there is a partial intervening effect of investment policies in the relationship between </w:t>
      </w:r>
      <w:r w:rsidR="00173C67">
        <w:rPr>
          <w:rFonts w:eastAsia="Times New Roman"/>
        </w:rPr>
        <w:t>pillars of corporate governance</w:t>
      </w:r>
      <w:r w:rsidRPr="00C0591E">
        <w:rPr>
          <w:rFonts w:eastAsia="Times New Roman"/>
        </w:rPr>
        <w:t xml:space="preserve"> and performance of pension fund managers in Kenya.</w:t>
      </w:r>
      <w:r w:rsidR="009857AB" w:rsidRPr="00C0591E">
        <w:rPr>
          <w:rFonts w:eastAsia="Times New Roman"/>
        </w:rPr>
        <w:t xml:space="preserve"> The investment policy must be developed observing any legislative requirement in addition to prescribed fiduciary standards. The Trustees of the plan must recognize the importance of keeping investment choices consistent with the plan’s current and expected future liabilities; this asset-liability management must be central to the investment policy and principles and the trustees must ensure that the plan is consistent with the stated risk tolerances. A pension plan may also be segmented on the basis of active lives and retired lives. The study found that the description of liabilities included the expected short and long term growth of the segments of the fund or scheme. Cash flow characteristics was described in terms of their predictability and the size of contributions, benefit payments and expenses. Factors impacting cash flow such as member options, pricing horizon and interest costs were also be described.</w:t>
      </w:r>
    </w:p>
    <w:p w14:paraId="23511EBF" w14:textId="5C2A9684" w:rsidR="00A4638E" w:rsidRPr="00C0591E" w:rsidRDefault="00A4638E" w:rsidP="00A4638E">
      <w:pPr>
        <w:pStyle w:val="Heading3"/>
      </w:pPr>
      <w:r w:rsidRPr="00C0591E">
        <w:t xml:space="preserve">6.3.3 </w:t>
      </w:r>
      <w:r w:rsidR="00173C67">
        <w:t>Pillars of corporate governance</w:t>
      </w:r>
      <w:r w:rsidRPr="00C0591E">
        <w:t>, Government Regulation and Performance of Pension Fund Managers</w:t>
      </w:r>
    </w:p>
    <w:p w14:paraId="013972E6" w14:textId="7C937756" w:rsidR="00523F6D" w:rsidRPr="00C0591E" w:rsidRDefault="00E661C2" w:rsidP="001E1518">
      <w:pPr>
        <w:rPr>
          <w:rFonts w:eastAsia="Times New Roman"/>
        </w:rPr>
      </w:pPr>
      <w:r w:rsidRPr="00C0591E">
        <w:rPr>
          <w:rFonts w:eastAsia="Times New Roman"/>
        </w:rPr>
        <w:t xml:space="preserve">The study concluded that there was a significant moderating effect of government regulations on the relationship between </w:t>
      </w:r>
      <w:r w:rsidR="00173C67">
        <w:rPr>
          <w:rFonts w:eastAsia="Times New Roman"/>
        </w:rPr>
        <w:t>pillars of corporate governance</w:t>
      </w:r>
      <w:r w:rsidRPr="00C0591E">
        <w:rPr>
          <w:rFonts w:eastAsia="Times New Roman"/>
        </w:rPr>
        <w:t xml:space="preserve"> and performance of pension fund managers in Kenya. This implied that the adoption of the regulations from the regulatory bodies such as number of trustees, tax on non-exempt incomes of pension fund members, regulatory meetings, risk tolerance limits imposed by the RBA, competition as stipulated by RBA led to better performance. Regulation aspect are key in the performance of the fund managers. This is because p</w:t>
      </w:r>
      <w:r w:rsidR="00E73D11" w:rsidRPr="00C0591E">
        <w:rPr>
          <w:rFonts w:eastAsia="Times New Roman"/>
        </w:rPr>
        <w:t xml:space="preserve">ension funds are controlled by a governing body that is responsible for the operation and oversight of the pension fund. The governing body may also be responsible for other aspects of the administration of a pension plan. </w:t>
      </w:r>
      <w:r w:rsidR="00D23FF2" w:rsidRPr="00C0591E">
        <w:rPr>
          <w:rFonts w:eastAsia="Times New Roman"/>
        </w:rPr>
        <w:t>Thus,</w:t>
      </w:r>
      <w:r w:rsidRPr="00C0591E">
        <w:rPr>
          <w:rFonts w:eastAsia="Times New Roman"/>
        </w:rPr>
        <w:t xml:space="preserve"> it is important that Trustees and their agents are aware of and understand the provisions of the Act and Regulations as failure to invest pension funds accordingly constitutes an offence. Professional advice must be sought by Trustees prior to making decisions on matters for which they do not have the requisite knowledge or expertise.</w:t>
      </w:r>
    </w:p>
    <w:p w14:paraId="29E4BBF5" w14:textId="62E1B2BF" w:rsidR="00A4638E" w:rsidRPr="00C0591E" w:rsidRDefault="00A4638E" w:rsidP="00A9297F">
      <w:pPr>
        <w:pStyle w:val="Heading3"/>
      </w:pPr>
      <w:r w:rsidRPr="00C0591E">
        <w:t xml:space="preserve">6.3.4 </w:t>
      </w:r>
      <w:r w:rsidR="00A9297F" w:rsidRPr="00C0591E">
        <w:t>Moderation - Mediator Effect</w:t>
      </w:r>
    </w:p>
    <w:p w14:paraId="3990E51E" w14:textId="234E8CC2" w:rsidR="00523F6D" w:rsidRPr="00C0591E" w:rsidRDefault="001E1518" w:rsidP="00A9297F">
      <w:pPr>
        <w:rPr>
          <w:rFonts w:eastAsia="Times New Roman"/>
        </w:rPr>
      </w:pPr>
      <w:r w:rsidRPr="00C0591E">
        <w:rPr>
          <w:rFonts w:eastAsia="Times New Roman"/>
        </w:rPr>
        <w:t xml:space="preserve">The study concluded that </w:t>
      </w:r>
      <w:r w:rsidR="00E55126" w:rsidRPr="00C0591E">
        <w:rPr>
          <w:rFonts w:eastAsia="Times New Roman"/>
        </w:rPr>
        <w:t xml:space="preserve">there is a significant moderation – mediator effect on the relationship between </w:t>
      </w:r>
      <w:r w:rsidR="00173C67">
        <w:rPr>
          <w:rFonts w:eastAsia="Times New Roman"/>
        </w:rPr>
        <w:t>pillars of corporate governance</w:t>
      </w:r>
      <w:r w:rsidR="00E55126" w:rsidRPr="00C0591E">
        <w:rPr>
          <w:rFonts w:eastAsia="Times New Roman"/>
        </w:rPr>
        <w:t xml:space="preserve"> and performance of pension fund managers in Kenya</w:t>
      </w:r>
      <w:r w:rsidRPr="00C0591E">
        <w:rPr>
          <w:rFonts w:eastAsia="Times New Roman"/>
        </w:rPr>
        <w:t xml:space="preserve">. This was because the overall effect of </w:t>
      </w:r>
      <w:r w:rsidR="00173C67">
        <w:rPr>
          <w:rFonts w:eastAsia="Times New Roman"/>
        </w:rPr>
        <w:t>pillars of corporate governance</w:t>
      </w:r>
      <w:r w:rsidR="00A0371A" w:rsidRPr="00C0591E">
        <w:rPr>
          <w:rFonts w:eastAsia="Times New Roman"/>
        </w:rPr>
        <w:t xml:space="preserve">, investment policies and government regulations contributed </w:t>
      </w:r>
      <w:r w:rsidRPr="00C0591E">
        <w:rPr>
          <w:rFonts w:eastAsia="Times New Roman"/>
        </w:rPr>
        <w:t xml:space="preserve">toward improving performance for the pension fund managers. </w:t>
      </w:r>
      <w:r w:rsidR="00D23FF2" w:rsidRPr="00C0591E">
        <w:rPr>
          <w:rFonts w:eastAsia="Times New Roman"/>
        </w:rPr>
        <w:t>Thus,</w:t>
      </w:r>
      <w:r w:rsidRPr="00C0591E">
        <w:rPr>
          <w:rFonts w:eastAsia="Times New Roman"/>
        </w:rPr>
        <w:t xml:space="preserve"> central to the achievement of good governance is the establishment of structures to ensure that a business is well run. Central to the achievement of accountability is ensuring, by creating compatible incentives, that those governance structures are effective. There are many issues that exist in the gray area between governance and accountability. The preceding sections of this paper identify the structures that, according to best practice, should be in place for good governance. In addition, with regard to the implementation of the investment policy must be clearly defined. Setting long-term targets and selecting a tolerance for risk involve strategic decisions that are fundamental to the viability of the scheme as a source of income replacement in retirement. The long-term strategy should identify whether the risk tolerance and performance targets are capable of producing outcomes that will meet the objectives of the scheme.</w:t>
      </w:r>
      <w:r w:rsidRPr="00C0591E">
        <w:t xml:space="preserve"> </w:t>
      </w:r>
      <w:r w:rsidRPr="00C0591E">
        <w:rPr>
          <w:rFonts w:eastAsia="Times New Roman"/>
        </w:rPr>
        <w:t>In general, the investment policy should seek to minimize investment in illiquid assets.</w:t>
      </w:r>
    </w:p>
    <w:p w14:paraId="14214C97" w14:textId="5EC49691" w:rsidR="00303F6F" w:rsidRPr="00C0591E" w:rsidRDefault="00303F6F" w:rsidP="007B19D8">
      <w:pPr>
        <w:rPr>
          <w:rFonts w:eastAsia="Times New Roman"/>
        </w:rPr>
      </w:pPr>
    </w:p>
    <w:p w14:paraId="36D120AD" w14:textId="4AE59A3E" w:rsidR="00303F6F" w:rsidRPr="00C0591E" w:rsidRDefault="00303F6F" w:rsidP="007B19D8">
      <w:pPr>
        <w:rPr>
          <w:rFonts w:eastAsia="Times New Roman"/>
        </w:rPr>
      </w:pPr>
    </w:p>
    <w:p w14:paraId="655B2AAB" w14:textId="4D8621FD" w:rsidR="00303F6F" w:rsidRPr="00C0591E" w:rsidRDefault="00303F6F" w:rsidP="007B19D8">
      <w:pPr>
        <w:rPr>
          <w:rFonts w:eastAsia="Times New Roman"/>
        </w:rPr>
      </w:pPr>
    </w:p>
    <w:p w14:paraId="2DD2CE03" w14:textId="00DED776" w:rsidR="00303F6F" w:rsidRPr="00C0591E" w:rsidRDefault="00303F6F" w:rsidP="007B19D8">
      <w:pPr>
        <w:rPr>
          <w:rFonts w:eastAsia="Times New Roman"/>
        </w:rPr>
      </w:pPr>
    </w:p>
    <w:p w14:paraId="7FFC6D14" w14:textId="75BF8F87" w:rsidR="00303F6F" w:rsidRPr="00C0591E" w:rsidRDefault="00303F6F" w:rsidP="007B19D8">
      <w:pPr>
        <w:rPr>
          <w:rFonts w:eastAsia="Times New Roman"/>
        </w:rPr>
      </w:pPr>
    </w:p>
    <w:p w14:paraId="50F23750" w14:textId="315BF726" w:rsidR="00303F6F" w:rsidRPr="00C0591E" w:rsidRDefault="00303F6F" w:rsidP="007B19D8">
      <w:pPr>
        <w:rPr>
          <w:rFonts w:eastAsia="Times New Roman"/>
        </w:rPr>
      </w:pPr>
    </w:p>
    <w:p w14:paraId="30254C31" w14:textId="686512CE" w:rsidR="00303F6F" w:rsidRPr="00C0591E" w:rsidRDefault="00303F6F" w:rsidP="007B19D8">
      <w:pPr>
        <w:rPr>
          <w:rFonts w:eastAsia="Times New Roman"/>
        </w:rPr>
      </w:pPr>
    </w:p>
    <w:p w14:paraId="088F4CCB" w14:textId="4CFE31F7" w:rsidR="00303F6F" w:rsidRPr="00C0591E" w:rsidRDefault="00303F6F" w:rsidP="007B19D8">
      <w:pPr>
        <w:rPr>
          <w:rFonts w:eastAsia="Times New Roman"/>
        </w:rPr>
      </w:pPr>
    </w:p>
    <w:p w14:paraId="4ECFA8FF" w14:textId="59147F3F" w:rsidR="00303F6F" w:rsidRPr="00C0591E" w:rsidRDefault="00303F6F" w:rsidP="007B19D8">
      <w:pPr>
        <w:rPr>
          <w:rFonts w:eastAsia="Times New Roman"/>
        </w:rPr>
      </w:pPr>
    </w:p>
    <w:p w14:paraId="02628ABA" w14:textId="0195AC1E" w:rsidR="00303F6F" w:rsidRPr="00C0591E" w:rsidRDefault="00303F6F" w:rsidP="007B19D8">
      <w:pPr>
        <w:rPr>
          <w:rFonts w:eastAsia="Times New Roman"/>
        </w:rPr>
      </w:pPr>
    </w:p>
    <w:p w14:paraId="65F8A17C" w14:textId="3DC166A5" w:rsidR="00303F6F" w:rsidRPr="00C0591E" w:rsidRDefault="00303F6F" w:rsidP="007B19D8">
      <w:pPr>
        <w:rPr>
          <w:rFonts w:eastAsia="Times New Roman"/>
        </w:rPr>
      </w:pPr>
    </w:p>
    <w:p w14:paraId="3F8BAB99" w14:textId="42CDD24E" w:rsidR="00303F6F" w:rsidRPr="00C0591E" w:rsidRDefault="00303F6F" w:rsidP="007B19D8">
      <w:pPr>
        <w:rPr>
          <w:rFonts w:eastAsia="Times New Roman"/>
        </w:rPr>
      </w:pPr>
    </w:p>
    <w:p w14:paraId="6D09E1E2" w14:textId="12E6DD27" w:rsidR="00303F6F" w:rsidRPr="00C0591E" w:rsidRDefault="00303F6F" w:rsidP="007B19D8">
      <w:pPr>
        <w:rPr>
          <w:rFonts w:eastAsia="Times New Roman"/>
        </w:rPr>
      </w:pPr>
    </w:p>
    <w:p w14:paraId="3DBEDA7D" w14:textId="3728E007" w:rsidR="00303F6F" w:rsidRPr="00C0591E" w:rsidRDefault="00303F6F" w:rsidP="007B19D8">
      <w:pPr>
        <w:rPr>
          <w:rFonts w:eastAsia="Times New Roman"/>
        </w:rPr>
      </w:pPr>
    </w:p>
    <w:p w14:paraId="36274170" w14:textId="0D98F3CE" w:rsidR="00303F6F" w:rsidRPr="00C0591E" w:rsidRDefault="00303F6F" w:rsidP="007B19D8">
      <w:pPr>
        <w:rPr>
          <w:rFonts w:eastAsia="Times New Roman"/>
        </w:rPr>
      </w:pPr>
    </w:p>
    <w:p w14:paraId="3FCDE513" w14:textId="52932EFA" w:rsidR="00303F6F" w:rsidRPr="00C0591E" w:rsidRDefault="00303F6F" w:rsidP="007B19D8">
      <w:pPr>
        <w:rPr>
          <w:rFonts w:eastAsia="Times New Roman"/>
        </w:rPr>
      </w:pPr>
    </w:p>
    <w:p w14:paraId="737E1199" w14:textId="77777777" w:rsidR="00133D2A" w:rsidRPr="00C0591E" w:rsidRDefault="00133D2A" w:rsidP="007B19D8">
      <w:pPr>
        <w:rPr>
          <w:rFonts w:eastAsia="Times New Roman"/>
        </w:rPr>
      </w:pPr>
    </w:p>
    <w:p w14:paraId="27A22DC0" w14:textId="77777777" w:rsidR="00133D2A" w:rsidRPr="00C0591E" w:rsidRDefault="00133D2A" w:rsidP="007B19D8">
      <w:pPr>
        <w:rPr>
          <w:rFonts w:eastAsia="Times New Roman"/>
        </w:rPr>
      </w:pPr>
    </w:p>
    <w:p w14:paraId="155727C8" w14:textId="1399F66E" w:rsidR="00133D2A" w:rsidRPr="00C0591E" w:rsidRDefault="00133D2A" w:rsidP="007B19D8">
      <w:pPr>
        <w:rPr>
          <w:rFonts w:eastAsia="Times New Roman"/>
        </w:rPr>
      </w:pPr>
    </w:p>
    <w:p w14:paraId="148F8B6B" w14:textId="306A3C07" w:rsidR="00133D2A" w:rsidRPr="00C0591E" w:rsidRDefault="00133D2A" w:rsidP="007B19D8">
      <w:pPr>
        <w:rPr>
          <w:rFonts w:eastAsia="Times New Roman"/>
        </w:rPr>
      </w:pPr>
    </w:p>
    <w:p w14:paraId="6F801B27" w14:textId="77777777" w:rsidR="00303F6F" w:rsidRPr="00C0591E" w:rsidRDefault="00303F6F" w:rsidP="00303F6F">
      <w:pPr>
        <w:pStyle w:val="Heading1"/>
      </w:pPr>
      <w:bookmarkStart w:id="351" w:name="_Toc49438850"/>
      <w:bookmarkStart w:id="352" w:name="_Toc78303073"/>
      <w:bookmarkStart w:id="353" w:name="_Toc86857681"/>
      <w:bookmarkStart w:id="354" w:name="_Toc109897133"/>
      <w:bookmarkStart w:id="355" w:name="_Toc113125124"/>
      <w:bookmarkStart w:id="356" w:name="_Toc12544346"/>
      <w:r w:rsidRPr="00C0591E">
        <w:t>CHAPTER SEVEN</w:t>
      </w:r>
      <w:bookmarkStart w:id="357" w:name="_Toc49438851"/>
      <w:bookmarkStart w:id="358" w:name="_Toc78303074"/>
      <w:bookmarkStart w:id="359" w:name="_Toc86857682"/>
      <w:bookmarkEnd w:id="351"/>
      <w:bookmarkEnd w:id="352"/>
      <w:bookmarkEnd w:id="353"/>
      <w:bookmarkEnd w:id="354"/>
      <w:bookmarkEnd w:id="355"/>
    </w:p>
    <w:p w14:paraId="209EA20D" w14:textId="77777777" w:rsidR="00303F6F" w:rsidRPr="00C0591E" w:rsidRDefault="00303F6F" w:rsidP="00303F6F">
      <w:pPr>
        <w:pStyle w:val="Heading1"/>
      </w:pPr>
      <w:bookmarkStart w:id="360" w:name="_Toc109897134"/>
      <w:bookmarkStart w:id="361" w:name="_Toc113125125"/>
      <w:r w:rsidRPr="00C0591E">
        <w:t>RECOMMENDATIONS</w:t>
      </w:r>
      <w:bookmarkEnd w:id="356"/>
      <w:bookmarkEnd w:id="357"/>
      <w:bookmarkEnd w:id="358"/>
      <w:bookmarkEnd w:id="359"/>
      <w:bookmarkEnd w:id="360"/>
      <w:bookmarkEnd w:id="361"/>
    </w:p>
    <w:p w14:paraId="00BBA25F" w14:textId="77777777" w:rsidR="00303F6F" w:rsidRPr="00C0591E" w:rsidRDefault="00303F6F" w:rsidP="00303F6F">
      <w:pPr>
        <w:pStyle w:val="Heading2"/>
        <w:rPr>
          <w:rFonts w:eastAsia="Calibri"/>
        </w:rPr>
      </w:pPr>
      <w:bookmarkStart w:id="362" w:name="_Toc49438852"/>
      <w:bookmarkStart w:id="363" w:name="_Toc78303075"/>
      <w:bookmarkStart w:id="364" w:name="_Toc86857683"/>
      <w:bookmarkStart w:id="365" w:name="_Toc109897135"/>
      <w:bookmarkStart w:id="366" w:name="_Toc113125126"/>
      <w:r w:rsidRPr="00C0591E">
        <w:rPr>
          <w:rFonts w:eastAsia="Calibri"/>
        </w:rPr>
        <w:t>7.1 Introduction</w:t>
      </w:r>
      <w:bookmarkEnd w:id="362"/>
      <w:bookmarkEnd w:id="363"/>
      <w:bookmarkEnd w:id="364"/>
      <w:bookmarkEnd w:id="365"/>
      <w:bookmarkEnd w:id="366"/>
    </w:p>
    <w:p w14:paraId="54200F42" w14:textId="33BF53CA" w:rsidR="00303F6F" w:rsidRPr="00C0591E" w:rsidRDefault="00303F6F" w:rsidP="00303F6F">
      <w:r w:rsidRPr="00C0591E">
        <w:t xml:space="preserve">The study examined the interactions between </w:t>
      </w:r>
      <w:r w:rsidR="00173C67">
        <w:t>pillars of corporate governance</w:t>
      </w:r>
      <w:r w:rsidRPr="00C0591E">
        <w:t>, government regulation and investment policy on performance of pension fund managers in Kenya. The recommendations described in this chapter are derived from the interpretation of findings and conclusions of the study. The adoption and implementation of the recommendations which also includes areas requiring further research will contribute towards the growth and development of theory, policy and practice</w:t>
      </w:r>
    </w:p>
    <w:p w14:paraId="127216C3" w14:textId="7B360F84" w:rsidR="002B4DA6" w:rsidRPr="00C0591E" w:rsidRDefault="00133D2A" w:rsidP="00133D2A">
      <w:pPr>
        <w:pStyle w:val="Heading2"/>
        <w:rPr>
          <w:rFonts w:eastAsia="Times New Roman"/>
        </w:rPr>
      </w:pPr>
      <w:bookmarkStart w:id="367" w:name="_Toc46769371"/>
      <w:bookmarkStart w:id="368" w:name="_Toc113125127"/>
      <w:r w:rsidRPr="00C0591E">
        <w:rPr>
          <w:rFonts w:eastAsia="Times New Roman"/>
        </w:rPr>
        <w:t>7</w:t>
      </w:r>
      <w:r w:rsidR="002B4DA6" w:rsidRPr="00C0591E">
        <w:rPr>
          <w:rFonts w:eastAsia="Times New Roman"/>
        </w:rPr>
        <w:t>.</w:t>
      </w:r>
      <w:r w:rsidRPr="00C0591E">
        <w:rPr>
          <w:rFonts w:eastAsia="Times New Roman"/>
        </w:rPr>
        <w:t>2</w:t>
      </w:r>
      <w:r w:rsidR="002B4DA6" w:rsidRPr="00C0591E">
        <w:rPr>
          <w:rFonts w:eastAsia="Times New Roman"/>
        </w:rPr>
        <w:t xml:space="preserve"> Recommendations</w:t>
      </w:r>
      <w:bookmarkEnd w:id="367"/>
      <w:bookmarkEnd w:id="368"/>
    </w:p>
    <w:p w14:paraId="3DDFE931" w14:textId="43A50188" w:rsidR="002B4DA6" w:rsidRPr="00C0591E" w:rsidRDefault="002B4DA6" w:rsidP="00E73D11">
      <w:pPr>
        <w:rPr>
          <w:rFonts w:eastAsia="Calibri"/>
          <w:b/>
          <w:i/>
          <w:lang w:val="en-GB"/>
        </w:rPr>
      </w:pPr>
      <w:r w:rsidRPr="00C0591E">
        <w:rPr>
          <w:rFonts w:eastAsia="Calibri"/>
          <w:lang w:val="en-GB"/>
        </w:rPr>
        <w:t>The study made various recommendations in line with the objectives, findings and conclusions of the study.</w:t>
      </w:r>
      <w:r w:rsidRPr="00C0591E">
        <w:rPr>
          <w:rFonts w:eastAsia="Calibri"/>
          <w:b/>
          <w:i/>
          <w:lang w:val="en-GB"/>
        </w:rPr>
        <w:t xml:space="preserve">  </w:t>
      </w:r>
    </w:p>
    <w:p w14:paraId="0C055178" w14:textId="19FE9235" w:rsidR="00523F6D" w:rsidRPr="00C0591E" w:rsidRDefault="000A7BB0" w:rsidP="001E1518">
      <w:pPr>
        <w:rPr>
          <w:rFonts w:eastAsia="Times New Roman"/>
        </w:rPr>
      </w:pPr>
      <w:r w:rsidRPr="00C0591E">
        <w:rPr>
          <w:rFonts w:eastAsia="Calibri"/>
          <w:lang w:val="en-GB"/>
        </w:rPr>
        <w:t xml:space="preserve">On </w:t>
      </w:r>
      <w:r w:rsidR="00173C67">
        <w:rPr>
          <w:rFonts w:eastAsia="Calibri"/>
          <w:lang w:val="en-GB"/>
        </w:rPr>
        <w:t>pillars of corporate governance</w:t>
      </w:r>
      <w:r w:rsidRPr="00C0591E">
        <w:rPr>
          <w:rFonts w:eastAsia="Calibri"/>
          <w:lang w:val="en-GB"/>
        </w:rPr>
        <w:t xml:space="preserve">, the study recommends </w:t>
      </w:r>
      <w:r w:rsidR="00E73D11" w:rsidRPr="00C0591E">
        <w:rPr>
          <w:rFonts w:eastAsia="Calibri"/>
          <w:lang w:val="en-GB"/>
        </w:rPr>
        <w:t xml:space="preserve">on pension reforms, by creating a new class of potential activist shareholders in the form of pension funds, could in principle improve </w:t>
      </w:r>
      <w:r w:rsidR="00173C67">
        <w:rPr>
          <w:rFonts w:eastAsia="Calibri"/>
          <w:lang w:val="en-GB"/>
        </w:rPr>
        <w:t>pillars of corporate governance</w:t>
      </w:r>
      <w:r w:rsidR="00E73D11" w:rsidRPr="00C0591E">
        <w:rPr>
          <w:rFonts w:eastAsia="Calibri"/>
          <w:lang w:val="en-GB"/>
        </w:rPr>
        <w:t xml:space="preserve"> and increased shareholder discipline. </w:t>
      </w:r>
      <w:r w:rsidR="00640F99" w:rsidRPr="00C0591E">
        <w:rPr>
          <w:rFonts w:eastAsia="Times New Roman"/>
        </w:rPr>
        <w:t xml:space="preserve">The governments as well as supervisors should consider a more active role in the selection process of the board members, while reducing their choices to professional beneficiaries of the pension funds. On the other hand, this selection process should also take into account the interests of the owners, who provide the capital but are not carrying the risk in pension funds. A board dominated only by trustees may discourage further investments in the industry, which could negatively affect market </w:t>
      </w:r>
      <w:r w:rsidR="00E73D11" w:rsidRPr="00C0591E">
        <w:rPr>
          <w:rFonts w:eastAsia="Times New Roman"/>
        </w:rPr>
        <w:t>competitiveness. Further the</w:t>
      </w:r>
      <w:r w:rsidR="00D23FF2">
        <w:rPr>
          <w:rFonts w:eastAsia="Times New Roman"/>
        </w:rPr>
        <w:t xml:space="preserve"> study recommends on</w:t>
      </w:r>
      <w:r w:rsidR="00E73D11" w:rsidRPr="00C0591E">
        <w:rPr>
          <w:rFonts w:eastAsia="Times New Roman"/>
        </w:rPr>
        <w:t xml:space="preserve"> regular assessment of the performance of the persons and entities involved in the operation and oversight of the pension fund, Regular review of compensation mechanisms, in order to ensure that they provide the correct incentives for those responsible for the operation and oversight of the pension fund; Regular review of information processes, operational software systems, and accounting and financial reporting systems; Identification, monitoring, and, where necessary, correction of conflicts of interest situations. A policy for dealing with conflicts of interes</w:t>
      </w:r>
      <w:r w:rsidR="00841CFF">
        <w:rPr>
          <w:rFonts w:eastAsia="Times New Roman"/>
        </w:rPr>
        <w:t>t situations should be in place.</w:t>
      </w:r>
    </w:p>
    <w:p w14:paraId="361DB458" w14:textId="49DE2D37" w:rsidR="00ED6FB6" w:rsidRPr="00C0591E" w:rsidRDefault="00ED6FB6" w:rsidP="00D760D8">
      <w:pPr>
        <w:rPr>
          <w:rFonts w:eastAsia="Times New Roman"/>
        </w:rPr>
      </w:pPr>
      <w:r w:rsidRPr="00C0591E">
        <w:rPr>
          <w:rFonts w:eastAsia="Times New Roman"/>
        </w:rPr>
        <w:t>On government regulation, the study recommend that the</w:t>
      </w:r>
      <w:r w:rsidR="00C776E2" w:rsidRPr="00C0591E">
        <w:rPr>
          <w:rFonts w:eastAsia="Times New Roman"/>
        </w:rPr>
        <w:t xml:space="preserve"> pension </w:t>
      </w:r>
      <w:r w:rsidRPr="00C0591E">
        <w:rPr>
          <w:rFonts w:eastAsia="Times New Roman"/>
        </w:rPr>
        <w:t>fund managers</w:t>
      </w:r>
      <w:r w:rsidR="00C776E2" w:rsidRPr="00C0591E">
        <w:rPr>
          <w:rFonts w:eastAsia="Times New Roman"/>
        </w:rPr>
        <w:t xml:space="preserve"> must work with stakeholders to bring about a harmonized, workable and transparent legislative and institutional framework for the retirement benefits industry. This </w:t>
      </w:r>
      <w:r w:rsidR="004605AB" w:rsidRPr="00C0591E">
        <w:rPr>
          <w:rFonts w:eastAsia="Times New Roman"/>
        </w:rPr>
        <w:t>was</w:t>
      </w:r>
      <w:r w:rsidR="00C776E2" w:rsidRPr="00C0591E">
        <w:rPr>
          <w:rFonts w:eastAsia="Times New Roman"/>
        </w:rPr>
        <w:t xml:space="preserve"> through enactment of adequate legal framework to strengthen the fiduciary responsibilities of pension funds trustees and to improve the financial soundness of pension funds. It will also involve bringing all stakeholders into full compliance with the Retirement Benefits Act.</w:t>
      </w:r>
      <w:r w:rsidRPr="00C0591E">
        <w:rPr>
          <w:rFonts w:eastAsia="Times New Roman"/>
        </w:rPr>
        <w:t xml:space="preserve"> </w:t>
      </w:r>
      <w:r w:rsidR="00D760D8" w:rsidRPr="00C0591E">
        <w:rPr>
          <w:rFonts w:eastAsia="Times New Roman"/>
        </w:rPr>
        <w:t xml:space="preserve">The regulation of pension fund asset management should be based on the basic retirement income objective of a pension fund and assure that the investment management function is undertaken in accordance with the prudential principles of security, profitability, and liquidity using risk management concepts such as diversification and asset-liability matching. The governing body of the pension plan or fund and other appropriate parties should be subject to a standard such that the investment of pension assets is undertaken with care, the skill of an expert, prudence and due diligence. </w:t>
      </w:r>
    </w:p>
    <w:p w14:paraId="18D0F5C3" w14:textId="64AC03E1" w:rsidR="00C776E2" w:rsidRPr="00C0591E" w:rsidRDefault="00D760D8" w:rsidP="00D760D8">
      <w:pPr>
        <w:rPr>
          <w:rFonts w:eastAsia="Times New Roman"/>
        </w:rPr>
      </w:pPr>
      <w:r w:rsidRPr="00C0591E">
        <w:rPr>
          <w:rFonts w:eastAsia="Times New Roman"/>
        </w:rPr>
        <w:t>Where they lack sufficient expertise to make fully informed decisions and fulfil their responsibilities the governing body and other appropriate parties should be required to seek the external assistance of an expert. The governing body of the pension plan or fund and other appropriate parties should be subject to a fiduciary duty to the pension plan or fund and its members and beneficiaries. This duty requires the governing body and other appropriate parties to act in the best interest of plan members and beneficiaries in matters regarding the investment of pension plan assets and to exercise due diligence in the investment process. The legal provisions should require the governing body of the fund to establish a rigorous process by which investment activities are carried out, including the establishment of appropriate internal controls and procedures to effectively implement and monitor the investment management process.</w:t>
      </w:r>
    </w:p>
    <w:p w14:paraId="675B2505" w14:textId="3B9536A5" w:rsidR="00C776E2" w:rsidRPr="00C0591E" w:rsidRDefault="00ED6FB6" w:rsidP="00ED6FB6">
      <w:pPr>
        <w:rPr>
          <w:rFonts w:eastAsia="Times New Roman"/>
        </w:rPr>
      </w:pPr>
      <w:r w:rsidRPr="00C0591E">
        <w:rPr>
          <w:rFonts w:eastAsia="Times New Roman"/>
        </w:rPr>
        <w:t>On the investment policy, the study recommends that the governing body of the pension fund should set forth in a written statement and actively observe an overall investment policy.</w:t>
      </w:r>
      <w:r w:rsidRPr="00C0591E">
        <w:t xml:space="preserve"> </w:t>
      </w:r>
      <w:r w:rsidRPr="00C0591E">
        <w:rPr>
          <w:rFonts w:eastAsia="Times New Roman"/>
        </w:rPr>
        <w:t>The investment policy should establish clear investment objectives for the pension fund that are consistent with the retirement income objective of the pension fund and, therefore, with the characteristics of the liabilities of the pension fund and with the acceptable degree of risk for the pension fund, the plan sponsor and the plan members and beneficiaries. The approach for achieving those objectives should</w:t>
      </w:r>
      <w:r w:rsidRPr="00C0591E">
        <w:t xml:space="preserve"> </w:t>
      </w:r>
      <w:r w:rsidRPr="00C0591E">
        <w:rPr>
          <w:rFonts w:eastAsia="Times New Roman"/>
        </w:rPr>
        <w:t>satisfy the prudent person standard taking into account the need for proper diversification and risk management, the maturity of the obligations and the liquidity needs of the pension fund, and any specific legal limitations on portfolio allocation.</w:t>
      </w:r>
      <w:r w:rsidRPr="00C0591E">
        <w:t xml:space="preserve"> </w:t>
      </w:r>
      <w:r w:rsidRPr="00C0591E">
        <w:rPr>
          <w:rFonts w:eastAsia="Times New Roman"/>
        </w:rPr>
        <w:t>The investment policy should at a minimum identify the strategic asset allocation strategy for the pension fund, the overall performance objectives for the pension fund, and the means of monitoring and, when necessary, modifying allocations and performance objectives in the light of changing liabilities and market conditions. The investment policy should also include any broad decisions regarding tactical asset allocation, security selection and trade execution.</w:t>
      </w:r>
    </w:p>
    <w:p w14:paraId="2D9F4C99" w14:textId="6C856DB7" w:rsidR="00ED6FB6" w:rsidRPr="00C0591E" w:rsidRDefault="00ED6FB6" w:rsidP="00B451F5">
      <w:pPr>
        <w:rPr>
          <w:rFonts w:eastAsia="Times New Roman"/>
        </w:rPr>
      </w:pPr>
      <w:r w:rsidRPr="00C0591E">
        <w:rPr>
          <w:rFonts w:eastAsia="Times New Roman"/>
        </w:rPr>
        <w:t>The investment policy for pension programmes in which members make investment choices should ensure that an appropriate array of investment options, including a default option, are provided for members and that members have access to the information necessary to make investment decisions. In particular, the investment policy should classify the investment options according to the investment risk that members bear.</w:t>
      </w:r>
      <w:r w:rsidR="00B451F5" w:rsidRPr="00C0591E">
        <w:t xml:space="preserve"> </w:t>
      </w:r>
      <w:r w:rsidR="00B451F5" w:rsidRPr="00C0591E">
        <w:rPr>
          <w:rFonts w:eastAsia="Times New Roman"/>
        </w:rPr>
        <w:t>There should be procedures and criteria by which the governing body or other responsible party periodically reviews the effectiveness of their investment policy and determines whether there is a need to change the policy, its implementation procedures, the decision-making structure, as well as the responsibilities linked to its design, implementation, and review.</w:t>
      </w:r>
    </w:p>
    <w:p w14:paraId="66E2DB1B" w14:textId="5C88D7AB" w:rsidR="002B4DA6" w:rsidRPr="00C0591E" w:rsidRDefault="00133D2A" w:rsidP="00133D2A">
      <w:pPr>
        <w:pStyle w:val="Heading2"/>
      </w:pPr>
      <w:bookmarkStart w:id="369" w:name="_Toc46769372"/>
      <w:bookmarkStart w:id="370" w:name="_Toc113125128"/>
      <w:r w:rsidRPr="00C0591E">
        <w:t>7.3</w:t>
      </w:r>
      <w:r w:rsidR="002B4DA6" w:rsidRPr="00C0591E">
        <w:t xml:space="preserve"> Implications of the Study</w:t>
      </w:r>
      <w:bookmarkEnd w:id="369"/>
      <w:bookmarkEnd w:id="370"/>
      <w:r w:rsidR="002B4DA6" w:rsidRPr="00C0591E">
        <w:tab/>
      </w:r>
    </w:p>
    <w:p w14:paraId="27FC91B9" w14:textId="77777777" w:rsidR="002B4DA6" w:rsidRPr="00C0591E" w:rsidRDefault="002B4DA6" w:rsidP="001E1518">
      <w:pPr>
        <w:rPr>
          <w:lang w:val="en-GB"/>
        </w:rPr>
      </w:pPr>
      <w:r w:rsidRPr="00C0591E">
        <w:rPr>
          <w:lang w:val="en-GB"/>
        </w:rPr>
        <w:t>The findings of the current study gave support to theoretical, conceptual and empirical foundation of literature</w:t>
      </w:r>
    </w:p>
    <w:p w14:paraId="1F6F23CD" w14:textId="1C247868" w:rsidR="002B4DA6" w:rsidRPr="00C0591E" w:rsidRDefault="00133D2A" w:rsidP="00133D2A">
      <w:pPr>
        <w:pStyle w:val="Heading3"/>
      </w:pPr>
      <w:r w:rsidRPr="00C0591E">
        <w:t>7.3</w:t>
      </w:r>
      <w:r w:rsidR="002B4DA6" w:rsidRPr="00C0591E">
        <w:t>.1 Implication for Theory</w:t>
      </w:r>
    </w:p>
    <w:p w14:paraId="1E3E6BD2" w14:textId="35C58F06" w:rsidR="00E15F39" w:rsidRPr="00C0591E" w:rsidRDefault="00E15F39" w:rsidP="007B19D8">
      <w:pPr>
        <w:rPr>
          <w:rFonts w:eastAsia="Times New Roman"/>
        </w:rPr>
      </w:pPr>
      <w:r w:rsidRPr="00C0591E">
        <w:rPr>
          <w:rFonts w:eastAsia="Times New Roman"/>
        </w:rPr>
        <w:t xml:space="preserve">The study found that </w:t>
      </w:r>
      <w:r w:rsidR="00173C67">
        <w:rPr>
          <w:rFonts w:eastAsia="Times New Roman"/>
        </w:rPr>
        <w:t>pillars of corporate governance</w:t>
      </w:r>
      <w:r w:rsidRPr="00C0591E">
        <w:rPr>
          <w:rFonts w:eastAsia="Times New Roman"/>
        </w:rPr>
        <w:t xml:space="preserve"> significantly influenced the performance of the pension fund managers. </w:t>
      </w:r>
      <w:r w:rsidR="007E7845" w:rsidRPr="00C0591E">
        <w:rPr>
          <w:rFonts w:eastAsia="Times New Roman"/>
        </w:rPr>
        <w:t>Thus,</w:t>
      </w:r>
      <w:r w:rsidRPr="00C0591E">
        <w:rPr>
          <w:rFonts w:eastAsia="Times New Roman"/>
        </w:rPr>
        <w:t xml:space="preserve"> this is in line with the agency theory </w:t>
      </w:r>
      <w:r w:rsidR="00616ABB" w:rsidRPr="00C0591E">
        <w:rPr>
          <w:rFonts w:eastAsia="Times New Roman"/>
        </w:rPr>
        <w:t>due to separation of ownership and control which leads to an agency problem whereby management operates the firm aligning with their own interests, not those of the shareholders</w:t>
      </w:r>
      <w:r w:rsidRPr="00C0591E">
        <w:rPr>
          <w:rFonts w:eastAsia="Times New Roman"/>
        </w:rPr>
        <w:t>. The agency theory adoption in the pension fund facilitates the pension fund conduct their activities with minimal conflict of interest.</w:t>
      </w:r>
    </w:p>
    <w:p w14:paraId="64DBC743" w14:textId="7D03C4A9" w:rsidR="002B4DA6" w:rsidRPr="00C0591E" w:rsidRDefault="00133D2A" w:rsidP="002B4DA6">
      <w:pPr>
        <w:pStyle w:val="Heading3"/>
      </w:pPr>
      <w:r w:rsidRPr="00C0591E">
        <w:t>7.3.2</w:t>
      </w:r>
      <w:r w:rsidR="002B4DA6" w:rsidRPr="00C0591E">
        <w:t xml:space="preserve"> Implication for Practice</w:t>
      </w:r>
    </w:p>
    <w:p w14:paraId="49CB08B5" w14:textId="6A03D731" w:rsidR="00616ABB" w:rsidRPr="00C0591E" w:rsidRDefault="00616ABB" w:rsidP="00616ABB">
      <w:pPr>
        <w:rPr>
          <w:rFonts w:eastAsia="Times New Roman"/>
        </w:rPr>
      </w:pPr>
      <w:r w:rsidRPr="00C0591E">
        <w:rPr>
          <w:rFonts w:eastAsia="Times New Roman"/>
        </w:rPr>
        <w:t xml:space="preserve">The study found that </w:t>
      </w:r>
      <w:r w:rsidR="00173C67">
        <w:rPr>
          <w:rFonts w:eastAsia="Times New Roman"/>
        </w:rPr>
        <w:t>pillars of corporate governance</w:t>
      </w:r>
      <w:r w:rsidRPr="00C0591E">
        <w:rPr>
          <w:rFonts w:eastAsia="Times New Roman"/>
        </w:rPr>
        <w:t xml:space="preserve"> practices significantly improve the </w:t>
      </w:r>
      <w:r w:rsidR="00E55126" w:rsidRPr="00C0591E">
        <w:rPr>
          <w:rFonts w:eastAsia="Times New Roman"/>
        </w:rPr>
        <w:t>p</w:t>
      </w:r>
      <w:r w:rsidRPr="00C0591E">
        <w:rPr>
          <w:rFonts w:eastAsia="Times New Roman"/>
        </w:rPr>
        <w:t xml:space="preserve">erformance of Pension Fund Managers in Kenya. This was empirically ascertained through hierarchical multiple regression analysis with investment polices as well as government regulations influencing the </w:t>
      </w:r>
      <w:r w:rsidR="00E15F39" w:rsidRPr="00C0591E">
        <w:rPr>
          <w:rFonts w:eastAsia="Times New Roman"/>
        </w:rPr>
        <w:t xml:space="preserve">relationship between </w:t>
      </w:r>
      <w:r w:rsidR="00173C67">
        <w:rPr>
          <w:rFonts w:eastAsia="Times New Roman"/>
        </w:rPr>
        <w:t>pillars of corporate governance</w:t>
      </w:r>
      <w:r w:rsidR="00E15F39" w:rsidRPr="00C0591E">
        <w:rPr>
          <w:rFonts w:eastAsia="Times New Roman"/>
        </w:rPr>
        <w:t>, investment policies and government reg</w:t>
      </w:r>
      <w:r w:rsidRPr="00C0591E">
        <w:rPr>
          <w:rFonts w:eastAsia="Times New Roman"/>
        </w:rPr>
        <w:t>ulations. These findings can therefore be adopted in the other financial institutions such as banks and insurance.</w:t>
      </w:r>
    </w:p>
    <w:p w14:paraId="5E783685" w14:textId="2BDA30E4" w:rsidR="002B4DA6" w:rsidRPr="00C0591E" w:rsidRDefault="00133D2A" w:rsidP="002B4DA6">
      <w:pPr>
        <w:pStyle w:val="Heading3"/>
      </w:pPr>
      <w:r w:rsidRPr="00C0591E">
        <w:t>7.3.3</w:t>
      </w:r>
      <w:r w:rsidR="002B4DA6" w:rsidRPr="00C0591E">
        <w:t xml:space="preserve"> Implication for Policy</w:t>
      </w:r>
    </w:p>
    <w:p w14:paraId="6F44506A" w14:textId="2EA94AB0" w:rsidR="002B4DA6" w:rsidRPr="00C0591E" w:rsidRDefault="00616ABB" w:rsidP="00E15F39">
      <w:r w:rsidRPr="00C0591E">
        <w:t xml:space="preserve">The findings from this study are of assistance in educating the </w:t>
      </w:r>
      <w:r w:rsidR="00E15F39" w:rsidRPr="00C0591E">
        <w:t>pension fund members</w:t>
      </w:r>
      <w:r w:rsidRPr="00C0591E">
        <w:t xml:space="preserve"> on what </w:t>
      </w:r>
      <w:r w:rsidR="00E15F39" w:rsidRPr="00C0591E">
        <w:t>the investment policies</w:t>
      </w:r>
      <w:r w:rsidRPr="00C0591E">
        <w:t xml:space="preserve"> need to </w:t>
      </w:r>
      <w:r w:rsidR="00E15F39" w:rsidRPr="00C0591E">
        <w:t>be incorporated to</w:t>
      </w:r>
      <w:r w:rsidRPr="00C0591E">
        <w:t xml:space="preserve"> ensure </w:t>
      </w:r>
      <w:r w:rsidR="00E15F39" w:rsidRPr="00C0591E">
        <w:t>the performance of the pension fund managers</w:t>
      </w:r>
      <w:r w:rsidRPr="00C0591E">
        <w:t xml:space="preserve">. </w:t>
      </w:r>
      <w:r w:rsidR="00E15F39" w:rsidRPr="00C0591E">
        <w:t>The contributors</w:t>
      </w:r>
      <w:r w:rsidRPr="00C0591E">
        <w:t xml:space="preserve"> will also have access to extra knowledge while engaged in </w:t>
      </w:r>
      <w:r w:rsidR="00E15F39" w:rsidRPr="00C0591E">
        <w:t>pension fund contribution</w:t>
      </w:r>
      <w:r w:rsidRPr="00C0591E">
        <w:t>.</w:t>
      </w:r>
    </w:p>
    <w:p w14:paraId="44D07CB5" w14:textId="5420520B" w:rsidR="002B4DA6" w:rsidRPr="00C0591E" w:rsidRDefault="00133D2A" w:rsidP="002B4DA6">
      <w:pPr>
        <w:pStyle w:val="Heading3"/>
      </w:pPr>
      <w:r w:rsidRPr="00C0591E">
        <w:t>7.3.4</w:t>
      </w:r>
      <w:r w:rsidR="002B4DA6" w:rsidRPr="00C0591E">
        <w:t xml:space="preserve"> Implication for Methodology</w:t>
      </w:r>
    </w:p>
    <w:p w14:paraId="10976948" w14:textId="1B0A7630" w:rsidR="002B4DA6" w:rsidRPr="00C0591E" w:rsidRDefault="00616ABB" w:rsidP="002B4DA6">
      <w:r w:rsidRPr="00C0591E">
        <w:t xml:space="preserve">The findings of this study pose some implications for methodology. Operationalization of the variables points the new direction of future research. For instance, the four components of corporate governance received a </w:t>
      </w:r>
      <w:r w:rsidR="007E7845" w:rsidRPr="00C0591E">
        <w:t>contemporary</w:t>
      </w:r>
      <w:r w:rsidRPr="00C0591E">
        <w:t xml:space="preserve"> perspective relevant to pension funds. This was done intentionally to achieve the broad objective of the study. Lastly, both quantitative and qualitative study on the topic can boost the knowledge and empirical literature in future.</w:t>
      </w:r>
    </w:p>
    <w:p w14:paraId="0D4D1748" w14:textId="35A9DDFD" w:rsidR="002B4DA6" w:rsidRPr="00C0591E" w:rsidRDefault="00624233" w:rsidP="002B4DA6">
      <w:pPr>
        <w:pStyle w:val="Heading2"/>
      </w:pPr>
      <w:bookmarkStart w:id="371" w:name="_Toc46769375"/>
      <w:bookmarkStart w:id="372" w:name="_Toc113125129"/>
      <w:r w:rsidRPr="00C0591E">
        <w:t>7.4</w:t>
      </w:r>
      <w:r w:rsidR="002B4DA6" w:rsidRPr="00C0591E">
        <w:t xml:space="preserve"> Suggestions for Further Research</w:t>
      </w:r>
      <w:bookmarkEnd w:id="371"/>
      <w:bookmarkEnd w:id="372"/>
    </w:p>
    <w:p w14:paraId="4D2F5A10" w14:textId="1F4BB49D" w:rsidR="00616ABB" w:rsidRPr="00C0591E" w:rsidRDefault="00616ABB" w:rsidP="00E15F39">
      <w:pPr>
        <w:rPr>
          <w:lang w:val="en-GB"/>
        </w:rPr>
      </w:pPr>
      <w:r w:rsidRPr="00C0591E">
        <w:rPr>
          <w:lang w:val="en-GB"/>
        </w:rPr>
        <w:t xml:space="preserve">The current study has attempted to identify variables which determine performance of pension fund managers by using the three variables under the study. The future studies should use different variables and different approaches. Secondly, the same study can use the interaction term on different variable and establish whether the relationship </w:t>
      </w:r>
      <w:r w:rsidR="00366F53" w:rsidRPr="00C0591E">
        <w:rPr>
          <w:lang w:val="en-GB"/>
        </w:rPr>
        <w:t>would be</w:t>
      </w:r>
      <w:r w:rsidRPr="00C0591E">
        <w:rPr>
          <w:lang w:val="en-GB"/>
        </w:rPr>
        <w:t xml:space="preserve"> the same as what was established in the current study. Additionally, new knowledge should be directed in the current issues like the technology integration and Blue economy as it was the case in Japan and other current issues. </w:t>
      </w:r>
    </w:p>
    <w:p w14:paraId="365CBDFB" w14:textId="34F498B1" w:rsidR="009213B7" w:rsidRPr="00C0591E" w:rsidRDefault="009213B7" w:rsidP="00E15F39">
      <w:pPr>
        <w:rPr>
          <w:lang w:val="en-GB"/>
        </w:rPr>
      </w:pPr>
    </w:p>
    <w:p w14:paraId="269299DD" w14:textId="0987B7EF" w:rsidR="009213B7" w:rsidRPr="00C0591E" w:rsidRDefault="009213B7" w:rsidP="00E15F39">
      <w:pPr>
        <w:rPr>
          <w:lang w:val="en-GB"/>
        </w:rPr>
      </w:pPr>
    </w:p>
    <w:p w14:paraId="36A7F3FD" w14:textId="19104636" w:rsidR="009213B7" w:rsidRPr="00C0591E" w:rsidRDefault="009213B7" w:rsidP="00E15F39">
      <w:pPr>
        <w:rPr>
          <w:lang w:val="en-GB"/>
        </w:rPr>
      </w:pPr>
    </w:p>
    <w:p w14:paraId="20624D7A" w14:textId="5C66A903" w:rsidR="009213B7" w:rsidRPr="00C0591E" w:rsidRDefault="009213B7" w:rsidP="00E15F39">
      <w:pPr>
        <w:rPr>
          <w:lang w:val="en-GB"/>
        </w:rPr>
      </w:pPr>
    </w:p>
    <w:p w14:paraId="696ECC3A" w14:textId="2BB7A025" w:rsidR="009213B7" w:rsidRPr="00C0591E" w:rsidRDefault="009213B7" w:rsidP="00E15F39">
      <w:pPr>
        <w:rPr>
          <w:lang w:val="en-GB"/>
        </w:rPr>
      </w:pPr>
    </w:p>
    <w:p w14:paraId="3E876583" w14:textId="2CA15C1D" w:rsidR="009213B7" w:rsidRPr="00C0591E" w:rsidRDefault="009213B7" w:rsidP="00E15F39">
      <w:pPr>
        <w:rPr>
          <w:lang w:val="en-GB"/>
        </w:rPr>
      </w:pPr>
    </w:p>
    <w:p w14:paraId="4557A0D9" w14:textId="7CF6D2C8" w:rsidR="009213B7" w:rsidRPr="00C0591E" w:rsidRDefault="009213B7" w:rsidP="00E15F39">
      <w:pPr>
        <w:rPr>
          <w:lang w:val="en-GB"/>
        </w:rPr>
      </w:pPr>
    </w:p>
    <w:p w14:paraId="24013E11" w14:textId="12D61288" w:rsidR="009213B7" w:rsidRPr="00C0591E" w:rsidRDefault="009213B7" w:rsidP="00E15F39">
      <w:pPr>
        <w:rPr>
          <w:lang w:val="en-GB"/>
        </w:rPr>
      </w:pPr>
    </w:p>
    <w:p w14:paraId="3991AAA5" w14:textId="6D2D8585" w:rsidR="009213B7" w:rsidRPr="00C0591E" w:rsidRDefault="009213B7" w:rsidP="00E15F39">
      <w:pPr>
        <w:rPr>
          <w:lang w:val="en-GB"/>
        </w:rPr>
      </w:pPr>
    </w:p>
    <w:p w14:paraId="06681F27" w14:textId="3407FF41" w:rsidR="009213B7" w:rsidRPr="00C0591E" w:rsidRDefault="009213B7" w:rsidP="00E15F39">
      <w:pPr>
        <w:rPr>
          <w:lang w:val="en-GB"/>
        </w:rPr>
      </w:pPr>
    </w:p>
    <w:p w14:paraId="31D82613" w14:textId="77777777" w:rsidR="009213B7" w:rsidRPr="00C0591E" w:rsidRDefault="009213B7" w:rsidP="00E15F39">
      <w:pPr>
        <w:rPr>
          <w:lang w:val="en-GB"/>
        </w:rPr>
      </w:pPr>
    </w:p>
    <w:p w14:paraId="28358665" w14:textId="6008F982" w:rsidR="00267BE6" w:rsidRPr="00C0591E" w:rsidRDefault="00267BE6" w:rsidP="00F07CC4">
      <w:pPr>
        <w:pStyle w:val="Heading1"/>
      </w:pPr>
      <w:bookmarkStart w:id="373" w:name="_Toc113125130"/>
      <w:r w:rsidRPr="00C0591E">
        <w:t>REFERENCES</w:t>
      </w:r>
      <w:bookmarkEnd w:id="373"/>
      <w:r w:rsidRPr="00C0591E">
        <w:t xml:space="preserve"> </w:t>
      </w:r>
    </w:p>
    <w:p w14:paraId="56772457" w14:textId="77777777" w:rsidR="00E13F0B" w:rsidRPr="00C0591E" w:rsidRDefault="00E13F0B" w:rsidP="00E13F0B">
      <w:pPr>
        <w:ind w:left="720" w:hanging="720"/>
        <w:rPr>
          <w:rFonts w:cs="Times New Roman"/>
          <w:szCs w:val="24"/>
        </w:rPr>
      </w:pPr>
      <w:r w:rsidRPr="00C0591E">
        <w:rPr>
          <w:rFonts w:cs="Times New Roman"/>
          <w:szCs w:val="24"/>
        </w:rPr>
        <w:t xml:space="preserve">Abdullah, H., &amp; Valentine, B. (2019). Fundamental and ethics theories of corporate governance. </w:t>
      </w:r>
      <w:r w:rsidRPr="00C0591E">
        <w:rPr>
          <w:rFonts w:cs="Times New Roman"/>
          <w:i/>
          <w:iCs/>
          <w:szCs w:val="24"/>
        </w:rPr>
        <w:t>Middle Eastern Finance and Economics</w:t>
      </w:r>
      <w:r w:rsidRPr="00C0591E">
        <w:rPr>
          <w:rFonts w:cs="Times New Roman"/>
          <w:szCs w:val="24"/>
        </w:rPr>
        <w:t xml:space="preserve">, </w:t>
      </w:r>
      <w:r w:rsidRPr="00C0591E">
        <w:rPr>
          <w:rFonts w:cs="Times New Roman"/>
          <w:i/>
          <w:iCs/>
          <w:szCs w:val="24"/>
        </w:rPr>
        <w:t>4</w:t>
      </w:r>
      <w:r w:rsidRPr="00C0591E">
        <w:rPr>
          <w:rFonts w:cs="Times New Roman"/>
          <w:szCs w:val="24"/>
        </w:rPr>
        <w:t>(4), 88-96.</w:t>
      </w:r>
    </w:p>
    <w:p w14:paraId="33BA115F" w14:textId="77777777" w:rsidR="00E13F0B" w:rsidRPr="00C0591E" w:rsidRDefault="00E13F0B" w:rsidP="00E13F0B">
      <w:pPr>
        <w:ind w:left="720" w:hanging="720"/>
        <w:rPr>
          <w:rFonts w:cs="Times New Roman"/>
          <w:szCs w:val="24"/>
        </w:rPr>
      </w:pPr>
      <w:r w:rsidRPr="00C0591E">
        <w:rPr>
          <w:rFonts w:cs="Times New Roman"/>
          <w:szCs w:val="24"/>
        </w:rPr>
        <w:t>Abel, A. B., &amp; Eberly, J. C. (1994). A unified model of investment under.</w:t>
      </w:r>
    </w:p>
    <w:p w14:paraId="04393558" w14:textId="77777777" w:rsidR="00E13F0B" w:rsidRPr="00C0591E" w:rsidRDefault="00E13F0B" w:rsidP="00E13F0B">
      <w:pPr>
        <w:autoSpaceDE w:val="0"/>
        <w:autoSpaceDN w:val="0"/>
        <w:adjustRightInd w:val="0"/>
        <w:ind w:left="720" w:hanging="720"/>
        <w:rPr>
          <w:rFonts w:eastAsiaTheme="minorHAnsi" w:cs="Times New Roman"/>
          <w:color w:val="000000"/>
          <w:szCs w:val="24"/>
        </w:rPr>
      </w:pPr>
      <w:r w:rsidRPr="00C0591E">
        <w:rPr>
          <w:rFonts w:eastAsiaTheme="minorHAnsi" w:cs="Times New Roman"/>
          <w:color w:val="000000"/>
          <w:szCs w:val="24"/>
        </w:rPr>
        <w:t xml:space="preserve">Aczel, A. &amp; Sounderpandian, J. (2009). </w:t>
      </w:r>
      <w:r w:rsidRPr="00C0591E">
        <w:rPr>
          <w:rFonts w:eastAsiaTheme="minorHAnsi" w:cs="Times New Roman"/>
          <w:i/>
          <w:iCs/>
          <w:color w:val="000000"/>
          <w:szCs w:val="24"/>
        </w:rPr>
        <w:t xml:space="preserve">Complete Business Statistics.  </w:t>
      </w:r>
      <w:r w:rsidRPr="00C0591E">
        <w:rPr>
          <w:rFonts w:eastAsiaTheme="minorHAnsi" w:cs="Times New Roman"/>
          <w:color w:val="000000"/>
          <w:szCs w:val="24"/>
        </w:rPr>
        <w:t>McGraw Hill.</w:t>
      </w:r>
    </w:p>
    <w:p w14:paraId="21C01D8E" w14:textId="77777777" w:rsidR="00E13F0B" w:rsidRPr="00C0591E" w:rsidRDefault="00E13F0B" w:rsidP="00E13F0B">
      <w:pPr>
        <w:ind w:left="720" w:hanging="720"/>
        <w:rPr>
          <w:rFonts w:cs="Times New Roman"/>
          <w:szCs w:val="24"/>
        </w:rPr>
      </w:pPr>
      <w:r w:rsidRPr="00C0591E">
        <w:rPr>
          <w:rFonts w:cs="Times New Roman"/>
          <w:szCs w:val="24"/>
        </w:rPr>
        <w:t xml:space="preserve">Adebayo, Mudashiru. Brahim, A.O. Bakare. Yusuf, Babatunde and Omah, Ishmael. (2014). Good Corporate Governance and Organizational Performance: An Empirical Analysis. </w:t>
      </w:r>
      <w:r w:rsidRPr="00C0591E">
        <w:rPr>
          <w:rFonts w:cs="Times New Roman"/>
          <w:i/>
          <w:szCs w:val="24"/>
        </w:rPr>
        <w:t>International Journal of Humanities and Social Science</w:t>
      </w:r>
      <w:r w:rsidRPr="00C0591E">
        <w:rPr>
          <w:rFonts w:cs="Times New Roman"/>
          <w:szCs w:val="24"/>
        </w:rPr>
        <w:t>. 4, (7(1)).</w:t>
      </w:r>
    </w:p>
    <w:p w14:paraId="623A86FB" w14:textId="77777777" w:rsidR="00E13F0B" w:rsidRPr="00C0591E" w:rsidRDefault="00E13F0B" w:rsidP="00E13F0B">
      <w:pPr>
        <w:ind w:left="720" w:hanging="720"/>
        <w:rPr>
          <w:rFonts w:cs="Times New Roman"/>
          <w:szCs w:val="24"/>
        </w:rPr>
      </w:pPr>
      <w:r w:rsidRPr="00C0591E">
        <w:rPr>
          <w:rFonts w:cs="Times New Roman"/>
          <w:color w:val="222222"/>
          <w:szCs w:val="24"/>
          <w:shd w:val="clear" w:color="auto" w:fill="FFFFFF"/>
        </w:rPr>
        <w:t>Adegbite, E. (2015). Good corporate governance in Nigeria: Antecedents, propositions and peculiarities. </w:t>
      </w:r>
      <w:r w:rsidRPr="00C0591E">
        <w:rPr>
          <w:rFonts w:cs="Times New Roman"/>
          <w:i/>
          <w:iCs/>
          <w:color w:val="222222"/>
          <w:szCs w:val="24"/>
          <w:shd w:val="clear" w:color="auto" w:fill="FFFFFF"/>
        </w:rPr>
        <w:t>International Business Review</w:t>
      </w:r>
      <w:r w:rsidRPr="00C0591E">
        <w:rPr>
          <w:rFonts w:cs="Times New Roman"/>
          <w:color w:val="222222"/>
          <w:szCs w:val="24"/>
          <w:shd w:val="clear" w:color="auto" w:fill="FFFFFF"/>
        </w:rPr>
        <w:t>, </w:t>
      </w:r>
      <w:r w:rsidRPr="00C0591E">
        <w:rPr>
          <w:rFonts w:cs="Times New Roman"/>
          <w:i/>
          <w:iCs/>
          <w:color w:val="222222"/>
          <w:szCs w:val="24"/>
          <w:shd w:val="clear" w:color="auto" w:fill="FFFFFF"/>
        </w:rPr>
        <w:t>24</w:t>
      </w:r>
      <w:r w:rsidRPr="00C0591E">
        <w:rPr>
          <w:rFonts w:cs="Times New Roman"/>
          <w:color w:val="222222"/>
          <w:szCs w:val="24"/>
          <w:shd w:val="clear" w:color="auto" w:fill="FFFFFF"/>
        </w:rPr>
        <w:t>(2), 319-330.</w:t>
      </w:r>
    </w:p>
    <w:p w14:paraId="7A594670" w14:textId="43A18AB7" w:rsidR="00E13F0B" w:rsidRPr="00C0591E" w:rsidRDefault="00E13F0B" w:rsidP="00E13F0B">
      <w:pPr>
        <w:ind w:left="720" w:hanging="720"/>
        <w:rPr>
          <w:rFonts w:cs="Times New Roman"/>
          <w:color w:val="222222"/>
          <w:szCs w:val="24"/>
          <w:shd w:val="clear" w:color="auto" w:fill="FFFFFF"/>
        </w:rPr>
      </w:pPr>
      <w:r w:rsidRPr="00C0591E">
        <w:rPr>
          <w:rFonts w:cs="Times New Roman"/>
          <w:color w:val="222222"/>
          <w:szCs w:val="24"/>
          <w:shd w:val="clear" w:color="auto" w:fill="FFFFFF"/>
        </w:rPr>
        <w:t>Akowuah, G. (2019). </w:t>
      </w:r>
      <w:r w:rsidRPr="00C0591E">
        <w:rPr>
          <w:rFonts w:cs="Times New Roman"/>
          <w:i/>
          <w:iCs/>
          <w:color w:val="222222"/>
          <w:szCs w:val="24"/>
          <w:shd w:val="clear" w:color="auto" w:fill="FFFFFF"/>
        </w:rPr>
        <w:t>Interest Rates and the demand for Credit in Ghana</w:t>
      </w:r>
      <w:r w:rsidR="00854442">
        <w:rPr>
          <w:rFonts w:cs="Times New Roman"/>
          <w:color w:val="222222"/>
          <w:szCs w:val="24"/>
          <w:shd w:val="clear" w:color="auto" w:fill="FFFFFF"/>
        </w:rPr>
        <w:t>. Doctoral dissertation</w:t>
      </w:r>
      <w:r w:rsidRPr="00C0591E">
        <w:rPr>
          <w:rFonts w:cs="Times New Roman"/>
          <w:color w:val="222222"/>
          <w:szCs w:val="24"/>
          <w:shd w:val="clear" w:color="auto" w:fill="FFFFFF"/>
        </w:rPr>
        <w:t>.</w:t>
      </w:r>
    </w:p>
    <w:p w14:paraId="4DF02F2C" w14:textId="77777777" w:rsidR="00E13F0B" w:rsidRPr="00C0591E" w:rsidRDefault="00E13F0B" w:rsidP="00E13F0B">
      <w:pPr>
        <w:autoSpaceDE w:val="0"/>
        <w:autoSpaceDN w:val="0"/>
        <w:adjustRightInd w:val="0"/>
        <w:ind w:left="720" w:hanging="720"/>
        <w:rPr>
          <w:rFonts w:cs="Times New Roman"/>
          <w:szCs w:val="24"/>
        </w:rPr>
      </w:pPr>
      <w:r w:rsidRPr="00C0591E">
        <w:rPr>
          <w:rFonts w:cs="Times New Roman"/>
          <w:szCs w:val="24"/>
        </w:rPr>
        <w:t xml:space="preserve">Al-Baidhani, A. M. (2017). Effects of Corporate Governance on Bank Performance. </w:t>
      </w:r>
      <w:r w:rsidRPr="00C0591E">
        <w:rPr>
          <w:rFonts w:cs="Times New Roman"/>
          <w:i/>
          <w:szCs w:val="24"/>
        </w:rPr>
        <w:t>In Business Systems Laboratory Symposium – Third International Symposium</w:t>
      </w:r>
      <w:r w:rsidRPr="00C0591E">
        <w:rPr>
          <w:rFonts w:cs="Times New Roman"/>
          <w:szCs w:val="24"/>
        </w:rPr>
        <w:t>. University of Putra, Malaysia, 1-31.</w:t>
      </w:r>
    </w:p>
    <w:p w14:paraId="124E87D3" w14:textId="77777777" w:rsidR="00E13F0B" w:rsidRPr="00C0591E" w:rsidRDefault="00E13F0B" w:rsidP="00E13F0B">
      <w:pPr>
        <w:ind w:left="720" w:hanging="720"/>
        <w:rPr>
          <w:rFonts w:cs="Times New Roman"/>
          <w:szCs w:val="24"/>
        </w:rPr>
      </w:pPr>
      <w:r w:rsidRPr="00C0591E">
        <w:rPr>
          <w:rFonts w:cs="Times New Roman"/>
          <w:szCs w:val="24"/>
        </w:rPr>
        <w:t xml:space="preserve">Ali, A. A. R. (2014). Corporate governance: The role and effectiveness of the audit committee in Bahrain. </w:t>
      </w:r>
      <w:r w:rsidRPr="00C0591E">
        <w:rPr>
          <w:rFonts w:cs="Times New Roman"/>
          <w:i/>
          <w:szCs w:val="24"/>
        </w:rPr>
        <w:t>International Journal of Business and Management</w:t>
      </w:r>
      <w:r w:rsidRPr="00C0591E">
        <w:rPr>
          <w:rFonts w:cs="Times New Roman"/>
          <w:szCs w:val="24"/>
        </w:rPr>
        <w:t xml:space="preserve">, 9(3), 131-137. </w:t>
      </w:r>
    </w:p>
    <w:p w14:paraId="69BD5F26" w14:textId="77777777" w:rsidR="00E13F0B" w:rsidRPr="00C0591E" w:rsidRDefault="00E13F0B" w:rsidP="00E13F0B">
      <w:pPr>
        <w:ind w:left="720" w:hanging="720"/>
        <w:rPr>
          <w:rFonts w:cs="Times New Roman"/>
          <w:szCs w:val="24"/>
        </w:rPr>
      </w:pPr>
      <w:r w:rsidRPr="00C0591E">
        <w:rPr>
          <w:rFonts w:cs="Times New Roman"/>
          <w:szCs w:val="24"/>
        </w:rPr>
        <w:t xml:space="preserve">Alimehmeti, G., &amp; Paletta, A. (2018). Corporate governance indexes: The confounding effects of using different measures. </w:t>
      </w:r>
      <w:r w:rsidRPr="00C0591E">
        <w:rPr>
          <w:rFonts w:cs="Times New Roman"/>
          <w:i/>
          <w:szCs w:val="24"/>
        </w:rPr>
        <w:t>Journal of Applied Economics &amp; Business Research</w:t>
      </w:r>
      <w:r w:rsidRPr="00C0591E">
        <w:rPr>
          <w:rFonts w:cs="Times New Roman"/>
          <w:szCs w:val="24"/>
        </w:rPr>
        <w:t>, 4, 64-79.</w:t>
      </w:r>
    </w:p>
    <w:p w14:paraId="20F8292C" w14:textId="77777777" w:rsidR="00E13F0B" w:rsidRPr="00C0591E" w:rsidRDefault="00E13F0B" w:rsidP="00E13F0B">
      <w:pPr>
        <w:autoSpaceDE w:val="0"/>
        <w:autoSpaceDN w:val="0"/>
        <w:adjustRightInd w:val="0"/>
        <w:ind w:left="720" w:hanging="720"/>
        <w:rPr>
          <w:rFonts w:cs="Times New Roman"/>
          <w:szCs w:val="24"/>
        </w:rPr>
      </w:pPr>
      <w:r w:rsidRPr="00C0591E">
        <w:rPr>
          <w:rFonts w:cs="Times New Roman"/>
          <w:szCs w:val="24"/>
        </w:rPr>
        <w:t xml:space="preserve">Aliyu, A., Bello, M., Kasim, R., &amp; Martin, D. (2014). Positivist and non-positivist paradigm in social science research: Conflicting paradigms or perfect partners? </w:t>
      </w:r>
      <w:r w:rsidRPr="00C0591E">
        <w:rPr>
          <w:rFonts w:cs="Times New Roman"/>
          <w:i/>
          <w:szCs w:val="24"/>
        </w:rPr>
        <w:t>Journal of Management and Sustainability</w:t>
      </w:r>
      <w:r w:rsidRPr="00C0591E">
        <w:rPr>
          <w:rFonts w:cs="Times New Roman"/>
          <w:szCs w:val="24"/>
        </w:rPr>
        <w:t>, 4(3), 79-95.</w:t>
      </w:r>
    </w:p>
    <w:p w14:paraId="6B5033D4" w14:textId="77777777" w:rsidR="00E13F0B" w:rsidRPr="00C0591E" w:rsidRDefault="00E13F0B" w:rsidP="00E13F0B">
      <w:pPr>
        <w:ind w:left="720" w:hanging="720"/>
        <w:rPr>
          <w:rFonts w:cs="Times New Roman"/>
          <w:szCs w:val="24"/>
        </w:rPr>
      </w:pPr>
      <w:r w:rsidRPr="00C0591E">
        <w:rPr>
          <w:rFonts w:cs="Times New Roman"/>
          <w:szCs w:val="24"/>
        </w:rPr>
        <w:t xml:space="preserve">Allen, F. (2015). Corporate governance in emerging economies. </w:t>
      </w:r>
      <w:r w:rsidRPr="00C0591E">
        <w:rPr>
          <w:rFonts w:cs="Times New Roman"/>
          <w:i/>
          <w:iCs/>
          <w:szCs w:val="24"/>
        </w:rPr>
        <w:t>Oxford Review of Economic Policy</w:t>
      </w:r>
      <w:r w:rsidRPr="00C0591E">
        <w:rPr>
          <w:rFonts w:cs="Times New Roman"/>
          <w:szCs w:val="24"/>
        </w:rPr>
        <w:t xml:space="preserve">, </w:t>
      </w:r>
      <w:r w:rsidRPr="00C0591E">
        <w:rPr>
          <w:rFonts w:cs="Times New Roman"/>
          <w:i/>
          <w:iCs/>
          <w:szCs w:val="24"/>
        </w:rPr>
        <w:t>21</w:t>
      </w:r>
      <w:r w:rsidRPr="00C0591E">
        <w:rPr>
          <w:rFonts w:cs="Times New Roman"/>
          <w:szCs w:val="24"/>
        </w:rPr>
        <w:t>(2), 164-177.</w:t>
      </w:r>
    </w:p>
    <w:p w14:paraId="7EE14AB7" w14:textId="77777777" w:rsidR="00E13F0B" w:rsidRPr="00C0591E" w:rsidRDefault="00E13F0B" w:rsidP="00E13F0B">
      <w:pPr>
        <w:ind w:left="720" w:hanging="720"/>
        <w:rPr>
          <w:rFonts w:cs="Times New Roman"/>
          <w:szCs w:val="24"/>
        </w:rPr>
      </w:pPr>
      <w:r w:rsidRPr="00C0591E">
        <w:rPr>
          <w:rFonts w:cs="Times New Roman"/>
          <w:szCs w:val="24"/>
        </w:rPr>
        <w:t xml:space="preserve">Al-Manaseer, M. F. A., Al-Hindawi, R. M., Al-Dahiyat, M. A., &amp; Sartawi, I. I. (2019). The impact of corporate governance on the performance of Jordanian banks. </w:t>
      </w:r>
      <w:r w:rsidRPr="00C0591E">
        <w:rPr>
          <w:rFonts w:cs="Times New Roman"/>
          <w:i/>
          <w:szCs w:val="24"/>
        </w:rPr>
        <w:t>European Journal of Scientific Research</w:t>
      </w:r>
      <w:r w:rsidRPr="00C0591E">
        <w:rPr>
          <w:rFonts w:cs="Times New Roman"/>
          <w:szCs w:val="24"/>
        </w:rPr>
        <w:t>, 67(3), 349-359.</w:t>
      </w:r>
    </w:p>
    <w:p w14:paraId="23FC54AE" w14:textId="77777777" w:rsidR="00E13F0B" w:rsidRPr="00C0591E" w:rsidRDefault="00E13F0B" w:rsidP="00E13F0B">
      <w:pPr>
        <w:ind w:left="720" w:hanging="720"/>
        <w:rPr>
          <w:rFonts w:cs="Times New Roman"/>
          <w:szCs w:val="24"/>
        </w:rPr>
      </w:pPr>
      <w:r w:rsidRPr="00C0591E">
        <w:rPr>
          <w:rFonts w:cs="Times New Roman"/>
          <w:szCs w:val="24"/>
        </w:rPr>
        <w:t xml:space="preserve">Almutairi, A. F., Gardner, G. E., &amp; McCarthy, A. (2014). Practical guidance for the use of pattern-matching technique in case-study research: A case presentation. </w:t>
      </w:r>
      <w:r w:rsidRPr="00C0591E">
        <w:rPr>
          <w:rFonts w:cs="Times New Roman"/>
          <w:i/>
          <w:szCs w:val="24"/>
        </w:rPr>
        <w:t>Nursing &amp; Health Sciences</w:t>
      </w:r>
      <w:r w:rsidRPr="00C0591E">
        <w:rPr>
          <w:rFonts w:cs="Times New Roman"/>
          <w:szCs w:val="24"/>
        </w:rPr>
        <w:t>, 16, 239-244.</w:t>
      </w:r>
    </w:p>
    <w:p w14:paraId="224956FA" w14:textId="77777777" w:rsidR="00E13F0B" w:rsidRPr="00C0591E" w:rsidRDefault="00E13F0B" w:rsidP="00E13F0B">
      <w:pPr>
        <w:ind w:left="720" w:hanging="720"/>
        <w:rPr>
          <w:rFonts w:cs="Times New Roman"/>
          <w:color w:val="222222"/>
          <w:szCs w:val="24"/>
          <w:shd w:val="clear" w:color="auto" w:fill="FFFFFF"/>
        </w:rPr>
      </w:pPr>
      <w:r w:rsidRPr="00C0591E">
        <w:rPr>
          <w:rFonts w:cs="Times New Roman"/>
          <w:szCs w:val="24"/>
        </w:rPr>
        <w:t xml:space="preserve">Al-Sager, R., &amp; Samontaray, D. P. (2018). Gender wise Saudi Investors’ Awareness of Corporate Governance Mechanism and its Importance in their Investment Decision Making – An Empirical Study. </w:t>
      </w:r>
      <w:r w:rsidRPr="00C0591E">
        <w:rPr>
          <w:rFonts w:cs="Times New Roman"/>
          <w:i/>
          <w:szCs w:val="24"/>
        </w:rPr>
        <w:t>International Business Research</w:t>
      </w:r>
      <w:r w:rsidRPr="00C0591E">
        <w:rPr>
          <w:rFonts w:cs="Times New Roman"/>
          <w:szCs w:val="24"/>
        </w:rPr>
        <w:t>, 11(3), 118-132.</w:t>
      </w:r>
    </w:p>
    <w:p w14:paraId="729A7E66" w14:textId="77777777" w:rsidR="00E13F0B" w:rsidRPr="00C0591E" w:rsidRDefault="00E13F0B" w:rsidP="00E13F0B">
      <w:pPr>
        <w:ind w:left="720" w:hanging="720"/>
        <w:rPr>
          <w:rFonts w:cs="Times New Roman"/>
          <w:szCs w:val="24"/>
        </w:rPr>
      </w:pPr>
      <w:r w:rsidRPr="00C0591E">
        <w:rPr>
          <w:rFonts w:cs="Times New Roman"/>
          <w:szCs w:val="24"/>
        </w:rPr>
        <w:t xml:space="preserve">Al-Saidi, M., &amp; Al-Shammari, B. (2015). Ownership concentration, ownership composition and the performance of the Kuwaiti listed non-financial firms. </w:t>
      </w:r>
      <w:r w:rsidRPr="00C0591E">
        <w:rPr>
          <w:rFonts w:cs="Times New Roman"/>
          <w:i/>
          <w:iCs/>
          <w:szCs w:val="24"/>
        </w:rPr>
        <w:t>International Journal of Commerce and Management</w:t>
      </w:r>
      <w:r w:rsidRPr="00C0591E">
        <w:rPr>
          <w:rFonts w:cs="Times New Roman"/>
          <w:szCs w:val="24"/>
        </w:rPr>
        <w:t>.</w:t>
      </w:r>
    </w:p>
    <w:p w14:paraId="2BEFF722" w14:textId="77777777" w:rsidR="00E13F0B" w:rsidRPr="00C0591E" w:rsidRDefault="00E13F0B" w:rsidP="00E13F0B">
      <w:pPr>
        <w:ind w:left="720" w:hanging="720"/>
        <w:rPr>
          <w:rFonts w:cs="Times New Roman"/>
          <w:szCs w:val="24"/>
        </w:rPr>
      </w:pPr>
      <w:r w:rsidRPr="00C0591E">
        <w:rPr>
          <w:rFonts w:cs="Times New Roman"/>
          <w:szCs w:val="24"/>
        </w:rPr>
        <w:t xml:space="preserve">Alviyani, K., Surya, R. A. S., &amp; Rofika, R. (2016). </w:t>
      </w:r>
      <w:r w:rsidRPr="00C0591E">
        <w:rPr>
          <w:rFonts w:cs="Times New Roman"/>
          <w:i/>
          <w:iCs/>
          <w:szCs w:val="24"/>
        </w:rPr>
        <w:t>Pengaruh Corporate Governance, Karakter Eksekutif, Ukuran Perusahaan, Dan Leverage Terhadap Penghindaran Pajak (Tax Avoidance)(Studi Pada Perusahaan Pertanian Dan Pertambangan Yang Terdaftar Di BEI Tahun 2011-2014)</w:t>
      </w:r>
      <w:r w:rsidRPr="00C0591E">
        <w:rPr>
          <w:rFonts w:cs="Times New Roman"/>
          <w:szCs w:val="24"/>
        </w:rPr>
        <w:t xml:space="preserve"> (Doctoral dissertation, Riau University).</w:t>
      </w:r>
    </w:p>
    <w:p w14:paraId="2FE8925E" w14:textId="77777777" w:rsidR="00E13F0B" w:rsidRPr="00C0591E" w:rsidRDefault="00E13F0B" w:rsidP="00E13F0B">
      <w:pPr>
        <w:ind w:left="720" w:hanging="720"/>
        <w:rPr>
          <w:rFonts w:cs="Times New Roman"/>
          <w:szCs w:val="24"/>
        </w:rPr>
      </w:pPr>
      <w:r w:rsidRPr="00C0591E">
        <w:rPr>
          <w:rFonts w:cs="Times New Roman"/>
          <w:szCs w:val="24"/>
        </w:rPr>
        <w:t xml:space="preserve">Amba, S. M. (2014). Corporate governance and firms’ financial performance. </w:t>
      </w:r>
      <w:r w:rsidRPr="00C0591E">
        <w:rPr>
          <w:rFonts w:cs="Times New Roman"/>
          <w:i/>
          <w:iCs/>
          <w:szCs w:val="24"/>
        </w:rPr>
        <w:t>Journal of Academic and Business Ethics</w:t>
      </w:r>
      <w:r w:rsidRPr="00C0591E">
        <w:rPr>
          <w:rFonts w:cs="Times New Roman"/>
          <w:szCs w:val="24"/>
        </w:rPr>
        <w:t xml:space="preserve">, </w:t>
      </w:r>
      <w:r w:rsidRPr="00C0591E">
        <w:rPr>
          <w:rFonts w:cs="Times New Roman"/>
          <w:i/>
          <w:iCs/>
          <w:szCs w:val="24"/>
        </w:rPr>
        <w:t>8</w:t>
      </w:r>
      <w:r w:rsidRPr="00C0591E">
        <w:rPr>
          <w:rFonts w:cs="Times New Roman"/>
          <w:szCs w:val="24"/>
        </w:rPr>
        <w:t>(1), 1-11.</w:t>
      </w:r>
    </w:p>
    <w:p w14:paraId="0843F0C6" w14:textId="77777777" w:rsidR="00E13F0B" w:rsidRPr="00C0591E" w:rsidRDefault="00E13F0B" w:rsidP="00E13F0B">
      <w:pPr>
        <w:ind w:left="720" w:hanging="720"/>
        <w:rPr>
          <w:rFonts w:cs="Times New Roman"/>
          <w:color w:val="222222"/>
          <w:szCs w:val="24"/>
          <w:shd w:val="clear" w:color="auto" w:fill="FFFFFF"/>
        </w:rPr>
      </w:pPr>
      <w:r w:rsidRPr="00C0591E">
        <w:rPr>
          <w:rFonts w:cs="Times New Roman"/>
          <w:color w:val="222222"/>
          <w:szCs w:val="24"/>
          <w:shd w:val="clear" w:color="auto" w:fill="FFFFFF"/>
        </w:rPr>
        <w:t>Andonov, A. (2014). </w:t>
      </w:r>
      <w:r w:rsidRPr="00C0591E">
        <w:rPr>
          <w:rFonts w:cs="Times New Roman"/>
          <w:i/>
          <w:iCs/>
          <w:color w:val="222222"/>
          <w:szCs w:val="24"/>
          <w:shd w:val="clear" w:color="auto" w:fill="FFFFFF"/>
        </w:rPr>
        <w:t>Pension fund asset allocation and performance</w:t>
      </w:r>
      <w:r w:rsidRPr="00C0591E">
        <w:rPr>
          <w:rFonts w:cs="Times New Roman"/>
          <w:color w:val="222222"/>
          <w:szCs w:val="24"/>
          <w:shd w:val="clear" w:color="auto" w:fill="FFFFFF"/>
        </w:rPr>
        <w:t>. Datawyse/Universitaire Pers Maastricht.</w:t>
      </w:r>
    </w:p>
    <w:p w14:paraId="3178A07E" w14:textId="77777777" w:rsidR="00E13F0B" w:rsidRPr="00C0591E" w:rsidRDefault="00E13F0B" w:rsidP="00E13F0B">
      <w:pPr>
        <w:ind w:left="720" w:hanging="720"/>
        <w:rPr>
          <w:rFonts w:cs="Times New Roman"/>
          <w:szCs w:val="24"/>
        </w:rPr>
      </w:pPr>
      <w:r w:rsidRPr="00C0591E">
        <w:rPr>
          <w:rFonts w:cs="Times New Roman"/>
          <w:szCs w:val="24"/>
        </w:rPr>
        <w:t xml:space="preserve">Apadore, K., &amp; Zainol, S. S. B. (2014). Determinants of corporate governance and corporate performance among consumer product industry in Malaysia: A theoretical model. </w:t>
      </w:r>
      <w:r w:rsidRPr="00C0591E">
        <w:rPr>
          <w:rFonts w:cs="Times New Roman"/>
          <w:i/>
          <w:iCs/>
          <w:szCs w:val="24"/>
        </w:rPr>
        <w:t>International Journal of Academic Research in Accounting, Finance and Management Sciences</w:t>
      </w:r>
      <w:r w:rsidRPr="00C0591E">
        <w:rPr>
          <w:rFonts w:cs="Times New Roman"/>
          <w:szCs w:val="24"/>
        </w:rPr>
        <w:t xml:space="preserve">, </w:t>
      </w:r>
      <w:r w:rsidRPr="00C0591E">
        <w:rPr>
          <w:rFonts w:cs="Times New Roman"/>
          <w:i/>
          <w:iCs/>
          <w:szCs w:val="24"/>
        </w:rPr>
        <w:t>4</w:t>
      </w:r>
      <w:r w:rsidRPr="00C0591E">
        <w:rPr>
          <w:rFonts w:cs="Times New Roman"/>
          <w:szCs w:val="24"/>
        </w:rPr>
        <w:t>(2), 159-165.</w:t>
      </w:r>
    </w:p>
    <w:p w14:paraId="7BB1BCF7" w14:textId="77777777" w:rsidR="00E13F0B" w:rsidRPr="00C0591E" w:rsidRDefault="00E13F0B" w:rsidP="00E13F0B">
      <w:pPr>
        <w:ind w:left="720" w:hanging="720"/>
        <w:rPr>
          <w:rFonts w:cs="Times New Roman"/>
          <w:szCs w:val="24"/>
        </w:rPr>
      </w:pPr>
      <w:r w:rsidRPr="00C0591E">
        <w:rPr>
          <w:rFonts w:cs="Times New Roman"/>
          <w:szCs w:val="24"/>
        </w:rPr>
        <w:t xml:space="preserve">Arnold, B., &amp; De Lange, P. (2014). Enron: an examination of agency problems. </w:t>
      </w:r>
      <w:r w:rsidRPr="00C0591E">
        <w:rPr>
          <w:rFonts w:cs="Times New Roman"/>
          <w:i/>
          <w:iCs/>
          <w:szCs w:val="24"/>
        </w:rPr>
        <w:t>Critical Perspectives on Accounting</w:t>
      </w:r>
      <w:r w:rsidRPr="00C0591E">
        <w:rPr>
          <w:rFonts w:cs="Times New Roman"/>
          <w:szCs w:val="24"/>
        </w:rPr>
        <w:t xml:space="preserve">, </w:t>
      </w:r>
      <w:r w:rsidRPr="00C0591E">
        <w:rPr>
          <w:rFonts w:cs="Times New Roman"/>
          <w:i/>
          <w:iCs/>
          <w:szCs w:val="24"/>
        </w:rPr>
        <w:t>15</w:t>
      </w:r>
      <w:r w:rsidRPr="00C0591E">
        <w:rPr>
          <w:rFonts w:cs="Times New Roman"/>
          <w:szCs w:val="24"/>
        </w:rPr>
        <w:t>(6-7), 751-765.</w:t>
      </w:r>
    </w:p>
    <w:p w14:paraId="6CAB3C99" w14:textId="77777777" w:rsidR="00E13F0B" w:rsidRPr="00C0591E" w:rsidRDefault="00E13F0B" w:rsidP="00E13F0B">
      <w:pPr>
        <w:ind w:left="720" w:hanging="720"/>
        <w:rPr>
          <w:rFonts w:cs="Times New Roman"/>
          <w:szCs w:val="24"/>
        </w:rPr>
      </w:pPr>
      <w:r w:rsidRPr="00C0591E">
        <w:rPr>
          <w:rFonts w:cs="Times New Roman"/>
          <w:szCs w:val="24"/>
        </w:rPr>
        <w:t xml:space="preserve">Arora, A., &amp; Sharma, C. (2016). Corporate governance and firm performance in developing countries: evidence from India. </w:t>
      </w:r>
      <w:r w:rsidRPr="00C0591E">
        <w:rPr>
          <w:rFonts w:cs="Times New Roman"/>
          <w:i/>
          <w:iCs/>
          <w:szCs w:val="24"/>
        </w:rPr>
        <w:t>Corporate governance</w:t>
      </w:r>
      <w:r w:rsidRPr="00C0591E">
        <w:rPr>
          <w:rFonts w:cs="Times New Roman"/>
          <w:szCs w:val="24"/>
        </w:rPr>
        <w:t>.</w:t>
      </w:r>
    </w:p>
    <w:p w14:paraId="0040B6F1" w14:textId="77777777" w:rsidR="00E13F0B" w:rsidRPr="00C0591E" w:rsidRDefault="00E13F0B" w:rsidP="00E13F0B">
      <w:pPr>
        <w:ind w:left="720" w:hanging="720"/>
        <w:rPr>
          <w:rFonts w:cs="Times New Roman"/>
          <w:szCs w:val="24"/>
        </w:rPr>
      </w:pPr>
      <w:r w:rsidRPr="00C0591E">
        <w:rPr>
          <w:rFonts w:cs="Times New Roman"/>
          <w:szCs w:val="24"/>
        </w:rPr>
        <w:t xml:space="preserve">Arun, T. G., &amp; Turner, J. D. (2019). Corporate governance of banking institutions in developing economies: the Indian experience. In </w:t>
      </w:r>
      <w:r w:rsidRPr="00C0591E">
        <w:rPr>
          <w:rFonts w:cs="Times New Roman"/>
          <w:i/>
          <w:iCs/>
          <w:szCs w:val="24"/>
        </w:rPr>
        <w:t>conference on „Finance and Development‟ organized by IDPM, The University of Manchester. 23rd July</w:t>
      </w:r>
      <w:r w:rsidRPr="00C0591E">
        <w:rPr>
          <w:rFonts w:cs="Times New Roman"/>
          <w:szCs w:val="24"/>
        </w:rPr>
        <w:t>.</w:t>
      </w:r>
    </w:p>
    <w:p w14:paraId="4DB6EAAE" w14:textId="77777777" w:rsidR="00E13F0B" w:rsidRPr="00C0591E" w:rsidRDefault="00E13F0B" w:rsidP="00E13F0B">
      <w:pPr>
        <w:ind w:left="720" w:hanging="720"/>
        <w:rPr>
          <w:rFonts w:cs="Times New Roman"/>
          <w:szCs w:val="24"/>
        </w:rPr>
      </w:pPr>
      <w:r w:rsidRPr="00C0591E">
        <w:rPr>
          <w:rFonts w:cs="Times New Roman"/>
          <w:szCs w:val="24"/>
        </w:rPr>
        <w:t xml:space="preserve">Ashenafi, A. B., Kemal, K. S., &amp; Waka, Y. K. (2019). Corporate governance and impact on bank performance. </w:t>
      </w:r>
      <w:r w:rsidRPr="00C0591E">
        <w:rPr>
          <w:rFonts w:cs="Times New Roman"/>
          <w:i/>
          <w:iCs/>
          <w:szCs w:val="24"/>
        </w:rPr>
        <w:t>Journal of Finance and Accounting</w:t>
      </w:r>
      <w:r w:rsidRPr="00C0591E">
        <w:rPr>
          <w:rFonts w:cs="Times New Roman"/>
          <w:szCs w:val="24"/>
        </w:rPr>
        <w:t xml:space="preserve">, </w:t>
      </w:r>
      <w:r w:rsidRPr="00C0591E">
        <w:rPr>
          <w:rFonts w:cs="Times New Roman"/>
          <w:i/>
          <w:iCs/>
          <w:szCs w:val="24"/>
        </w:rPr>
        <w:t>1</w:t>
      </w:r>
      <w:r w:rsidRPr="00C0591E">
        <w:rPr>
          <w:rFonts w:cs="Times New Roman"/>
          <w:szCs w:val="24"/>
        </w:rPr>
        <w:t>(1), 19-26.</w:t>
      </w:r>
    </w:p>
    <w:p w14:paraId="7D55F8B7" w14:textId="77777777" w:rsidR="00E13F0B" w:rsidRPr="00C0591E" w:rsidRDefault="00E13F0B" w:rsidP="00E13F0B">
      <w:pPr>
        <w:ind w:left="720" w:hanging="720"/>
        <w:rPr>
          <w:rFonts w:cs="Times New Roman"/>
          <w:szCs w:val="24"/>
        </w:rPr>
      </w:pPr>
      <w:r w:rsidRPr="00C0591E">
        <w:rPr>
          <w:rFonts w:cs="Times New Roman"/>
          <w:szCs w:val="24"/>
        </w:rPr>
        <w:t xml:space="preserve">Asogwa, I. E. (2016) Corporate Governance in Nigerian Banks: a Theoretical Review, </w:t>
      </w:r>
      <w:r w:rsidRPr="00C0591E">
        <w:rPr>
          <w:rFonts w:cs="Times New Roman"/>
          <w:i/>
          <w:szCs w:val="24"/>
        </w:rPr>
        <w:t>International Journal of Management Science and Business Administration</w:t>
      </w:r>
      <w:r w:rsidRPr="00C0591E">
        <w:rPr>
          <w:rFonts w:cs="Times New Roman"/>
          <w:szCs w:val="24"/>
        </w:rPr>
        <w:t>, Vol. 2 (7), 7-15.</w:t>
      </w:r>
    </w:p>
    <w:p w14:paraId="66337518" w14:textId="77777777" w:rsidR="00E13F0B" w:rsidRPr="00C0591E" w:rsidRDefault="00E13F0B" w:rsidP="00E13F0B">
      <w:pPr>
        <w:ind w:left="720" w:hanging="720"/>
        <w:rPr>
          <w:rFonts w:cs="Times New Roman"/>
          <w:szCs w:val="24"/>
        </w:rPr>
      </w:pPr>
      <w:r w:rsidRPr="00C0591E">
        <w:rPr>
          <w:rFonts w:cs="Times New Roman"/>
          <w:szCs w:val="24"/>
        </w:rPr>
        <w:t>Augusto A. (2019). Pension reform in Chile revisited: what has been learned?.</w:t>
      </w:r>
    </w:p>
    <w:p w14:paraId="5F201A38" w14:textId="77777777" w:rsidR="00E13F0B" w:rsidRPr="00C0591E" w:rsidRDefault="00E13F0B" w:rsidP="00E13F0B">
      <w:pPr>
        <w:ind w:left="720" w:hanging="720"/>
        <w:rPr>
          <w:rFonts w:cs="Times New Roman"/>
          <w:szCs w:val="24"/>
        </w:rPr>
      </w:pPr>
      <w:r w:rsidRPr="00C0591E">
        <w:rPr>
          <w:rFonts w:cs="Times New Roman"/>
          <w:szCs w:val="24"/>
        </w:rPr>
        <w:t xml:space="preserve">Autenne, A. (2017). Occupational pension funds: Governance issues at the international and European levels. </w:t>
      </w:r>
      <w:r w:rsidRPr="00C0591E">
        <w:rPr>
          <w:rFonts w:cs="Times New Roman"/>
          <w:i/>
          <w:iCs/>
          <w:szCs w:val="24"/>
        </w:rPr>
        <w:t>European Journal of Social Security</w:t>
      </w:r>
      <w:r w:rsidRPr="00C0591E">
        <w:rPr>
          <w:rFonts w:cs="Times New Roman"/>
          <w:szCs w:val="24"/>
        </w:rPr>
        <w:t xml:space="preserve">, </w:t>
      </w:r>
      <w:r w:rsidRPr="00C0591E">
        <w:rPr>
          <w:rFonts w:cs="Times New Roman"/>
          <w:i/>
          <w:iCs/>
          <w:szCs w:val="24"/>
        </w:rPr>
        <w:t>19</w:t>
      </w:r>
      <w:r w:rsidRPr="00C0591E">
        <w:rPr>
          <w:rFonts w:cs="Times New Roman"/>
          <w:szCs w:val="24"/>
        </w:rPr>
        <w:t>(2), 158-171.</w:t>
      </w:r>
    </w:p>
    <w:p w14:paraId="6D9AC3E3" w14:textId="77777777" w:rsidR="00E13F0B" w:rsidRPr="00C0591E" w:rsidRDefault="00E13F0B" w:rsidP="00E13F0B">
      <w:pPr>
        <w:ind w:left="720" w:hanging="720"/>
        <w:rPr>
          <w:rFonts w:cs="Times New Roman"/>
          <w:szCs w:val="24"/>
        </w:rPr>
      </w:pPr>
      <w:r w:rsidRPr="00C0591E">
        <w:rPr>
          <w:rFonts w:cs="Times New Roman"/>
          <w:szCs w:val="24"/>
        </w:rPr>
        <w:t xml:space="preserve">Balfoussia, H., &amp; Gibson, H. D. (2016). Firm investment and financial conditions in the euro area: evidence from firm-level data. </w:t>
      </w:r>
      <w:r w:rsidRPr="00C0591E">
        <w:rPr>
          <w:rFonts w:cs="Times New Roman"/>
          <w:i/>
          <w:szCs w:val="24"/>
        </w:rPr>
        <w:t>Working Paper</w:t>
      </w:r>
      <w:r w:rsidRPr="00C0591E">
        <w:rPr>
          <w:rFonts w:cs="Times New Roman"/>
          <w:szCs w:val="24"/>
        </w:rPr>
        <w:t xml:space="preserve"> No 208. Bank of Greece</w:t>
      </w:r>
    </w:p>
    <w:p w14:paraId="6559CABB" w14:textId="77777777" w:rsidR="00E13F0B" w:rsidRPr="00C0591E" w:rsidRDefault="00E13F0B" w:rsidP="00E13F0B">
      <w:pPr>
        <w:ind w:left="720" w:hanging="720"/>
        <w:rPr>
          <w:rFonts w:cs="Times New Roman"/>
          <w:szCs w:val="24"/>
        </w:rPr>
      </w:pPr>
      <w:r w:rsidRPr="00C0591E">
        <w:rPr>
          <w:rFonts w:cs="Times New Roman"/>
          <w:szCs w:val="24"/>
        </w:rPr>
        <w:t xml:space="preserve">Barclay, S. R., &amp; Stoltz, K. B. (2016). The life-design group: A case study assessment. </w:t>
      </w:r>
      <w:r w:rsidRPr="00C0591E">
        <w:rPr>
          <w:rFonts w:cs="Times New Roman"/>
          <w:i/>
          <w:szCs w:val="24"/>
        </w:rPr>
        <w:t>The Career Development Quarterly</w:t>
      </w:r>
      <w:r w:rsidRPr="00C0591E">
        <w:rPr>
          <w:rFonts w:cs="Times New Roman"/>
          <w:szCs w:val="24"/>
        </w:rPr>
        <w:t xml:space="preserve">, 64(1), 83-96. </w:t>
      </w:r>
    </w:p>
    <w:p w14:paraId="40C35E19" w14:textId="77777777" w:rsidR="00E13F0B" w:rsidRPr="00C0591E" w:rsidRDefault="00E13F0B" w:rsidP="00E13F0B">
      <w:pPr>
        <w:ind w:left="720" w:hanging="720"/>
        <w:rPr>
          <w:rFonts w:cs="Times New Roman"/>
          <w:szCs w:val="24"/>
        </w:rPr>
      </w:pPr>
      <w:r w:rsidRPr="00C0591E">
        <w:rPr>
          <w:rFonts w:cs="Times New Roman"/>
          <w:szCs w:val="24"/>
        </w:rPr>
        <w:t xml:space="preserve">Baysinger, B. D., &amp; Butler, H. N. (2015). Corporate governance and the board of directors: Performance effects of changes in board composition. </w:t>
      </w:r>
      <w:r w:rsidRPr="00C0591E">
        <w:rPr>
          <w:rFonts w:cs="Times New Roman"/>
          <w:i/>
          <w:iCs/>
          <w:szCs w:val="24"/>
        </w:rPr>
        <w:t>Journal of Law, Economics, &amp; Organization</w:t>
      </w:r>
      <w:r w:rsidRPr="00C0591E">
        <w:rPr>
          <w:rFonts w:cs="Times New Roman"/>
          <w:szCs w:val="24"/>
        </w:rPr>
        <w:t xml:space="preserve">, </w:t>
      </w:r>
      <w:r w:rsidRPr="00C0591E">
        <w:rPr>
          <w:rFonts w:cs="Times New Roman"/>
          <w:i/>
          <w:iCs/>
          <w:szCs w:val="24"/>
        </w:rPr>
        <w:t>1</w:t>
      </w:r>
      <w:r w:rsidRPr="00C0591E">
        <w:rPr>
          <w:rFonts w:cs="Times New Roman"/>
          <w:szCs w:val="24"/>
        </w:rPr>
        <w:t>(1), 101-124.</w:t>
      </w:r>
    </w:p>
    <w:p w14:paraId="21FDA9B8" w14:textId="77777777" w:rsidR="00E13F0B" w:rsidRPr="00C0591E" w:rsidRDefault="00E13F0B" w:rsidP="00E13F0B">
      <w:pPr>
        <w:ind w:left="720" w:hanging="720"/>
        <w:rPr>
          <w:rFonts w:cs="Times New Roman"/>
          <w:szCs w:val="24"/>
        </w:rPr>
      </w:pPr>
      <w:r w:rsidRPr="00C0591E">
        <w:rPr>
          <w:rFonts w:cs="Times New Roman"/>
          <w:szCs w:val="24"/>
        </w:rPr>
        <w:t xml:space="preserve">Baysinger, B., &amp; Hoskisson, R. E. (2016). The composition of boards of directors and strategic control: Effects on corporate strategy. </w:t>
      </w:r>
      <w:r w:rsidRPr="00C0591E">
        <w:rPr>
          <w:rFonts w:cs="Times New Roman"/>
          <w:i/>
          <w:iCs/>
          <w:szCs w:val="24"/>
        </w:rPr>
        <w:t>Academy of Management review</w:t>
      </w:r>
      <w:r w:rsidRPr="00C0591E">
        <w:rPr>
          <w:rFonts w:cs="Times New Roman"/>
          <w:szCs w:val="24"/>
        </w:rPr>
        <w:t xml:space="preserve">, </w:t>
      </w:r>
      <w:r w:rsidRPr="00C0591E">
        <w:rPr>
          <w:rFonts w:cs="Times New Roman"/>
          <w:i/>
          <w:iCs/>
          <w:szCs w:val="24"/>
        </w:rPr>
        <w:t>15</w:t>
      </w:r>
      <w:r w:rsidRPr="00C0591E">
        <w:rPr>
          <w:rFonts w:cs="Times New Roman"/>
          <w:szCs w:val="24"/>
        </w:rPr>
        <w:t>(1), 72-87.</w:t>
      </w:r>
    </w:p>
    <w:p w14:paraId="1B64BA02" w14:textId="77777777" w:rsidR="00E13F0B" w:rsidRPr="00C0591E" w:rsidRDefault="00E13F0B" w:rsidP="00E13F0B">
      <w:pPr>
        <w:ind w:left="720" w:hanging="720"/>
        <w:rPr>
          <w:rFonts w:cs="Times New Roman"/>
          <w:szCs w:val="24"/>
        </w:rPr>
      </w:pPr>
      <w:r w:rsidRPr="00C0591E">
        <w:rPr>
          <w:rFonts w:cs="Times New Roman"/>
          <w:szCs w:val="24"/>
        </w:rPr>
        <w:t xml:space="preserve">Bebchuk, L., Cohen, A. &amp; Ferrell, A., (2004). </w:t>
      </w:r>
      <w:r w:rsidRPr="00C0591E">
        <w:rPr>
          <w:rFonts w:cs="Times New Roman"/>
          <w:i/>
          <w:szCs w:val="24"/>
        </w:rPr>
        <w:t>What Matters in Corporate Governance</w:t>
      </w:r>
      <w:r w:rsidRPr="00C0591E">
        <w:rPr>
          <w:rFonts w:cs="Times New Roman"/>
          <w:szCs w:val="24"/>
        </w:rPr>
        <w:t>? Working paper, Harvard Law School, Cambridge, MA.</w:t>
      </w:r>
    </w:p>
    <w:p w14:paraId="0240A11E" w14:textId="77777777" w:rsidR="00E13F0B" w:rsidRPr="00C0591E" w:rsidRDefault="00E13F0B" w:rsidP="00E13F0B">
      <w:pPr>
        <w:ind w:left="720" w:hanging="720"/>
        <w:rPr>
          <w:rFonts w:cs="Times New Roman"/>
          <w:szCs w:val="24"/>
        </w:rPr>
      </w:pPr>
      <w:r w:rsidRPr="00C0591E">
        <w:rPr>
          <w:rFonts w:cs="Times New Roman"/>
          <w:szCs w:val="24"/>
        </w:rPr>
        <w:t xml:space="preserve">Bennett, P., &amp; Meerten, H. V. (2018). Apples and oranges: a comparison of the key features of the legislative and regulatory framework for UK and Dutch defined benefit pension schemes (including Dutch CDC Schemes). </w:t>
      </w:r>
      <w:r w:rsidRPr="00C0591E">
        <w:rPr>
          <w:rFonts w:cs="Times New Roman"/>
          <w:i/>
          <w:iCs/>
          <w:szCs w:val="24"/>
        </w:rPr>
        <w:t>Available at SSRN 3163137</w:t>
      </w:r>
      <w:r w:rsidRPr="00C0591E">
        <w:rPr>
          <w:rFonts w:cs="Times New Roman"/>
          <w:szCs w:val="24"/>
        </w:rPr>
        <w:t>.</w:t>
      </w:r>
    </w:p>
    <w:p w14:paraId="0471ACD5" w14:textId="77777777" w:rsidR="00E13F0B" w:rsidRPr="00C0591E" w:rsidRDefault="00E13F0B" w:rsidP="00E13F0B">
      <w:pPr>
        <w:ind w:left="720" w:hanging="720"/>
        <w:rPr>
          <w:rFonts w:cs="Times New Roman"/>
          <w:szCs w:val="24"/>
        </w:rPr>
      </w:pPr>
      <w:r w:rsidRPr="00C0591E">
        <w:rPr>
          <w:rFonts w:cs="Times New Roman"/>
          <w:szCs w:val="24"/>
        </w:rPr>
        <w:t xml:space="preserve">Berete, M. (2019). Relationship between corporate social responsibility and financial performance in the pharmaceutical industry. </w:t>
      </w:r>
      <w:r w:rsidRPr="00C0591E">
        <w:rPr>
          <w:rFonts w:cs="Times New Roman"/>
          <w:i/>
          <w:szCs w:val="24"/>
        </w:rPr>
        <w:t>Dissertation Abstracts International: Section A. Humanities and Social Sciences</w:t>
      </w:r>
      <w:r w:rsidRPr="00C0591E">
        <w:rPr>
          <w:rFonts w:cs="Times New Roman"/>
          <w:szCs w:val="24"/>
        </w:rPr>
        <w:t>, 72(08). (UMI No. 3457470)</w:t>
      </w:r>
    </w:p>
    <w:p w14:paraId="18000BF3" w14:textId="77777777" w:rsidR="00E13F0B" w:rsidRPr="00C0591E" w:rsidRDefault="00E13F0B" w:rsidP="00E13F0B">
      <w:pPr>
        <w:ind w:left="720" w:hanging="720"/>
        <w:rPr>
          <w:rFonts w:cs="Times New Roman"/>
          <w:szCs w:val="24"/>
        </w:rPr>
      </w:pPr>
      <w:r w:rsidRPr="00C0591E">
        <w:rPr>
          <w:rFonts w:cs="Times New Roman"/>
          <w:szCs w:val="24"/>
        </w:rPr>
        <w:t xml:space="preserve">Biondi, Y., &amp; Boisseau-Sierra, M. (2017). Pension obligations in the European union: A case study for accounting policy. </w:t>
      </w:r>
      <w:r w:rsidRPr="00C0591E">
        <w:rPr>
          <w:rFonts w:cs="Times New Roman"/>
          <w:i/>
          <w:iCs/>
          <w:szCs w:val="24"/>
        </w:rPr>
        <w:t>Accounting, Economics, and Law: A Convivium</w:t>
      </w:r>
      <w:r w:rsidRPr="00C0591E">
        <w:rPr>
          <w:rFonts w:cs="Times New Roman"/>
          <w:szCs w:val="24"/>
        </w:rPr>
        <w:t xml:space="preserve">, </w:t>
      </w:r>
      <w:r w:rsidRPr="00C0591E">
        <w:rPr>
          <w:rFonts w:cs="Times New Roman"/>
          <w:i/>
          <w:iCs/>
          <w:szCs w:val="24"/>
        </w:rPr>
        <w:t>7</w:t>
      </w:r>
      <w:r w:rsidRPr="00C0591E">
        <w:rPr>
          <w:rFonts w:cs="Times New Roman"/>
          <w:szCs w:val="24"/>
        </w:rPr>
        <w:t>(3).</w:t>
      </w:r>
    </w:p>
    <w:p w14:paraId="54D725F5" w14:textId="77777777" w:rsidR="00E13F0B" w:rsidRPr="00C0591E" w:rsidRDefault="00E13F0B" w:rsidP="00E13F0B">
      <w:pPr>
        <w:ind w:left="720" w:hanging="720"/>
        <w:rPr>
          <w:rFonts w:cs="Times New Roman"/>
          <w:szCs w:val="24"/>
        </w:rPr>
      </w:pPr>
      <w:r w:rsidRPr="00C0591E">
        <w:rPr>
          <w:rFonts w:cs="Times New Roman"/>
          <w:szCs w:val="24"/>
        </w:rPr>
        <w:t xml:space="preserve">Biondi, Y., &amp; Boisseau-Sierra, M. (2017). Pension obligations in the European Union: A case study for accounting policy. </w:t>
      </w:r>
      <w:r w:rsidRPr="00C0591E">
        <w:rPr>
          <w:rFonts w:cs="Times New Roman"/>
          <w:i/>
          <w:iCs/>
          <w:szCs w:val="24"/>
        </w:rPr>
        <w:t>Accounting, Economics, and Law: A Convivium</w:t>
      </w:r>
      <w:r w:rsidRPr="00C0591E">
        <w:rPr>
          <w:rFonts w:cs="Times New Roman"/>
          <w:szCs w:val="24"/>
        </w:rPr>
        <w:t xml:space="preserve">, </w:t>
      </w:r>
      <w:r w:rsidRPr="00C0591E">
        <w:rPr>
          <w:rFonts w:cs="Times New Roman"/>
          <w:i/>
          <w:iCs/>
          <w:szCs w:val="24"/>
        </w:rPr>
        <w:t>7</w:t>
      </w:r>
      <w:r w:rsidRPr="00C0591E">
        <w:rPr>
          <w:rFonts w:cs="Times New Roman"/>
          <w:szCs w:val="24"/>
        </w:rPr>
        <w:t>(3).</w:t>
      </w:r>
    </w:p>
    <w:p w14:paraId="5CD81DE7" w14:textId="77777777" w:rsidR="00E13F0B" w:rsidRPr="00C0591E" w:rsidRDefault="00E13F0B" w:rsidP="00E13F0B">
      <w:pPr>
        <w:ind w:left="720" w:hanging="720"/>
        <w:rPr>
          <w:rFonts w:cs="Times New Roman"/>
          <w:szCs w:val="24"/>
        </w:rPr>
      </w:pPr>
      <w:r w:rsidRPr="00C0591E">
        <w:rPr>
          <w:rFonts w:cs="Times New Roman"/>
          <w:szCs w:val="24"/>
        </w:rPr>
        <w:t xml:space="preserve">Blake, D., Lehmann, B. N., &amp; Timmermann, A. (2019). Asset allocation dynamics and pension fund performance. </w:t>
      </w:r>
      <w:r w:rsidRPr="00C0591E">
        <w:rPr>
          <w:rFonts w:cs="Times New Roman"/>
          <w:i/>
          <w:iCs/>
          <w:szCs w:val="24"/>
        </w:rPr>
        <w:t>The Journal of Business</w:t>
      </w:r>
      <w:r w:rsidRPr="00C0591E">
        <w:rPr>
          <w:rFonts w:cs="Times New Roman"/>
          <w:szCs w:val="24"/>
        </w:rPr>
        <w:t xml:space="preserve">, </w:t>
      </w:r>
      <w:r w:rsidRPr="00C0591E">
        <w:rPr>
          <w:rFonts w:cs="Times New Roman"/>
          <w:i/>
          <w:iCs/>
          <w:szCs w:val="24"/>
        </w:rPr>
        <w:t>72</w:t>
      </w:r>
      <w:r w:rsidRPr="00C0591E">
        <w:rPr>
          <w:rFonts w:cs="Times New Roman"/>
          <w:szCs w:val="24"/>
        </w:rPr>
        <w:t>(4), 429-461.</w:t>
      </w:r>
    </w:p>
    <w:p w14:paraId="6A000CAB" w14:textId="77777777" w:rsidR="00E13F0B" w:rsidRPr="00C0591E" w:rsidRDefault="00E13F0B" w:rsidP="00E13F0B">
      <w:pPr>
        <w:ind w:left="720" w:hanging="720"/>
        <w:rPr>
          <w:rFonts w:cs="Times New Roman"/>
          <w:szCs w:val="24"/>
        </w:rPr>
      </w:pPr>
      <w:r w:rsidRPr="00C0591E">
        <w:rPr>
          <w:rFonts w:cs="Times New Roman"/>
          <w:szCs w:val="24"/>
        </w:rPr>
        <w:t xml:space="preserve">Bonizzi, B., &amp; Churchill, J. (2017). Pension funds and financialisation in the European Union. </w:t>
      </w:r>
      <w:r w:rsidRPr="00C0591E">
        <w:rPr>
          <w:rFonts w:cs="Times New Roman"/>
          <w:i/>
          <w:iCs/>
          <w:szCs w:val="24"/>
        </w:rPr>
        <w:t>Revista de economía mundial</w:t>
      </w:r>
      <w:r w:rsidRPr="00C0591E">
        <w:rPr>
          <w:rFonts w:cs="Times New Roman"/>
          <w:szCs w:val="24"/>
        </w:rPr>
        <w:t>, (46), 71-90.</w:t>
      </w:r>
    </w:p>
    <w:p w14:paraId="1EF2EF97" w14:textId="77777777" w:rsidR="00E13F0B" w:rsidRPr="00C0591E" w:rsidRDefault="00E13F0B" w:rsidP="00E13F0B">
      <w:pPr>
        <w:ind w:left="720" w:hanging="720"/>
        <w:rPr>
          <w:rFonts w:cs="Times New Roman"/>
          <w:szCs w:val="24"/>
        </w:rPr>
      </w:pPr>
      <w:r w:rsidRPr="00C0591E">
        <w:rPr>
          <w:rFonts w:cs="Times New Roman"/>
          <w:szCs w:val="24"/>
        </w:rPr>
        <w:t xml:space="preserve">Bonn, I., Yoshikawa, T., &amp; Phan, P. (2014). Effects of Board Structure on Firm Performance: A Comparison Between Japan and Australia. </w:t>
      </w:r>
      <w:r w:rsidRPr="00C0591E">
        <w:rPr>
          <w:rFonts w:cs="Times New Roman"/>
          <w:i/>
          <w:szCs w:val="24"/>
        </w:rPr>
        <w:t>Asian Business Management</w:t>
      </w:r>
      <w:r w:rsidRPr="00C0591E">
        <w:rPr>
          <w:rFonts w:cs="Times New Roman"/>
          <w:szCs w:val="24"/>
        </w:rPr>
        <w:t>, 105 - 146.</w:t>
      </w:r>
    </w:p>
    <w:p w14:paraId="68DE23CF" w14:textId="77777777" w:rsidR="00E13F0B" w:rsidRPr="00C0591E" w:rsidRDefault="00E13F0B" w:rsidP="00E13F0B">
      <w:pPr>
        <w:ind w:left="720" w:hanging="720"/>
        <w:rPr>
          <w:rFonts w:cs="Times New Roman"/>
          <w:szCs w:val="24"/>
        </w:rPr>
      </w:pPr>
      <w:r w:rsidRPr="00C0591E">
        <w:rPr>
          <w:rFonts w:cs="Times New Roman"/>
          <w:szCs w:val="24"/>
        </w:rPr>
        <w:t xml:space="preserve">Brainard, W. C. (1968). J., Tobin (1968),‘. </w:t>
      </w:r>
      <w:r w:rsidRPr="00C0591E">
        <w:rPr>
          <w:rFonts w:cs="Times New Roman"/>
          <w:i/>
          <w:iCs/>
          <w:szCs w:val="24"/>
        </w:rPr>
        <w:t>Pitfalls in financial model building’, American Economic Review, Proceedings</w:t>
      </w:r>
      <w:r w:rsidRPr="00C0591E">
        <w:rPr>
          <w:rFonts w:cs="Times New Roman"/>
          <w:szCs w:val="24"/>
        </w:rPr>
        <w:t xml:space="preserve">, </w:t>
      </w:r>
      <w:r w:rsidRPr="00C0591E">
        <w:rPr>
          <w:rFonts w:cs="Times New Roman"/>
          <w:i/>
          <w:iCs/>
          <w:szCs w:val="24"/>
        </w:rPr>
        <w:t>58</w:t>
      </w:r>
      <w:r w:rsidRPr="00C0591E">
        <w:rPr>
          <w:rFonts w:cs="Times New Roman"/>
          <w:szCs w:val="24"/>
        </w:rPr>
        <w:t>, 99-122.</w:t>
      </w:r>
    </w:p>
    <w:p w14:paraId="2D109FA1" w14:textId="77777777" w:rsidR="00E13F0B" w:rsidRPr="00C0591E" w:rsidRDefault="00E13F0B" w:rsidP="00E13F0B">
      <w:pPr>
        <w:ind w:left="720" w:hanging="720"/>
        <w:rPr>
          <w:rFonts w:cs="Times New Roman"/>
          <w:szCs w:val="24"/>
        </w:rPr>
      </w:pPr>
      <w:r w:rsidRPr="00C0591E">
        <w:rPr>
          <w:rFonts w:cs="Times New Roman"/>
          <w:szCs w:val="24"/>
        </w:rPr>
        <w:t xml:space="preserve">Buallay, A., Hamdan, A., &amp; Zureigat, Q. (2017). Corporate Governance and Firm Performance: Evidence from Saudi Arabia. </w:t>
      </w:r>
      <w:r w:rsidRPr="00C0591E">
        <w:rPr>
          <w:rFonts w:cs="Times New Roman"/>
          <w:i/>
          <w:szCs w:val="24"/>
        </w:rPr>
        <w:t>Australasian Accounting, Business and Finance Journal</w:t>
      </w:r>
      <w:r w:rsidRPr="00C0591E">
        <w:rPr>
          <w:rFonts w:cs="Times New Roman"/>
          <w:szCs w:val="24"/>
        </w:rPr>
        <w:t>, 11(1), 78-98.</w:t>
      </w:r>
    </w:p>
    <w:p w14:paraId="71C8BEC0" w14:textId="77777777" w:rsidR="00E13F0B" w:rsidRPr="00C0591E" w:rsidRDefault="00E13F0B" w:rsidP="00E13F0B">
      <w:pPr>
        <w:ind w:left="720" w:hanging="720"/>
        <w:rPr>
          <w:rFonts w:cs="Times New Roman"/>
          <w:szCs w:val="24"/>
        </w:rPr>
      </w:pPr>
      <w:r w:rsidRPr="00C0591E">
        <w:rPr>
          <w:rFonts w:cs="Times New Roman"/>
          <w:szCs w:val="24"/>
        </w:rPr>
        <w:t xml:space="preserve">Campbell, C. J., Power, M. L., &amp; Stover, R. D. (2016). Quid-pro-quo exchanges of outside director defined benefit pension plans for equity-based compensation. </w:t>
      </w:r>
      <w:r w:rsidRPr="00C0591E">
        <w:rPr>
          <w:rFonts w:cs="Times New Roman"/>
          <w:i/>
          <w:iCs/>
          <w:szCs w:val="24"/>
        </w:rPr>
        <w:t>Journal of Pension Economics and Finance</w:t>
      </w:r>
      <w:r w:rsidRPr="00C0591E">
        <w:rPr>
          <w:rFonts w:cs="Times New Roman"/>
          <w:szCs w:val="24"/>
        </w:rPr>
        <w:t xml:space="preserve">, </w:t>
      </w:r>
      <w:r w:rsidRPr="00C0591E">
        <w:rPr>
          <w:rFonts w:cs="Times New Roman"/>
          <w:i/>
          <w:iCs/>
          <w:szCs w:val="24"/>
        </w:rPr>
        <w:t>5</w:t>
      </w:r>
      <w:r w:rsidRPr="00C0591E">
        <w:rPr>
          <w:rFonts w:cs="Times New Roman"/>
          <w:szCs w:val="24"/>
        </w:rPr>
        <w:t>(3), 1.</w:t>
      </w:r>
    </w:p>
    <w:p w14:paraId="3D4AAEBB" w14:textId="77777777" w:rsidR="00E13F0B" w:rsidRPr="00C0591E" w:rsidRDefault="00E13F0B" w:rsidP="00E13F0B">
      <w:pPr>
        <w:ind w:left="720" w:hanging="720"/>
        <w:rPr>
          <w:rFonts w:cs="Times New Roman"/>
          <w:szCs w:val="24"/>
        </w:rPr>
      </w:pPr>
      <w:r w:rsidRPr="00C0591E">
        <w:rPr>
          <w:rFonts w:cs="Times New Roman"/>
          <w:szCs w:val="24"/>
        </w:rPr>
        <w:t xml:space="preserve">Carlo, O., &amp; Gelo, G. (2019). On research methods and their philosophical assumptions. </w:t>
      </w:r>
      <w:r w:rsidRPr="00C0591E">
        <w:rPr>
          <w:rFonts w:cs="Times New Roman"/>
          <w:i/>
          <w:szCs w:val="24"/>
        </w:rPr>
        <w:t>Psychotherapy Research</w:t>
      </w:r>
      <w:r w:rsidRPr="00C0591E">
        <w:rPr>
          <w:rFonts w:cs="Times New Roman"/>
          <w:szCs w:val="24"/>
        </w:rPr>
        <w:t>, 2, 109-128.</w:t>
      </w:r>
    </w:p>
    <w:p w14:paraId="751E13D2" w14:textId="77777777" w:rsidR="00E13F0B" w:rsidRPr="00C0591E" w:rsidRDefault="00E13F0B" w:rsidP="00E13F0B">
      <w:pPr>
        <w:ind w:left="720" w:hanging="720"/>
        <w:rPr>
          <w:rFonts w:cs="Times New Roman"/>
          <w:szCs w:val="24"/>
        </w:rPr>
      </w:pPr>
      <w:r w:rsidRPr="00C0591E">
        <w:rPr>
          <w:rFonts w:cs="Times New Roman"/>
          <w:szCs w:val="24"/>
        </w:rPr>
        <w:t xml:space="preserve">Carpenter, M. A., &amp; Westphal, J. D. (2001). The strategic context of external network ties: Examining the impact of director appointments on board involvement in strategic decision making. </w:t>
      </w:r>
      <w:r w:rsidRPr="00C0591E">
        <w:rPr>
          <w:rFonts w:cs="Times New Roman"/>
          <w:i/>
          <w:iCs/>
          <w:szCs w:val="24"/>
        </w:rPr>
        <w:t>Academy of Management journal</w:t>
      </w:r>
      <w:r w:rsidRPr="00C0591E">
        <w:rPr>
          <w:rFonts w:cs="Times New Roman"/>
          <w:szCs w:val="24"/>
        </w:rPr>
        <w:t xml:space="preserve">, </w:t>
      </w:r>
      <w:r w:rsidRPr="00C0591E">
        <w:rPr>
          <w:rFonts w:cs="Times New Roman"/>
          <w:i/>
          <w:iCs/>
          <w:szCs w:val="24"/>
        </w:rPr>
        <w:t>44</w:t>
      </w:r>
      <w:r w:rsidRPr="00C0591E">
        <w:rPr>
          <w:rFonts w:cs="Times New Roman"/>
          <w:szCs w:val="24"/>
        </w:rPr>
        <w:t>(4), 639-660.</w:t>
      </w:r>
    </w:p>
    <w:p w14:paraId="1DEB61F7" w14:textId="77777777" w:rsidR="00E13F0B" w:rsidRPr="00C0591E" w:rsidRDefault="00E13F0B" w:rsidP="00E13F0B">
      <w:pPr>
        <w:ind w:left="720" w:hanging="720"/>
        <w:rPr>
          <w:rFonts w:cs="Times New Roman"/>
          <w:szCs w:val="24"/>
        </w:rPr>
      </w:pPr>
      <w:r w:rsidRPr="00C0591E">
        <w:rPr>
          <w:rFonts w:cs="Times New Roman"/>
          <w:szCs w:val="24"/>
        </w:rPr>
        <w:t xml:space="preserve">Chaghadari, M. F., &amp; Zaleha Abdul shukor. (2017). </w:t>
      </w:r>
      <w:r w:rsidRPr="00C0591E">
        <w:rPr>
          <w:rFonts w:cs="Times New Roman"/>
          <w:i/>
          <w:iCs/>
          <w:szCs w:val="24"/>
        </w:rPr>
        <w:t>Corporate governance and disclodure of related party transactions</w:t>
      </w:r>
      <w:r w:rsidRPr="00C0591E">
        <w:rPr>
          <w:rFonts w:cs="Times New Roman"/>
          <w:szCs w:val="24"/>
        </w:rPr>
        <w:t>.</w:t>
      </w:r>
    </w:p>
    <w:p w14:paraId="6A1A122D" w14:textId="77777777" w:rsidR="00E13F0B" w:rsidRPr="00C0591E" w:rsidRDefault="00E13F0B" w:rsidP="00E13F0B">
      <w:pPr>
        <w:ind w:left="720" w:hanging="720"/>
        <w:rPr>
          <w:rFonts w:cs="Times New Roman"/>
          <w:szCs w:val="24"/>
        </w:rPr>
      </w:pPr>
      <w:r w:rsidRPr="00C0591E">
        <w:rPr>
          <w:rFonts w:cs="Times New Roman"/>
          <w:szCs w:val="24"/>
        </w:rPr>
        <w:t xml:space="preserve">Chen, J. J., Guan, Y., &amp; Tang, I. (2020). Optimal Contracting of Pension Incentive: Evidence of Currency Risk Management in Multinational Companies. </w:t>
      </w:r>
      <w:r w:rsidRPr="00C0591E">
        <w:rPr>
          <w:rFonts w:cs="Times New Roman"/>
          <w:i/>
          <w:iCs/>
          <w:szCs w:val="24"/>
        </w:rPr>
        <w:t>Journal of Risk and Financial Management</w:t>
      </w:r>
      <w:r w:rsidRPr="00C0591E">
        <w:rPr>
          <w:rFonts w:cs="Times New Roman"/>
          <w:szCs w:val="24"/>
        </w:rPr>
        <w:t xml:space="preserve">, </w:t>
      </w:r>
      <w:r w:rsidRPr="00C0591E">
        <w:rPr>
          <w:rFonts w:cs="Times New Roman"/>
          <w:i/>
          <w:iCs/>
          <w:szCs w:val="24"/>
        </w:rPr>
        <w:t>13</w:t>
      </w:r>
      <w:r w:rsidRPr="00C0591E">
        <w:rPr>
          <w:rFonts w:cs="Times New Roman"/>
          <w:szCs w:val="24"/>
        </w:rPr>
        <w:t>(2), 24.</w:t>
      </w:r>
    </w:p>
    <w:p w14:paraId="05383333" w14:textId="77777777" w:rsidR="00E13F0B" w:rsidRPr="00C0591E" w:rsidRDefault="00E13F0B" w:rsidP="00E13F0B">
      <w:pPr>
        <w:ind w:left="720" w:hanging="720"/>
        <w:rPr>
          <w:rFonts w:cs="Times New Roman"/>
          <w:szCs w:val="24"/>
        </w:rPr>
      </w:pPr>
      <w:r w:rsidRPr="00C0591E">
        <w:rPr>
          <w:rFonts w:cs="Times New Roman"/>
          <w:color w:val="222222"/>
          <w:szCs w:val="24"/>
          <w:shd w:val="clear" w:color="auto" w:fill="FFFFFF"/>
        </w:rPr>
        <w:t>Chirchir, S. (2017). The rationale for quantitative portfolio ceilings on investment of retirement benefit funds: The case of Kenya. </w:t>
      </w:r>
      <w:r w:rsidRPr="00C0591E">
        <w:rPr>
          <w:rFonts w:cs="Times New Roman"/>
          <w:i/>
          <w:iCs/>
          <w:color w:val="222222"/>
          <w:szCs w:val="24"/>
          <w:shd w:val="clear" w:color="auto" w:fill="FFFFFF"/>
        </w:rPr>
        <w:t>Retirement Benefits Authority</w:t>
      </w:r>
      <w:r w:rsidRPr="00C0591E">
        <w:rPr>
          <w:rFonts w:cs="Times New Roman"/>
          <w:color w:val="222222"/>
          <w:szCs w:val="24"/>
          <w:shd w:val="clear" w:color="auto" w:fill="FFFFFF"/>
        </w:rPr>
        <w:t>.</w:t>
      </w:r>
    </w:p>
    <w:p w14:paraId="5810DFC0" w14:textId="77777777" w:rsidR="00E13F0B" w:rsidRPr="00C0591E" w:rsidRDefault="00E13F0B" w:rsidP="00E13F0B">
      <w:pPr>
        <w:ind w:left="720" w:hanging="720"/>
        <w:rPr>
          <w:rFonts w:cs="Times New Roman"/>
          <w:szCs w:val="24"/>
        </w:rPr>
      </w:pPr>
      <w:r w:rsidRPr="00C0591E">
        <w:rPr>
          <w:rFonts w:cs="Times New Roman"/>
          <w:szCs w:val="24"/>
        </w:rPr>
        <w:t xml:space="preserve">Chohan, U. W. (2017). Pension Fund Regulation and Governance. </w:t>
      </w:r>
      <w:r w:rsidRPr="00C0591E">
        <w:rPr>
          <w:rFonts w:cs="Times New Roman"/>
          <w:i/>
          <w:iCs/>
          <w:szCs w:val="24"/>
        </w:rPr>
        <w:t>Global Encyclopedia of Public Administration, Public Policy, and Governance</w:t>
      </w:r>
      <w:r w:rsidRPr="00C0591E">
        <w:rPr>
          <w:rFonts w:cs="Times New Roman"/>
          <w:szCs w:val="24"/>
        </w:rPr>
        <w:t>.</w:t>
      </w:r>
    </w:p>
    <w:p w14:paraId="1A64B9BF" w14:textId="77777777" w:rsidR="00E13F0B" w:rsidRPr="00C0591E" w:rsidRDefault="00E13F0B" w:rsidP="00E13F0B">
      <w:pPr>
        <w:ind w:left="720" w:hanging="720"/>
        <w:rPr>
          <w:rFonts w:cs="Times New Roman"/>
          <w:szCs w:val="24"/>
        </w:rPr>
      </w:pPr>
      <w:r w:rsidRPr="00C0591E">
        <w:rPr>
          <w:rFonts w:cs="Times New Roman"/>
          <w:szCs w:val="24"/>
        </w:rPr>
        <w:t xml:space="preserve">Christensen, J., Kent, P., Routledge, J., &amp; Stewart, J. (2019). Do Corporate Governance Recommendations Improve the Performance and Accountability of Small Listed Companies? </w:t>
      </w:r>
      <w:r w:rsidRPr="00C0591E">
        <w:rPr>
          <w:rFonts w:cs="Times New Roman"/>
          <w:i/>
          <w:szCs w:val="24"/>
        </w:rPr>
        <w:t>Accounting &amp; Finance</w:t>
      </w:r>
      <w:r w:rsidRPr="00C0591E">
        <w:rPr>
          <w:rFonts w:cs="Times New Roman"/>
          <w:szCs w:val="24"/>
        </w:rPr>
        <w:t xml:space="preserve">, 55(1), 133-164. </w:t>
      </w:r>
    </w:p>
    <w:p w14:paraId="25368491" w14:textId="77777777" w:rsidR="00E13F0B" w:rsidRPr="00C0591E" w:rsidRDefault="00E13F0B" w:rsidP="00E13F0B">
      <w:pPr>
        <w:ind w:left="720" w:hanging="720"/>
        <w:rPr>
          <w:rFonts w:cs="Times New Roman"/>
          <w:szCs w:val="24"/>
        </w:rPr>
      </w:pPr>
      <w:r w:rsidRPr="00C0591E">
        <w:rPr>
          <w:rFonts w:cs="Times New Roman"/>
          <w:szCs w:val="24"/>
        </w:rPr>
        <w:t xml:space="preserve">Claessens, S., &amp; Yurtoglu, B. B. (2019). Corporate governance in emerging markets: A survey. </w:t>
      </w:r>
      <w:r w:rsidRPr="00C0591E">
        <w:rPr>
          <w:rFonts w:cs="Times New Roman"/>
          <w:i/>
          <w:iCs/>
          <w:szCs w:val="24"/>
        </w:rPr>
        <w:t>Emerging markets review</w:t>
      </w:r>
      <w:r w:rsidRPr="00C0591E">
        <w:rPr>
          <w:rFonts w:cs="Times New Roman"/>
          <w:szCs w:val="24"/>
        </w:rPr>
        <w:t xml:space="preserve">, </w:t>
      </w:r>
      <w:r w:rsidRPr="00C0591E">
        <w:rPr>
          <w:rFonts w:cs="Times New Roman"/>
          <w:i/>
          <w:iCs/>
          <w:szCs w:val="24"/>
        </w:rPr>
        <w:t>15</w:t>
      </w:r>
      <w:r w:rsidRPr="00C0591E">
        <w:rPr>
          <w:rFonts w:cs="Times New Roman"/>
          <w:szCs w:val="24"/>
        </w:rPr>
        <w:t>, 1-33.</w:t>
      </w:r>
    </w:p>
    <w:p w14:paraId="378880A6" w14:textId="77777777" w:rsidR="00E13F0B" w:rsidRPr="00C0591E" w:rsidRDefault="00E13F0B" w:rsidP="00E13F0B">
      <w:pPr>
        <w:ind w:left="720" w:hanging="720"/>
        <w:rPr>
          <w:rFonts w:cs="Times New Roman"/>
          <w:szCs w:val="24"/>
        </w:rPr>
      </w:pPr>
      <w:r w:rsidRPr="00C0591E">
        <w:rPr>
          <w:rFonts w:cs="Times New Roman"/>
          <w:szCs w:val="24"/>
        </w:rPr>
        <w:t xml:space="preserve">Clarke, T., &amp; Branson, D. M. (2018). </w:t>
      </w:r>
      <w:r w:rsidRPr="00C0591E">
        <w:rPr>
          <w:rFonts w:cs="Times New Roman"/>
          <w:i/>
          <w:iCs/>
          <w:szCs w:val="24"/>
        </w:rPr>
        <w:t>The SAGE handbook of corporate governance</w:t>
      </w:r>
      <w:r w:rsidRPr="00C0591E">
        <w:rPr>
          <w:rFonts w:cs="Times New Roman"/>
          <w:szCs w:val="24"/>
        </w:rPr>
        <w:t>. Sage Publications.</w:t>
      </w:r>
    </w:p>
    <w:p w14:paraId="0ABC2F35" w14:textId="77777777" w:rsidR="00E13F0B" w:rsidRPr="00C0591E" w:rsidRDefault="00E13F0B" w:rsidP="00E13F0B">
      <w:pPr>
        <w:ind w:left="720" w:hanging="720"/>
        <w:rPr>
          <w:rFonts w:cs="Times New Roman"/>
          <w:szCs w:val="24"/>
        </w:rPr>
      </w:pPr>
      <w:r w:rsidRPr="00C0591E">
        <w:rPr>
          <w:rFonts w:cs="Times New Roman"/>
          <w:szCs w:val="24"/>
        </w:rPr>
        <w:t xml:space="preserve">Coleman, A. (2018). Corporate governance and firm performance in Africa: A dynamic panel data analysis. </w:t>
      </w:r>
      <w:r w:rsidRPr="00C0591E">
        <w:rPr>
          <w:rFonts w:cs="Times New Roman"/>
          <w:i/>
          <w:iCs/>
          <w:szCs w:val="24"/>
        </w:rPr>
        <w:t>Studies in Economics and econometrics</w:t>
      </w:r>
      <w:r w:rsidRPr="00C0591E">
        <w:rPr>
          <w:rFonts w:cs="Times New Roman"/>
          <w:szCs w:val="24"/>
        </w:rPr>
        <w:t xml:space="preserve">, </w:t>
      </w:r>
      <w:r w:rsidRPr="00C0591E">
        <w:rPr>
          <w:rFonts w:cs="Times New Roman"/>
          <w:i/>
          <w:iCs/>
          <w:szCs w:val="24"/>
        </w:rPr>
        <w:t>32</w:t>
      </w:r>
      <w:r w:rsidRPr="00C0591E">
        <w:rPr>
          <w:rFonts w:cs="Times New Roman"/>
          <w:szCs w:val="24"/>
        </w:rPr>
        <w:t>(2), 1-24.</w:t>
      </w:r>
    </w:p>
    <w:p w14:paraId="706BC1FE" w14:textId="77777777" w:rsidR="00E13F0B" w:rsidRPr="00C0591E" w:rsidRDefault="00E13F0B" w:rsidP="00E13F0B">
      <w:pPr>
        <w:ind w:left="720" w:hanging="720"/>
        <w:rPr>
          <w:rFonts w:cs="Times New Roman"/>
          <w:color w:val="222222"/>
          <w:szCs w:val="24"/>
          <w:shd w:val="clear" w:color="auto" w:fill="FFFFFF"/>
        </w:rPr>
      </w:pPr>
      <w:r w:rsidRPr="00C0591E">
        <w:rPr>
          <w:rFonts w:cs="Times New Roman"/>
          <w:color w:val="222222"/>
          <w:szCs w:val="24"/>
          <w:shd w:val="clear" w:color="auto" w:fill="FFFFFF"/>
        </w:rPr>
        <w:t>Comrey, A. L., &amp; Lee, H. B. (2013). </w:t>
      </w:r>
      <w:r w:rsidRPr="00C0591E">
        <w:rPr>
          <w:rFonts w:cs="Times New Roman"/>
          <w:i/>
          <w:iCs/>
          <w:color w:val="222222"/>
          <w:szCs w:val="24"/>
          <w:shd w:val="clear" w:color="auto" w:fill="FFFFFF"/>
        </w:rPr>
        <w:t>A first course in factor analysis</w:t>
      </w:r>
      <w:r w:rsidRPr="00C0591E">
        <w:rPr>
          <w:rFonts w:cs="Times New Roman"/>
          <w:color w:val="222222"/>
          <w:szCs w:val="24"/>
          <w:shd w:val="clear" w:color="auto" w:fill="FFFFFF"/>
        </w:rPr>
        <w:t>. Psychology press.</w:t>
      </w:r>
    </w:p>
    <w:p w14:paraId="70FE20E3" w14:textId="77777777" w:rsidR="00E13F0B" w:rsidRPr="00C0591E" w:rsidRDefault="00E13F0B" w:rsidP="00E13F0B">
      <w:pPr>
        <w:ind w:left="720" w:hanging="720"/>
        <w:rPr>
          <w:rFonts w:cs="Times New Roman"/>
          <w:szCs w:val="24"/>
        </w:rPr>
      </w:pPr>
      <w:r w:rsidRPr="00C0591E">
        <w:rPr>
          <w:rFonts w:cs="Times New Roman"/>
          <w:szCs w:val="24"/>
        </w:rPr>
        <w:t xml:space="preserve">Cooper, D. R. &amp; Schindler, P. S.  (2014). </w:t>
      </w:r>
      <w:r w:rsidRPr="00C0591E">
        <w:rPr>
          <w:rFonts w:cs="Times New Roman"/>
          <w:i/>
          <w:szCs w:val="24"/>
        </w:rPr>
        <w:t>Business research methods</w:t>
      </w:r>
      <w:r w:rsidRPr="00C0591E">
        <w:rPr>
          <w:rFonts w:cs="Times New Roman"/>
          <w:szCs w:val="24"/>
        </w:rPr>
        <w:t xml:space="preserve"> (12thed).  New York, NY.  McGraw-Hill/Irwin.</w:t>
      </w:r>
    </w:p>
    <w:p w14:paraId="604088CB" w14:textId="77777777" w:rsidR="00E13F0B" w:rsidRPr="00C0591E" w:rsidRDefault="00E13F0B" w:rsidP="00E13F0B">
      <w:pPr>
        <w:ind w:left="720" w:hanging="720"/>
        <w:rPr>
          <w:rFonts w:cs="Times New Roman"/>
          <w:szCs w:val="24"/>
        </w:rPr>
      </w:pPr>
      <w:r w:rsidRPr="00C0591E">
        <w:rPr>
          <w:rFonts w:cs="Times New Roman"/>
          <w:szCs w:val="24"/>
        </w:rPr>
        <w:t xml:space="preserve">Cooper, D. R., &amp; Schindler, P. S. (2011). Qualitative research. </w:t>
      </w:r>
      <w:r w:rsidRPr="00C0591E">
        <w:rPr>
          <w:rFonts w:cs="Times New Roman"/>
          <w:i/>
          <w:iCs/>
          <w:szCs w:val="24"/>
        </w:rPr>
        <w:t>Business research methods</w:t>
      </w:r>
      <w:r w:rsidRPr="00C0591E">
        <w:rPr>
          <w:rFonts w:cs="Times New Roman"/>
          <w:szCs w:val="24"/>
        </w:rPr>
        <w:t xml:space="preserve">, </w:t>
      </w:r>
      <w:r w:rsidRPr="00C0591E">
        <w:rPr>
          <w:rFonts w:cs="Times New Roman"/>
          <w:i/>
          <w:iCs/>
          <w:szCs w:val="24"/>
        </w:rPr>
        <w:t>4</w:t>
      </w:r>
      <w:r w:rsidRPr="00C0591E">
        <w:rPr>
          <w:rFonts w:cs="Times New Roman"/>
          <w:szCs w:val="24"/>
        </w:rPr>
        <w:t>(1), 160-182.</w:t>
      </w:r>
    </w:p>
    <w:p w14:paraId="26CCB5FB" w14:textId="77777777" w:rsidR="00E13F0B" w:rsidRPr="00C0591E" w:rsidRDefault="00E13F0B" w:rsidP="00E13F0B">
      <w:pPr>
        <w:ind w:left="720" w:hanging="720"/>
        <w:rPr>
          <w:rFonts w:cs="Times New Roman"/>
          <w:szCs w:val="24"/>
        </w:rPr>
      </w:pPr>
      <w:r w:rsidRPr="00C0591E">
        <w:rPr>
          <w:rFonts w:cs="Times New Roman"/>
          <w:szCs w:val="24"/>
        </w:rPr>
        <w:t xml:space="preserve">Cowling, C. &amp; Wright, M. W. (2019). Funding defined benefit pension schemes: An integrated risk management approach. </w:t>
      </w:r>
      <w:r w:rsidRPr="00C0591E">
        <w:rPr>
          <w:rFonts w:cs="Times New Roman"/>
          <w:i/>
          <w:iCs/>
          <w:szCs w:val="24"/>
        </w:rPr>
        <w:t>British Actuarial Journal</w:t>
      </w:r>
      <w:r w:rsidRPr="00C0591E">
        <w:rPr>
          <w:rFonts w:cs="Times New Roman"/>
          <w:szCs w:val="24"/>
        </w:rPr>
        <w:t xml:space="preserve">, </w:t>
      </w:r>
      <w:r w:rsidRPr="00C0591E">
        <w:rPr>
          <w:rFonts w:cs="Times New Roman"/>
          <w:i/>
          <w:iCs/>
          <w:szCs w:val="24"/>
        </w:rPr>
        <w:t>24</w:t>
      </w:r>
      <w:r w:rsidRPr="00C0591E">
        <w:rPr>
          <w:rFonts w:cs="Times New Roman"/>
          <w:szCs w:val="24"/>
        </w:rPr>
        <w:t>.</w:t>
      </w:r>
    </w:p>
    <w:p w14:paraId="166E16AF" w14:textId="77777777" w:rsidR="00E13F0B" w:rsidRPr="00C0591E" w:rsidRDefault="00E13F0B" w:rsidP="00E13F0B">
      <w:pPr>
        <w:ind w:left="720" w:hanging="720"/>
        <w:rPr>
          <w:rFonts w:cs="Times New Roman"/>
          <w:szCs w:val="24"/>
        </w:rPr>
      </w:pPr>
      <w:r w:rsidRPr="00C0591E">
        <w:rPr>
          <w:rFonts w:cs="Times New Roman"/>
          <w:szCs w:val="24"/>
        </w:rPr>
        <w:t>Daft, R. L. (2012). Organization Theory and Design. Natorp Boulevard: Erin Joyner.</w:t>
      </w:r>
    </w:p>
    <w:p w14:paraId="1868E967" w14:textId="77777777" w:rsidR="00E13F0B" w:rsidRPr="00C0591E" w:rsidRDefault="00E13F0B" w:rsidP="00E13F0B">
      <w:pPr>
        <w:ind w:left="720" w:hanging="720"/>
        <w:rPr>
          <w:rFonts w:cs="Times New Roman"/>
          <w:szCs w:val="24"/>
        </w:rPr>
      </w:pPr>
      <w:r w:rsidRPr="00C0591E">
        <w:rPr>
          <w:rFonts w:cs="Times New Roman"/>
          <w:szCs w:val="24"/>
        </w:rPr>
        <w:t xml:space="preserve">Dallas, G., &amp; Ararat, M. (2017). Corporate governance in emerging markets. In </w:t>
      </w:r>
      <w:r w:rsidRPr="00C0591E">
        <w:rPr>
          <w:rFonts w:cs="Times New Roman"/>
          <w:i/>
          <w:iCs/>
          <w:szCs w:val="24"/>
        </w:rPr>
        <w:t>Harvard Law School Forum on Corporate Governance and Financial Regulation available in the website:&lt; http://corpgov. law. harvard. edu/2011/08/24/corporate-governance-inemerging-markets</w:t>
      </w:r>
      <w:r w:rsidRPr="00C0591E">
        <w:rPr>
          <w:rFonts w:cs="Times New Roman"/>
          <w:szCs w:val="24"/>
        </w:rPr>
        <w:t>.</w:t>
      </w:r>
    </w:p>
    <w:p w14:paraId="0BCEE63E" w14:textId="77777777" w:rsidR="00E13F0B" w:rsidRPr="00C0591E" w:rsidRDefault="00E13F0B" w:rsidP="00E13F0B">
      <w:pPr>
        <w:ind w:left="720" w:hanging="720"/>
        <w:rPr>
          <w:rFonts w:cs="Times New Roman"/>
          <w:szCs w:val="24"/>
        </w:rPr>
      </w:pPr>
      <w:r w:rsidRPr="00C0591E">
        <w:rPr>
          <w:rFonts w:cs="Times New Roman"/>
          <w:szCs w:val="24"/>
        </w:rPr>
        <w:t>D'Amico, G., Lika, A., &amp; Petroni, F. (2019). Risk Management of Pension Fund: A Model for Salary Evolution. International Journal of Financial Studies, 7(3), 44.</w:t>
      </w:r>
    </w:p>
    <w:p w14:paraId="1B63997D" w14:textId="77777777" w:rsidR="00E13F0B" w:rsidRPr="00C0591E" w:rsidRDefault="00E13F0B" w:rsidP="00E13F0B">
      <w:pPr>
        <w:ind w:left="720" w:hanging="720"/>
        <w:rPr>
          <w:rFonts w:cs="Times New Roman"/>
          <w:szCs w:val="24"/>
        </w:rPr>
      </w:pPr>
      <w:r w:rsidRPr="00C0591E">
        <w:rPr>
          <w:rFonts w:cs="Times New Roman"/>
          <w:szCs w:val="24"/>
        </w:rPr>
        <w:t xml:space="preserve">Darus, F., Mat Isa, N.H. and Yusoff, H. (2018). Corporate Governance and CSR: Exploring the Application of ISO 26000 in An Emerging Market. </w:t>
      </w:r>
      <w:r w:rsidRPr="00C0591E">
        <w:rPr>
          <w:rFonts w:cs="Times New Roman"/>
          <w:i/>
          <w:szCs w:val="24"/>
        </w:rPr>
        <w:t>International Journal of Business and Management Studies</w:t>
      </w:r>
      <w:r w:rsidRPr="00C0591E">
        <w:rPr>
          <w:rFonts w:cs="Times New Roman"/>
          <w:szCs w:val="24"/>
        </w:rPr>
        <w:t xml:space="preserve">, 2(2), 333-348. </w:t>
      </w:r>
    </w:p>
    <w:p w14:paraId="57041664" w14:textId="77777777" w:rsidR="00E13F0B" w:rsidRPr="00C0591E" w:rsidRDefault="00E13F0B" w:rsidP="00E13F0B">
      <w:pPr>
        <w:ind w:left="720" w:hanging="720"/>
        <w:rPr>
          <w:rFonts w:cs="Times New Roman"/>
          <w:szCs w:val="24"/>
        </w:rPr>
      </w:pPr>
      <w:r w:rsidRPr="00C0591E">
        <w:rPr>
          <w:rFonts w:cs="Times New Roman"/>
          <w:szCs w:val="24"/>
        </w:rPr>
        <w:t xml:space="preserve">Davis, E. P., &amp; Lastra, R. M. (2018). Pension provision, lifetime financial sustainability, care and dignity in old age: legal and economic issues. In </w:t>
      </w:r>
      <w:r w:rsidRPr="00C0591E">
        <w:rPr>
          <w:rFonts w:cs="Times New Roman"/>
          <w:i/>
          <w:iCs/>
          <w:szCs w:val="24"/>
        </w:rPr>
        <w:t>The Home</w:t>
      </w:r>
      <w:r w:rsidRPr="00C0591E">
        <w:rPr>
          <w:rFonts w:cs="Times New Roman"/>
          <w:szCs w:val="24"/>
        </w:rPr>
        <w:t>. Edward Elgar Publishing.</w:t>
      </w:r>
    </w:p>
    <w:p w14:paraId="52DBED31" w14:textId="77777777" w:rsidR="00E13F0B" w:rsidRPr="00C0591E" w:rsidRDefault="00E13F0B" w:rsidP="00E13F0B">
      <w:pPr>
        <w:ind w:left="720" w:hanging="720"/>
        <w:rPr>
          <w:rFonts w:cs="Times New Roman"/>
          <w:szCs w:val="24"/>
        </w:rPr>
      </w:pPr>
      <w:r w:rsidRPr="00C0591E">
        <w:rPr>
          <w:rFonts w:cs="Times New Roman"/>
          <w:szCs w:val="24"/>
        </w:rPr>
        <w:t xml:space="preserve">Del Guercio, D., Dann, L. Y., &amp; Partch, M. M. (2019). Governance and boards of directors in closed-end investment companies. </w:t>
      </w:r>
      <w:r w:rsidRPr="00C0591E">
        <w:rPr>
          <w:rFonts w:cs="Times New Roman"/>
          <w:i/>
          <w:iCs/>
          <w:szCs w:val="24"/>
        </w:rPr>
        <w:t>Journal of Financial Economics</w:t>
      </w:r>
      <w:r w:rsidRPr="00C0591E">
        <w:rPr>
          <w:rFonts w:cs="Times New Roman"/>
          <w:szCs w:val="24"/>
        </w:rPr>
        <w:t xml:space="preserve">, </w:t>
      </w:r>
      <w:r w:rsidRPr="00C0591E">
        <w:rPr>
          <w:rFonts w:cs="Times New Roman"/>
          <w:i/>
          <w:iCs/>
          <w:szCs w:val="24"/>
        </w:rPr>
        <w:t>69</w:t>
      </w:r>
      <w:r w:rsidRPr="00C0591E">
        <w:rPr>
          <w:rFonts w:cs="Times New Roman"/>
          <w:szCs w:val="24"/>
        </w:rPr>
        <w:t>(1), 111-152.</w:t>
      </w:r>
    </w:p>
    <w:p w14:paraId="5A275C19" w14:textId="77777777" w:rsidR="00E13F0B" w:rsidRPr="00C0591E" w:rsidRDefault="00E13F0B" w:rsidP="00E13F0B">
      <w:pPr>
        <w:ind w:left="720" w:hanging="720"/>
        <w:rPr>
          <w:rFonts w:cs="Times New Roman"/>
          <w:b/>
          <w:szCs w:val="24"/>
          <w:lang w:val="en-GB"/>
        </w:rPr>
      </w:pPr>
      <w:r w:rsidRPr="00C0591E">
        <w:rPr>
          <w:rFonts w:cs="Times New Roman"/>
          <w:color w:val="222222"/>
          <w:szCs w:val="24"/>
          <w:shd w:val="clear" w:color="auto" w:fill="FFFFFF"/>
        </w:rPr>
        <w:t>Dempsey, J. G. (2019). </w:t>
      </w:r>
      <w:r w:rsidRPr="00C0591E">
        <w:rPr>
          <w:rFonts w:cs="Times New Roman"/>
          <w:i/>
          <w:iCs/>
          <w:color w:val="222222"/>
          <w:szCs w:val="24"/>
          <w:shd w:val="clear" w:color="auto" w:fill="FFFFFF"/>
        </w:rPr>
        <w:t>The impact of government policy on pension fund managers profitability</w:t>
      </w:r>
      <w:r w:rsidRPr="00C0591E">
        <w:rPr>
          <w:rFonts w:cs="Times New Roman"/>
          <w:color w:val="222222"/>
          <w:szCs w:val="24"/>
          <w:shd w:val="clear" w:color="auto" w:fill="FFFFFF"/>
        </w:rPr>
        <w:t> (Doctoral dissertation, Middle Tennessee State University).</w:t>
      </w:r>
    </w:p>
    <w:p w14:paraId="3305091E" w14:textId="77777777" w:rsidR="00E13F0B" w:rsidRPr="00C0591E" w:rsidRDefault="00E13F0B" w:rsidP="00E13F0B">
      <w:pPr>
        <w:ind w:left="720" w:hanging="720"/>
        <w:rPr>
          <w:rFonts w:cs="Times New Roman"/>
          <w:szCs w:val="24"/>
        </w:rPr>
      </w:pPr>
      <w:r w:rsidRPr="00C0591E">
        <w:rPr>
          <w:rFonts w:cs="Times New Roman"/>
          <w:szCs w:val="24"/>
        </w:rPr>
        <w:t xml:space="preserve">Demsetz, H. (2019). The structure of ownership and the theory of the firm. </w:t>
      </w:r>
      <w:r w:rsidRPr="00C0591E">
        <w:rPr>
          <w:rFonts w:cs="Times New Roman"/>
          <w:i/>
          <w:iCs/>
          <w:szCs w:val="24"/>
        </w:rPr>
        <w:t>The Journal of law and economics</w:t>
      </w:r>
      <w:r w:rsidRPr="00C0591E">
        <w:rPr>
          <w:rFonts w:cs="Times New Roman"/>
          <w:szCs w:val="24"/>
        </w:rPr>
        <w:t xml:space="preserve">, </w:t>
      </w:r>
      <w:r w:rsidRPr="00C0591E">
        <w:rPr>
          <w:rFonts w:cs="Times New Roman"/>
          <w:i/>
          <w:iCs/>
          <w:szCs w:val="24"/>
        </w:rPr>
        <w:t>26</w:t>
      </w:r>
      <w:r w:rsidRPr="00C0591E">
        <w:rPr>
          <w:rFonts w:cs="Times New Roman"/>
          <w:szCs w:val="24"/>
        </w:rPr>
        <w:t>(2), 375-390.</w:t>
      </w:r>
    </w:p>
    <w:p w14:paraId="633B9C2A" w14:textId="77777777" w:rsidR="00E13F0B" w:rsidRPr="00C0591E" w:rsidRDefault="00E13F0B" w:rsidP="00E13F0B">
      <w:pPr>
        <w:ind w:left="720" w:hanging="720"/>
        <w:rPr>
          <w:rFonts w:cs="Times New Roman"/>
          <w:szCs w:val="24"/>
        </w:rPr>
      </w:pPr>
      <w:r w:rsidRPr="00C0591E">
        <w:rPr>
          <w:rFonts w:cs="Times New Roman"/>
          <w:szCs w:val="24"/>
        </w:rPr>
        <w:t xml:space="preserve">Donaldson, L., &amp; Davis, J. H. (1991). Stewardship theory or agency theory: CEO governance and shareholder returns. </w:t>
      </w:r>
      <w:r w:rsidRPr="00C0591E">
        <w:rPr>
          <w:rFonts w:cs="Times New Roman"/>
          <w:i/>
          <w:iCs/>
          <w:szCs w:val="24"/>
        </w:rPr>
        <w:t>Australian Journal of management</w:t>
      </w:r>
      <w:r w:rsidRPr="00C0591E">
        <w:rPr>
          <w:rFonts w:cs="Times New Roman"/>
          <w:szCs w:val="24"/>
        </w:rPr>
        <w:t xml:space="preserve">, </w:t>
      </w:r>
      <w:r w:rsidRPr="00C0591E">
        <w:rPr>
          <w:rFonts w:cs="Times New Roman"/>
          <w:i/>
          <w:iCs/>
          <w:szCs w:val="24"/>
        </w:rPr>
        <w:t>16</w:t>
      </w:r>
      <w:r w:rsidRPr="00C0591E">
        <w:rPr>
          <w:rFonts w:cs="Times New Roman"/>
          <w:szCs w:val="24"/>
        </w:rPr>
        <w:t>(1), 49-64.</w:t>
      </w:r>
    </w:p>
    <w:p w14:paraId="00E2D00D" w14:textId="77777777" w:rsidR="00E13F0B" w:rsidRPr="00C0591E" w:rsidRDefault="00E13F0B" w:rsidP="00E13F0B">
      <w:pPr>
        <w:ind w:left="720" w:hanging="720"/>
        <w:rPr>
          <w:rFonts w:cs="Times New Roman"/>
          <w:szCs w:val="24"/>
        </w:rPr>
      </w:pPr>
      <w:r w:rsidRPr="00C0591E">
        <w:rPr>
          <w:rFonts w:cs="Times New Roman"/>
          <w:szCs w:val="24"/>
        </w:rPr>
        <w:t xml:space="preserve">Drago, C., Millo, F., Ricciuti, R., &amp; Santella, P. (2015). Corporate governance reforms, interlocking directorship and company performance in Italy. </w:t>
      </w:r>
      <w:r w:rsidRPr="00C0591E">
        <w:rPr>
          <w:rFonts w:cs="Times New Roman"/>
          <w:i/>
          <w:iCs/>
          <w:szCs w:val="24"/>
        </w:rPr>
        <w:t>International Review of Law and Economics</w:t>
      </w:r>
      <w:r w:rsidRPr="00C0591E">
        <w:rPr>
          <w:rFonts w:cs="Times New Roman"/>
          <w:szCs w:val="24"/>
        </w:rPr>
        <w:t xml:space="preserve">, </w:t>
      </w:r>
      <w:r w:rsidRPr="00C0591E">
        <w:rPr>
          <w:rFonts w:cs="Times New Roman"/>
          <w:i/>
          <w:iCs/>
          <w:szCs w:val="24"/>
        </w:rPr>
        <w:t>41</w:t>
      </w:r>
      <w:r w:rsidRPr="00C0591E">
        <w:rPr>
          <w:rFonts w:cs="Times New Roman"/>
          <w:szCs w:val="24"/>
        </w:rPr>
        <w:t>, 38-49.</w:t>
      </w:r>
    </w:p>
    <w:p w14:paraId="18543F91" w14:textId="77777777" w:rsidR="00E13F0B" w:rsidRPr="00C0591E" w:rsidRDefault="00E13F0B" w:rsidP="00E13F0B">
      <w:pPr>
        <w:ind w:left="720" w:hanging="720"/>
        <w:rPr>
          <w:rFonts w:cs="Times New Roman"/>
          <w:szCs w:val="24"/>
        </w:rPr>
      </w:pPr>
      <w:r w:rsidRPr="00C0591E">
        <w:rPr>
          <w:rFonts w:cs="Times New Roman"/>
          <w:szCs w:val="24"/>
        </w:rPr>
        <w:t xml:space="preserve">Ehikioya, B. I. (2019). Corporate governance structure and firm performance in developing economies: evidence from Nigeria. </w:t>
      </w:r>
      <w:r w:rsidRPr="00C0591E">
        <w:rPr>
          <w:rFonts w:cs="Times New Roman"/>
          <w:i/>
          <w:iCs/>
          <w:szCs w:val="24"/>
        </w:rPr>
        <w:t>Corporate Governance: The international journal of business in society</w:t>
      </w:r>
      <w:r w:rsidRPr="00C0591E">
        <w:rPr>
          <w:rFonts w:cs="Times New Roman"/>
          <w:szCs w:val="24"/>
        </w:rPr>
        <w:t>.</w:t>
      </w:r>
    </w:p>
    <w:p w14:paraId="73176408" w14:textId="77777777" w:rsidR="00E13F0B" w:rsidRPr="00C0591E" w:rsidRDefault="00E13F0B" w:rsidP="00E13F0B">
      <w:pPr>
        <w:ind w:left="720" w:hanging="720"/>
        <w:rPr>
          <w:rFonts w:cs="Times New Roman"/>
          <w:szCs w:val="24"/>
        </w:rPr>
      </w:pPr>
      <w:r w:rsidRPr="00C0591E">
        <w:rPr>
          <w:rFonts w:cs="Times New Roman"/>
          <w:szCs w:val="24"/>
        </w:rPr>
        <w:t xml:space="preserve">Eisenhardt, K. M. (1989). Agency theory: An assessment and review. </w:t>
      </w:r>
      <w:r w:rsidRPr="00C0591E">
        <w:rPr>
          <w:rFonts w:cs="Times New Roman"/>
          <w:i/>
          <w:iCs/>
          <w:szCs w:val="24"/>
        </w:rPr>
        <w:t>Academy of management review</w:t>
      </w:r>
      <w:r w:rsidRPr="00C0591E">
        <w:rPr>
          <w:rFonts w:cs="Times New Roman"/>
          <w:szCs w:val="24"/>
        </w:rPr>
        <w:t xml:space="preserve">, </w:t>
      </w:r>
      <w:r w:rsidRPr="00C0591E">
        <w:rPr>
          <w:rFonts w:cs="Times New Roman"/>
          <w:i/>
          <w:iCs/>
          <w:szCs w:val="24"/>
        </w:rPr>
        <w:t>14</w:t>
      </w:r>
      <w:r w:rsidRPr="00C0591E">
        <w:rPr>
          <w:rFonts w:cs="Times New Roman"/>
          <w:szCs w:val="24"/>
        </w:rPr>
        <w:t>(1), 57-74.</w:t>
      </w:r>
    </w:p>
    <w:p w14:paraId="636581C0" w14:textId="77777777" w:rsidR="00E13F0B" w:rsidRPr="00C0591E" w:rsidRDefault="00E13F0B" w:rsidP="00E13F0B">
      <w:pPr>
        <w:ind w:left="720" w:hanging="720"/>
        <w:rPr>
          <w:rFonts w:cs="Times New Roman"/>
          <w:szCs w:val="24"/>
        </w:rPr>
      </w:pPr>
      <w:r w:rsidRPr="00C0591E">
        <w:rPr>
          <w:rFonts w:cs="Times New Roman"/>
          <w:szCs w:val="24"/>
        </w:rPr>
        <w:t xml:space="preserve">Eklund, J. E. (2019). Theories of investment: a theoretical review with empirical applications. </w:t>
      </w:r>
      <w:r w:rsidRPr="00C0591E">
        <w:rPr>
          <w:rFonts w:cs="Times New Roman"/>
          <w:i/>
          <w:szCs w:val="24"/>
        </w:rPr>
        <w:t>In Swedish Entrepreneurship forum</w:t>
      </w:r>
      <w:r w:rsidRPr="00C0591E">
        <w:rPr>
          <w:rFonts w:cs="Times New Roman"/>
          <w:szCs w:val="24"/>
        </w:rPr>
        <w:t xml:space="preserve"> (pp. 1-15).</w:t>
      </w:r>
    </w:p>
    <w:p w14:paraId="482F8821" w14:textId="77777777" w:rsidR="00E13F0B" w:rsidRPr="00C0591E" w:rsidRDefault="00E13F0B" w:rsidP="00E13F0B">
      <w:pPr>
        <w:ind w:left="720" w:hanging="720"/>
        <w:rPr>
          <w:rFonts w:cs="Times New Roman"/>
          <w:szCs w:val="24"/>
        </w:rPr>
      </w:pPr>
      <w:r w:rsidRPr="00C0591E">
        <w:rPr>
          <w:rFonts w:cs="Times New Roman"/>
          <w:szCs w:val="24"/>
        </w:rPr>
        <w:t xml:space="preserve">Elsayed, K. (2017). Does CEO duality really affect corporate performance?. </w:t>
      </w:r>
      <w:r w:rsidRPr="00C0591E">
        <w:rPr>
          <w:rFonts w:cs="Times New Roman"/>
          <w:i/>
          <w:iCs/>
          <w:szCs w:val="24"/>
        </w:rPr>
        <w:t>Corporate governance: an international review</w:t>
      </w:r>
      <w:r w:rsidRPr="00C0591E">
        <w:rPr>
          <w:rFonts w:cs="Times New Roman"/>
          <w:szCs w:val="24"/>
        </w:rPr>
        <w:t xml:space="preserve">, </w:t>
      </w:r>
      <w:r w:rsidRPr="00C0591E">
        <w:rPr>
          <w:rFonts w:cs="Times New Roman"/>
          <w:i/>
          <w:iCs/>
          <w:szCs w:val="24"/>
        </w:rPr>
        <w:t>15</w:t>
      </w:r>
      <w:r w:rsidRPr="00C0591E">
        <w:rPr>
          <w:rFonts w:cs="Times New Roman"/>
          <w:szCs w:val="24"/>
        </w:rPr>
        <w:t>(6), 1203-1214.</w:t>
      </w:r>
    </w:p>
    <w:p w14:paraId="62862A9C" w14:textId="77777777" w:rsidR="00E13F0B" w:rsidRPr="00C0591E" w:rsidRDefault="00E13F0B" w:rsidP="00E13F0B">
      <w:pPr>
        <w:ind w:left="720" w:hanging="720"/>
        <w:rPr>
          <w:rFonts w:cs="Times New Roman"/>
          <w:szCs w:val="24"/>
        </w:rPr>
      </w:pPr>
      <w:r w:rsidRPr="00C0591E">
        <w:rPr>
          <w:rFonts w:cs="Times New Roman"/>
          <w:szCs w:val="24"/>
        </w:rPr>
        <w:t xml:space="preserve">Ergin, E. (2019). Corporate governance ratings and market-based financial performance: Evidence from Turkey. </w:t>
      </w:r>
      <w:r w:rsidRPr="00C0591E">
        <w:rPr>
          <w:rFonts w:cs="Times New Roman"/>
          <w:i/>
          <w:szCs w:val="24"/>
        </w:rPr>
        <w:t>International Journal of Economics and Finance</w:t>
      </w:r>
      <w:r w:rsidRPr="00C0591E">
        <w:rPr>
          <w:rFonts w:cs="Times New Roman"/>
          <w:szCs w:val="24"/>
        </w:rPr>
        <w:t>, 4(9), 61-68.</w:t>
      </w:r>
    </w:p>
    <w:p w14:paraId="501D8D98" w14:textId="77777777" w:rsidR="00E13F0B" w:rsidRPr="00C0591E" w:rsidRDefault="00E13F0B" w:rsidP="00E13F0B">
      <w:pPr>
        <w:ind w:left="720" w:hanging="720"/>
        <w:rPr>
          <w:rFonts w:cs="Times New Roman"/>
          <w:szCs w:val="24"/>
        </w:rPr>
      </w:pPr>
      <w:r w:rsidRPr="00C0591E">
        <w:rPr>
          <w:rFonts w:cs="Times New Roman"/>
          <w:szCs w:val="24"/>
          <w:shd w:val="clear" w:color="auto" w:fill="FFFFFF"/>
        </w:rPr>
        <w:t>Eriksson, P., &amp; Kovalainen, A. (2015). </w:t>
      </w:r>
      <w:r w:rsidRPr="00C0591E">
        <w:rPr>
          <w:rFonts w:cs="Times New Roman"/>
          <w:i/>
          <w:iCs/>
          <w:szCs w:val="24"/>
          <w:shd w:val="clear" w:color="auto" w:fill="FFFFFF"/>
        </w:rPr>
        <w:t>Qualitative methods in business research: A practical guide to social research</w:t>
      </w:r>
      <w:r w:rsidRPr="00C0591E">
        <w:rPr>
          <w:rFonts w:cs="Times New Roman"/>
          <w:szCs w:val="24"/>
          <w:shd w:val="clear" w:color="auto" w:fill="FFFFFF"/>
        </w:rPr>
        <w:t>. Sage.</w:t>
      </w:r>
    </w:p>
    <w:p w14:paraId="18CDE1C7" w14:textId="77777777" w:rsidR="00E13F0B" w:rsidRPr="00C0591E" w:rsidRDefault="00E13F0B" w:rsidP="00E13F0B">
      <w:pPr>
        <w:ind w:left="720" w:hanging="720"/>
        <w:rPr>
          <w:rFonts w:cs="Times New Roman"/>
          <w:szCs w:val="24"/>
        </w:rPr>
      </w:pPr>
      <w:r w:rsidRPr="00C0591E">
        <w:rPr>
          <w:rFonts w:cs="Times New Roman"/>
          <w:szCs w:val="24"/>
        </w:rPr>
        <w:t xml:space="preserve">Even, W. &amp; Macpherson, D. (2004). Company Stock in Pension Funds. </w:t>
      </w:r>
      <w:r w:rsidRPr="00C0591E">
        <w:rPr>
          <w:rFonts w:cs="Times New Roman"/>
          <w:i/>
          <w:szCs w:val="24"/>
        </w:rPr>
        <w:t>National Tax Journal</w:t>
      </w:r>
      <w:r w:rsidRPr="00C0591E">
        <w:rPr>
          <w:rFonts w:cs="Times New Roman"/>
          <w:szCs w:val="24"/>
        </w:rPr>
        <w:t xml:space="preserve"> 57(2), 299-313. </w:t>
      </w:r>
    </w:p>
    <w:p w14:paraId="2D5B55CD" w14:textId="77777777" w:rsidR="00E13F0B" w:rsidRPr="00C0591E" w:rsidRDefault="00E13F0B" w:rsidP="00E13F0B">
      <w:pPr>
        <w:ind w:left="720" w:hanging="720"/>
        <w:rPr>
          <w:rFonts w:cs="Times New Roman"/>
          <w:szCs w:val="24"/>
        </w:rPr>
      </w:pPr>
      <w:r w:rsidRPr="00C0591E">
        <w:rPr>
          <w:rFonts w:cs="Times New Roman"/>
          <w:szCs w:val="24"/>
        </w:rPr>
        <w:t>Fan, J. P., Wei, K. J., &amp; Xu, X. (2019). Corporate finance and governance in emerging markets: A selective review and an agenda for future research.</w:t>
      </w:r>
    </w:p>
    <w:p w14:paraId="23F77064" w14:textId="77777777" w:rsidR="00E13F0B" w:rsidRPr="00C0591E" w:rsidRDefault="00E13F0B" w:rsidP="00E13F0B">
      <w:pPr>
        <w:ind w:left="720" w:hanging="720"/>
        <w:rPr>
          <w:rFonts w:cs="Times New Roman"/>
          <w:szCs w:val="24"/>
        </w:rPr>
      </w:pPr>
      <w:r w:rsidRPr="00C0591E">
        <w:rPr>
          <w:rFonts w:cs="Times New Roman"/>
          <w:szCs w:val="24"/>
        </w:rPr>
        <w:t xml:space="preserve">Fasterling, B. (2015). Best practices and better laws: Corporate governance codes in the member states of the European Union. In </w:t>
      </w:r>
      <w:r w:rsidRPr="00C0591E">
        <w:rPr>
          <w:rFonts w:cs="Times New Roman"/>
          <w:i/>
          <w:iCs/>
          <w:szCs w:val="24"/>
        </w:rPr>
        <w:t>ERA Forum</w:t>
      </w:r>
      <w:r w:rsidRPr="00C0591E">
        <w:rPr>
          <w:rFonts w:cs="Times New Roman"/>
          <w:szCs w:val="24"/>
        </w:rPr>
        <w:t xml:space="preserve"> (Vol. 6, No. 3, pp. 328-351). Springer-Verlag.</w:t>
      </w:r>
    </w:p>
    <w:p w14:paraId="669F7AC7" w14:textId="77777777" w:rsidR="00E13F0B" w:rsidRPr="00C0591E" w:rsidRDefault="00E13F0B" w:rsidP="00E13F0B">
      <w:pPr>
        <w:ind w:left="720" w:hanging="720"/>
        <w:rPr>
          <w:rFonts w:cs="Times New Roman"/>
          <w:color w:val="222222"/>
          <w:szCs w:val="24"/>
          <w:shd w:val="clear" w:color="auto" w:fill="FFFFFF"/>
        </w:rPr>
      </w:pPr>
      <w:r w:rsidRPr="00C0591E">
        <w:rPr>
          <w:rFonts w:cs="Times New Roman"/>
          <w:color w:val="222222"/>
          <w:szCs w:val="24"/>
          <w:shd w:val="clear" w:color="auto" w:fill="FFFFFF"/>
        </w:rPr>
        <w:t>Field, A. (2013). </w:t>
      </w:r>
      <w:r w:rsidRPr="00C0591E">
        <w:rPr>
          <w:rFonts w:cs="Times New Roman"/>
          <w:i/>
          <w:iCs/>
          <w:color w:val="222222"/>
          <w:szCs w:val="24"/>
          <w:shd w:val="clear" w:color="auto" w:fill="FFFFFF"/>
        </w:rPr>
        <w:t>Discovering statistics using IBM SPSS statistics</w:t>
      </w:r>
      <w:r w:rsidRPr="00C0591E">
        <w:rPr>
          <w:rFonts w:cs="Times New Roman"/>
          <w:color w:val="222222"/>
          <w:szCs w:val="24"/>
          <w:shd w:val="clear" w:color="auto" w:fill="FFFFFF"/>
        </w:rPr>
        <w:t>. Sage.</w:t>
      </w:r>
    </w:p>
    <w:p w14:paraId="0F3604F4" w14:textId="77777777" w:rsidR="00E13F0B" w:rsidRPr="00C0591E" w:rsidRDefault="00E13F0B" w:rsidP="00E13F0B">
      <w:pPr>
        <w:ind w:left="720" w:hanging="720"/>
        <w:rPr>
          <w:rFonts w:cs="Times New Roman"/>
          <w:szCs w:val="24"/>
        </w:rPr>
      </w:pPr>
      <w:r w:rsidRPr="00C0591E">
        <w:rPr>
          <w:rFonts w:cs="Times New Roman"/>
          <w:szCs w:val="24"/>
        </w:rPr>
        <w:t>Flick U., (2014). The SAGE Handbook of Qualitative Data Analysis.</w:t>
      </w:r>
    </w:p>
    <w:p w14:paraId="2668C442" w14:textId="77777777" w:rsidR="00E13F0B" w:rsidRPr="00C0591E" w:rsidRDefault="00E13F0B" w:rsidP="00E13F0B">
      <w:pPr>
        <w:autoSpaceDE w:val="0"/>
        <w:autoSpaceDN w:val="0"/>
        <w:adjustRightInd w:val="0"/>
        <w:ind w:left="720" w:hanging="720"/>
        <w:rPr>
          <w:rFonts w:cs="Times New Roman"/>
          <w:szCs w:val="24"/>
        </w:rPr>
      </w:pPr>
      <w:r w:rsidRPr="00C0591E">
        <w:rPr>
          <w:rFonts w:cs="Times New Roman"/>
          <w:szCs w:val="24"/>
        </w:rPr>
        <w:t xml:space="preserve">Freeman, S.J., &amp;Ehrhardt, K. (2012). “The antecedents of downsizing”, In Cooper, C. L., Pandey, A. and Campbell Quick, J. (eds.) </w:t>
      </w:r>
      <w:r w:rsidRPr="00C0591E">
        <w:rPr>
          <w:rFonts w:cs="Times New Roman"/>
          <w:i/>
          <w:iCs/>
          <w:szCs w:val="24"/>
        </w:rPr>
        <w:t>Downsizing. Is Less Still More?</w:t>
      </w:r>
      <w:r w:rsidRPr="00C0591E">
        <w:rPr>
          <w:rFonts w:cs="Times New Roman"/>
          <w:szCs w:val="24"/>
        </w:rPr>
        <w:t xml:space="preserve"> Cambridge, Cambridge University Press.</w:t>
      </w:r>
    </w:p>
    <w:p w14:paraId="1C3DD39F" w14:textId="77777777" w:rsidR="00E13F0B" w:rsidRPr="00C0591E" w:rsidRDefault="00E13F0B" w:rsidP="00E13F0B">
      <w:pPr>
        <w:ind w:left="720" w:hanging="720"/>
        <w:rPr>
          <w:rFonts w:cs="Times New Roman"/>
          <w:color w:val="222222"/>
          <w:szCs w:val="24"/>
          <w:shd w:val="clear" w:color="auto" w:fill="FFFFFF"/>
        </w:rPr>
      </w:pPr>
      <w:r w:rsidRPr="00C0591E">
        <w:rPr>
          <w:rFonts w:cs="Times New Roman"/>
          <w:szCs w:val="24"/>
        </w:rPr>
        <w:t xml:space="preserve">Ghasemi, A. and Zahediasl, S. (2012). ‘Normality tests for statistical analysis: A guide for non-statisticians’, </w:t>
      </w:r>
      <w:r w:rsidRPr="00C0591E">
        <w:rPr>
          <w:rFonts w:cs="Times New Roman"/>
          <w:i/>
          <w:szCs w:val="24"/>
        </w:rPr>
        <w:t>International Journal of Endocrinology and Metabolism</w:t>
      </w:r>
      <w:r w:rsidRPr="00C0591E">
        <w:rPr>
          <w:rFonts w:cs="Times New Roman"/>
          <w:szCs w:val="24"/>
        </w:rPr>
        <w:t>, 10(2), pp. 486– 489.</w:t>
      </w:r>
    </w:p>
    <w:p w14:paraId="0AEC44B8" w14:textId="77777777" w:rsidR="00E13F0B" w:rsidRPr="00C0591E" w:rsidRDefault="00E13F0B" w:rsidP="00E13F0B">
      <w:pPr>
        <w:ind w:left="720" w:hanging="720"/>
        <w:rPr>
          <w:rFonts w:cs="Times New Roman"/>
          <w:szCs w:val="24"/>
        </w:rPr>
      </w:pPr>
      <w:r w:rsidRPr="00C0591E">
        <w:rPr>
          <w:rFonts w:cs="Times New Roman"/>
          <w:szCs w:val="24"/>
        </w:rPr>
        <w:t>Gomper, W. (2019). Creating leadership organizations: How to bring out leadership in everyone.</w:t>
      </w:r>
    </w:p>
    <w:p w14:paraId="25150509" w14:textId="77777777" w:rsidR="00E13F0B" w:rsidRPr="00C0591E" w:rsidRDefault="00E13F0B" w:rsidP="00E13F0B">
      <w:pPr>
        <w:ind w:left="720" w:hanging="720"/>
        <w:rPr>
          <w:rFonts w:cs="Times New Roman"/>
          <w:szCs w:val="24"/>
        </w:rPr>
      </w:pPr>
      <w:r w:rsidRPr="00C0591E">
        <w:rPr>
          <w:rFonts w:cs="Times New Roman"/>
          <w:szCs w:val="24"/>
        </w:rPr>
        <w:t xml:space="preserve">Gompers, P., Ishii, J., &amp; Metrick, A. (2019). Corporate governance and equity prices. </w:t>
      </w:r>
      <w:r w:rsidRPr="00C0591E">
        <w:rPr>
          <w:rFonts w:cs="Times New Roman"/>
          <w:i/>
          <w:iCs/>
          <w:szCs w:val="24"/>
        </w:rPr>
        <w:t>The quarterly journal of economics</w:t>
      </w:r>
      <w:r w:rsidRPr="00C0591E">
        <w:rPr>
          <w:rFonts w:cs="Times New Roman"/>
          <w:szCs w:val="24"/>
        </w:rPr>
        <w:t xml:space="preserve">, </w:t>
      </w:r>
      <w:r w:rsidRPr="00C0591E">
        <w:rPr>
          <w:rFonts w:cs="Times New Roman"/>
          <w:i/>
          <w:iCs/>
          <w:szCs w:val="24"/>
        </w:rPr>
        <w:t>118</w:t>
      </w:r>
      <w:r w:rsidRPr="00C0591E">
        <w:rPr>
          <w:rFonts w:cs="Times New Roman"/>
          <w:szCs w:val="24"/>
        </w:rPr>
        <w:t>(1), 107-156.</w:t>
      </w:r>
    </w:p>
    <w:p w14:paraId="326EFAF8" w14:textId="77777777" w:rsidR="00E13F0B" w:rsidRPr="00C0591E" w:rsidRDefault="00E13F0B" w:rsidP="00E13F0B">
      <w:pPr>
        <w:ind w:left="720" w:hanging="720"/>
        <w:rPr>
          <w:rFonts w:cs="Times New Roman"/>
          <w:szCs w:val="24"/>
        </w:rPr>
      </w:pPr>
      <w:r w:rsidRPr="00C0591E">
        <w:rPr>
          <w:rFonts w:cs="Times New Roman"/>
          <w:szCs w:val="24"/>
        </w:rPr>
        <w:t xml:space="preserve">Grossman, S. J., &amp; Hart, O. D. (2016). The costs and benefits of ownership: A theory of vertical and lateral integration. </w:t>
      </w:r>
      <w:r w:rsidRPr="00C0591E">
        <w:rPr>
          <w:rFonts w:cs="Times New Roman"/>
          <w:i/>
          <w:iCs/>
          <w:szCs w:val="24"/>
        </w:rPr>
        <w:t>Journal of political economy</w:t>
      </w:r>
      <w:r w:rsidRPr="00C0591E">
        <w:rPr>
          <w:rFonts w:cs="Times New Roman"/>
          <w:szCs w:val="24"/>
        </w:rPr>
        <w:t xml:space="preserve">, </w:t>
      </w:r>
      <w:r w:rsidRPr="00C0591E">
        <w:rPr>
          <w:rFonts w:cs="Times New Roman"/>
          <w:i/>
          <w:iCs/>
          <w:szCs w:val="24"/>
        </w:rPr>
        <w:t>94</w:t>
      </w:r>
      <w:r w:rsidRPr="00C0591E">
        <w:rPr>
          <w:rFonts w:cs="Times New Roman"/>
          <w:szCs w:val="24"/>
        </w:rPr>
        <w:t>(4), 691-719.</w:t>
      </w:r>
    </w:p>
    <w:p w14:paraId="669EC79F" w14:textId="77777777" w:rsidR="00E13F0B" w:rsidRPr="00C0591E" w:rsidRDefault="00E13F0B" w:rsidP="00E13F0B">
      <w:pPr>
        <w:ind w:left="720" w:hanging="720"/>
        <w:rPr>
          <w:rFonts w:cs="Times New Roman"/>
          <w:color w:val="222222"/>
          <w:szCs w:val="24"/>
          <w:shd w:val="clear" w:color="auto" w:fill="FFFFFF"/>
        </w:rPr>
      </w:pPr>
      <w:r w:rsidRPr="00C0591E">
        <w:rPr>
          <w:rFonts w:cs="Times New Roman"/>
          <w:color w:val="222222"/>
          <w:szCs w:val="24"/>
          <w:shd w:val="clear" w:color="auto" w:fill="FFFFFF"/>
        </w:rPr>
        <w:t>Guzeh, P. M. (2019). The relationship between corporate governance and financial performance of parastatals in Kenya.</w:t>
      </w:r>
    </w:p>
    <w:p w14:paraId="745CFC32" w14:textId="77777777" w:rsidR="00E13F0B" w:rsidRPr="00C0591E" w:rsidRDefault="00E13F0B" w:rsidP="00E13F0B">
      <w:pPr>
        <w:ind w:left="720" w:hanging="720"/>
        <w:rPr>
          <w:rFonts w:cs="Times New Roman"/>
          <w:szCs w:val="24"/>
        </w:rPr>
      </w:pPr>
      <w:r w:rsidRPr="00C0591E">
        <w:rPr>
          <w:rFonts w:cs="Times New Roman"/>
          <w:szCs w:val="24"/>
        </w:rPr>
        <w:t xml:space="preserve">Haniffa, R., &amp; Hudaib, M. (2016). Corporate governance structure and performance of Malaysian listed companies. </w:t>
      </w:r>
      <w:r w:rsidRPr="00C0591E">
        <w:rPr>
          <w:rFonts w:cs="Times New Roman"/>
          <w:i/>
          <w:iCs/>
          <w:szCs w:val="24"/>
        </w:rPr>
        <w:t>Journal of Business Finance &amp; Accounting</w:t>
      </w:r>
      <w:r w:rsidRPr="00C0591E">
        <w:rPr>
          <w:rFonts w:cs="Times New Roman"/>
          <w:szCs w:val="24"/>
        </w:rPr>
        <w:t xml:space="preserve">, </w:t>
      </w:r>
      <w:r w:rsidRPr="00C0591E">
        <w:rPr>
          <w:rFonts w:cs="Times New Roman"/>
          <w:i/>
          <w:iCs/>
          <w:szCs w:val="24"/>
        </w:rPr>
        <w:t>33</w:t>
      </w:r>
      <w:r w:rsidRPr="00C0591E">
        <w:rPr>
          <w:rFonts w:cs="Times New Roman"/>
          <w:szCs w:val="24"/>
        </w:rPr>
        <w:t>(7‐8), 1034-1062.</w:t>
      </w:r>
    </w:p>
    <w:p w14:paraId="2E43F769" w14:textId="77777777" w:rsidR="00E13F0B" w:rsidRPr="00C0591E" w:rsidRDefault="00E13F0B" w:rsidP="00E13F0B">
      <w:pPr>
        <w:ind w:left="720" w:hanging="720"/>
        <w:rPr>
          <w:rFonts w:cs="Times New Roman"/>
          <w:szCs w:val="24"/>
          <w:shd w:val="clear" w:color="auto" w:fill="FFFFFF"/>
        </w:rPr>
      </w:pPr>
      <w:r w:rsidRPr="00C0591E">
        <w:rPr>
          <w:rFonts w:cs="Times New Roman"/>
          <w:szCs w:val="24"/>
        </w:rPr>
        <w:t xml:space="preserve">Hebb, T. &amp; Beeferman L. (2008). US Pension Funds’ Labour-Friendly Investments. </w:t>
      </w:r>
      <w:r w:rsidRPr="00C0591E">
        <w:rPr>
          <w:rFonts w:cs="Times New Roman"/>
          <w:i/>
          <w:szCs w:val="24"/>
        </w:rPr>
        <w:t>Journal of Comparative Social Welfare</w:t>
      </w:r>
      <w:r w:rsidRPr="00C0591E">
        <w:rPr>
          <w:rFonts w:cs="Times New Roman"/>
          <w:szCs w:val="24"/>
        </w:rPr>
        <w:t>, 25, 2.</w:t>
      </w:r>
    </w:p>
    <w:p w14:paraId="00774AB2" w14:textId="77777777" w:rsidR="00E13F0B" w:rsidRPr="00C0591E" w:rsidRDefault="00E13F0B" w:rsidP="00E13F0B">
      <w:pPr>
        <w:ind w:left="720" w:hanging="720"/>
        <w:rPr>
          <w:rFonts w:cs="Times New Roman"/>
          <w:szCs w:val="24"/>
        </w:rPr>
      </w:pPr>
      <w:r w:rsidRPr="00C0591E">
        <w:rPr>
          <w:rFonts w:cs="Times New Roman"/>
          <w:szCs w:val="24"/>
        </w:rPr>
        <w:t xml:space="preserve">Himmelberg, C. P., Hubbard, R. G., &amp; Palia, D. (2019). Understanding the determinants of managerial ownership and the link between ownership and performance. </w:t>
      </w:r>
      <w:r w:rsidRPr="00C0591E">
        <w:rPr>
          <w:rFonts w:cs="Times New Roman"/>
          <w:i/>
          <w:iCs/>
          <w:szCs w:val="24"/>
        </w:rPr>
        <w:t>Journal of financial economics</w:t>
      </w:r>
      <w:r w:rsidRPr="00C0591E">
        <w:rPr>
          <w:rFonts w:cs="Times New Roman"/>
          <w:szCs w:val="24"/>
        </w:rPr>
        <w:t xml:space="preserve">, </w:t>
      </w:r>
      <w:r w:rsidRPr="00C0591E">
        <w:rPr>
          <w:rFonts w:cs="Times New Roman"/>
          <w:i/>
          <w:iCs/>
          <w:szCs w:val="24"/>
        </w:rPr>
        <w:t>53</w:t>
      </w:r>
      <w:r w:rsidRPr="00C0591E">
        <w:rPr>
          <w:rFonts w:cs="Times New Roman"/>
          <w:szCs w:val="24"/>
        </w:rPr>
        <w:t>(3), 353-384.</w:t>
      </w:r>
    </w:p>
    <w:p w14:paraId="7B793014" w14:textId="77777777" w:rsidR="00E13F0B" w:rsidRPr="00C0591E" w:rsidRDefault="00E13F0B" w:rsidP="00E13F0B">
      <w:pPr>
        <w:ind w:left="720" w:hanging="720"/>
        <w:rPr>
          <w:rFonts w:cs="Times New Roman"/>
          <w:szCs w:val="24"/>
        </w:rPr>
      </w:pPr>
      <w:r w:rsidRPr="00C0591E">
        <w:rPr>
          <w:rFonts w:cs="Times New Roman"/>
          <w:szCs w:val="24"/>
        </w:rPr>
        <w:t>Hitt, M. A. (2012). Estructuras organizacionales. Pearson Educación.</w:t>
      </w:r>
    </w:p>
    <w:p w14:paraId="73366FEA" w14:textId="77777777" w:rsidR="00E13F0B" w:rsidRPr="00C0591E" w:rsidRDefault="00E13F0B" w:rsidP="00E13F0B">
      <w:pPr>
        <w:ind w:left="720" w:hanging="720"/>
        <w:rPr>
          <w:rFonts w:cs="Times New Roman"/>
          <w:szCs w:val="24"/>
        </w:rPr>
      </w:pPr>
      <w:r w:rsidRPr="00C0591E">
        <w:rPr>
          <w:rFonts w:cs="Times New Roman"/>
          <w:szCs w:val="24"/>
        </w:rPr>
        <w:t xml:space="preserve">Hsin, P. L., &amp; Mitchell, O. S. (2017). Public pension plan efficiency. </w:t>
      </w:r>
      <w:r w:rsidRPr="00C0591E">
        <w:rPr>
          <w:rFonts w:cs="Times New Roman"/>
          <w:i/>
          <w:iCs/>
          <w:szCs w:val="24"/>
        </w:rPr>
        <w:t>Positioning pensions for the twenty-first century</w:t>
      </w:r>
      <w:r w:rsidRPr="00C0591E">
        <w:rPr>
          <w:rFonts w:cs="Times New Roman"/>
          <w:szCs w:val="24"/>
        </w:rPr>
        <w:t>, 187-205.</w:t>
      </w:r>
    </w:p>
    <w:p w14:paraId="0A706B1B" w14:textId="77777777" w:rsidR="00E13F0B" w:rsidRPr="00C0591E" w:rsidRDefault="00E13F0B" w:rsidP="00E13F0B">
      <w:pPr>
        <w:ind w:left="720" w:hanging="720"/>
        <w:rPr>
          <w:rFonts w:cs="Times New Roman"/>
          <w:szCs w:val="24"/>
        </w:rPr>
      </w:pPr>
      <w:r w:rsidRPr="00C0591E">
        <w:rPr>
          <w:rFonts w:cs="Times New Roman"/>
          <w:szCs w:val="24"/>
        </w:rPr>
        <w:t xml:space="preserve">Huang, Y. S., &amp; Wang, C. J. (2015). Corporate governance and risk-taking of Chinese firms: The role of board size. </w:t>
      </w:r>
      <w:r w:rsidRPr="00C0591E">
        <w:rPr>
          <w:rFonts w:cs="Times New Roman"/>
          <w:i/>
          <w:iCs/>
          <w:szCs w:val="24"/>
        </w:rPr>
        <w:t>International Review of Economics &amp; Finance</w:t>
      </w:r>
      <w:r w:rsidRPr="00C0591E">
        <w:rPr>
          <w:rFonts w:cs="Times New Roman"/>
          <w:szCs w:val="24"/>
        </w:rPr>
        <w:t xml:space="preserve">, </w:t>
      </w:r>
      <w:r w:rsidRPr="00C0591E">
        <w:rPr>
          <w:rFonts w:cs="Times New Roman"/>
          <w:i/>
          <w:iCs/>
          <w:szCs w:val="24"/>
        </w:rPr>
        <w:t>37</w:t>
      </w:r>
      <w:r w:rsidRPr="00C0591E">
        <w:rPr>
          <w:rFonts w:cs="Times New Roman"/>
          <w:szCs w:val="24"/>
        </w:rPr>
        <w:t>, 96-113.</w:t>
      </w:r>
    </w:p>
    <w:p w14:paraId="15C9B178" w14:textId="77777777" w:rsidR="00E13F0B" w:rsidRPr="00C0591E" w:rsidRDefault="00E13F0B" w:rsidP="00E13F0B">
      <w:pPr>
        <w:ind w:left="720" w:hanging="720"/>
        <w:rPr>
          <w:rFonts w:cs="Times New Roman"/>
          <w:szCs w:val="24"/>
        </w:rPr>
      </w:pPr>
      <w:r w:rsidRPr="00C0591E">
        <w:rPr>
          <w:rFonts w:cs="Times New Roman"/>
          <w:szCs w:val="24"/>
        </w:rPr>
        <w:t xml:space="preserve">Ingley, C. B., &amp; Van der Walt, N. T. (2014). Corporate governance, institutional investors and conflicts of interest. </w:t>
      </w:r>
      <w:r w:rsidRPr="00C0591E">
        <w:rPr>
          <w:rFonts w:cs="Times New Roman"/>
          <w:i/>
          <w:iCs/>
          <w:szCs w:val="24"/>
        </w:rPr>
        <w:t>Corporate Governance: an international review</w:t>
      </w:r>
      <w:r w:rsidRPr="00C0591E">
        <w:rPr>
          <w:rFonts w:cs="Times New Roman"/>
          <w:szCs w:val="24"/>
        </w:rPr>
        <w:t xml:space="preserve">, </w:t>
      </w:r>
      <w:r w:rsidRPr="00C0591E">
        <w:rPr>
          <w:rFonts w:cs="Times New Roman"/>
          <w:i/>
          <w:iCs/>
          <w:szCs w:val="24"/>
        </w:rPr>
        <w:t>12</w:t>
      </w:r>
      <w:r w:rsidRPr="00C0591E">
        <w:rPr>
          <w:rFonts w:cs="Times New Roman"/>
          <w:szCs w:val="24"/>
        </w:rPr>
        <w:t>(4), 534-551.</w:t>
      </w:r>
    </w:p>
    <w:p w14:paraId="75AA0715" w14:textId="77777777" w:rsidR="00E13F0B" w:rsidRPr="00C0591E" w:rsidRDefault="00E13F0B" w:rsidP="00E13F0B">
      <w:pPr>
        <w:ind w:left="720" w:hanging="720"/>
        <w:rPr>
          <w:rFonts w:cs="Times New Roman"/>
          <w:szCs w:val="24"/>
        </w:rPr>
      </w:pPr>
      <w:r w:rsidRPr="00C0591E">
        <w:rPr>
          <w:rFonts w:cs="Times New Roman"/>
          <w:szCs w:val="24"/>
        </w:rPr>
        <w:t xml:space="preserve">Isik, O., &amp; Ince, A. R. (2016). Board size, board composition and performance: An investigation on Turkish banks. </w:t>
      </w:r>
      <w:r w:rsidRPr="00C0591E">
        <w:rPr>
          <w:rFonts w:cs="Times New Roman"/>
          <w:i/>
          <w:iCs/>
          <w:szCs w:val="24"/>
        </w:rPr>
        <w:t>International Business Research</w:t>
      </w:r>
      <w:r w:rsidRPr="00C0591E">
        <w:rPr>
          <w:rFonts w:cs="Times New Roman"/>
          <w:szCs w:val="24"/>
        </w:rPr>
        <w:t xml:space="preserve">, </w:t>
      </w:r>
      <w:r w:rsidRPr="00C0591E">
        <w:rPr>
          <w:rFonts w:cs="Times New Roman"/>
          <w:i/>
          <w:iCs/>
          <w:szCs w:val="24"/>
        </w:rPr>
        <w:t>9</w:t>
      </w:r>
      <w:r w:rsidRPr="00C0591E">
        <w:rPr>
          <w:rFonts w:cs="Times New Roman"/>
          <w:szCs w:val="24"/>
        </w:rPr>
        <w:t>(2), 74-84.</w:t>
      </w:r>
    </w:p>
    <w:p w14:paraId="16DE9D34" w14:textId="77777777" w:rsidR="00E13F0B" w:rsidRPr="00C0591E" w:rsidRDefault="00E13F0B" w:rsidP="00E13F0B">
      <w:pPr>
        <w:ind w:left="720" w:hanging="720"/>
        <w:rPr>
          <w:rFonts w:cs="Times New Roman"/>
          <w:szCs w:val="24"/>
        </w:rPr>
      </w:pPr>
      <w:r w:rsidRPr="00C0591E">
        <w:rPr>
          <w:rFonts w:cs="Times New Roman"/>
          <w:szCs w:val="24"/>
        </w:rPr>
        <w:t xml:space="preserve">Ivashkovskaya, I., &amp; Stepanova, A. (2019). Does strategic corporate performance depend on corporate financial architecture? Empirical study of European, Russian and other emerging market’s firms. </w:t>
      </w:r>
      <w:r w:rsidRPr="00C0591E">
        <w:rPr>
          <w:rFonts w:cs="Times New Roman"/>
          <w:i/>
          <w:iCs/>
          <w:szCs w:val="24"/>
        </w:rPr>
        <w:t>Journal of Management &amp; Governance</w:t>
      </w:r>
      <w:r w:rsidRPr="00C0591E">
        <w:rPr>
          <w:rFonts w:cs="Times New Roman"/>
          <w:szCs w:val="24"/>
        </w:rPr>
        <w:t xml:space="preserve">, </w:t>
      </w:r>
      <w:r w:rsidRPr="00C0591E">
        <w:rPr>
          <w:rFonts w:cs="Times New Roman"/>
          <w:i/>
          <w:iCs/>
          <w:szCs w:val="24"/>
        </w:rPr>
        <w:t>15</w:t>
      </w:r>
      <w:r w:rsidRPr="00C0591E">
        <w:rPr>
          <w:rFonts w:cs="Times New Roman"/>
          <w:szCs w:val="24"/>
        </w:rPr>
        <w:t>(4), 603-616.</w:t>
      </w:r>
    </w:p>
    <w:p w14:paraId="75418F02" w14:textId="77777777" w:rsidR="00E13F0B" w:rsidRPr="00C0591E" w:rsidRDefault="00E13F0B" w:rsidP="00E13F0B">
      <w:pPr>
        <w:ind w:left="720" w:hanging="720"/>
        <w:rPr>
          <w:rFonts w:cs="Times New Roman"/>
          <w:szCs w:val="24"/>
        </w:rPr>
      </w:pPr>
      <w:r w:rsidRPr="00C0591E">
        <w:rPr>
          <w:rFonts w:cs="Times New Roman"/>
          <w:szCs w:val="24"/>
        </w:rPr>
        <w:t xml:space="preserve">Jen, W. C. (2014). The impact of macroeconomic and corporate governance factors on firm value of Taiwanese green technology industry: A consideration of differential slope. </w:t>
      </w:r>
      <w:r w:rsidRPr="00C0591E">
        <w:rPr>
          <w:rFonts w:cs="Times New Roman"/>
          <w:i/>
          <w:szCs w:val="24"/>
        </w:rPr>
        <w:t>International Journal of Economics and Finance</w:t>
      </w:r>
      <w:r w:rsidRPr="00C0591E">
        <w:rPr>
          <w:rFonts w:cs="Times New Roman"/>
          <w:szCs w:val="24"/>
        </w:rPr>
        <w:t>, 6(7), 157- 164.</w:t>
      </w:r>
    </w:p>
    <w:p w14:paraId="6F1825A0" w14:textId="77777777" w:rsidR="00E13F0B" w:rsidRPr="00C0591E" w:rsidRDefault="00E13F0B" w:rsidP="00E13F0B">
      <w:pPr>
        <w:ind w:left="720" w:hanging="720"/>
        <w:rPr>
          <w:rFonts w:cs="Times New Roman"/>
          <w:szCs w:val="24"/>
        </w:rPr>
      </w:pPr>
      <w:r w:rsidRPr="00C0591E">
        <w:rPr>
          <w:rFonts w:cs="Times New Roman"/>
          <w:szCs w:val="24"/>
          <w:shd w:val="clear" w:color="auto" w:fill="FFFFFF"/>
        </w:rPr>
        <w:t>Jorgenson, D. W. (1963). Capital theory and investment behavior. </w:t>
      </w:r>
      <w:r w:rsidRPr="00C0591E">
        <w:rPr>
          <w:rFonts w:cs="Times New Roman"/>
          <w:i/>
          <w:iCs/>
          <w:szCs w:val="24"/>
          <w:shd w:val="clear" w:color="auto" w:fill="FFFFFF"/>
        </w:rPr>
        <w:t>The American Economic Review</w:t>
      </w:r>
      <w:r w:rsidRPr="00C0591E">
        <w:rPr>
          <w:rFonts w:cs="Times New Roman"/>
          <w:szCs w:val="24"/>
          <w:shd w:val="clear" w:color="auto" w:fill="FFFFFF"/>
        </w:rPr>
        <w:t>, </w:t>
      </w:r>
      <w:r w:rsidRPr="00C0591E">
        <w:rPr>
          <w:rFonts w:cs="Times New Roman"/>
          <w:i/>
          <w:iCs/>
          <w:szCs w:val="24"/>
          <w:shd w:val="clear" w:color="auto" w:fill="FFFFFF"/>
        </w:rPr>
        <w:t>53</w:t>
      </w:r>
      <w:r w:rsidRPr="00C0591E">
        <w:rPr>
          <w:rFonts w:cs="Times New Roman"/>
          <w:szCs w:val="24"/>
          <w:shd w:val="clear" w:color="auto" w:fill="FFFFFF"/>
        </w:rPr>
        <w:t>(2), 247-259.</w:t>
      </w:r>
    </w:p>
    <w:p w14:paraId="0C686C88" w14:textId="77777777" w:rsidR="00E13F0B" w:rsidRPr="00C0591E" w:rsidRDefault="00E13F0B" w:rsidP="00E13F0B">
      <w:pPr>
        <w:ind w:left="720" w:hanging="720"/>
        <w:rPr>
          <w:rFonts w:cs="Times New Roman"/>
          <w:szCs w:val="24"/>
        </w:rPr>
      </w:pPr>
      <w:r w:rsidRPr="00C0591E">
        <w:rPr>
          <w:rFonts w:cs="Times New Roman"/>
          <w:szCs w:val="24"/>
        </w:rPr>
        <w:t xml:space="preserve">Julien, R., &amp;Rieger, L. (2003). The missing link in corporate governance. </w:t>
      </w:r>
      <w:r w:rsidRPr="00C0591E">
        <w:rPr>
          <w:rFonts w:cs="Times New Roman"/>
          <w:i/>
          <w:szCs w:val="24"/>
        </w:rPr>
        <w:t>Journal of Risk Management</w:t>
      </w:r>
      <w:r w:rsidRPr="00C0591E">
        <w:rPr>
          <w:rFonts w:cs="Times New Roman"/>
          <w:szCs w:val="24"/>
        </w:rPr>
        <w:t>, 50 (4), 32-36.</w:t>
      </w:r>
    </w:p>
    <w:p w14:paraId="1D184532" w14:textId="77777777" w:rsidR="00E13F0B" w:rsidRPr="00C0591E" w:rsidRDefault="00E13F0B" w:rsidP="00E13F0B">
      <w:pPr>
        <w:ind w:left="720" w:hanging="720"/>
        <w:rPr>
          <w:rFonts w:cs="Times New Roman"/>
          <w:szCs w:val="24"/>
        </w:rPr>
      </w:pPr>
      <w:r w:rsidRPr="00C0591E">
        <w:rPr>
          <w:rFonts w:cs="Times New Roman"/>
          <w:szCs w:val="24"/>
        </w:rPr>
        <w:t xml:space="preserve">Kaboyo, O., &amp; Wamwea, G. (2014). Motivation factors for earning management practice in public listed companies in Kenya. In </w:t>
      </w:r>
      <w:r w:rsidRPr="00C0591E">
        <w:rPr>
          <w:rFonts w:cs="Times New Roman"/>
          <w:i/>
          <w:iCs/>
          <w:szCs w:val="24"/>
        </w:rPr>
        <w:t>A Research Paper Presented at the 5th African International Business and Management (AIBUMA) Conference, Nairobi, Kenya</w:t>
      </w:r>
      <w:r w:rsidRPr="00C0591E">
        <w:rPr>
          <w:rFonts w:cs="Times New Roman"/>
          <w:szCs w:val="24"/>
        </w:rPr>
        <w:t>.</w:t>
      </w:r>
    </w:p>
    <w:p w14:paraId="472353F3" w14:textId="77777777" w:rsidR="00E13F0B" w:rsidRPr="00C0591E" w:rsidRDefault="00E13F0B" w:rsidP="00E13F0B">
      <w:pPr>
        <w:ind w:left="720" w:hanging="720"/>
        <w:rPr>
          <w:rFonts w:cs="Times New Roman"/>
          <w:szCs w:val="24"/>
        </w:rPr>
      </w:pPr>
      <w:r w:rsidRPr="00C0591E">
        <w:rPr>
          <w:rFonts w:cs="Times New Roman"/>
          <w:szCs w:val="24"/>
        </w:rPr>
        <w:t xml:space="preserve">Kaplan, S. N., &amp; Minton, B. A. (1994). Appointments of outsiders to Japanese boards: Determinants and implications for managers. </w:t>
      </w:r>
      <w:r w:rsidRPr="00C0591E">
        <w:rPr>
          <w:rFonts w:cs="Times New Roman"/>
          <w:i/>
          <w:iCs/>
          <w:szCs w:val="24"/>
        </w:rPr>
        <w:t>Journal of Financial Economics</w:t>
      </w:r>
      <w:r w:rsidRPr="00C0591E">
        <w:rPr>
          <w:rFonts w:cs="Times New Roman"/>
          <w:szCs w:val="24"/>
        </w:rPr>
        <w:t xml:space="preserve">, </w:t>
      </w:r>
      <w:r w:rsidRPr="00C0591E">
        <w:rPr>
          <w:rFonts w:cs="Times New Roman"/>
          <w:i/>
          <w:iCs/>
          <w:szCs w:val="24"/>
        </w:rPr>
        <w:t>36</w:t>
      </w:r>
      <w:r w:rsidRPr="00C0591E">
        <w:rPr>
          <w:rFonts w:cs="Times New Roman"/>
          <w:szCs w:val="24"/>
        </w:rPr>
        <w:t>(2), 225-258.</w:t>
      </w:r>
    </w:p>
    <w:p w14:paraId="31586160" w14:textId="77777777" w:rsidR="00E13F0B" w:rsidRPr="00C0591E" w:rsidRDefault="00E13F0B" w:rsidP="00E13F0B">
      <w:pPr>
        <w:ind w:left="720" w:hanging="720"/>
        <w:rPr>
          <w:rFonts w:cs="Times New Roman"/>
          <w:szCs w:val="24"/>
        </w:rPr>
      </w:pPr>
      <w:r w:rsidRPr="00C0591E">
        <w:rPr>
          <w:rFonts w:cs="Times New Roman"/>
          <w:szCs w:val="24"/>
        </w:rPr>
        <w:t xml:space="preserve">Kay, I. T. (2014). CEO pay for performance: the solution to managerial power. </w:t>
      </w:r>
      <w:r w:rsidRPr="00C0591E">
        <w:rPr>
          <w:rFonts w:cs="Times New Roman"/>
          <w:i/>
          <w:iCs/>
          <w:szCs w:val="24"/>
        </w:rPr>
        <w:t>J. Corp. L.</w:t>
      </w:r>
      <w:r w:rsidRPr="00C0591E">
        <w:rPr>
          <w:rFonts w:cs="Times New Roman"/>
          <w:szCs w:val="24"/>
        </w:rPr>
        <w:t xml:space="preserve">, </w:t>
      </w:r>
      <w:r w:rsidRPr="00C0591E">
        <w:rPr>
          <w:rFonts w:cs="Times New Roman"/>
          <w:i/>
          <w:iCs/>
          <w:szCs w:val="24"/>
        </w:rPr>
        <w:t>30</w:t>
      </w:r>
      <w:r w:rsidRPr="00C0591E">
        <w:rPr>
          <w:rFonts w:cs="Times New Roman"/>
          <w:szCs w:val="24"/>
        </w:rPr>
        <w:t>, 785.</w:t>
      </w:r>
    </w:p>
    <w:p w14:paraId="269C8062" w14:textId="77777777" w:rsidR="00E13F0B" w:rsidRPr="00C0591E" w:rsidRDefault="00E13F0B" w:rsidP="00E13F0B">
      <w:pPr>
        <w:ind w:left="720" w:hanging="720"/>
        <w:rPr>
          <w:rFonts w:cs="Times New Roman"/>
          <w:szCs w:val="24"/>
        </w:rPr>
      </w:pPr>
      <w:r w:rsidRPr="00C0591E">
        <w:rPr>
          <w:rFonts w:cs="Times New Roman"/>
          <w:szCs w:val="24"/>
        </w:rPr>
        <w:t>Kenya Retirement Benefits Act. (2016) Nairobi: National Council for Law</w:t>
      </w:r>
    </w:p>
    <w:p w14:paraId="5CF607A4" w14:textId="77777777" w:rsidR="00E13F0B" w:rsidRPr="00C0591E" w:rsidRDefault="00E13F0B" w:rsidP="00E13F0B">
      <w:pPr>
        <w:ind w:left="720" w:hanging="720"/>
        <w:rPr>
          <w:rFonts w:cs="Times New Roman"/>
          <w:szCs w:val="24"/>
        </w:rPr>
      </w:pPr>
      <w:r w:rsidRPr="00C0591E">
        <w:rPr>
          <w:rFonts w:cs="Times New Roman"/>
          <w:szCs w:val="24"/>
        </w:rPr>
        <w:t xml:space="preserve">Khatab, H., Masood, M., Zaman, K., Saleem, S., &amp; Saeed, B. (2017). Corporate governance and firm performance: A case study of Karachi stock market. </w:t>
      </w:r>
      <w:r w:rsidRPr="00C0591E">
        <w:rPr>
          <w:rFonts w:cs="Times New Roman"/>
          <w:i/>
          <w:iCs/>
          <w:szCs w:val="24"/>
        </w:rPr>
        <w:t>International Journal of Trade, Economics and Finance</w:t>
      </w:r>
      <w:r w:rsidRPr="00C0591E">
        <w:rPr>
          <w:rFonts w:cs="Times New Roman"/>
          <w:szCs w:val="24"/>
        </w:rPr>
        <w:t xml:space="preserve">, </w:t>
      </w:r>
      <w:r w:rsidRPr="00C0591E">
        <w:rPr>
          <w:rFonts w:cs="Times New Roman"/>
          <w:i/>
          <w:iCs/>
          <w:szCs w:val="24"/>
        </w:rPr>
        <w:t>2</w:t>
      </w:r>
      <w:r w:rsidRPr="00C0591E">
        <w:rPr>
          <w:rFonts w:cs="Times New Roman"/>
          <w:szCs w:val="24"/>
        </w:rPr>
        <w:t>(1), 39.</w:t>
      </w:r>
    </w:p>
    <w:p w14:paraId="659008D3" w14:textId="77777777" w:rsidR="00E13F0B" w:rsidRPr="00C0591E" w:rsidRDefault="00E13F0B" w:rsidP="00E13F0B">
      <w:pPr>
        <w:ind w:left="720" w:hanging="720"/>
        <w:rPr>
          <w:rFonts w:cs="Times New Roman"/>
          <w:szCs w:val="24"/>
        </w:rPr>
      </w:pPr>
      <w:r w:rsidRPr="00C0591E">
        <w:rPr>
          <w:rFonts w:cs="Times New Roman"/>
          <w:szCs w:val="24"/>
        </w:rPr>
        <w:t xml:space="preserve">Kihara, M.N. (2006). Relationship Between Ownership Structure, Governance Structure and Performance of Firms Listed with NSE, </w:t>
      </w:r>
      <w:r w:rsidRPr="00C0591E">
        <w:rPr>
          <w:rFonts w:cs="Times New Roman"/>
          <w:i/>
          <w:szCs w:val="24"/>
        </w:rPr>
        <w:t>Unpublished Thesis</w:t>
      </w:r>
      <w:r w:rsidRPr="00C0591E">
        <w:rPr>
          <w:rFonts w:cs="Times New Roman"/>
          <w:szCs w:val="24"/>
        </w:rPr>
        <w:t>, Nairobi University, Kenya.</w:t>
      </w:r>
    </w:p>
    <w:p w14:paraId="61AF7638" w14:textId="77777777" w:rsidR="00E13F0B" w:rsidRPr="00C0591E" w:rsidRDefault="00E13F0B" w:rsidP="00E13F0B">
      <w:pPr>
        <w:ind w:left="720" w:hanging="720"/>
        <w:rPr>
          <w:rFonts w:cs="Times New Roman"/>
          <w:szCs w:val="24"/>
        </w:rPr>
      </w:pPr>
      <w:r w:rsidRPr="00C0591E">
        <w:rPr>
          <w:rFonts w:cs="Times New Roman"/>
          <w:szCs w:val="24"/>
        </w:rPr>
        <w:t xml:space="preserve">Kiruri, R. M. (2019). The effects of ownership structure on bank profitability in Kenya. </w:t>
      </w:r>
      <w:r w:rsidRPr="00C0591E">
        <w:rPr>
          <w:rFonts w:cs="Times New Roman"/>
          <w:i/>
          <w:szCs w:val="24"/>
        </w:rPr>
        <w:t>European Journal of Management Sciences and Economics</w:t>
      </w:r>
      <w:r w:rsidRPr="00C0591E">
        <w:rPr>
          <w:rFonts w:cs="Times New Roman"/>
          <w:szCs w:val="24"/>
        </w:rPr>
        <w:t xml:space="preserve">, 1(2), 116-127. </w:t>
      </w:r>
    </w:p>
    <w:p w14:paraId="23572DF1" w14:textId="77777777" w:rsidR="00E13F0B" w:rsidRPr="00C0591E" w:rsidRDefault="00E13F0B" w:rsidP="00E13F0B">
      <w:pPr>
        <w:ind w:left="720" w:hanging="720"/>
        <w:rPr>
          <w:rFonts w:cs="Times New Roman"/>
          <w:szCs w:val="24"/>
        </w:rPr>
      </w:pPr>
      <w:r w:rsidRPr="00C0591E">
        <w:rPr>
          <w:rFonts w:cs="Times New Roman"/>
          <w:szCs w:val="24"/>
        </w:rPr>
        <w:t xml:space="preserve">Kiruri, R. M., &amp; Olkalou, K. (2019). The effects of ownership structure on bank profitability in Kenya. </w:t>
      </w:r>
      <w:r w:rsidRPr="00C0591E">
        <w:rPr>
          <w:rFonts w:cs="Times New Roman"/>
          <w:i/>
          <w:iCs/>
          <w:szCs w:val="24"/>
        </w:rPr>
        <w:t>European Journal of Management Sciences and Economics</w:t>
      </w:r>
      <w:r w:rsidRPr="00C0591E">
        <w:rPr>
          <w:rFonts w:cs="Times New Roman"/>
          <w:szCs w:val="24"/>
        </w:rPr>
        <w:t xml:space="preserve">, </w:t>
      </w:r>
      <w:r w:rsidRPr="00C0591E">
        <w:rPr>
          <w:rFonts w:cs="Times New Roman"/>
          <w:i/>
          <w:iCs/>
          <w:szCs w:val="24"/>
        </w:rPr>
        <w:t>1</w:t>
      </w:r>
      <w:r w:rsidRPr="00C0591E">
        <w:rPr>
          <w:rFonts w:cs="Times New Roman"/>
          <w:szCs w:val="24"/>
        </w:rPr>
        <w:t>(2), 116-127.</w:t>
      </w:r>
    </w:p>
    <w:p w14:paraId="628A4A18" w14:textId="77777777" w:rsidR="00E13F0B" w:rsidRPr="00C0591E" w:rsidRDefault="00E13F0B" w:rsidP="00E13F0B">
      <w:pPr>
        <w:ind w:left="720" w:hanging="720"/>
        <w:rPr>
          <w:rFonts w:cs="Times New Roman"/>
          <w:szCs w:val="24"/>
        </w:rPr>
      </w:pPr>
      <w:r w:rsidRPr="00C0591E">
        <w:rPr>
          <w:rFonts w:cs="Times New Roman"/>
          <w:szCs w:val="24"/>
        </w:rPr>
        <w:t xml:space="preserve">Klapper, L. F., &amp; Love, I. (2014). Corporate governance, investor protection, and performance in emerging markets. </w:t>
      </w:r>
      <w:r w:rsidRPr="00C0591E">
        <w:rPr>
          <w:rFonts w:cs="Times New Roman"/>
          <w:i/>
          <w:iCs/>
          <w:szCs w:val="24"/>
        </w:rPr>
        <w:t>Journal of corporate Finance</w:t>
      </w:r>
      <w:r w:rsidRPr="00C0591E">
        <w:rPr>
          <w:rFonts w:cs="Times New Roman"/>
          <w:szCs w:val="24"/>
        </w:rPr>
        <w:t xml:space="preserve">, </w:t>
      </w:r>
      <w:r w:rsidRPr="00C0591E">
        <w:rPr>
          <w:rFonts w:cs="Times New Roman"/>
          <w:i/>
          <w:iCs/>
          <w:szCs w:val="24"/>
        </w:rPr>
        <w:t>10</w:t>
      </w:r>
      <w:r w:rsidRPr="00C0591E">
        <w:rPr>
          <w:rFonts w:cs="Times New Roman"/>
          <w:szCs w:val="24"/>
        </w:rPr>
        <w:t>(5), 703-728.</w:t>
      </w:r>
    </w:p>
    <w:p w14:paraId="6E4968DC" w14:textId="77777777" w:rsidR="00E13F0B" w:rsidRPr="00C0591E" w:rsidRDefault="00E13F0B" w:rsidP="00E13F0B">
      <w:pPr>
        <w:ind w:left="720" w:hanging="720"/>
        <w:rPr>
          <w:rFonts w:cs="Times New Roman"/>
          <w:szCs w:val="24"/>
        </w:rPr>
      </w:pPr>
      <w:r w:rsidRPr="00C0591E">
        <w:rPr>
          <w:rFonts w:cs="Times New Roman"/>
          <w:szCs w:val="24"/>
        </w:rPr>
        <w:t xml:space="preserve">Klapper, L., Sulla, V., &amp; Vittas, D. (2014). The development of mutual funds around the world. </w:t>
      </w:r>
      <w:r w:rsidRPr="00C0591E">
        <w:rPr>
          <w:rFonts w:cs="Times New Roman"/>
          <w:i/>
          <w:iCs/>
          <w:szCs w:val="24"/>
        </w:rPr>
        <w:t>Emerging Markets Review</w:t>
      </w:r>
      <w:r w:rsidRPr="00C0591E">
        <w:rPr>
          <w:rFonts w:cs="Times New Roman"/>
          <w:szCs w:val="24"/>
        </w:rPr>
        <w:t xml:space="preserve">, </w:t>
      </w:r>
      <w:r w:rsidRPr="00C0591E">
        <w:rPr>
          <w:rFonts w:cs="Times New Roman"/>
          <w:i/>
          <w:iCs/>
          <w:szCs w:val="24"/>
        </w:rPr>
        <w:t>5</w:t>
      </w:r>
      <w:r w:rsidRPr="00C0591E">
        <w:rPr>
          <w:rFonts w:cs="Times New Roman"/>
          <w:szCs w:val="24"/>
        </w:rPr>
        <w:t>(1), 1-38.</w:t>
      </w:r>
    </w:p>
    <w:p w14:paraId="1148C094" w14:textId="77777777" w:rsidR="00E13F0B" w:rsidRPr="00C0591E" w:rsidRDefault="00E13F0B" w:rsidP="00E13F0B">
      <w:pPr>
        <w:ind w:left="720" w:hanging="720"/>
        <w:rPr>
          <w:rFonts w:cs="Times New Roman"/>
          <w:szCs w:val="24"/>
        </w:rPr>
      </w:pPr>
      <w:r w:rsidRPr="00C0591E">
        <w:rPr>
          <w:rFonts w:cs="Times New Roman"/>
          <w:szCs w:val="24"/>
        </w:rPr>
        <w:t xml:space="preserve">Kock, C. J., Santalo, J., &amp; Diestre, L. (2019). Corporate governance and the environment: what type of governance creates greener companies?. </w:t>
      </w:r>
      <w:r w:rsidRPr="00C0591E">
        <w:rPr>
          <w:rFonts w:cs="Times New Roman"/>
          <w:i/>
          <w:iCs/>
          <w:szCs w:val="24"/>
        </w:rPr>
        <w:t>Journal of Management Studies</w:t>
      </w:r>
      <w:r w:rsidRPr="00C0591E">
        <w:rPr>
          <w:rFonts w:cs="Times New Roman"/>
          <w:szCs w:val="24"/>
        </w:rPr>
        <w:t xml:space="preserve">, </w:t>
      </w:r>
      <w:r w:rsidRPr="00C0591E">
        <w:rPr>
          <w:rFonts w:cs="Times New Roman"/>
          <w:i/>
          <w:iCs/>
          <w:szCs w:val="24"/>
        </w:rPr>
        <w:t>49</w:t>
      </w:r>
      <w:r w:rsidRPr="00C0591E">
        <w:rPr>
          <w:rFonts w:cs="Times New Roman"/>
          <w:szCs w:val="24"/>
        </w:rPr>
        <w:t>(3), 492-514.</w:t>
      </w:r>
    </w:p>
    <w:p w14:paraId="2F109C99" w14:textId="77777777" w:rsidR="00E13F0B" w:rsidRPr="00C0591E" w:rsidRDefault="00E13F0B" w:rsidP="00E13F0B">
      <w:pPr>
        <w:ind w:left="720" w:hanging="720"/>
        <w:rPr>
          <w:rFonts w:cs="Times New Roman"/>
          <w:szCs w:val="24"/>
        </w:rPr>
      </w:pPr>
      <w:r w:rsidRPr="00C0591E">
        <w:rPr>
          <w:rFonts w:cs="Times New Roman"/>
          <w:szCs w:val="24"/>
        </w:rPr>
        <w:t xml:space="preserve">Koopman, O. (2015). Phenomenology as a potential methodology for subjective knowing in science education research. </w:t>
      </w:r>
      <w:r w:rsidRPr="00C0591E">
        <w:rPr>
          <w:rFonts w:cs="Times New Roman"/>
          <w:i/>
          <w:szCs w:val="24"/>
        </w:rPr>
        <w:t>Indo - Pacific Journal of Phenomenology</w:t>
      </w:r>
      <w:r w:rsidRPr="00C0591E">
        <w:rPr>
          <w:rFonts w:cs="Times New Roman"/>
          <w:szCs w:val="24"/>
        </w:rPr>
        <w:t>, 15(1), 1- 10.</w:t>
      </w:r>
    </w:p>
    <w:p w14:paraId="2B546137" w14:textId="77777777" w:rsidR="00E13F0B" w:rsidRPr="00C0591E" w:rsidRDefault="00E13F0B" w:rsidP="00E13F0B">
      <w:pPr>
        <w:ind w:left="720" w:hanging="720"/>
        <w:rPr>
          <w:rFonts w:cs="Times New Roman"/>
          <w:szCs w:val="24"/>
        </w:rPr>
      </w:pPr>
      <w:r w:rsidRPr="00C0591E">
        <w:rPr>
          <w:rFonts w:cs="Times New Roman"/>
          <w:szCs w:val="24"/>
        </w:rPr>
        <w:t xml:space="preserve">Kothari, C.R &amp; Garg, G. (2014) </w:t>
      </w:r>
      <w:r w:rsidRPr="00C0591E">
        <w:rPr>
          <w:rFonts w:cs="Times New Roman"/>
          <w:i/>
          <w:szCs w:val="24"/>
        </w:rPr>
        <w:t>Research Methodology methods and techniques</w:t>
      </w:r>
      <w:r w:rsidRPr="00C0591E">
        <w:rPr>
          <w:rFonts w:cs="Times New Roman"/>
          <w:szCs w:val="24"/>
        </w:rPr>
        <w:t xml:space="preserve"> (3rded.) .Pg.89. India: New Age International Limited</w:t>
      </w:r>
    </w:p>
    <w:p w14:paraId="5F224755" w14:textId="77777777" w:rsidR="00E13F0B" w:rsidRPr="00C0591E" w:rsidRDefault="00E13F0B" w:rsidP="00E13F0B">
      <w:pPr>
        <w:ind w:left="720" w:hanging="720"/>
        <w:rPr>
          <w:rFonts w:cs="Times New Roman"/>
          <w:szCs w:val="24"/>
        </w:rPr>
      </w:pPr>
      <w:r w:rsidRPr="00C0591E">
        <w:rPr>
          <w:rFonts w:cs="Times New Roman"/>
          <w:szCs w:val="24"/>
        </w:rPr>
        <w:t xml:space="preserve">Kyando, B.W. (2014). </w:t>
      </w:r>
      <w:r w:rsidRPr="00C0591E">
        <w:rPr>
          <w:rFonts w:cs="Times New Roman"/>
          <w:i/>
          <w:szCs w:val="24"/>
        </w:rPr>
        <w:t>Contribution of Pension Funds in the Development of Capital Markets in Tanzania</w:t>
      </w:r>
      <w:r w:rsidRPr="00C0591E">
        <w:rPr>
          <w:rFonts w:cs="Times New Roman"/>
          <w:szCs w:val="24"/>
        </w:rPr>
        <w:t>. Master of Business Administration Thesis. The Open University of Tanzania.</w:t>
      </w:r>
    </w:p>
    <w:p w14:paraId="4117653D" w14:textId="77777777" w:rsidR="00E13F0B" w:rsidRPr="00C0591E" w:rsidRDefault="00E13F0B" w:rsidP="00E13F0B">
      <w:pPr>
        <w:ind w:left="720" w:hanging="720"/>
        <w:rPr>
          <w:rFonts w:cs="Times New Roman"/>
          <w:szCs w:val="24"/>
        </w:rPr>
      </w:pPr>
      <w:r w:rsidRPr="00C0591E">
        <w:rPr>
          <w:rFonts w:cs="Times New Roman"/>
          <w:szCs w:val="24"/>
        </w:rPr>
        <w:t xml:space="preserve">Lama, T. B. (2019). Is There Economic Rationale for Governance of Best Practices: Evidence from Australian ‘Mid Size’Listed Companies. </w:t>
      </w:r>
      <w:r w:rsidRPr="00C0591E">
        <w:rPr>
          <w:rFonts w:cs="Times New Roman"/>
          <w:i/>
          <w:iCs/>
          <w:szCs w:val="24"/>
        </w:rPr>
        <w:t>Available at SSRN 2015490</w:t>
      </w:r>
      <w:r w:rsidRPr="00C0591E">
        <w:rPr>
          <w:rFonts w:cs="Times New Roman"/>
          <w:szCs w:val="24"/>
        </w:rPr>
        <w:t>.</w:t>
      </w:r>
    </w:p>
    <w:p w14:paraId="3993BB70" w14:textId="77777777" w:rsidR="00E13F0B" w:rsidRPr="00C0591E" w:rsidRDefault="00E13F0B" w:rsidP="00E13F0B">
      <w:pPr>
        <w:ind w:left="720" w:hanging="720"/>
        <w:rPr>
          <w:rFonts w:cs="Times New Roman"/>
          <w:szCs w:val="24"/>
        </w:rPr>
      </w:pPr>
      <w:r w:rsidRPr="00C0591E">
        <w:rPr>
          <w:rFonts w:cs="Times New Roman"/>
          <w:szCs w:val="24"/>
        </w:rPr>
        <w:t>Lameck, W. (2019). Sampling Design, Validity and Reliability in General Social Survey. International Journal of Academic Research in Business and Social Sciences. 3(7).</w:t>
      </w:r>
    </w:p>
    <w:p w14:paraId="738A8F33" w14:textId="77777777" w:rsidR="00E13F0B" w:rsidRPr="00C0591E" w:rsidRDefault="00E13F0B" w:rsidP="00E13F0B">
      <w:pPr>
        <w:ind w:left="720" w:hanging="720"/>
        <w:rPr>
          <w:rFonts w:cs="Times New Roman"/>
          <w:color w:val="222222"/>
          <w:szCs w:val="24"/>
          <w:shd w:val="clear" w:color="auto" w:fill="FFFFFF"/>
        </w:rPr>
      </w:pPr>
      <w:r w:rsidRPr="00C0591E">
        <w:rPr>
          <w:rFonts w:cs="Times New Roman"/>
          <w:color w:val="222222"/>
          <w:szCs w:val="24"/>
          <w:shd w:val="clear" w:color="auto" w:fill="FFFFFF"/>
        </w:rPr>
        <w:t>Lamport, M. J., Latona, M. N., Seetanah, B., &amp; Sannassee, R. V. (2019). Relationship between corporate governance and firm performance: Evidence from a sample of top 100 Mauritian companies. In </w:t>
      </w:r>
      <w:r w:rsidRPr="00C0591E">
        <w:rPr>
          <w:rFonts w:cs="Times New Roman"/>
          <w:i/>
          <w:iCs/>
          <w:color w:val="222222"/>
          <w:szCs w:val="24"/>
          <w:shd w:val="clear" w:color="auto" w:fill="FFFFFF"/>
        </w:rPr>
        <w:t>Cambridge Business and Economics Conference</w:t>
      </w:r>
      <w:r w:rsidRPr="00C0591E">
        <w:rPr>
          <w:rFonts w:cs="Times New Roman"/>
          <w:color w:val="222222"/>
          <w:szCs w:val="24"/>
          <w:shd w:val="clear" w:color="auto" w:fill="FFFFFF"/>
        </w:rPr>
        <w:t> (pp. 27-28).</w:t>
      </w:r>
    </w:p>
    <w:p w14:paraId="25A49DBA" w14:textId="77777777" w:rsidR="00E13F0B" w:rsidRPr="00C0591E" w:rsidRDefault="00E13F0B" w:rsidP="00E13F0B">
      <w:pPr>
        <w:ind w:left="720" w:hanging="720"/>
        <w:rPr>
          <w:rFonts w:cs="Times New Roman"/>
          <w:szCs w:val="24"/>
        </w:rPr>
      </w:pPr>
      <w:r w:rsidRPr="00C0591E">
        <w:rPr>
          <w:rFonts w:cs="Times New Roman"/>
          <w:szCs w:val="24"/>
        </w:rPr>
        <w:t>Lasisi, T. I. (2017). The Relationship between corporate governance and organizational performance in Nigerian companies.</w:t>
      </w:r>
    </w:p>
    <w:p w14:paraId="3743A856" w14:textId="77777777" w:rsidR="00E13F0B" w:rsidRPr="00C0591E" w:rsidRDefault="00E13F0B" w:rsidP="00E13F0B">
      <w:pPr>
        <w:ind w:left="720" w:hanging="720"/>
        <w:rPr>
          <w:rFonts w:cs="Times New Roman"/>
          <w:szCs w:val="24"/>
        </w:rPr>
      </w:pPr>
      <w:r w:rsidRPr="00C0591E">
        <w:rPr>
          <w:rFonts w:cs="Times New Roman"/>
          <w:szCs w:val="24"/>
        </w:rPr>
        <w:t xml:space="preserve">Mackenzie, C. (2017). Boards, incentives and corporate social responsibility: The case for a change of emphasis. </w:t>
      </w:r>
      <w:r w:rsidRPr="00C0591E">
        <w:rPr>
          <w:rFonts w:cs="Times New Roman"/>
          <w:i/>
          <w:iCs/>
          <w:szCs w:val="24"/>
        </w:rPr>
        <w:t>Corporate Governance: An International Review</w:t>
      </w:r>
      <w:r w:rsidRPr="00C0591E">
        <w:rPr>
          <w:rFonts w:cs="Times New Roman"/>
          <w:szCs w:val="24"/>
        </w:rPr>
        <w:t xml:space="preserve">, </w:t>
      </w:r>
      <w:r w:rsidRPr="00C0591E">
        <w:rPr>
          <w:rFonts w:cs="Times New Roman"/>
          <w:i/>
          <w:iCs/>
          <w:szCs w:val="24"/>
        </w:rPr>
        <w:t>15</w:t>
      </w:r>
      <w:r w:rsidRPr="00C0591E">
        <w:rPr>
          <w:rFonts w:cs="Times New Roman"/>
          <w:szCs w:val="24"/>
        </w:rPr>
        <w:t>(5), 935-943.</w:t>
      </w:r>
    </w:p>
    <w:p w14:paraId="399DB4D3" w14:textId="77777777" w:rsidR="00E13F0B" w:rsidRPr="00C0591E" w:rsidRDefault="00E13F0B" w:rsidP="00E13F0B">
      <w:pPr>
        <w:ind w:left="720" w:hanging="720"/>
        <w:rPr>
          <w:rFonts w:cs="Times New Roman"/>
          <w:szCs w:val="24"/>
        </w:rPr>
      </w:pPr>
      <w:r w:rsidRPr="00C0591E">
        <w:rPr>
          <w:rFonts w:cs="Times New Roman"/>
          <w:szCs w:val="24"/>
        </w:rPr>
        <w:t xml:space="preserve">MacNaughton, J. (2017). Principles and practices of governance for public pension funds. In </w:t>
      </w:r>
      <w:r w:rsidRPr="00C0591E">
        <w:rPr>
          <w:rFonts w:cs="Times New Roman"/>
          <w:i/>
          <w:iCs/>
          <w:szCs w:val="24"/>
        </w:rPr>
        <w:t>presentation at World Bank Conference on Public Pension Fund Management, Washington DC</w:t>
      </w:r>
      <w:r w:rsidRPr="00C0591E">
        <w:rPr>
          <w:rFonts w:cs="Times New Roman"/>
          <w:szCs w:val="24"/>
        </w:rPr>
        <w:t>.</w:t>
      </w:r>
    </w:p>
    <w:p w14:paraId="722EC45D" w14:textId="77777777" w:rsidR="00E13F0B" w:rsidRPr="00C0591E" w:rsidRDefault="00E13F0B" w:rsidP="00E13F0B">
      <w:pPr>
        <w:ind w:left="720" w:hanging="720"/>
        <w:rPr>
          <w:rFonts w:cs="Times New Roman"/>
          <w:szCs w:val="24"/>
        </w:rPr>
      </w:pPr>
      <w:r w:rsidRPr="00C0591E">
        <w:rPr>
          <w:rFonts w:cs="Times New Roman"/>
          <w:szCs w:val="24"/>
        </w:rPr>
        <w:t xml:space="preserve">Making, C. G. S. D. (2015). </w:t>
      </w:r>
      <w:r w:rsidRPr="00C0591E">
        <w:rPr>
          <w:rFonts w:cs="Times New Roman"/>
          <w:i/>
          <w:szCs w:val="24"/>
        </w:rPr>
        <w:t>Kiliko, Jonathan Munywoki Muli</w:t>
      </w:r>
      <w:r w:rsidRPr="00C0591E">
        <w:rPr>
          <w:rFonts w:cs="Times New Roman"/>
          <w:szCs w:val="24"/>
        </w:rPr>
        <w:t xml:space="preserve"> (Doctoral Dissertation, School of Business, University of Nairobi).</w:t>
      </w:r>
    </w:p>
    <w:p w14:paraId="07300918" w14:textId="77777777" w:rsidR="00E13F0B" w:rsidRPr="00C0591E" w:rsidRDefault="00E13F0B" w:rsidP="00E13F0B">
      <w:pPr>
        <w:ind w:left="720" w:hanging="720"/>
        <w:rPr>
          <w:rFonts w:cs="Times New Roman"/>
          <w:szCs w:val="24"/>
        </w:rPr>
      </w:pPr>
      <w:r w:rsidRPr="00C0591E">
        <w:rPr>
          <w:rFonts w:cs="Times New Roman"/>
          <w:szCs w:val="24"/>
        </w:rPr>
        <w:t xml:space="preserve">Mallin, C., &amp; Zattoni, A. (2016). Corporate governance codes: A review and research agenda. </w:t>
      </w:r>
      <w:r w:rsidRPr="00C0591E">
        <w:rPr>
          <w:rFonts w:cs="Times New Roman"/>
          <w:i/>
          <w:iCs/>
          <w:szCs w:val="24"/>
        </w:rPr>
        <w:t>Corporate governance: an international review</w:t>
      </w:r>
      <w:r w:rsidRPr="00C0591E">
        <w:rPr>
          <w:rFonts w:cs="Times New Roman"/>
          <w:szCs w:val="24"/>
        </w:rPr>
        <w:t xml:space="preserve">, </w:t>
      </w:r>
      <w:r w:rsidRPr="00C0591E">
        <w:rPr>
          <w:rFonts w:cs="Times New Roman"/>
          <w:i/>
          <w:iCs/>
          <w:szCs w:val="24"/>
        </w:rPr>
        <w:t>24</w:t>
      </w:r>
      <w:r w:rsidRPr="00C0591E">
        <w:rPr>
          <w:rFonts w:cs="Times New Roman"/>
          <w:szCs w:val="24"/>
        </w:rPr>
        <w:t>(3), 222-241.</w:t>
      </w:r>
    </w:p>
    <w:p w14:paraId="58D98102" w14:textId="77777777" w:rsidR="00E13F0B" w:rsidRPr="00C0591E" w:rsidRDefault="00E13F0B" w:rsidP="00E13F0B">
      <w:pPr>
        <w:ind w:left="720" w:hanging="720"/>
        <w:rPr>
          <w:rFonts w:cs="Times New Roman"/>
          <w:szCs w:val="24"/>
        </w:rPr>
      </w:pPr>
      <w:r w:rsidRPr="00C0591E">
        <w:rPr>
          <w:rFonts w:cs="Times New Roman"/>
          <w:szCs w:val="24"/>
        </w:rPr>
        <w:t xml:space="preserve">Mallin, C., Mullineux, A., &amp; Wihlborg, C. (2015). The financial sector and corporate governance: the UK case. </w:t>
      </w:r>
      <w:r w:rsidRPr="00C0591E">
        <w:rPr>
          <w:rFonts w:cs="Times New Roman"/>
          <w:i/>
          <w:iCs/>
          <w:szCs w:val="24"/>
        </w:rPr>
        <w:t>Corporate Governance: An International Review</w:t>
      </w:r>
      <w:r w:rsidRPr="00C0591E">
        <w:rPr>
          <w:rFonts w:cs="Times New Roman"/>
          <w:szCs w:val="24"/>
        </w:rPr>
        <w:t xml:space="preserve">, </w:t>
      </w:r>
      <w:r w:rsidRPr="00C0591E">
        <w:rPr>
          <w:rFonts w:cs="Times New Roman"/>
          <w:i/>
          <w:iCs/>
          <w:szCs w:val="24"/>
        </w:rPr>
        <w:t>13</w:t>
      </w:r>
      <w:r w:rsidRPr="00C0591E">
        <w:rPr>
          <w:rFonts w:cs="Times New Roman"/>
          <w:szCs w:val="24"/>
        </w:rPr>
        <w:t>(4), 532-541.</w:t>
      </w:r>
    </w:p>
    <w:p w14:paraId="2B3718C6" w14:textId="77777777" w:rsidR="00E13F0B" w:rsidRPr="00C0591E" w:rsidRDefault="00E13F0B" w:rsidP="00E13F0B">
      <w:pPr>
        <w:ind w:left="720" w:hanging="720"/>
        <w:rPr>
          <w:rFonts w:cs="Times New Roman"/>
          <w:szCs w:val="24"/>
        </w:rPr>
      </w:pPr>
      <w:r w:rsidRPr="00C0591E">
        <w:rPr>
          <w:rFonts w:cs="Times New Roman"/>
          <w:szCs w:val="24"/>
        </w:rPr>
        <w:t xml:space="preserve">Mang'Unyi, E. E. (2019). Ownership structure and Corporate Governance and its effects on performance: A case of selected Banks in Kenya. </w:t>
      </w:r>
      <w:r w:rsidRPr="00C0591E">
        <w:rPr>
          <w:rFonts w:cs="Times New Roman"/>
          <w:i/>
          <w:iCs/>
          <w:szCs w:val="24"/>
        </w:rPr>
        <w:t>International journal of business administration</w:t>
      </w:r>
      <w:r w:rsidRPr="00C0591E">
        <w:rPr>
          <w:rFonts w:cs="Times New Roman"/>
          <w:szCs w:val="24"/>
        </w:rPr>
        <w:t xml:space="preserve">, </w:t>
      </w:r>
      <w:r w:rsidRPr="00C0591E">
        <w:rPr>
          <w:rFonts w:cs="Times New Roman"/>
          <w:i/>
          <w:iCs/>
          <w:szCs w:val="24"/>
        </w:rPr>
        <w:t>2</w:t>
      </w:r>
      <w:r w:rsidRPr="00C0591E">
        <w:rPr>
          <w:rFonts w:cs="Times New Roman"/>
          <w:szCs w:val="24"/>
        </w:rPr>
        <w:t>(3), 2.</w:t>
      </w:r>
    </w:p>
    <w:p w14:paraId="7BBE1EBF" w14:textId="77777777" w:rsidR="00E13F0B" w:rsidRPr="00C0591E" w:rsidRDefault="00E13F0B" w:rsidP="00E13F0B">
      <w:pPr>
        <w:ind w:left="720" w:hanging="720"/>
        <w:rPr>
          <w:rFonts w:cs="Times New Roman"/>
          <w:szCs w:val="24"/>
        </w:rPr>
      </w:pPr>
      <w:r w:rsidRPr="00C0591E">
        <w:rPr>
          <w:rFonts w:cs="Times New Roman"/>
          <w:szCs w:val="24"/>
        </w:rPr>
        <w:t xml:space="preserve">Manville, B., &amp; Ober, J. (2019). Beyond empowerment: Building a company of citizens. </w:t>
      </w:r>
      <w:r w:rsidRPr="00C0591E">
        <w:rPr>
          <w:rFonts w:cs="Times New Roman"/>
          <w:i/>
          <w:iCs/>
          <w:szCs w:val="24"/>
        </w:rPr>
        <w:t>Harvard business review</w:t>
      </w:r>
      <w:r w:rsidRPr="00C0591E">
        <w:rPr>
          <w:rFonts w:cs="Times New Roman"/>
          <w:szCs w:val="24"/>
        </w:rPr>
        <w:t xml:space="preserve">, </w:t>
      </w:r>
      <w:r w:rsidRPr="00C0591E">
        <w:rPr>
          <w:rFonts w:cs="Times New Roman"/>
          <w:i/>
          <w:iCs/>
          <w:szCs w:val="24"/>
        </w:rPr>
        <w:t>81</w:t>
      </w:r>
      <w:r w:rsidRPr="00C0591E">
        <w:rPr>
          <w:rFonts w:cs="Times New Roman"/>
          <w:szCs w:val="24"/>
        </w:rPr>
        <w:t>(1), 48.</w:t>
      </w:r>
    </w:p>
    <w:p w14:paraId="47AE75C7" w14:textId="77777777" w:rsidR="00E13F0B" w:rsidRPr="00C0591E" w:rsidRDefault="00E13F0B" w:rsidP="00E13F0B">
      <w:pPr>
        <w:ind w:left="720" w:hanging="720"/>
        <w:rPr>
          <w:rFonts w:cs="Times New Roman"/>
          <w:szCs w:val="24"/>
        </w:rPr>
      </w:pPr>
      <w:r w:rsidRPr="00C0591E">
        <w:rPr>
          <w:rFonts w:cs="Times New Roman"/>
          <w:szCs w:val="24"/>
        </w:rPr>
        <w:t>Manyuru, A., Wachira, M., &amp; Amata, E. (2017). The impact of corporate diversification on firm value in Kenya.</w:t>
      </w:r>
    </w:p>
    <w:p w14:paraId="0AE93ED2" w14:textId="22EC6A20" w:rsidR="00E13F0B" w:rsidRPr="00C0591E" w:rsidRDefault="00E13F0B" w:rsidP="00E13F0B">
      <w:pPr>
        <w:ind w:left="720" w:hanging="720"/>
        <w:rPr>
          <w:rFonts w:cs="Times New Roman"/>
          <w:szCs w:val="24"/>
          <w:shd w:val="clear" w:color="auto" w:fill="FFFFFF"/>
        </w:rPr>
      </w:pPr>
      <w:r w:rsidRPr="00C0591E">
        <w:rPr>
          <w:rFonts w:cs="Times New Roman"/>
          <w:szCs w:val="24"/>
          <w:shd w:val="clear" w:color="auto" w:fill="FFFFFF"/>
        </w:rPr>
        <w:t>Maranga, M. (2014). The Effect of Corporate Governance on Financial Performance of Small and Medium Enterprises in Nairobi County, Kenya. </w:t>
      </w:r>
      <w:r w:rsidRPr="00C0591E">
        <w:rPr>
          <w:rFonts w:cs="Times New Roman"/>
          <w:i/>
          <w:iCs/>
          <w:szCs w:val="24"/>
          <w:shd w:val="clear" w:color="auto" w:fill="FFFFFF"/>
        </w:rPr>
        <w:t>International Journal for Management Science and Technology</w:t>
      </w:r>
      <w:r w:rsidRPr="00C0591E">
        <w:rPr>
          <w:rFonts w:cs="Times New Roman"/>
          <w:szCs w:val="24"/>
          <w:shd w:val="clear" w:color="auto" w:fill="FFFFFF"/>
        </w:rPr>
        <w:t>, </w:t>
      </w:r>
      <w:r w:rsidRPr="00C0591E">
        <w:rPr>
          <w:rFonts w:cs="Times New Roman"/>
          <w:i/>
          <w:iCs/>
          <w:szCs w:val="24"/>
          <w:shd w:val="clear" w:color="auto" w:fill="FFFFFF"/>
        </w:rPr>
        <w:t>2</w:t>
      </w:r>
      <w:r w:rsidRPr="00C0591E">
        <w:rPr>
          <w:rFonts w:cs="Times New Roman"/>
          <w:szCs w:val="24"/>
          <w:shd w:val="clear" w:color="auto" w:fill="FFFFFF"/>
        </w:rPr>
        <w:t>(3), 47-52.</w:t>
      </w:r>
    </w:p>
    <w:p w14:paraId="311BA481" w14:textId="77777777" w:rsidR="00E13F0B" w:rsidRPr="00C0591E" w:rsidRDefault="00E13F0B" w:rsidP="00E13F0B">
      <w:pPr>
        <w:ind w:left="720" w:hanging="720"/>
        <w:rPr>
          <w:rFonts w:cs="Times New Roman"/>
          <w:szCs w:val="24"/>
        </w:rPr>
      </w:pPr>
      <w:r w:rsidRPr="00C0591E">
        <w:rPr>
          <w:rFonts w:cs="Times New Roman"/>
          <w:szCs w:val="24"/>
        </w:rPr>
        <w:t xml:space="preserve">Matsunaga, S. R., &amp; Wang, Z. J. (2019). The Role of Pension Business Benefits in Institutional Block Ownership and Corporate Governance. </w:t>
      </w:r>
      <w:r w:rsidRPr="00C0591E">
        <w:rPr>
          <w:rFonts w:cs="Times New Roman"/>
          <w:i/>
          <w:iCs/>
          <w:szCs w:val="24"/>
        </w:rPr>
        <w:t>Contemporary Accounting Research</w:t>
      </w:r>
      <w:r w:rsidRPr="00C0591E">
        <w:rPr>
          <w:rFonts w:cs="Times New Roman"/>
          <w:szCs w:val="24"/>
        </w:rPr>
        <w:t>.</w:t>
      </w:r>
    </w:p>
    <w:p w14:paraId="0C82B4C5" w14:textId="77777777" w:rsidR="00E13F0B" w:rsidRPr="00C0591E" w:rsidRDefault="00E13F0B" w:rsidP="00E13F0B">
      <w:pPr>
        <w:ind w:left="720" w:hanging="720"/>
        <w:rPr>
          <w:rFonts w:cs="Times New Roman"/>
          <w:szCs w:val="24"/>
        </w:rPr>
      </w:pPr>
      <w:r w:rsidRPr="00C0591E">
        <w:rPr>
          <w:rFonts w:cs="Times New Roman"/>
          <w:szCs w:val="24"/>
        </w:rPr>
        <w:t xml:space="preserve">Miriti, F. M. (2014). </w:t>
      </w:r>
      <w:r w:rsidRPr="00C0591E">
        <w:rPr>
          <w:rFonts w:cs="Times New Roman"/>
          <w:i/>
          <w:iCs/>
          <w:szCs w:val="24"/>
        </w:rPr>
        <w:t>The relationship between retirement benefits authority investment guidelines and financial performance of pension schemes in Kenya</w:t>
      </w:r>
      <w:r w:rsidRPr="00C0591E">
        <w:rPr>
          <w:rFonts w:cs="Times New Roman"/>
          <w:szCs w:val="24"/>
        </w:rPr>
        <w:t xml:space="preserve"> (Doctoral dissertation, University of Nairobi).</w:t>
      </w:r>
    </w:p>
    <w:p w14:paraId="0D5D9D1F" w14:textId="77777777" w:rsidR="00E13F0B" w:rsidRPr="00C0591E" w:rsidRDefault="00E13F0B" w:rsidP="00E13F0B">
      <w:pPr>
        <w:ind w:left="720" w:hanging="720"/>
        <w:rPr>
          <w:rFonts w:cs="Times New Roman"/>
          <w:szCs w:val="24"/>
        </w:rPr>
      </w:pPr>
      <w:r w:rsidRPr="00C0591E">
        <w:rPr>
          <w:rFonts w:cs="Times New Roman"/>
          <w:szCs w:val="24"/>
        </w:rPr>
        <w:t xml:space="preserve">Mitchell, O. S., &amp; Hsin, P. L. (2017). </w:t>
      </w:r>
      <w:r w:rsidRPr="00C0591E">
        <w:rPr>
          <w:rFonts w:cs="Times New Roman"/>
          <w:i/>
          <w:iCs/>
          <w:szCs w:val="24"/>
        </w:rPr>
        <w:t>Public sector pension governance and performance</w:t>
      </w:r>
      <w:r w:rsidRPr="00C0591E">
        <w:rPr>
          <w:rFonts w:cs="Times New Roman"/>
          <w:szCs w:val="24"/>
        </w:rPr>
        <w:t xml:space="preserve"> (No. w4632). National Bureau of Economic Research.</w:t>
      </w:r>
    </w:p>
    <w:p w14:paraId="5B61608A" w14:textId="77777777" w:rsidR="00E13F0B" w:rsidRPr="00C0591E" w:rsidRDefault="00E13F0B" w:rsidP="00E13F0B">
      <w:pPr>
        <w:ind w:left="720" w:hanging="720"/>
        <w:rPr>
          <w:rFonts w:cs="Times New Roman"/>
          <w:szCs w:val="24"/>
        </w:rPr>
      </w:pPr>
      <w:r w:rsidRPr="00C0591E">
        <w:rPr>
          <w:rFonts w:cs="Times New Roman"/>
          <w:szCs w:val="24"/>
        </w:rPr>
        <w:t xml:space="preserve">Mitnick, B. (1973). </w:t>
      </w:r>
      <w:r w:rsidRPr="00C0591E">
        <w:rPr>
          <w:rFonts w:cs="Times New Roman"/>
          <w:i/>
          <w:szCs w:val="24"/>
        </w:rPr>
        <w:t>Origin of the Theory of Agency: An account by one of the theory’s originators</w:t>
      </w:r>
      <w:r w:rsidRPr="00C0591E">
        <w:rPr>
          <w:rFonts w:cs="Times New Roman"/>
          <w:szCs w:val="24"/>
        </w:rPr>
        <w:t>. University of Pittsburgh, Revised.</w:t>
      </w:r>
    </w:p>
    <w:p w14:paraId="41C16367" w14:textId="77777777" w:rsidR="00E13F0B" w:rsidRPr="00C0591E" w:rsidRDefault="00E13F0B" w:rsidP="00E13F0B">
      <w:pPr>
        <w:ind w:left="720" w:hanging="720"/>
        <w:rPr>
          <w:rFonts w:cs="Times New Roman"/>
          <w:szCs w:val="24"/>
        </w:rPr>
      </w:pPr>
      <w:r w:rsidRPr="00C0591E">
        <w:rPr>
          <w:rFonts w:cs="Times New Roman"/>
          <w:szCs w:val="24"/>
        </w:rPr>
        <w:t xml:space="preserve">Mizruchi, M. S., &amp; Stearns, L. B. (2018). A longitudinal study of the formation of interlocking directorates. </w:t>
      </w:r>
      <w:r w:rsidRPr="00C0591E">
        <w:rPr>
          <w:rFonts w:cs="Times New Roman"/>
          <w:i/>
          <w:iCs/>
          <w:szCs w:val="24"/>
        </w:rPr>
        <w:t>Administrative Science Quarterly</w:t>
      </w:r>
      <w:r w:rsidRPr="00C0591E">
        <w:rPr>
          <w:rFonts w:cs="Times New Roman"/>
          <w:szCs w:val="24"/>
        </w:rPr>
        <w:t>, 194-210.</w:t>
      </w:r>
    </w:p>
    <w:p w14:paraId="330F3505" w14:textId="77777777" w:rsidR="00E13F0B" w:rsidRPr="00C0591E" w:rsidRDefault="00E13F0B" w:rsidP="00E13F0B">
      <w:pPr>
        <w:ind w:left="720" w:hanging="720"/>
        <w:rPr>
          <w:rFonts w:cs="Times New Roman"/>
          <w:szCs w:val="24"/>
        </w:rPr>
      </w:pPr>
      <w:r w:rsidRPr="00C0591E">
        <w:rPr>
          <w:rFonts w:cs="Times New Roman"/>
          <w:szCs w:val="24"/>
        </w:rPr>
        <w:t xml:space="preserve">Mokaya, M. A., &amp; Jagongo, A. (2015). The Effect of ownership structure on the financial performance of firms listed at the Nairobi securities exchange. </w:t>
      </w:r>
      <w:r w:rsidRPr="00C0591E">
        <w:rPr>
          <w:rFonts w:cs="Times New Roman"/>
          <w:i/>
          <w:iCs/>
          <w:szCs w:val="24"/>
        </w:rPr>
        <w:t>International Journal of Finance and Accounting</w:t>
      </w:r>
      <w:r w:rsidRPr="00C0591E">
        <w:rPr>
          <w:rFonts w:cs="Times New Roman"/>
          <w:szCs w:val="24"/>
        </w:rPr>
        <w:t xml:space="preserve">, </w:t>
      </w:r>
      <w:r w:rsidRPr="00C0591E">
        <w:rPr>
          <w:rFonts w:cs="Times New Roman"/>
          <w:i/>
          <w:iCs/>
          <w:szCs w:val="24"/>
        </w:rPr>
        <w:t>4</w:t>
      </w:r>
      <w:r w:rsidRPr="00C0591E">
        <w:rPr>
          <w:rFonts w:cs="Times New Roman"/>
          <w:szCs w:val="24"/>
        </w:rPr>
        <w:t>(11), 1-17.</w:t>
      </w:r>
    </w:p>
    <w:p w14:paraId="6971C90C" w14:textId="77777777" w:rsidR="00E13F0B" w:rsidRPr="00C0591E" w:rsidRDefault="00E13F0B" w:rsidP="00E13F0B">
      <w:pPr>
        <w:autoSpaceDE w:val="0"/>
        <w:autoSpaceDN w:val="0"/>
        <w:adjustRightInd w:val="0"/>
        <w:ind w:left="720" w:hanging="720"/>
        <w:rPr>
          <w:rFonts w:cs="Times New Roman"/>
          <w:i/>
          <w:color w:val="131413"/>
          <w:szCs w:val="24"/>
        </w:rPr>
      </w:pPr>
      <w:r w:rsidRPr="00C0591E">
        <w:rPr>
          <w:rFonts w:cs="Times New Roman"/>
          <w:color w:val="000000"/>
          <w:szCs w:val="24"/>
        </w:rPr>
        <w:t xml:space="preserve">Mugenda, O.M., &amp; Mugenda A.G. (2003). </w:t>
      </w:r>
      <w:r w:rsidRPr="00C0591E">
        <w:rPr>
          <w:rFonts w:cs="Times New Roman"/>
          <w:i/>
          <w:iCs/>
          <w:color w:val="000000"/>
          <w:szCs w:val="24"/>
        </w:rPr>
        <w:t>Research Methods: Quantitative and</w:t>
      </w:r>
      <w:r w:rsidRPr="00C0591E">
        <w:rPr>
          <w:rFonts w:cs="Times New Roman"/>
          <w:color w:val="000000"/>
          <w:szCs w:val="24"/>
        </w:rPr>
        <w:br/>
      </w:r>
      <w:r w:rsidRPr="00C0591E">
        <w:rPr>
          <w:rFonts w:cs="Times New Roman"/>
          <w:i/>
          <w:iCs/>
          <w:color w:val="000000"/>
          <w:szCs w:val="24"/>
        </w:rPr>
        <w:t xml:space="preserve">Qualitative Approaches. </w:t>
      </w:r>
      <w:r w:rsidRPr="00C0591E">
        <w:rPr>
          <w:rFonts w:cs="Times New Roman"/>
          <w:color w:val="000000"/>
          <w:szCs w:val="24"/>
        </w:rPr>
        <w:t>Nairobi: Acts press.</w:t>
      </w:r>
    </w:p>
    <w:p w14:paraId="4D3AAF18" w14:textId="77777777" w:rsidR="00E13F0B" w:rsidRPr="00C0591E" w:rsidRDefault="00E13F0B" w:rsidP="00E13F0B">
      <w:pPr>
        <w:ind w:left="720" w:hanging="720"/>
        <w:rPr>
          <w:rFonts w:cs="Times New Roman"/>
          <w:szCs w:val="24"/>
        </w:rPr>
      </w:pPr>
      <w:r w:rsidRPr="00C0591E">
        <w:rPr>
          <w:rFonts w:cs="Times New Roman"/>
          <w:szCs w:val="24"/>
        </w:rPr>
        <w:t xml:space="preserve">Mugo, R. K., Oluoch, W. O., &amp; Mangwa, I. M. (2017). The relationship between portfolio selection and performance of large capitalization stocks in Kenya. </w:t>
      </w:r>
      <w:r w:rsidRPr="00C0591E">
        <w:rPr>
          <w:rFonts w:cs="Times New Roman"/>
          <w:i/>
          <w:iCs/>
          <w:szCs w:val="24"/>
        </w:rPr>
        <w:t>International Journal of Economics, Commerce and Management</w:t>
      </w:r>
      <w:r w:rsidRPr="00C0591E">
        <w:rPr>
          <w:rFonts w:cs="Times New Roman"/>
          <w:szCs w:val="24"/>
        </w:rPr>
        <w:t xml:space="preserve">, </w:t>
      </w:r>
      <w:r w:rsidRPr="00C0591E">
        <w:rPr>
          <w:rFonts w:cs="Times New Roman"/>
          <w:i/>
          <w:iCs/>
          <w:szCs w:val="24"/>
        </w:rPr>
        <w:t>8</w:t>
      </w:r>
      <w:r w:rsidRPr="00C0591E">
        <w:rPr>
          <w:rFonts w:cs="Times New Roman"/>
          <w:szCs w:val="24"/>
        </w:rPr>
        <w:t>, 284-300.</w:t>
      </w:r>
    </w:p>
    <w:p w14:paraId="5F5C0E79" w14:textId="77777777" w:rsidR="00E13F0B" w:rsidRPr="00C0591E" w:rsidRDefault="00E13F0B" w:rsidP="00E13F0B">
      <w:pPr>
        <w:autoSpaceDE w:val="0"/>
        <w:autoSpaceDN w:val="0"/>
        <w:adjustRightInd w:val="0"/>
        <w:ind w:left="720" w:hanging="720"/>
        <w:rPr>
          <w:rFonts w:eastAsiaTheme="minorHAnsi" w:cs="Times New Roman"/>
          <w:szCs w:val="24"/>
        </w:rPr>
      </w:pPr>
      <w:r w:rsidRPr="00C0591E">
        <w:rPr>
          <w:rFonts w:eastAsiaTheme="minorHAnsi" w:cs="Times New Roman"/>
          <w:color w:val="000000"/>
          <w:szCs w:val="24"/>
        </w:rPr>
        <w:t xml:space="preserve">Mukarushema, M., Kule, W. J. &amp; Mbabazize, M. (2016). Effect of Financial Statement Analysis on Investment Decision Making. A Case of Bank of Kigali. </w:t>
      </w:r>
      <w:r w:rsidRPr="00C0591E">
        <w:rPr>
          <w:rFonts w:eastAsiaTheme="minorHAnsi" w:cs="Times New Roman"/>
          <w:i/>
          <w:iCs/>
          <w:color w:val="000000"/>
          <w:szCs w:val="24"/>
        </w:rPr>
        <w:t xml:space="preserve">European Journal of Business and Social Sciences, </w:t>
      </w:r>
      <w:r w:rsidRPr="00C0591E">
        <w:rPr>
          <w:rFonts w:eastAsiaTheme="minorHAnsi" w:cs="Times New Roman"/>
          <w:color w:val="000000"/>
          <w:szCs w:val="24"/>
        </w:rPr>
        <w:t>5(6), 279 - 303</w:t>
      </w:r>
    </w:p>
    <w:p w14:paraId="69A4213B" w14:textId="77777777" w:rsidR="00E13F0B" w:rsidRPr="00C0591E" w:rsidRDefault="00E13F0B" w:rsidP="00E13F0B">
      <w:pPr>
        <w:ind w:left="720" w:hanging="720"/>
        <w:rPr>
          <w:rFonts w:cs="Times New Roman"/>
          <w:szCs w:val="24"/>
        </w:rPr>
      </w:pPr>
      <w:r w:rsidRPr="00C0591E">
        <w:rPr>
          <w:rFonts w:cs="Times New Roman"/>
          <w:szCs w:val="24"/>
        </w:rPr>
        <w:t>Musaali, M., Stewart, F., Bonyi, D. N., Kiryabwire, W. T., Katto, J., Kiwanuka, P., ... &amp; Isaka, I. (2019). Pension Systems in East Africa.</w:t>
      </w:r>
    </w:p>
    <w:p w14:paraId="589BB624" w14:textId="77777777" w:rsidR="00E13F0B" w:rsidRPr="00C0591E" w:rsidRDefault="00E13F0B" w:rsidP="00E13F0B">
      <w:pPr>
        <w:ind w:left="720" w:hanging="720"/>
        <w:rPr>
          <w:rFonts w:cs="Times New Roman"/>
          <w:szCs w:val="24"/>
        </w:rPr>
      </w:pPr>
      <w:r w:rsidRPr="00C0591E">
        <w:rPr>
          <w:rFonts w:cs="Times New Roman"/>
          <w:szCs w:val="24"/>
        </w:rPr>
        <w:t xml:space="preserve">Musalem, A. &amp; Souto, P. (2009). Unveiling the Governance of Public Pension Funds. </w:t>
      </w:r>
      <w:r w:rsidRPr="00C0591E">
        <w:rPr>
          <w:rFonts w:cs="Times New Roman"/>
          <w:i/>
          <w:szCs w:val="24"/>
        </w:rPr>
        <w:t>Working Paper</w:t>
      </w:r>
      <w:r w:rsidRPr="00C0591E">
        <w:rPr>
          <w:rFonts w:cs="Times New Roman"/>
          <w:szCs w:val="24"/>
        </w:rPr>
        <w:t xml:space="preserve"> N. 34. Mimeo.</w:t>
      </w:r>
    </w:p>
    <w:p w14:paraId="68A75785" w14:textId="77777777" w:rsidR="00E13F0B" w:rsidRPr="00C0591E" w:rsidRDefault="00E13F0B" w:rsidP="00E13F0B">
      <w:pPr>
        <w:ind w:left="720" w:hanging="720"/>
        <w:rPr>
          <w:rFonts w:cs="Times New Roman"/>
          <w:szCs w:val="24"/>
        </w:rPr>
      </w:pPr>
      <w:r w:rsidRPr="00C0591E">
        <w:rPr>
          <w:rFonts w:cs="Times New Roman"/>
          <w:szCs w:val="24"/>
        </w:rPr>
        <w:t xml:space="preserve">Mwanja, B. K., Marangu, W. N., Wanjere, D. M., &amp; Thuo, K. J. (2014). Effect of corporate governance on performance of savings and credit co-operative societies in Kakamega County. </w:t>
      </w:r>
      <w:r w:rsidRPr="00C0591E">
        <w:rPr>
          <w:rFonts w:cs="Times New Roman"/>
          <w:i/>
          <w:iCs/>
          <w:szCs w:val="24"/>
        </w:rPr>
        <w:t>European Journal of Business and Management</w:t>
      </w:r>
      <w:r w:rsidRPr="00C0591E">
        <w:rPr>
          <w:rFonts w:cs="Times New Roman"/>
          <w:szCs w:val="24"/>
        </w:rPr>
        <w:t xml:space="preserve">, </w:t>
      </w:r>
      <w:r w:rsidRPr="00C0591E">
        <w:rPr>
          <w:rFonts w:cs="Times New Roman"/>
          <w:i/>
          <w:iCs/>
          <w:szCs w:val="24"/>
        </w:rPr>
        <w:t>6</w:t>
      </w:r>
      <w:r w:rsidRPr="00C0591E">
        <w:rPr>
          <w:rFonts w:cs="Times New Roman"/>
          <w:szCs w:val="24"/>
        </w:rPr>
        <w:t>(30), 123-136.</w:t>
      </w:r>
    </w:p>
    <w:p w14:paraId="76D57E5A" w14:textId="77777777" w:rsidR="00E13F0B" w:rsidRPr="00C0591E" w:rsidRDefault="00E13F0B" w:rsidP="00E13F0B">
      <w:pPr>
        <w:ind w:left="720" w:hanging="720"/>
        <w:rPr>
          <w:rFonts w:cs="Times New Roman"/>
          <w:szCs w:val="24"/>
        </w:rPr>
      </w:pPr>
      <w:r w:rsidRPr="00C0591E">
        <w:rPr>
          <w:rFonts w:cs="Times New Roman"/>
          <w:szCs w:val="24"/>
        </w:rPr>
        <w:t>National Social Security Fund Act. (2016). Kenya Law Report. Government printers Kenya.</w:t>
      </w:r>
    </w:p>
    <w:p w14:paraId="775D3841" w14:textId="77777777" w:rsidR="00E13F0B" w:rsidRPr="00C0591E" w:rsidRDefault="00E13F0B" w:rsidP="00E13F0B">
      <w:pPr>
        <w:ind w:left="720" w:hanging="720"/>
        <w:rPr>
          <w:rFonts w:cs="Times New Roman"/>
          <w:szCs w:val="24"/>
        </w:rPr>
      </w:pPr>
      <w:r w:rsidRPr="00C0591E">
        <w:rPr>
          <w:rFonts w:cs="Times New Roman"/>
          <w:szCs w:val="24"/>
        </w:rPr>
        <w:t xml:space="preserve">Navissi, F., Sridharan, V. G., Khedmati, M., Lim, E. K., &amp; Evdokimov, E. (2017). Business strategy, over-(under-) investment, and managerial compensation. </w:t>
      </w:r>
      <w:r w:rsidRPr="00C0591E">
        <w:rPr>
          <w:rFonts w:cs="Times New Roman"/>
          <w:i/>
          <w:iCs/>
          <w:szCs w:val="24"/>
        </w:rPr>
        <w:t>Journal of Management Accounting Research</w:t>
      </w:r>
      <w:r w:rsidRPr="00C0591E">
        <w:rPr>
          <w:rFonts w:cs="Times New Roman"/>
          <w:szCs w:val="24"/>
        </w:rPr>
        <w:t xml:space="preserve">, </w:t>
      </w:r>
      <w:r w:rsidRPr="00C0591E">
        <w:rPr>
          <w:rFonts w:cs="Times New Roman"/>
          <w:i/>
          <w:iCs/>
          <w:szCs w:val="24"/>
        </w:rPr>
        <w:t>29</w:t>
      </w:r>
      <w:r w:rsidRPr="00C0591E">
        <w:rPr>
          <w:rFonts w:cs="Times New Roman"/>
          <w:szCs w:val="24"/>
        </w:rPr>
        <w:t>(2), 63-86.</w:t>
      </w:r>
    </w:p>
    <w:p w14:paraId="4E4415AA" w14:textId="77777777" w:rsidR="00E13F0B" w:rsidRPr="00C0591E" w:rsidRDefault="00E13F0B" w:rsidP="00E13F0B">
      <w:pPr>
        <w:ind w:left="720" w:hanging="720"/>
        <w:rPr>
          <w:rFonts w:cs="Times New Roman"/>
          <w:szCs w:val="24"/>
        </w:rPr>
      </w:pPr>
      <w:r w:rsidRPr="00C0591E">
        <w:rPr>
          <w:rFonts w:cs="Times New Roman"/>
          <w:szCs w:val="24"/>
        </w:rPr>
        <w:t xml:space="preserve">Nenova, T., &amp; Niang, C. T. (2019). </w:t>
      </w:r>
      <w:r w:rsidRPr="00C0591E">
        <w:rPr>
          <w:rFonts w:cs="Times New Roman"/>
          <w:i/>
          <w:iCs/>
          <w:szCs w:val="24"/>
        </w:rPr>
        <w:t>Bringing Finance to Pakistan's poor: Access to Finance for Small enterprises and the Underserved</w:t>
      </w:r>
      <w:r w:rsidRPr="00C0591E">
        <w:rPr>
          <w:rFonts w:cs="Times New Roman"/>
          <w:szCs w:val="24"/>
        </w:rPr>
        <w:t>. The World Bank.</w:t>
      </w:r>
    </w:p>
    <w:p w14:paraId="250004EF" w14:textId="77777777" w:rsidR="00E13F0B" w:rsidRPr="00C0591E" w:rsidRDefault="00E13F0B" w:rsidP="00E13F0B">
      <w:pPr>
        <w:ind w:left="720" w:hanging="720"/>
        <w:rPr>
          <w:rFonts w:cs="Times New Roman"/>
          <w:szCs w:val="24"/>
        </w:rPr>
      </w:pPr>
      <w:r w:rsidRPr="00C0591E">
        <w:rPr>
          <w:rFonts w:cs="Times New Roman"/>
          <w:color w:val="222222"/>
          <w:szCs w:val="24"/>
          <w:shd w:val="clear" w:color="auto" w:fill="FFFFFF"/>
        </w:rPr>
        <w:t>Ng’etich, C. K. (2015). Corporate governance and financial performance of water companies in Kenya. </w:t>
      </w:r>
      <w:r w:rsidRPr="00C0591E">
        <w:rPr>
          <w:rFonts w:cs="Times New Roman"/>
          <w:i/>
          <w:iCs/>
          <w:color w:val="222222"/>
          <w:szCs w:val="24"/>
          <w:shd w:val="clear" w:color="auto" w:fill="FFFFFF"/>
        </w:rPr>
        <w:t>Unpublished Msc. Project Report. Nairobi: University of Nairobi</w:t>
      </w:r>
      <w:r w:rsidRPr="00C0591E">
        <w:rPr>
          <w:rFonts w:cs="Times New Roman"/>
          <w:color w:val="222222"/>
          <w:szCs w:val="24"/>
          <w:shd w:val="clear" w:color="auto" w:fill="FFFFFF"/>
        </w:rPr>
        <w:t>.</w:t>
      </w:r>
    </w:p>
    <w:p w14:paraId="0CCA0710" w14:textId="77777777" w:rsidR="00E13F0B" w:rsidRPr="00C0591E" w:rsidRDefault="00E13F0B" w:rsidP="00E13F0B">
      <w:pPr>
        <w:ind w:left="720" w:hanging="720"/>
        <w:rPr>
          <w:rFonts w:cs="Times New Roman"/>
          <w:szCs w:val="24"/>
        </w:rPr>
      </w:pPr>
      <w:r w:rsidRPr="00C0591E">
        <w:rPr>
          <w:rFonts w:cs="Times New Roman"/>
          <w:szCs w:val="24"/>
        </w:rPr>
        <w:t xml:space="preserve">Nguthu, J. (2019). </w:t>
      </w:r>
      <w:r w:rsidRPr="00C0591E">
        <w:rPr>
          <w:rFonts w:cs="Times New Roman"/>
          <w:i/>
          <w:iCs/>
          <w:szCs w:val="24"/>
        </w:rPr>
        <w:t>The effect of assets allocation on retirement Benefits fund performance in kenya</w:t>
      </w:r>
      <w:r w:rsidRPr="00C0591E">
        <w:rPr>
          <w:rFonts w:cs="Times New Roman"/>
          <w:szCs w:val="24"/>
        </w:rPr>
        <w:t xml:space="preserve"> (Doctoral dissertation).</w:t>
      </w:r>
    </w:p>
    <w:p w14:paraId="3D7DBA2B" w14:textId="77777777" w:rsidR="00E13F0B" w:rsidRPr="00C0591E" w:rsidRDefault="00E13F0B" w:rsidP="00E13F0B">
      <w:pPr>
        <w:ind w:left="720" w:hanging="720"/>
        <w:rPr>
          <w:rFonts w:cs="Times New Roman"/>
          <w:szCs w:val="24"/>
        </w:rPr>
      </w:pPr>
      <w:r w:rsidRPr="00C0591E">
        <w:rPr>
          <w:rFonts w:cs="Times New Roman"/>
          <w:szCs w:val="24"/>
        </w:rPr>
        <w:t xml:space="preserve">Nguyen, T., Locke, S., &amp; Reddy, K. (2015). Ownership concentration and corporate performance from a dynamic perspective: Does national governance quality matter?. </w:t>
      </w:r>
      <w:r w:rsidRPr="00C0591E">
        <w:rPr>
          <w:rFonts w:cs="Times New Roman"/>
          <w:i/>
          <w:iCs/>
          <w:szCs w:val="24"/>
        </w:rPr>
        <w:t>International Review of Financial Analysis</w:t>
      </w:r>
      <w:r w:rsidRPr="00C0591E">
        <w:rPr>
          <w:rFonts w:cs="Times New Roman"/>
          <w:szCs w:val="24"/>
        </w:rPr>
        <w:t xml:space="preserve">, </w:t>
      </w:r>
      <w:r w:rsidRPr="00C0591E">
        <w:rPr>
          <w:rFonts w:cs="Times New Roman"/>
          <w:i/>
          <w:iCs/>
          <w:szCs w:val="24"/>
        </w:rPr>
        <w:t>41</w:t>
      </w:r>
      <w:r w:rsidRPr="00C0591E">
        <w:rPr>
          <w:rFonts w:cs="Times New Roman"/>
          <w:szCs w:val="24"/>
        </w:rPr>
        <w:t>, 148-161.</w:t>
      </w:r>
    </w:p>
    <w:p w14:paraId="1B5BD6CB" w14:textId="06A9C841" w:rsidR="00E13F0B" w:rsidRPr="00C0591E" w:rsidRDefault="00E13F0B" w:rsidP="00E13F0B">
      <w:pPr>
        <w:ind w:left="720" w:hanging="720"/>
        <w:rPr>
          <w:rFonts w:cs="Times New Roman"/>
          <w:szCs w:val="24"/>
        </w:rPr>
      </w:pPr>
      <w:r w:rsidRPr="00C0591E">
        <w:rPr>
          <w:rFonts w:cs="Times New Roman"/>
          <w:szCs w:val="24"/>
        </w:rPr>
        <w:t>Nielsen, E.K., &amp; Jorgensen, P.L. (2008). Efficient portfolio selection in mean-variance skewness space. Retrieved October 10, 2016, from http://pure.au.dk/portalasb-student/files/2429/final_cut.pdf</w:t>
      </w:r>
    </w:p>
    <w:p w14:paraId="2D4BF50D" w14:textId="77777777" w:rsidR="00E13F0B" w:rsidRPr="00C0591E" w:rsidRDefault="00E13F0B" w:rsidP="00E13F0B">
      <w:pPr>
        <w:ind w:left="720" w:hanging="720"/>
        <w:rPr>
          <w:rFonts w:cs="Times New Roman"/>
          <w:noProof/>
          <w:szCs w:val="24"/>
        </w:rPr>
      </w:pPr>
      <w:r w:rsidRPr="00C0591E">
        <w:rPr>
          <w:rFonts w:cs="Times New Roman"/>
          <w:noProof/>
          <w:szCs w:val="24"/>
        </w:rPr>
        <w:t xml:space="preserve">Njoroge JK, Machuki VN, Ongeti WJ, &amp; Kinuu D. (2015). The Effect of Strategy Implementation on Performance of Kenya State Corporations . </w:t>
      </w:r>
      <w:r w:rsidRPr="00C0591E">
        <w:rPr>
          <w:rFonts w:cs="Times New Roman"/>
          <w:i/>
          <w:iCs/>
          <w:noProof/>
          <w:szCs w:val="24"/>
        </w:rPr>
        <w:t xml:space="preserve">Prime Journal of Business Administration and Management (BAM), ISSN 2251-1261, Vol. 5(9), </w:t>
      </w:r>
      <w:r w:rsidRPr="00C0591E">
        <w:rPr>
          <w:rFonts w:cs="Times New Roman"/>
          <w:noProof/>
          <w:szCs w:val="24"/>
        </w:rPr>
        <w:t>, pp. 1913-1922.</w:t>
      </w:r>
    </w:p>
    <w:p w14:paraId="5604BC41" w14:textId="77777777" w:rsidR="00E13F0B" w:rsidRPr="00C0591E" w:rsidRDefault="00E13F0B" w:rsidP="00E13F0B">
      <w:pPr>
        <w:ind w:left="720" w:hanging="720"/>
        <w:rPr>
          <w:rFonts w:cs="Times New Roman"/>
          <w:szCs w:val="24"/>
        </w:rPr>
      </w:pPr>
      <w:r w:rsidRPr="00C0591E">
        <w:rPr>
          <w:rFonts w:cs="Times New Roman"/>
          <w:szCs w:val="24"/>
        </w:rPr>
        <w:t xml:space="preserve">Njuguna, A. (2019). Determinants of Pension Governance: A Survey of Pension Plans in Kenya. </w:t>
      </w:r>
      <w:r w:rsidRPr="00C0591E">
        <w:rPr>
          <w:rFonts w:cs="Times New Roman"/>
          <w:i/>
          <w:szCs w:val="24"/>
        </w:rPr>
        <w:t>International Journal of Business and Management</w:t>
      </w:r>
      <w:r w:rsidRPr="00C0591E">
        <w:rPr>
          <w:rFonts w:cs="Times New Roman"/>
          <w:szCs w:val="24"/>
        </w:rPr>
        <w:t>, 6 (11)</w:t>
      </w:r>
    </w:p>
    <w:p w14:paraId="0EB6DCDD" w14:textId="77777777" w:rsidR="00E13F0B" w:rsidRPr="00C0591E" w:rsidRDefault="00E13F0B" w:rsidP="00E13F0B">
      <w:pPr>
        <w:ind w:left="720" w:hanging="720"/>
        <w:rPr>
          <w:rFonts w:cs="Times New Roman"/>
          <w:szCs w:val="24"/>
        </w:rPr>
      </w:pPr>
      <w:r w:rsidRPr="00C0591E">
        <w:rPr>
          <w:rFonts w:cs="Times New Roman"/>
          <w:szCs w:val="24"/>
        </w:rPr>
        <w:t xml:space="preserve">Njuguna, R. W. (2019). </w:t>
      </w:r>
      <w:r w:rsidRPr="00C0591E">
        <w:rPr>
          <w:rFonts w:cs="Times New Roman"/>
          <w:i/>
          <w:iCs/>
          <w:szCs w:val="24"/>
        </w:rPr>
        <w:t>The impact of risk based supervision on the financial performance of pension funds in Kenya</w:t>
      </w:r>
      <w:r w:rsidRPr="00C0591E">
        <w:rPr>
          <w:rFonts w:cs="Times New Roman"/>
          <w:szCs w:val="24"/>
        </w:rPr>
        <w:t xml:space="preserve"> (Doctoral dissertation).</w:t>
      </w:r>
    </w:p>
    <w:p w14:paraId="1843B632" w14:textId="77777777" w:rsidR="00E13F0B" w:rsidRPr="00C0591E" w:rsidRDefault="00E13F0B" w:rsidP="00E13F0B">
      <w:pPr>
        <w:ind w:left="720" w:hanging="720"/>
        <w:rPr>
          <w:rFonts w:cs="Times New Roman"/>
          <w:szCs w:val="24"/>
        </w:rPr>
      </w:pPr>
      <w:r w:rsidRPr="00C0591E">
        <w:rPr>
          <w:rFonts w:cs="Times New Roman"/>
          <w:szCs w:val="24"/>
        </w:rPr>
        <w:t xml:space="preserve">Nuryanah, S., Islam, S., &amp; Armstrong, A. (2017). </w:t>
      </w:r>
      <w:r w:rsidRPr="00C0591E">
        <w:rPr>
          <w:rFonts w:cs="Times New Roman"/>
          <w:i/>
          <w:iCs/>
          <w:szCs w:val="24"/>
        </w:rPr>
        <w:t>Corporate Governance in an Emerging Market: Issues, Practices, Regulations, Compliance and Company Performance</w:t>
      </w:r>
      <w:r w:rsidRPr="00C0591E">
        <w:rPr>
          <w:rFonts w:cs="Times New Roman"/>
          <w:szCs w:val="24"/>
        </w:rPr>
        <w:t>. Lambert Academic Publishing.</w:t>
      </w:r>
    </w:p>
    <w:p w14:paraId="78B16092" w14:textId="77777777" w:rsidR="00E13F0B" w:rsidRPr="00C0591E" w:rsidRDefault="00E13F0B" w:rsidP="00E13F0B">
      <w:pPr>
        <w:ind w:left="720" w:hanging="720"/>
        <w:rPr>
          <w:rFonts w:cs="Times New Roman"/>
          <w:szCs w:val="24"/>
        </w:rPr>
      </w:pPr>
      <w:r w:rsidRPr="00C0591E">
        <w:rPr>
          <w:rFonts w:cs="Times New Roman"/>
          <w:szCs w:val="24"/>
        </w:rPr>
        <w:t xml:space="preserve">Nyamongo, E. M., &amp; Temesgen, K. (2019). The Effect of Governance on Performance of Commercial Banks in Kenya: A Panel Study. </w:t>
      </w:r>
      <w:r w:rsidRPr="00C0591E">
        <w:rPr>
          <w:rFonts w:cs="Times New Roman"/>
          <w:i/>
          <w:szCs w:val="24"/>
        </w:rPr>
        <w:t>The Journal of International Business in Society</w:t>
      </w:r>
      <w:r w:rsidRPr="00C0591E">
        <w:rPr>
          <w:rFonts w:cs="Times New Roman"/>
          <w:szCs w:val="24"/>
        </w:rPr>
        <w:t>, 13(3), 236-248.</w:t>
      </w:r>
    </w:p>
    <w:p w14:paraId="47D2BB06" w14:textId="77777777" w:rsidR="00E13F0B" w:rsidRPr="00C0591E" w:rsidRDefault="00E13F0B" w:rsidP="00E13F0B">
      <w:pPr>
        <w:ind w:left="720" w:hanging="720"/>
        <w:rPr>
          <w:rFonts w:cs="Times New Roman"/>
          <w:szCs w:val="24"/>
        </w:rPr>
      </w:pPr>
      <w:r w:rsidRPr="00C0591E">
        <w:rPr>
          <w:rFonts w:cs="Times New Roman"/>
          <w:szCs w:val="24"/>
        </w:rPr>
        <w:t xml:space="preserve">Nyarige, E. M. (2019). </w:t>
      </w:r>
      <w:r w:rsidRPr="00C0591E">
        <w:rPr>
          <w:rFonts w:cs="Times New Roman"/>
          <w:i/>
          <w:iCs/>
          <w:szCs w:val="24"/>
        </w:rPr>
        <w:t>The effect of corporate governance structures on financial performance of commercial banks in Kenya</w:t>
      </w:r>
      <w:r w:rsidRPr="00C0591E">
        <w:rPr>
          <w:rFonts w:cs="Times New Roman"/>
          <w:szCs w:val="24"/>
        </w:rPr>
        <w:t xml:space="preserve"> (Doctoral dissertation).</w:t>
      </w:r>
    </w:p>
    <w:p w14:paraId="7A5DA3ED" w14:textId="77777777" w:rsidR="00E13F0B" w:rsidRPr="00C0591E" w:rsidRDefault="00E13F0B" w:rsidP="00E13F0B">
      <w:pPr>
        <w:ind w:left="720" w:hanging="720"/>
        <w:rPr>
          <w:rFonts w:cs="Times New Roman"/>
          <w:szCs w:val="24"/>
        </w:rPr>
      </w:pPr>
      <w:r w:rsidRPr="00C0591E">
        <w:rPr>
          <w:rFonts w:cs="Times New Roman"/>
          <w:szCs w:val="24"/>
        </w:rPr>
        <w:t>OECD (2019): “Annual survey of large pension funds and public pension reserve funds”, OECD publication, October.</w:t>
      </w:r>
    </w:p>
    <w:p w14:paraId="7566B7A0" w14:textId="77777777" w:rsidR="00E13F0B" w:rsidRPr="00C0591E" w:rsidRDefault="00E13F0B" w:rsidP="00E13F0B">
      <w:pPr>
        <w:ind w:left="720" w:hanging="720"/>
        <w:rPr>
          <w:rFonts w:cs="Times New Roman"/>
          <w:szCs w:val="24"/>
        </w:rPr>
      </w:pPr>
      <w:r w:rsidRPr="00C0591E">
        <w:rPr>
          <w:rFonts w:cs="Times New Roman"/>
          <w:szCs w:val="24"/>
        </w:rPr>
        <w:t>OECD. (2019). Pension Markets in Focus. Issue 7.</w:t>
      </w:r>
    </w:p>
    <w:p w14:paraId="009F7123" w14:textId="77777777" w:rsidR="00E13F0B" w:rsidRPr="00C0591E" w:rsidRDefault="00E13F0B" w:rsidP="00E13F0B">
      <w:pPr>
        <w:ind w:left="720" w:hanging="720"/>
        <w:rPr>
          <w:rFonts w:cs="Times New Roman"/>
          <w:szCs w:val="24"/>
        </w:rPr>
      </w:pPr>
      <w:r w:rsidRPr="00C0591E">
        <w:rPr>
          <w:rFonts w:cs="Times New Roman"/>
          <w:szCs w:val="24"/>
        </w:rPr>
        <w:t xml:space="preserve">Okoye, V., &amp; Eze, O. R. (2019). Analysis of corporate governance and the performance of pension scheme in Nigeria. </w:t>
      </w:r>
      <w:r w:rsidRPr="00C0591E">
        <w:rPr>
          <w:rFonts w:cs="Times New Roman"/>
          <w:i/>
          <w:iCs/>
          <w:szCs w:val="24"/>
        </w:rPr>
        <w:t>International Journal of Business Management and Administration</w:t>
      </w:r>
      <w:r w:rsidRPr="00C0591E">
        <w:rPr>
          <w:rFonts w:cs="Times New Roman"/>
          <w:szCs w:val="24"/>
        </w:rPr>
        <w:t xml:space="preserve">, </w:t>
      </w:r>
      <w:r w:rsidRPr="00C0591E">
        <w:rPr>
          <w:rFonts w:cs="Times New Roman"/>
          <w:i/>
          <w:iCs/>
          <w:szCs w:val="24"/>
        </w:rPr>
        <w:t>2</w:t>
      </w:r>
      <w:r w:rsidRPr="00C0591E">
        <w:rPr>
          <w:rFonts w:cs="Times New Roman"/>
          <w:szCs w:val="24"/>
        </w:rPr>
        <w:t>(1), 15-20.</w:t>
      </w:r>
    </w:p>
    <w:p w14:paraId="7FC3F080" w14:textId="77777777" w:rsidR="00E13F0B" w:rsidRPr="00C0591E" w:rsidRDefault="00E13F0B" w:rsidP="00E13F0B">
      <w:pPr>
        <w:ind w:left="720" w:hanging="720"/>
        <w:rPr>
          <w:rFonts w:cs="Times New Roman"/>
          <w:szCs w:val="24"/>
        </w:rPr>
      </w:pPr>
      <w:r w:rsidRPr="00C0591E">
        <w:rPr>
          <w:rFonts w:cs="Times New Roman"/>
          <w:szCs w:val="24"/>
        </w:rPr>
        <w:t xml:space="preserve">Oluoch, M. A. (2019). </w:t>
      </w:r>
      <w:r w:rsidRPr="00C0591E">
        <w:rPr>
          <w:rFonts w:cs="Times New Roman"/>
          <w:i/>
          <w:szCs w:val="24"/>
        </w:rPr>
        <w:t>The Determinants of Performance of Pension Funds in Kenya</w:t>
      </w:r>
      <w:r w:rsidRPr="00C0591E">
        <w:rPr>
          <w:rFonts w:cs="Times New Roman"/>
          <w:szCs w:val="24"/>
        </w:rPr>
        <w:t>. University of Nairobi.</w:t>
      </w:r>
    </w:p>
    <w:p w14:paraId="1AEE65D3" w14:textId="77777777" w:rsidR="00E13F0B" w:rsidRPr="00C0591E" w:rsidRDefault="00E13F0B" w:rsidP="00E13F0B">
      <w:pPr>
        <w:ind w:left="720" w:hanging="720"/>
        <w:rPr>
          <w:rFonts w:cs="Times New Roman"/>
          <w:szCs w:val="24"/>
        </w:rPr>
      </w:pPr>
      <w:r w:rsidRPr="00C0591E">
        <w:rPr>
          <w:rFonts w:cs="Times New Roman"/>
          <w:szCs w:val="24"/>
        </w:rPr>
        <w:t>Omisore, I., Yusuf, M. &amp; Nwufo, C.I. (2012). The modern portfolio theory as an investment decision tool. Journal of Accounting and Taxation, 4(2), 19-28.</w:t>
      </w:r>
    </w:p>
    <w:p w14:paraId="46C51051" w14:textId="77777777" w:rsidR="00E13F0B" w:rsidRPr="00C0591E" w:rsidRDefault="00E13F0B" w:rsidP="00E13F0B">
      <w:pPr>
        <w:ind w:left="720" w:hanging="720"/>
        <w:rPr>
          <w:rFonts w:cs="Times New Roman"/>
          <w:szCs w:val="24"/>
        </w:rPr>
      </w:pPr>
      <w:r w:rsidRPr="00C0591E">
        <w:rPr>
          <w:rFonts w:cs="Times New Roman"/>
          <w:szCs w:val="24"/>
        </w:rPr>
        <w:t xml:space="preserve">Omonyo, A. B. (2018). Influence of Human Behaviour on Success of Complex Public Infrastructural Megaprojects in Kenya. </w:t>
      </w:r>
      <w:r w:rsidRPr="00C0591E">
        <w:rPr>
          <w:rFonts w:cs="Times New Roman"/>
          <w:i/>
          <w:iCs/>
          <w:szCs w:val="24"/>
        </w:rPr>
        <w:t>Orsea Journal</w:t>
      </w:r>
      <w:r w:rsidRPr="00C0591E">
        <w:rPr>
          <w:rFonts w:cs="Times New Roman"/>
          <w:szCs w:val="24"/>
        </w:rPr>
        <w:t xml:space="preserve">, </w:t>
      </w:r>
      <w:r w:rsidRPr="00C0591E">
        <w:rPr>
          <w:rFonts w:cs="Times New Roman"/>
          <w:i/>
          <w:iCs/>
          <w:szCs w:val="24"/>
        </w:rPr>
        <w:t>7</w:t>
      </w:r>
      <w:r w:rsidRPr="00C0591E">
        <w:rPr>
          <w:rFonts w:cs="Times New Roman"/>
          <w:szCs w:val="24"/>
        </w:rPr>
        <w:t>(1).</w:t>
      </w:r>
    </w:p>
    <w:p w14:paraId="110FC3E7" w14:textId="77777777" w:rsidR="00E13F0B" w:rsidRPr="00C0591E" w:rsidRDefault="00E13F0B" w:rsidP="00E13F0B">
      <w:pPr>
        <w:ind w:left="720" w:hanging="720"/>
        <w:rPr>
          <w:rFonts w:cs="Times New Roman"/>
          <w:szCs w:val="24"/>
        </w:rPr>
      </w:pPr>
      <w:r w:rsidRPr="00C0591E">
        <w:rPr>
          <w:rFonts w:cs="Times New Roman"/>
          <w:szCs w:val="24"/>
        </w:rPr>
        <w:t xml:space="preserve">Onakoya, A. B. O., Fasanya, I. O., &amp; Ofoegbu, D. I. (2014). Corporate Governance as Correlate for Firm Performance: A Pooled OLS Investigation of Selected Nigerian Banks. </w:t>
      </w:r>
      <w:r w:rsidRPr="00C0591E">
        <w:rPr>
          <w:rFonts w:cs="Times New Roman"/>
          <w:i/>
          <w:iCs/>
          <w:szCs w:val="24"/>
        </w:rPr>
        <w:t>IUP Journal of Corporate Governance</w:t>
      </w:r>
      <w:r w:rsidRPr="00C0591E">
        <w:rPr>
          <w:rFonts w:cs="Times New Roman"/>
          <w:szCs w:val="24"/>
        </w:rPr>
        <w:t xml:space="preserve">, </w:t>
      </w:r>
      <w:r w:rsidRPr="00C0591E">
        <w:rPr>
          <w:rFonts w:cs="Times New Roman"/>
          <w:i/>
          <w:iCs/>
          <w:szCs w:val="24"/>
        </w:rPr>
        <w:t>13</w:t>
      </w:r>
      <w:r w:rsidRPr="00C0591E">
        <w:rPr>
          <w:rFonts w:cs="Times New Roman"/>
          <w:szCs w:val="24"/>
        </w:rPr>
        <w:t>(1).</w:t>
      </w:r>
    </w:p>
    <w:p w14:paraId="24DB2B8B" w14:textId="77777777" w:rsidR="00E13F0B" w:rsidRPr="00C0591E" w:rsidRDefault="00E13F0B" w:rsidP="00E13F0B">
      <w:pPr>
        <w:ind w:left="720" w:hanging="720"/>
        <w:rPr>
          <w:rFonts w:cs="Times New Roman"/>
          <w:szCs w:val="24"/>
        </w:rPr>
      </w:pPr>
      <w:r w:rsidRPr="00C0591E">
        <w:rPr>
          <w:rFonts w:cs="Times New Roman"/>
          <w:szCs w:val="24"/>
        </w:rPr>
        <w:t xml:space="preserve">Oyoga, B. O. (2016). </w:t>
      </w:r>
      <w:r w:rsidRPr="00C0591E">
        <w:rPr>
          <w:rFonts w:cs="Times New Roman"/>
          <w:i/>
          <w:iCs/>
          <w:szCs w:val="24"/>
        </w:rPr>
        <w:t>Corporate governance and firm performance of financial institutions listed in Nairobi Stock Exchange</w:t>
      </w:r>
      <w:r w:rsidRPr="00C0591E">
        <w:rPr>
          <w:rFonts w:cs="Times New Roman"/>
          <w:szCs w:val="24"/>
        </w:rPr>
        <w:t xml:space="preserve"> (Doctoral dissertation, University of Nairobi, Kenya).</w:t>
      </w:r>
    </w:p>
    <w:p w14:paraId="072236EF" w14:textId="77777777" w:rsidR="00E13F0B" w:rsidRPr="00C0591E" w:rsidRDefault="00E13F0B" w:rsidP="00E13F0B">
      <w:pPr>
        <w:ind w:left="720" w:hanging="720"/>
        <w:rPr>
          <w:rFonts w:cs="Times New Roman"/>
          <w:szCs w:val="24"/>
        </w:rPr>
      </w:pPr>
      <w:r w:rsidRPr="00C0591E">
        <w:rPr>
          <w:rFonts w:cs="Times New Roman"/>
          <w:szCs w:val="24"/>
        </w:rPr>
        <w:t xml:space="preserve">Patrick, E. A., Paulinus, E. C., &amp; Nympha, A. N. (2015). The influence of corporate governance on earnings management practices: A study of some selected quoted companies in Nigeria. </w:t>
      </w:r>
      <w:r w:rsidRPr="00C0591E">
        <w:rPr>
          <w:rFonts w:cs="Times New Roman"/>
          <w:i/>
          <w:iCs/>
          <w:szCs w:val="24"/>
        </w:rPr>
        <w:t>American Journal of Economics, Finance and Management</w:t>
      </w:r>
      <w:r w:rsidRPr="00C0591E">
        <w:rPr>
          <w:rFonts w:cs="Times New Roman"/>
          <w:szCs w:val="24"/>
        </w:rPr>
        <w:t xml:space="preserve">, </w:t>
      </w:r>
      <w:r w:rsidRPr="00C0591E">
        <w:rPr>
          <w:rFonts w:cs="Times New Roman"/>
          <w:i/>
          <w:iCs/>
          <w:szCs w:val="24"/>
        </w:rPr>
        <w:t>1</w:t>
      </w:r>
      <w:r w:rsidRPr="00C0591E">
        <w:rPr>
          <w:rFonts w:cs="Times New Roman"/>
          <w:szCs w:val="24"/>
        </w:rPr>
        <w:t>(5), 482-493.</w:t>
      </w:r>
    </w:p>
    <w:p w14:paraId="46A23495" w14:textId="77777777" w:rsidR="00E13F0B" w:rsidRPr="00C0591E" w:rsidRDefault="00E13F0B" w:rsidP="00E13F0B">
      <w:pPr>
        <w:ind w:left="720" w:hanging="720"/>
        <w:rPr>
          <w:rFonts w:cs="Times New Roman"/>
          <w:szCs w:val="24"/>
        </w:rPr>
      </w:pPr>
      <w:r w:rsidRPr="00C0591E">
        <w:rPr>
          <w:rFonts w:cs="Times New Roman"/>
          <w:szCs w:val="24"/>
        </w:rPr>
        <w:t xml:space="preserve">Pearce, J. A., &amp; Zahra, S. A. (2019). Board composition from a strategic contingency perspective. </w:t>
      </w:r>
      <w:r w:rsidRPr="00C0591E">
        <w:rPr>
          <w:rFonts w:cs="Times New Roman"/>
          <w:i/>
          <w:iCs/>
          <w:szCs w:val="24"/>
        </w:rPr>
        <w:t>Journal of management studies</w:t>
      </w:r>
      <w:r w:rsidRPr="00C0591E">
        <w:rPr>
          <w:rFonts w:cs="Times New Roman"/>
          <w:szCs w:val="24"/>
        </w:rPr>
        <w:t xml:space="preserve">, </w:t>
      </w:r>
      <w:r w:rsidRPr="00C0591E">
        <w:rPr>
          <w:rFonts w:cs="Times New Roman"/>
          <w:i/>
          <w:iCs/>
          <w:szCs w:val="24"/>
        </w:rPr>
        <w:t>29</w:t>
      </w:r>
      <w:r w:rsidRPr="00C0591E">
        <w:rPr>
          <w:rFonts w:cs="Times New Roman"/>
          <w:szCs w:val="24"/>
        </w:rPr>
        <w:t>(4), 4</w:t>
      </w:r>
    </w:p>
    <w:p w14:paraId="57C81616" w14:textId="77777777" w:rsidR="00E13F0B" w:rsidRPr="00C0591E" w:rsidRDefault="00E13F0B" w:rsidP="00E13F0B">
      <w:pPr>
        <w:ind w:left="720" w:hanging="720"/>
        <w:rPr>
          <w:rFonts w:cs="Times New Roman"/>
          <w:szCs w:val="24"/>
        </w:rPr>
      </w:pPr>
      <w:r w:rsidRPr="00C0591E">
        <w:rPr>
          <w:rFonts w:cs="Times New Roman"/>
          <w:szCs w:val="24"/>
        </w:rPr>
        <w:t>Pfeffer, J., &amp; Gerald, R. (1978). Salancik. 1978. The external control of organizations: A resource dependence perspective.</w:t>
      </w:r>
    </w:p>
    <w:p w14:paraId="320441A7" w14:textId="77777777" w:rsidR="00E13F0B" w:rsidRPr="00C0591E" w:rsidRDefault="00E13F0B" w:rsidP="00E13F0B">
      <w:pPr>
        <w:ind w:left="720" w:hanging="720"/>
        <w:rPr>
          <w:rFonts w:cs="Times New Roman"/>
          <w:szCs w:val="24"/>
        </w:rPr>
      </w:pPr>
      <w:r w:rsidRPr="00C0591E">
        <w:rPr>
          <w:rFonts w:cs="Times New Roman"/>
          <w:szCs w:val="24"/>
        </w:rPr>
        <w:t xml:space="preserve">Pi, L., &amp; Timme, A. (2019). Corporate Control and Bank Efficiency. </w:t>
      </w:r>
      <w:r w:rsidRPr="00C0591E">
        <w:rPr>
          <w:rFonts w:cs="Times New Roman"/>
          <w:i/>
          <w:szCs w:val="24"/>
        </w:rPr>
        <w:t>Journal of Banking Finance</w:t>
      </w:r>
      <w:r w:rsidRPr="00C0591E">
        <w:rPr>
          <w:rFonts w:cs="Times New Roman"/>
          <w:szCs w:val="24"/>
        </w:rPr>
        <w:t>, 17, 515-530.</w:t>
      </w:r>
    </w:p>
    <w:p w14:paraId="68578094" w14:textId="77777777" w:rsidR="00E13F0B" w:rsidRPr="00C0591E" w:rsidRDefault="00E13F0B" w:rsidP="00E13F0B">
      <w:pPr>
        <w:ind w:left="720" w:hanging="720"/>
        <w:rPr>
          <w:rFonts w:cs="Times New Roman"/>
          <w:szCs w:val="24"/>
        </w:rPr>
      </w:pPr>
      <w:r w:rsidRPr="00C0591E">
        <w:rPr>
          <w:rFonts w:cs="Times New Roman"/>
          <w:color w:val="222222"/>
          <w:szCs w:val="24"/>
          <w:shd w:val="clear" w:color="auto" w:fill="FFFFFF"/>
        </w:rPr>
        <w:t>Piesse, J. (2005). Corporate Governance and Firm Performance in an International Perspective: Conflicting Empirical Evidence.</w:t>
      </w:r>
    </w:p>
    <w:p w14:paraId="7FEC9098" w14:textId="77777777" w:rsidR="00E13F0B" w:rsidRPr="00C0591E" w:rsidRDefault="00E13F0B" w:rsidP="00E13F0B">
      <w:pPr>
        <w:ind w:left="720" w:hanging="720"/>
        <w:rPr>
          <w:rFonts w:cs="Times New Roman"/>
          <w:szCs w:val="24"/>
        </w:rPr>
      </w:pPr>
      <w:r w:rsidRPr="00C0591E">
        <w:rPr>
          <w:rFonts w:cs="Times New Roman"/>
          <w:szCs w:val="24"/>
        </w:rPr>
        <w:t xml:space="preserve">Poterba, J. M., &amp; Summers, L. H. (1983). Dividend taxes, corporate investment, and ‘Q’. </w:t>
      </w:r>
      <w:r w:rsidRPr="00C0591E">
        <w:rPr>
          <w:rFonts w:cs="Times New Roman"/>
          <w:i/>
          <w:iCs/>
          <w:szCs w:val="24"/>
        </w:rPr>
        <w:t>Journal of Public Economics</w:t>
      </w:r>
      <w:r w:rsidRPr="00C0591E">
        <w:rPr>
          <w:rFonts w:cs="Times New Roman"/>
          <w:szCs w:val="24"/>
        </w:rPr>
        <w:t xml:space="preserve">, </w:t>
      </w:r>
      <w:r w:rsidRPr="00C0591E">
        <w:rPr>
          <w:rFonts w:cs="Times New Roman"/>
          <w:i/>
          <w:iCs/>
          <w:szCs w:val="24"/>
        </w:rPr>
        <w:t>22</w:t>
      </w:r>
      <w:r w:rsidRPr="00C0591E">
        <w:rPr>
          <w:rFonts w:cs="Times New Roman"/>
          <w:szCs w:val="24"/>
        </w:rPr>
        <w:t>(2), 135-167.</w:t>
      </w:r>
    </w:p>
    <w:p w14:paraId="31740776" w14:textId="77777777" w:rsidR="00E13F0B" w:rsidRPr="00C0591E" w:rsidRDefault="00E13F0B" w:rsidP="00E13F0B">
      <w:pPr>
        <w:ind w:left="720" w:hanging="720"/>
        <w:rPr>
          <w:rFonts w:cs="Times New Roman"/>
          <w:szCs w:val="24"/>
        </w:rPr>
      </w:pPr>
      <w:r w:rsidRPr="00C0591E">
        <w:rPr>
          <w:rFonts w:cs="Times New Roman"/>
          <w:szCs w:val="24"/>
        </w:rPr>
        <w:t>Price Water Coopers (2016). Africa Asset Management 2020 - Report by PwC examining the asset management industry across 12 African countries (Algeria, Angola, Botswana, Egypt, Ghana, Kenya, Mauritius, Morocco, Namibia, Nigeria, South Africa, and Tunisia).</w:t>
      </w:r>
    </w:p>
    <w:p w14:paraId="4B4F179A" w14:textId="77777777" w:rsidR="00E13F0B" w:rsidRPr="00C0591E" w:rsidRDefault="00E13F0B" w:rsidP="00E13F0B">
      <w:pPr>
        <w:ind w:left="720" w:hanging="720"/>
        <w:rPr>
          <w:rFonts w:cs="Times New Roman"/>
          <w:szCs w:val="24"/>
        </w:rPr>
      </w:pPr>
      <w:r w:rsidRPr="00C0591E">
        <w:rPr>
          <w:rFonts w:cs="Times New Roman"/>
          <w:szCs w:val="24"/>
        </w:rPr>
        <w:t xml:space="preserve">Qureshi, I. A., &amp; McKay, J. M. (2017). The Prize of Global Governance. </w:t>
      </w:r>
      <w:r w:rsidRPr="00C0591E">
        <w:rPr>
          <w:rFonts w:cs="Times New Roman"/>
          <w:i/>
          <w:iCs/>
          <w:szCs w:val="24"/>
        </w:rPr>
        <w:t>Benefits and Compensation International</w:t>
      </w:r>
      <w:r w:rsidRPr="00C0591E">
        <w:rPr>
          <w:rFonts w:cs="Times New Roman"/>
          <w:szCs w:val="24"/>
        </w:rPr>
        <w:t xml:space="preserve">, </w:t>
      </w:r>
      <w:r w:rsidRPr="00C0591E">
        <w:rPr>
          <w:rFonts w:cs="Times New Roman"/>
          <w:i/>
          <w:iCs/>
          <w:szCs w:val="24"/>
        </w:rPr>
        <w:t>37</w:t>
      </w:r>
      <w:r w:rsidRPr="00C0591E">
        <w:rPr>
          <w:rFonts w:cs="Times New Roman"/>
          <w:szCs w:val="24"/>
        </w:rPr>
        <w:t>(5), 3.</w:t>
      </w:r>
    </w:p>
    <w:p w14:paraId="344951B4" w14:textId="77777777" w:rsidR="00E13F0B" w:rsidRPr="00C0591E" w:rsidRDefault="00E13F0B" w:rsidP="00E13F0B">
      <w:pPr>
        <w:ind w:left="720" w:hanging="720"/>
        <w:rPr>
          <w:rFonts w:cs="Times New Roman"/>
          <w:szCs w:val="24"/>
        </w:rPr>
      </w:pPr>
      <w:r w:rsidRPr="00C0591E">
        <w:rPr>
          <w:rFonts w:cs="Times New Roman"/>
          <w:szCs w:val="24"/>
        </w:rPr>
        <w:t xml:space="preserve">Rahim, M.M. and Alam, S. (2014). Convergence of corporate social responsibility and corporate governance in weak economies: the case of Bangladesh. </w:t>
      </w:r>
      <w:r w:rsidRPr="00C0591E">
        <w:rPr>
          <w:rFonts w:cs="Times New Roman"/>
          <w:i/>
          <w:szCs w:val="24"/>
        </w:rPr>
        <w:t>Journal of Business Ethics</w:t>
      </w:r>
      <w:r w:rsidRPr="00C0591E">
        <w:rPr>
          <w:rFonts w:cs="Times New Roman"/>
          <w:szCs w:val="24"/>
        </w:rPr>
        <w:t>, 121, pp. 607–620.</w:t>
      </w:r>
    </w:p>
    <w:p w14:paraId="7BD0294C" w14:textId="77777777" w:rsidR="00E13F0B" w:rsidRPr="00C0591E" w:rsidRDefault="00E13F0B" w:rsidP="00E13F0B">
      <w:pPr>
        <w:ind w:left="720" w:hanging="720"/>
        <w:rPr>
          <w:rFonts w:cs="Times New Roman"/>
          <w:szCs w:val="24"/>
        </w:rPr>
      </w:pPr>
      <w:r w:rsidRPr="00C0591E">
        <w:rPr>
          <w:rFonts w:cs="Times New Roman"/>
          <w:szCs w:val="24"/>
        </w:rPr>
        <w:t xml:space="preserve">Rechner, P. L., &amp; Dalton, D. R. (2017). CEO duality and organizational performance: A longitudinal analysis. </w:t>
      </w:r>
      <w:r w:rsidRPr="00C0591E">
        <w:rPr>
          <w:rFonts w:cs="Times New Roman"/>
          <w:i/>
          <w:iCs/>
          <w:szCs w:val="24"/>
        </w:rPr>
        <w:t>Strategic management journal</w:t>
      </w:r>
      <w:r w:rsidRPr="00C0591E">
        <w:rPr>
          <w:rFonts w:cs="Times New Roman"/>
          <w:szCs w:val="24"/>
        </w:rPr>
        <w:t xml:space="preserve">, </w:t>
      </w:r>
      <w:r w:rsidRPr="00C0591E">
        <w:rPr>
          <w:rFonts w:cs="Times New Roman"/>
          <w:i/>
          <w:iCs/>
          <w:szCs w:val="24"/>
        </w:rPr>
        <w:t>12</w:t>
      </w:r>
      <w:r w:rsidRPr="00C0591E">
        <w:rPr>
          <w:rFonts w:cs="Times New Roman"/>
          <w:szCs w:val="24"/>
        </w:rPr>
        <w:t>(2), 155-160.</w:t>
      </w:r>
    </w:p>
    <w:p w14:paraId="7BCD50AD" w14:textId="77777777" w:rsidR="00E13F0B" w:rsidRPr="00C0591E" w:rsidRDefault="00E13F0B" w:rsidP="00E13F0B">
      <w:pPr>
        <w:ind w:left="720" w:hanging="720"/>
        <w:rPr>
          <w:rFonts w:cs="Times New Roman"/>
          <w:szCs w:val="24"/>
        </w:rPr>
      </w:pPr>
      <w:r w:rsidRPr="00C0591E">
        <w:rPr>
          <w:rFonts w:cs="Times New Roman"/>
          <w:szCs w:val="24"/>
        </w:rPr>
        <w:t xml:space="preserve">Retirement Benefits Authority (2016) Registered Fund Managers. Available at </w:t>
      </w:r>
      <w:hyperlink r:id="rId16" w:history="1">
        <w:r w:rsidRPr="00C0591E">
          <w:rPr>
            <w:rStyle w:val="Hyperlink"/>
            <w:rFonts w:cs="Times New Roman"/>
            <w:szCs w:val="24"/>
          </w:rPr>
          <w:t>http://www.rba.go.ke/service-providers/registered-fund-managers</w:t>
        </w:r>
      </w:hyperlink>
      <w:r w:rsidRPr="00C0591E">
        <w:rPr>
          <w:rFonts w:cs="Times New Roman"/>
          <w:szCs w:val="24"/>
        </w:rPr>
        <w:t>.</w:t>
      </w:r>
    </w:p>
    <w:p w14:paraId="0E9CF7A9" w14:textId="77777777" w:rsidR="00E13F0B" w:rsidRPr="00C0591E" w:rsidRDefault="00E13F0B" w:rsidP="00E13F0B">
      <w:pPr>
        <w:ind w:left="720" w:hanging="720"/>
        <w:rPr>
          <w:rFonts w:cs="Times New Roman"/>
          <w:szCs w:val="24"/>
        </w:rPr>
      </w:pPr>
      <w:r w:rsidRPr="00C0591E">
        <w:rPr>
          <w:rFonts w:cs="Times New Roman"/>
          <w:szCs w:val="24"/>
        </w:rPr>
        <w:t xml:space="preserve">Reyna, J. M., &amp; Duran-Encalada, J. A. (2019). The relationship among family business, corporate governance and firm performance: Evidence from the Mexican stock exchange. </w:t>
      </w:r>
      <w:r w:rsidRPr="00C0591E">
        <w:rPr>
          <w:rFonts w:cs="Times New Roman"/>
          <w:i/>
          <w:iCs/>
          <w:szCs w:val="24"/>
        </w:rPr>
        <w:t>Journal of Family Business Strategy</w:t>
      </w:r>
      <w:r w:rsidRPr="00C0591E">
        <w:rPr>
          <w:rFonts w:cs="Times New Roman"/>
          <w:szCs w:val="24"/>
        </w:rPr>
        <w:t xml:space="preserve">, </w:t>
      </w:r>
      <w:r w:rsidRPr="00C0591E">
        <w:rPr>
          <w:rFonts w:cs="Times New Roman"/>
          <w:i/>
          <w:iCs/>
          <w:szCs w:val="24"/>
        </w:rPr>
        <w:t>3</w:t>
      </w:r>
      <w:r w:rsidRPr="00C0591E">
        <w:rPr>
          <w:rFonts w:cs="Times New Roman"/>
          <w:szCs w:val="24"/>
        </w:rPr>
        <w:t>(2), 106-117.</w:t>
      </w:r>
    </w:p>
    <w:p w14:paraId="36D5B6C8" w14:textId="77777777" w:rsidR="00E13F0B" w:rsidRPr="00C0591E" w:rsidRDefault="00E13F0B" w:rsidP="00E13F0B">
      <w:pPr>
        <w:autoSpaceDE w:val="0"/>
        <w:autoSpaceDN w:val="0"/>
        <w:adjustRightInd w:val="0"/>
        <w:ind w:left="720" w:hanging="720"/>
        <w:rPr>
          <w:rFonts w:cs="Times New Roman"/>
          <w:szCs w:val="24"/>
        </w:rPr>
      </w:pPr>
      <w:r w:rsidRPr="00C0591E">
        <w:rPr>
          <w:rFonts w:eastAsiaTheme="minorHAnsi" w:cs="Times New Roman"/>
          <w:color w:val="000000"/>
          <w:szCs w:val="24"/>
        </w:rPr>
        <w:t xml:space="preserve">Robinson C. &amp; Schumacker R. E. (2009). Interaction Effects: Centering, variance inflation factor, and interpretation Issues. </w:t>
      </w:r>
      <w:r w:rsidRPr="00C0591E">
        <w:rPr>
          <w:rFonts w:eastAsiaTheme="minorHAnsi" w:cs="Times New Roman"/>
          <w:i/>
          <w:iCs/>
          <w:color w:val="000000"/>
          <w:szCs w:val="24"/>
        </w:rPr>
        <w:t xml:space="preserve">Multiple Linear Regression Viewpoints, </w:t>
      </w:r>
      <w:r w:rsidRPr="00C0591E">
        <w:rPr>
          <w:rFonts w:eastAsiaTheme="minorHAnsi" w:cs="Times New Roman"/>
          <w:color w:val="000000"/>
          <w:szCs w:val="24"/>
        </w:rPr>
        <w:t>35(1), 6-11.</w:t>
      </w:r>
    </w:p>
    <w:p w14:paraId="3FD1ECD3" w14:textId="77777777" w:rsidR="00E13F0B" w:rsidRPr="00C0591E" w:rsidRDefault="00E13F0B" w:rsidP="00E13F0B">
      <w:pPr>
        <w:ind w:left="720" w:hanging="720"/>
        <w:rPr>
          <w:rFonts w:cs="Times New Roman"/>
          <w:szCs w:val="24"/>
        </w:rPr>
      </w:pPr>
      <w:r w:rsidRPr="00C0591E">
        <w:rPr>
          <w:rFonts w:cs="Times New Roman"/>
          <w:szCs w:val="24"/>
        </w:rPr>
        <w:t xml:space="preserve">Rommens, A., Cuyvers, L., &amp; Deloof, M. (2019). Dividend policies of privately held companies: stand‐alone and group companies in Belgium. </w:t>
      </w:r>
      <w:r w:rsidRPr="00C0591E">
        <w:rPr>
          <w:rFonts w:cs="Times New Roman"/>
          <w:i/>
          <w:iCs/>
          <w:szCs w:val="24"/>
        </w:rPr>
        <w:t>European financial management</w:t>
      </w:r>
      <w:r w:rsidRPr="00C0591E">
        <w:rPr>
          <w:rFonts w:cs="Times New Roman"/>
          <w:szCs w:val="24"/>
        </w:rPr>
        <w:t xml:space="preserve">, </w:t>
      </w:r>
      <w:r w:rsidRPr="00C0591E">
        <w:rPr>
          <w:rFonts w:cs="Times New Roman"/>
          <w:i/>
          <w:iCs/>
          <w:szCs w:val="24"/>
        </w:rPr>
        <w:t>18</w:t>
      </w:r>
      <w:r w:rsidRPr="00C0591E">
        <w:rPr>
          <w:rFonts w:cs="Times New Roman"/>
          <w:szCs w:val="24"/>
        </w:rPr>
        <w:t>(5), 816-835.</w:t>
      </w:r>
    </w:p>
    <w:p w14:paraId="73773025" w14:textId="77777777" w:rsidR="00E13F0B" w:rsidRPr="00C0591E" w:rsidRDefault="00E13F0B" w:rsidP="00E13F0B">
      <w:pPr>
        <w:autoSpaceDE w:val="0"/>
        <w:autoSpaceDN w:val="0"/>
        <w:adjustRightInd w:val="0"/>
        <w:ind w:left="720" w:hanging="720"/>
        <w:rPr>
          <w:rFonts w:eastAsiaTheme="minorHAnsi" w:cs="Times New Roman"/>
          <w:szCs w:val="24"/>
        </w:rPr>
      </w:pPr>
      <w:r w:rsidRPr="00C0591E">
        <w:rPr>
          <w:rFonts w:eastAsiaTheme="minorHAnsi" w:cs="Times New Roman"/>
          <w:color w:val="000000"/>
          <w:szCs w:val="24"/>
        </w:rPr>
        <w:t xml:space="preserve">Rop, M. K., Kibet, Y. &amp; Bokongo, J. (2016). Effect of investment Diversification on the Financial Performance of Commercial Banks in Kenya. </w:t>
      </w:r>
      <w:r w:rsidRPr="00C0591E">
        <w:rPr>
          <w:rFonts w:eastAsiaTheme="minorHAnsi" w:cs="Times New Roman"/>
          <w:i/>
          <w:iCs/>
          <w:color w:val="000000"/>
          <w:szCs w:val="24"/>
        </w:rPr>
        <w:t>IOSR Journal of Business and Management,</w:t>
      </w:r>
      <w:r w:rsidRPr="00C0591E">
        <w:rPr>
          <w:rFonts w:eastAsiaTheme="minorHAnsi" w:cs="Times New Roman"/>
          <w:color w:val="000000"/>
          <w:szCs w:val="24"/>
        </w:rPr>
        <w:t xml:space="preserve"> 18(11), 102-115 </w:t>
      </w:r>
    </w:p>
    <w:p w14:paraId="3E7EDEF2" w14:textId="77777777" w:rsidR="00E13F0B" w:rsidRPr="00C0591E" w:rsidRDefault="00E13F0B" w:rsidP="00E13F0B">
      <w:pPr>
        <w:ind w:left="720" w:hanging="720"/>
        <w:rPr>
          <w:rFonts w:cs="Times New Roman"/>
          <w:szCs w:val="24"/>
        </w:rPr>
      </w:pPr>
      <w:r w:rsidRPr="00C0591E">
        <w:rPr>
          <w:rFonts w:cs="Times New Roman"/>
          <w:szCs w:val="24"/>
        </w:rPr>
        <w:t xml:space="preserve">Roudaki, J. (2019). Earnings management in developing countries: Iranian listed companies. </w:t>
      </w:r>
      <w:r w:rsidRPr="00C0591E">
        <w:rPr>
          <w:rFonts w:cs="Times New Roman"/>
          <w:i/>
          <w:szCs w:val="24"/>
        </w:rPr>
        <w:t>Journal of Accounting, Business &amp; Management</w:t>
      </w:r>
      <w:r w:rsidRPr="00C0591E">
        <w:rPr>
          <w:rFonts w:cs="Times New Roman"/>
          <w:szCs w:val="24"/>
        </w:rPr>
        <w:t>, 20(2), 14-32.</w:t>
      </w:r>
    </w:p>
    <w:p w14:paraId="243BCC26" w14:textId="77777777" w:rsidR="00E13F0B" w:rsidRPr="00C0591E" w:rsidRDefault="00E13F0B" w:rsidP="00E13F0B">
      <w:pPr>
        <w:ind w:left="720" w:hanging="720"/>
        <w:rPr>
          <w:rFonts w:cs="Times New Roman"/>
          <w:szCs w:val="24"/>
        </w:rPr>
      </w:pPr>
      <w:r w:rsidRPr="00C0591E">
        <w:rPr>
          <w:rFonts w:cs="Times New Roman"/>
          <w:szCs w:val="24"/>
        </w:rPr>
        <w:t xml:space="preserve">Rudolph, H. P., &amp; Sabat, J. (2016). </w:t>
      </w:r>
      <w:r w:rsidRPr="00C0591E">
        <w:rPr>
          <w:rFonts w:cs="Times New Roman"/>
          <w:i/>
          <w:iCs/>
          <w:szCs w:val="24"/>
        </w:rPr>
        <w:t>Building long-term portfolio benchmarks for pension funds in emerging economies</w:t>
      </w:r>
      <w:r w:rsidRPr="00C0591E">
        <w:rPr>
          <w:rFonts w:cs="Times New Roman"/>
          <w:szCs w:val="24"/>
        </w:rPr>
        <w:t>. The World Bank.</w:t>
      </w:r>
    </w:p>
    <w:p w14:paraId="2513864D" w14:textId="77777777" w:rsidR="00E13F0B" w:rsidRPr="00C0591E" w:rsidRDefault="00E13F0B" w:rsidP="00E13F0B">
      <w:pPr>
        <w:ind w:left="720" w:hanging="720"/>
        <w:rPr>
          <w:rFonts w:cs="Times New Roman"/>
          <w:szCs w:val="24"/>
        </w:rPr>
      </w:pPr>
      <w:r w:rsidRPr="00C0591E">
        <w:rPr>
          <w:rFonts w:cs="Times New Roman"/>
          <w:szCs w:val="24"/>
        </w:rPr>
        <w:t xml:space="preserve">Sampson, R.C. (2007). R&amp;D Alliances and Firm Performance: The Impact of Technological Diversity and Alliance Organization on Innovation. </w:t>
      </w:r>
      <w:r w:rsidRPr="00C0591E">
        <w:rPr>
          <w:rFonts w:cs="Times New Roman"/>
          <w:i/>
          <w:szCs w:val="24"/>
        </w:rPr>
        <w:t>The Academy of Management Journal</w:t>
      </w:r>
      <w:r w:rsidRPr="00C0591E">
        <w:rPr>
          <w:rFonts w:cs="Times New Roman"/>
          <w:szCs w:val="24"/>
        </w:rPr>
        <w:t>, 50 (2), 364-386.</w:t>
      </w:r>
    </w:p>
    <w:p w14:paraId="79141029" w14:textId="77777777" w:rsidR="00E13F0B" w:rsidRPr="00C0591E" w:rsidRDefault="00E13F0B" w:rsidP="00E13F0B">
      <w:pPr>
        <w:ind w:left="720" w:hanging="720"/>
        <w:rPr>
          <w:rFonts w:cs="Times New Roman"/>
          <w:szCs w:val="24"/>
        </w:rPr>
      </w:pPr>
      <w:r w:rsidRPr="00C0591E">
        <w:rPr>
          <w:rFonts w:cs="Times New Roman"/>
          <w:szCs w:val="24"/>
        </w:rPr>
        <w:t xml:space="preserve">Sanda, A. U., Mikailu, A. S., &amp; Garba, T. (2019). Corporate governance mechanisms and firms' financial performance in Nigeria. </w:t>
      </w:r>
      <w:r w:rsidRPr="00C0591E">
        <w:rPr>
          <w:rFonts w:cs="Times New Roman"/>
          <w:i/>
          <w:iCs/>
          <w:szCs w:val="24"/>
        </w:rPr>
        <w:t>Afro-Asian Journal of Finance and Accounting</w:t>
      </w:r>
      <w:r w:rsidRPr="00C0591E">
        <w:rPr>
          <w:rFonts w:cs="Times New Roman"/>
          <w:szCs w:val="24"/>
        </w:rPr>
        <w:t xml:space="preserve">, </w:t>
      </w:r>
      <w:r w:rsidRPr="00C0591E">
        <w:rPr>
          <w:rFonts w:cs="Times New Roman"/>
          <w:i/>
          <w:iCs/>
          <w:szCs w:val="24"/>
        </w:rPr>
        <w:t>2</w:t>
      </w:r>
      <w:r w:rsidRPr="00C0591E">
        <w:rPr>
          <w:rFonts w:cs="Times New Roman"/>
          <w:szCs w:val="24"/>
        </w:rPr>
        <w:t>(1), 22-39.</w:t>
      </w:r>
    </w:p>
    <w:p w14:paraId="11BCED15" w14:textId="77777777" w:rsidR="00E13F0B" w:rsidRPr="00C0591E" w:rsidRDefault="00E13F0B" w:rsidP="00E13F0B">
      <w:pPr>
        <w:ind w:left="720" w:hanging="720"/>
        <w:rPr>
          <w:rFonts w:cs="Times New Roman"/>
          <w:szCs w:val="24"/>
        </w:rPr>
      </w:pPr>
      <w:r w:rsidRPr="00C0591E">
        <w:rPr>
          <w:rFonts w:cs="Times New Roman"/>
          <w:szCs w:val="24"/>
        </w:rPr>
        <w:t xml:space="preserve">Saona, P. (2019). Corporate governance in Latin American firms: Contestability of control and firm value. </w:t>
      </w:r>
      <w:r w:rsidRPr="00C0591E">
        <w:rPr>
          <w:rFonts w:cs="Times New Roman"/>
          <w:i/>
          <w:iCs/>
          <w:szCs w:val="24"/>
        </w:rPr>
        <w:t>BRQ Business Research Quarterly</w:t>
      </w:r>
      <w:r w:rsidRPr="00C0591E">
        <w:rPr>
          <w:rFonts w:cs="Times New Roman"/>
          <w:szCs w:val="24"/>
        </w:rPr>
        <w:t xml:space="preserve">, </w:t>
      </w:r>
      <w:r w:rsidRPr="00C0591E">
        <w:rPr>
          <w:rFonts w:cs="Times New Roman"/>
          <w:i/>
          <w:iCs/>
          <w:szCs w:val="24"/>
        </w:rPr>
        <w:t>22</w:t>
      </w:r>
      <w:r w:rsidRPr="00C0591E">
        <w:rPr>
          <w:rFonts w:cs="Times New Roman"/>
          <w:szCs w:val="24"/>
        </w:rPr>
        <w:t>(4), 257-274.</w:t>
      </w:r>
    </w:p>
    <w:p w14:paraId="17DFFF98" w14:textId="77777777" w:rsidR="00E13F0B" w:rsidRPr="00C0591E" w:rsidRDefault="00E13F0B" w:rsidP="00E13F0B">
      <w:pPr>
        <w:ind w:left="720" w:hanging="720"/>
        <w:rPr>
          <w:rFonts w:cs="Times New Roman"/>
          <w:szCs w:val="24"/>
        </w:rPr>
      </w:pPr>
      <w:r w:rsidRPr="00C0591E">
        <w:rPr>
          <w:rFonts w:cs="Times New Roman"/>
          <w:szCs w:val="24"/>
        </w:rPr>
        <w:t xml:space="preserve">Sarkar, J., &amp; Sarkar, S. (2018). Bank Ownership, Board Characteristics and Performance: Evidence from Commercial Banks in India. </w:t>
      </w:r>
      <w:r w:rsidRPr="00C0591E">
        <w:rPr>
          <w:rFonts w:cs="Times New Roman"/>
          <w:i/>
          <w:szCs w:val="24"/>
        </w:rPr>
        <w:t>International Journal of Financial Studies</w:t>
      </w:r>
      <w:r w:rsidRPr="00C0591E">
        <w:rPr>
          <w:rFonts w:cs="Times New Roman"/>
          <w:szCs w:val="24"/>
        </w:rPr>
        <w:t>, 6(17), 1-30.</w:t>
      </w:r>
    </w:p>
    <w:p w14:paraId="075D3035" w14:textId="77777777" w:rsidR="00E13F0B" w:rsidRPr="00C0591E" w:rsidRDefault="00E13F0B" w:rsidP="00E13F0B">
      <w:pPr>
        <w:ind w:left="720" w:hanging="720"/>
        <w:rPr>
          <w:rFonts w:cs="Times New Roman"/>
          <w:szCs w:val="24"/>
        </w:rPr>
      </w:pPr>
      <w:r w:rsidRPr="00C0591E">
        <w:rPr>
          <w:rFonts w:cs="Times New Roman"/>
          <w:szCs w:val="24"/>
        </w:rPr>
        <w:t xml:space="preserve">Scaramozzino, P. (1997). Investment irreversibility and finance constraints. </w:t>
      </w:r>
      <w:r w:rsidRPr="00C0591E">
        <w:rPr>
          <w:rFonts w:cs="Times New Roman"/>
          <w:i/>
          <w:iCs/>
          <w:szCs w:val="24"/>
        </w:rPr>
        <w:t>Oxford Bulletin of Economics and Statistics</w:t>
      </w:r>
      <w:r w:rsidRPr="00C0591E">
        <w:rPr>
          <w:rFonts w:cs="Times New Roman"/>
          <w:szCs w:val="24"/>
        </w:rPr>
        <w:t xml:space="preserve">, </w:t>
      </w:r>
      <w:r w:rsidRPr="00C0591E">
        <w:rPr>
          <w:rFonts w:cs="Times New Roman"/>
          <w:i/>
          <w:iCs/>
          <w:szCs w:val="24"/>
        </w:rPr>
        <w:t>59</w:t>
      </w:r>
      <w:r w:rsidRPr="00C0591E">
        <w:rPr>
          <w:rFonts w:cs="Times New Roman"/>
          <w:szCs w:val="24"/>
        </w:rPr>
        <w:t>(1), 89-108.</w:t>
      </w:r>
    </w:p>
    <w:p w14:paraId="1D0F0765" w14:textId="77777777" w:rsidR="00E13F0B" w:rsidRPr="00C0591E" w:rsidRDefault="00E13F0B" w:rsidP="00E13F0B">
      <w:pPr>
        <w:autoSpaceDE w:val="0"/>
        <w:autoSpaceDN w:val="0"/>
        <w:adjustRightInd w:val="0"/>
        <w:ind w:left="720" w:hanging="720"/>
        <w:rPr>
          <w:rFonts w:cs="Times New Roman"/>
          <w:szCs w:val="24"/>
        </w:rPr>
      </w:pPr>
      <w:r w:rsidRPr="00C0591E">
        <w:rPr>
          <w:rFonts w:cs="Times New Roman"/>
          <w:szCs w:val="24"/>
        </w:rPr>
        <w:t xml:space="preserve">Scotland, J. (2019). Exploring the philosophical underpinnings of research: Relating ontology and epistemology to the methodology and methods of the scientific, interpretive, and critical research paradigms. </w:t>
      </w:r>
      <w:r w:rsidRPr="00C0591E">
        <w:rPr>
          <w:rFonts w:cs="Times New Roman"/>
          <w:i/>
          <w:szCs w:val="24"/>
        </w:rPr>
        <w:t>English Language Teaching</w:t>
      </w:r>
      <w:r w:rsidRPr="00C0591E">
        <w:rPr>
          <w:rFonts w:cs="Times New Roman"/>
          <w:szCs w:val="24"/>
        </w:rPr>
        <w:t>, 5(9), 9-16.</w:t>
      </w:r>
    </w:p>
    <w:p w14:paraId="649B72A0" w14:textId="77777777" w:rsidR="00E13F0B" w:rsidRPr="00C0591E" w:rsidRDefault="00E13F0B" w:rsidP="00E13F0B">
      <w:pPr>
        <w:ind w:left="720" w:hanging="720"/>
        <w:rPr>
          <w:rFonts w:cs="Times New Roman"/>
          <w:szCs w:val="24"/>
        </w:rPr>
      </w:pPr>
      <w:r w:rsidRPr="00C0591E">
        <w:rPr>
          <w:rFonts w:cs="Times New Roman"/>
          <w:szCs w:val="24"/>
          <w:shd w:val="clear" w:color="auto" w:fill="FFFFFF"/>
        </w:rPr>
        <w:t>Shavulimo, P. M. (2018). Effect of Corporate Governance on Performance of Sugar Manufacturing Firms in Kenya: A Case of Sugar Manufacturing Firms in Western Keny. </w:t>
      </w:r>
      <w:r w:rsidRPr="00C0591E">
        <w:rPr>
          <w:rFonts w:cs="Times New Roman"/>
          <w:i/>
          <w:iCs/>
          <w:szCs w:val="24"/>
          <w:shd w:val="clear" w:color="auto" w:fill="FFFFFF"/>
        </w:rPr>
        <w:t>Journal of Business and Management</w:t>
      </w:r>
      <w:r w:rsidRPr="00C0591E">
        <w:rPr>
          <w:rFonts w:cs="Times New Roman"/>
          <w:szCs w:val="24"/>
          <w:shd w:val="clear" w:color="auto" w:fill="FFFFFF"/>
        </w:rPr>
        <w:t>, </w:t>
      </w:r>
      <w:r w:rsidRPr="00C0591E">
        <w:rPr>
          <w:rFonts w:cs="Times New Roman"/>
          <w:i/>
          <w:iCs/>
          <w:szCs w:val="24"/>
          <w:shd w:val="clear" w:color="auto" w:fill="FFFFFF"/>
        </w:rPr>
        <w:t>16</w:t>
      </w:r>
      <w:r w:rsidRPr="00C0591E">
        <w:rPr>
          <w:rFonts w:cs="Times New Roman"/>
          <w:szCs w:val="24"/>
          <w:shd w:val="clear" w:color="auto" w:fill="FFFFFF"/>
        </w:rPr>
        <w:t>(11), 214-239.</w:t>
      </w:r>
    </w:p>
    <w:p w14:paraId="3A894229" w14:textId="77777777" w:rsidR="00E13F0B" w:rsidRPr="00C0591E" w:rsidRDefault="00E13F0B" w:rsidP="00E13F0B">
      <w:pPr>
        <w:ind w:left="720" w:hanging="720"/>
        <w:rPr>
          <w:rFonts w:cs="Times New Roman"/>
          <w:szCs w:val="24"/>
        </w:rPr>
      </w:pPr>
      <w:r w:rsidRPr="00C0591E">
        <w:rPr>
          <w:rFonts w:cs="Times New Roman"/>
          <w:szCs w:val="24"/>
        </w:rPr>
        <w:t xml:space="preserve">Sheikh, N. A., &amp; Wang, Z. (2019). Effects of corporate governance on capital structure: empirical evidence from Pakistan. </w:t>
      </w:r>
      <w:r w:rsidRPr="00C0591E">
        <w:rPr>
          <w:rFonts w:cs="Times New Roman"/>
          <w:i/>
          <w:iCs/>
          <w:szCs w:val="24"/>
        </w:rPr>
        <w:t>Corporate Governance: The international journal of business in society</w:t>
      </w:r>
      <w:r w:rsidRPr="00C0591E">
        <w:rPr>
          <w:rFonts w:cs="Times New Roman"/>
          <w:szCs w:val="24"/>
        </w:rPr>
        <w:t>.</w:t>
      </w:r>
    </w:p>
    <w:p w14:paraId="3EBBF729" w14:textId="77777777" w:rsidR="00E13F0B" w:rsidRPr="00C0591E" w:rsidRDefault="00E13F0B" w:rsidP="00E13F0B">
      <w:pPr>
        <w:ind w:left="720" w:hanging="720"/>
        <w:rPr>
          <w:rFonts w:cs="Times New Roman"/>
          <w:szCs w:val="24"/>
        </w:rPr>
      </w:pPr>
      <w:r w:rsidRPr="00C0591E">
        <w:rPr>
          <w:rFonts w:cs="Times New Roman"/>
          <w:szCs w:val="24"/>
        </w:rPr>
        <w:t xml:space="preserve">Shleifer, A., &amp; Vishny, R. (2019). Neglected risks, financial innovation, and financial fragility. </w:t>
      </w:r>
      <w:r w:rsidRPr="00C0591E">
        <w:rPr>
          <w:rFonts w:cs="Times New Roman"/>
          <w:i/>
          <w:iCs/>
          <w:szCs w:val="24"/>
        </w:rPr>
        <w:t>Journal of Financial Economics</w:t>
      </w:r>
      <w:r w:rsidRPr="00C0591E">
        <w:rPr>
          <w:rFonts w:cs="Times New Roman"/>
          <w:szCs w:val="24"/>
        </w:rPr>
        <w:t xml:space="preserve">, </w:t>
      </w:r>
      <w:r w:rsidRPr="00C0591E">
        <w:rPr>
          <w:rFonts w:cs="Times New Roman"/>
          <w:i/>
          <w:iCs/>
          <w:szCs w:val="24"/>
        </w:rPr>
        <w:t>104</w:t>
      </w:r>
      <w:r w:rsidRPr="00C0591E">
        <w:rPr>
          <w:rFonts w:cs="Times New Roman"/>
          <w:szCs w:val="24"/>
        </w:rPr>
        <w:t>(3), 452-468.</w:t>
      </w:r>
    </w:p>
    <w:p w14:paraId="4C05B8AF" w14:textId="77777777" w:rsidR="00E13F0B" w:rsidRPr="00C0591E" w:rsidRDefault="00E13F0B" w:rsidP="00E13F0B">
      <w:pPr>
        <w:ind w:left="720" w:hanging="720"/>
        <w:rPr>
          <w:rFonts w:cs="Times New Roman"/>
          <w:szCs w:val="24"/>
        </w:rPr>
      </w:pPr>
      <w:r w:rsidRPr="00C0591E">
        <w:rPr>
          <w:rFonts w:cs="Times New Roman"/>
          <w:szCs w:val="24"/>
        </w:rPr>
        <w:t xml:space="preserve">Shleifer, A., &amp; Vishny, R. W. (2017). A survey of corporate governance. </w:t>
      </w:r>
      <w:r w:rsidRPr="00C0591E">
        <w:rPr>
          <w:rFonts w:cs="Times New Roman"/>
          <w:i/>
          <w:iCs/>
          <w:szCs w:val="24"/>
        </w:rPr>
        <w:t>The journal of finance</w:t>
      </w:r>
      <w:r w:rsidRPr="00C0591E">
        <w:rPr>
          <w:rFonts w:cs="Times New Roman"/>
          <w:szCs w:val="24"/>
        </w:rPr>
        <w:t xml:space="preserve">, </w:t>
      </w:r>
      <w:r w:rsidRPr="00C0591E">
        <w:rPr>
          <w:rFonts w:cs="Times New Roman"/>
          <w:i/>
          <w:iCs/>
          <w:szCs w:val="24"/>
        </w:rPr>
        <w:t>52</w:t>
      </w:r>
      <w:r w:rsidRPr="00C0591E">
        <w:rPr>
          <w:rFonts w:cs="Times New Roman"/>
          <w:szCs w:val="24"/>
        </w:rPr>
        <w:t>(2), 737-783.</w:t>
      </w:r>
    </w:p>
    <w:p w14:paraId="77DD6303" w14:textId="77777777" w:rsidR="00E13F0B" w:rsidRPr="00C0591E" w:rsidRDefault="00E13F0B" w:rsidP="00E13F0B">
      <w:pPr>
        <w:ind w:left="720" w:hanging="720"/>
        <w:rPr>
          <w:rFonts w:cs="Times New Roman"/>
          <w:szCs w:val="24"/>
        </w:rPr>
      </w:pPr>
      <w:r w:rsidRPr="00C0591E">
        <w:rPr>
          <w:rFonts w:cs="Times New Roman"/>
          <w:szCs w:val="24"/>
        </w:rPr>
        <w:t>Sicily, Rotich, S. &amp; Gladys. (2017). Influence of Corporate Governance on the Performance of Public Organizations in Kenya (a Case of Kenya Ports Authority).</w:t>
      </w:r>
    </w:p>
    <w:p w14:paraId="032C5970" w14:textId="77777777" w:rsidR="00E13F0B" w:rsidRPr="00C0591E" w:rsidRDefault="00E13F0B" w:rsidP="00E13F0B">
      <w:pPr>
        <w:ind w:left="720" w:hanging="720"/>
        <w:rPr>
          <w:rFonts w:cs="Times New Roman"/>
          <w:szCs w:val="24"/>
        </w:rPr>
      </w:pPr>
      <w:r w:rsidRPr="00C0591E">
        <w:rPr>
          <w:rFonts w:cs="Times New Roman"/>
          <w:szCs w:val="24"/>
        </w:rPr>
        <w:t xml:space="preserve">Singh, A. (2019). Competition, corporate governance and selection in emerging markets. </w:t>
      </w:r>
      <w:r w:rsidRPr="00C0591E">
        <w:rPr>
          <w:rFonts w:cs="Times New Roman"/>
          <w:i/>
          <w:iCs/>
          <w:szCs w:val="24"/>
        </w:rPr>
        <w:t>The Economic Journal</w:t>
      </w:r>
      <w:r w:rsidRPr="00C0591E">
        <w:rPr>
          <w:rFonts w:cs="Times New Roman"/>
          <w:szCs w:val="24"/>
        </w:rPr>
        <w:t xml:space="preserve">, </w:t>
      </w:r>
      <w:r w:rsidRPr="00C0591E">
        <w:rPr>
          <w:rFonts w:cs="Times New Roman"/>
          <w:i/>
          <w:iCs/>
          <w:szCs w:val="24"/>
        </w:rPr>
        <w:t>113</w:t>
      </w:r>
      <w:r w:rsidRPr="00C0591E">
        <w:rPr>
          <w:rFonts w:cs="Times New Roman"/>
          <w:szCs w:val="24"/>
        </w:rPr>
        <w:t>(491), F443-F464.</w:t>
      </w:r>
    </w:p>
    <w:p w14:paraId="576FCE2A" w14:textId="77777777" w:rsidR="00E13F0B" w:rsidRPr="00C0591E" w:rsidRDefault="00E13F0B" w:rsidP="00E13F0B">
      <w:pPr>
        <w:ind w:left="720" w:hanging="720"/>
        <w:rPr>
          <w:rFonts w:cs="Times New Roman"/>
          <w:szCs w:val="24"/>
        </w:rPr>
      </w:pPr>
      <w:r w:rsidRPr="00C0591E">
        <w:rPr>
          <w:rFonts w:cs="Times New Roman"/>
          <w:szCs w:val="24"/>
        </w:rPr>
        <w:t xml:space="preserve">Singh, A., &amp; Zammit, A. (2016). Corporate Governance, Crony Capitalism and Economic Crises: should the US business model replace the Asian way of “doing business”?. </w:t>
      </w:r>
      <w:r w:rsidRPr="00C0591E">
        <w:rPr>
          <w:rFonts w:cs="Times New Roman"/>
          <w:i/>
          <w:iCs/>
          <w:szCs w:val="24"/>
        </w:rPr>
        <w:t>Corporate Governance: An International Review</w:t>
      </w:r>
      <w:r w:rsidRPr="00C0591E">
        <w:rPr>
          <w:rFonts w:cs="Times New Roman"/>
          <w:szCs w:val="24"/>
        </w:rPr>
        <w:t xml:space="preserve">, </w:t>
      </w:r>
      <w:r w:rsidRPr="00C0591E">
        <w:rPr>
          <w:rFonts w:cs="Times New Roman"/>
          <w:i/>
          <w:iCs/>
          <w:szCs w:val="24"/>
        </w:rPr>
        <w:t>14</w:t>
      </w:r>
      <w:r w:rsidRPr="00C0591E">
        <w:rPr>
          <w:rFonts w:cs="Times New Roman"/>
          <w:szCs w:val="24"/>
        </w:rPr>
        <w:t>(4), 220-233.</w:t>
      </w:r>
    </w:p>
    <w:p w14:paraId="77450F1A" w14:textId="77777777" w:rsidR="00E13F0B" w:rsidRPr="00C0591E" w:rsidRDefault="00E13F0B" w:rsidP="00E13F0B">
      <w:pPr>
        <w:ind w:left="720" w:hanging="720"/>
        <w:rPr>
          <w:rFonts w:cs="Times New Roman"/>
          <w:szCs w:val="24"/>
        </w:rPr>
      </w:pPr>
      <w:r w:rsidRPr="00C0591E">
        <w:rPr>
          <w:rFonts w:cs="Times New Roman"/>
          <w:szCs w:val="24"/>
        </w:rPr>
        <w:t>Solomon, J. (2019). Corporate Governance and Accountability, edition. Ed.</w:t>
      </w:r>
    </w:p>
    <w:p w14:paraId="2F61543A" w14:textId="77777777" w:rsidR="00E13F0B" w:rsidRPr="00C0591E" w:rsidRDefault="00E13F0B" w:rsidP="00E13F0B">
      <w:pPr>
        <w:ind w:left="720" w:hanging="720"/>
        <w:rPr>
          <w:rFonts w:cs="Times New Roman"/>
          <w:szCs w:val="24"/>
        </w:rPr>
      </w:pPr>
      <w:r w:rsidRPr="00C0591E">
        <w:rPr>
          <w:rFonts w:cs="Times New Roman"/>
          <w:szCs w:val="24"/>
        </w:rPr>
        <w:t xml:space="preserve">Spitzeck, H. (2019). The development of governance structures for corporate responsibility. </w:t>
      </w:r>
      <w:r w:rsidRPr="00C0591E">
        <w:rPr>
          <w:rFonts w:cs="Times New Roman"/>
          <w:i/>
          <w:iCs/>
          <w:szCs w:val="24"/>
        </w:rPr>
        <w:t>Corporate Governance: International Journal of Business in Society</w:t>
      </w:r>
      <w:r w:rsidRPr="00C0591E">
        <w:rPr>
          <w:rFonts w:cs="Times New Roman"/>
          <w:szCs w:val="24"/>
        </w:rPr>
        <w:t xml:space="preserve">, </w:t>
      </w:r>
      <w:r w:rsidRPr="00C0591E">
        <w:rPr>
          <w:rFonts w:cs="Times New Roman"/>
          <w:i/>
          <w:iCs/>
          <w:szCs w:val="24"/>
        </w:rPr>
        <w:t>9</w:t>
      </w:r>
      <w:r w:rsidRPr="00C0591E">
        <w:rPr>
          <w:rFonts w:cs="Times New Roman"/>
          <w:szCs w:val="24"/>
        </w:rPr>
        <w:t>(4), 495-505.</w:t>
      </w:r>
    </w:p>
    <w:p w14:paraId="43E9119B" w14:textId="77777777" w:rsidR="00E13F0B" w:rsidRPr="00C0591E" w:rsidRDefault="00E13F0B" w:rsidP="00E13F0B">
      <w:pPr>
        <w:ind w:left="720" w:hanging="720"/>
        <w:rPr>
          <w:rFonts w:cs="Times New Roman"/>
          <w:szCs w:val="24"/>
        </w:rPr>
      </w:pPr>
      <w:r w:rsidRPr="00C0591E">
        <w:rPr>
          <w:rFonts w:cs="Times New Roman"/>
          <w:color w:val="222222"/>
          <w:szCs w:val="24"/>
          <w:shd w:val="clear" w:color="auto" w:fill="FFFFFF"/>
        </w:rPr>
        <w:t>Stanwick, P. A., &amp; Stanwick, S. D. (2002). The relationship between corporate governance and financial performance. </w:t>
      </w:r>
      <w:r w:rsidRPr="00C0591E">
        <w:rPr>
          <w:rFonts w:cs="Times New Roman"/>
          <w:i/>
          <w:iCs/>
          <w:color w:val="222222"/>
          <w:szCs w:val="24"/>
          <w:shd w:val="clear" w:color="auto" w:fill="FFFFFF"/>
        </w:rPr>
        <w:t>Journal of Corporate Citizenship</w:t>
      </w:r>
      <w:r w:rsidRPr="00C0591E">
        <w:rPr>
          <w:rFonts w:cs="Times New Roman"/>
          <w:color w:val="222222"/>
          <w:szCs w:val="24"/>
          <w:shd w:val="clear" w:color="auto" w:fill="FFFFFF"/>
        </w:rPr>
        <w:t>, </w:t>
      </w:r>
      <w:r w:rsidRPr="00C0591E">
        <w:rPr>
          <w:rFonts w:cs="Times New Roman"/>
          <w:i/>
          <w:iCs/>
          <w:color w:val="222222"/>
          <w:szCs w:val="24"/>
          <w:shd w:val="clear" w:color="auto" w:fill="FFFFFF"/>
        </w:rPr>
        <w:t>8</w:t>
      </w:r>
      <w:r w:rsidRPr="00C0591E">
        <w:rPr>
          <w:rFonts w:cs="Times New Roman"/>
          <w:color w:val="222222"/>
          <w:szCs w:val="24"/>
          <w:shd w:val="clear" w:color="auto" w:fill="FFFFFF"/>
        </w:rPr>
        <w:t>(4), 35-48.</w:t>
      </w:r>
      <w:r w:rsidRPr="00C0591E">
        <w:rPr>
          <w:rFonts w:cs="Times New Roman"/>
          <w:szCs w:val="24"/>
        </w:rPr>
        <w:t xml:space="preserve"> </w:t>
      </w:r>
    </w:p>
    <w:p w14:paraId="5F554DA9" w14:textId="77777777" w:rsidR="00E13F0B" w:rsidRPr="00C0591E" w:rsidRDefault="00E13F0B" w:rsidP="00E13F0B">
      <w:pPr>
        <w:ind w:left="720" w:hanging="720"/>
        <w:rPr>
          <w:rFonts w:cs="Times New Roman"/>
          <w:szCs w:val="24"/>
        </w:rPr>
      </w:pPr>
      <w:r w:rsidRPr="00C0591E">
        <w:rPr>
          <w:rFonts w:cs="Times New Roman"/>
          <w:szCs w:val="24"/>
        </w:rPr>
        <w:t xml:space="preserve">Stearns, L. B., &amp; Mizruchi, M. S. (2019). Corporate financing: social and economic determinants. </w:t>
      </w:r>
      <w:r w:rsidRPr="00C0591E">
        <w:rPr>
          <w:rFonts w:cs="Times New Roman"/>
          <w:i/>
          <w:iCs/>
          <w:szCs w:val="24"/>
        </w:rPr>
        <w:t>Explorations in economic sociology</w:t>
      </w:r>
      <w:r w:rsidRPr="00C0591E">
        <w:rPr>
          <w:rFonts w:cs="Times New Roman"/>
          <w:szCs w:val="24"/>
        </w:rPr>
        <w:t>, 279-307.</w:t>
      </w:r>
    </w:p>
    <w:p w14:paraId="66912AE1" w14:textId="77777777" w:rsidR="00E13F0B" w:rsidRPr="00C0591E" w:rsidRDefault="00E13F0B" w:rsidP="00E13F0B">
      <w:pPr>
        <w:ind w:left="720" w:hanging="720"/>
        <w:rPr>
          <w:rFonts w:cs="Times New Roman"/>
          <w:szCs w:val="24"/>
        </w:rPr>
      </w:pPr>
      <w:r w:rsidRPr="00C0591E">
        <w:rPr>
          <w:rFonts w:cs="Times New Roman"/>
          <w:szCs w:val="24"/>
        </w:rPr>
        <w:t xml:space="preserve">Syriopoulos, T., &amp; Tsatsaronis, M. (2019). Corporate governance mechanisms and financial performance: CEO duality in shipping firms. </w:t>
      </w:r>
      <w:r w:rsidRPr="00C0591E">
        <w:rPr>
          <w:rFonts w:cs="Times New Roman"/>
          <w:i/>
          <w:iCs/>
          <w:szCs w:val="24"/>
        </w:rPr>
        <w:t>Eurasian Business Review</w:t>
      </w:r>
      <w:r w:rsidRPr="00C0591E">
        <w:rPr>
          <w:rFonts w:cs="Times New Roman"/>
          <w:szCs w:val="24"/>
        </w:rPr>
        <w:t xml:space="preserve">, </w:t>
      </w:r>
      <w:r w:rsidRPr="00C0591E">
        <w:rPr>
          <w:rFonts w:cs="Times New Roman"/>
          <w:i/>
          <w:iCs/>
          <w:szCs w:val="24"/>
        </w:rPr>
        <w:t>2</w:t>
      </w:r>
      <w:r w:rsidRPr="00C0591E">
        <w:rPr>
          <w:rFonts w:cs="Times New Roman"/>
          <w:szCs w:val="24"/>
        </w:rPr>
        <w:t>(1), 1-30.</w:t>
      </w:r>
    </w:p>
    <w:p w14:paraId="6A26D573" w14:textId="77777777" w:rsidR="00E13F0B" w:rsidRPr="00C0591E" w:rsidRDefault="00E13F0B" w:rsidP="00E13F0B">
      <w:pPr>
        <w:ind w:left="720" w:hanging="720"/>
        <w:rPr>
          <w:rFonts w:cs="Times New Roman"/>
          <w:szCs w:val="24"/>
        </w:rPr>
      </w:pPr>
      <w:r w:rsidRPr="00C0591E">
        <w:rPr>
          <w:rFonts w:cs="Times New Roman"/>
          <w:color w:val="222222"/>
          <w:szCs w:val="24"/>
          <w:shd w:val="clear" w:color="auto" w:fill="FFFFFF"/>
        </w:rPr>
        <w:t>Tabachnick, B. G., &amp; Fidell, L. S. (2007). </w:t>
      </w:r>
      <w:r w:rsidRPr="00C0591E">
        <w:rPr>
          <w:rFonts w:cs="Times New Roman"/>
          <w:i/>
          <w:iCs/>
          <w:color w:val="222222"/>
          <w:szCs w:val="24"/>
          <w:shd w:val="clear" w:color="auto" w:fill="FFFFFF"/>
        </w:rPr>
        <w:t>Experimental designs using ANOVA</w:t>
      </w:r>
      <w:r w:rsidRPr="00C0591E">
        <w:rPr>
          <w:rFonts w:cs="Times New Roman"/>
          <w:color w:val="222222"/>
          <w:szCs w:val="24"/>
          <w:shd w:val="clear" w:color="auto" w:fill="FFFFFF"/>
        </w:rPr>
        <w:t>. Thomson/Brooks/Cole.</w:t>
      </w:r>
    </w:p>
    <w:p w14:paraId="6ED78334" w14:textId="77777777" w:rsidR="00E13F0B" w:rsidRPr="00C0591E" w:rsidRDefault="00E13F0B" w:rsidP="00E13F0B">
      <w:pPr>
        <w:ind w:left="720" w:hanging="720"/>
        <w:rPr>
          <w:rFonts w:cs="Times New Roman"/>
          <w:szCs w:val="24"/>
        </w:rPr>
      </w:pPr>
      <w:r w:rsidRPr="00C0591E">
        <w:rPr>
          <w:rFonts w:cs="Times New Roman"/>
          <w:szCs w:val="24"/>
        </w:rPr>
        <w:t xml:space="preserve">Tai, L. (2015). The impact of corporate governance on the efficiency and financial performance of GCC national banks. </w:t>
      </w:r>
      <w:r w:rsidRPr="00C0591E">
        <w:rPr>
          <w:rFonts w:cs="Times New Roman"/>
          <w:i/>
          <w:szCs w:val="24"/>
        </w:rPr>
        <w:t>Middle East Journal of Business</w:t>
      </w:r>
      <w:r w:rsidRPr="00C0591E">
        <w:rPr>
          <w:rFonts w:cs="Times New Roman"/>
          <w:szCs w:val="24"/>
        </w:rPr>
        <w:t>, 10(1), 12- 16.</w:t>
      </w:r>
    </w:p>
    <w:p w14:paraId="5CD14758" w14:textId="77777777" w:rsidR="00E13F0B" w:rsidRPr="00C0591E" w:rsidRDefault="00E13F0B" w:rsidP="00E13F0B">
      <w:pPr>
        <w:ind w:left="720" w:hanging="720"/>
        <w:rPr>
          <w:rFonts w:cs="Times New Roman"/>
          <w:szCs w:val="24"/>
        </w:rPr>
      </w:pPr>
      <w:r w:rsidRPr="00C0591E">
        <w:rPr>
          <w:rFonts w:cs="Times New Roman"/>
          <w:szCs w:val="24"/>
        </w:rPr>
        <w:t>The Institute of Chartered Accountants of India. (2014). Portfolio theory. Retrieved September 27, 2016, from http://www.icaiknowledgegateway.org/littledms/folder1/chapter-7-portfoliotheory.pdf</w:t>
      </w:r>
    </w:p>
    <w:p w14:paraId="63AAD2B5" w14:textId="77777777" w:rsidR="00E13F0B" w:rsidRPr="00C0591E" w:rsidRDefault="00E13F0B" w:rsidP="00E13F0B">
      <w:pPr>
        <w:ind w:left="720" w:hanging="720"/>
        <w:rPr>
          <w:rFonts w:cs="Times New Roman"/>
          <w:szCs w:val="24"/>
        </w:rPr>
      </w:pPr>
      <w:r w:rsidRPr="00C0591E">
        <w:rPr>
          <w:rFonts w:cs="Times New Roman"/>
          <w:szCs w:val="24"/>
        </w:rPr>
        <w:t xml:space="preserve">Thomas, A., &amp; Tonks, I. (2019). Equity performance of segregated pension funds in the UK. </w:t>
      </w:r>
      <w:r w:rsidRPr="00C0591E">
        <w:rPr>
          <w:rFonts w:cs="Times New Roman"/>
          <w:i/>
          <w:iCs/>
          <w:szCs w:val="24"/>
        </w:rPr>
        <w:t>Journal of Asset Management</w:t>
      </w:r>
      <w:r w:rsidRPr="00C0591E">
        <w:rPr>
          <w:rFonts w:cs="Times New Roman"/>
          <w:szCs w:val="24"/>
        </w:rPr>
        <w:t xml:space="preserve">, </w:t>
      </w:r>
      <w:r w:rsidRPr="00C0591E">
        <w:rPr>
          <w:rFonts w:cs="Times New Roman"/>
          <w:i/>
          <w:iCs/>
          <w:szCs w:val="24"/>
        </w:rPr>
        <w:t>1</w:t>
      </w:r>
      <w:r w:rsidRPr="00C0591E">
        <w:rPr>
          <w:rFonts w:cs="Times New Roman"/>
          <w:szCs w:val="24"/>
        </w:rPr>
        <w:t>(4), 321-343.</w:t>
      </w:r>
    </w:p>
    <w:p w14:paraId="2B625E7E" w14:textId="77777777" w:rsidR="00E13F0B" w:rsidRPr="00C0591E" w:rsidRDefault="00E13F0B" w:rsidP="00E13F0B">
      <w:pPr>
        <w:ind w:left="720" w:hanging="720"/>
        <w:rPr>
          <w:rFonts w:cs="Times New Roman"/>
          <w:szCs w:val="24"/>
        </w:rPr>
      </w:pPr>
      <w:r w:rsidRPr="00C0591E">
        <w:rPr>
          <w:rFonts w:cs="Times New Roman"/>
          <w:szCs w:val="24"/>
        </w:rPr>
        <w:t xml:space="preserve">Thomas, S., Suresh, K., &amp; Suresh, G. (2019). Design and data analysis case-controlled study in clinical research. </w:t>
      </w:r>
      <w:r w:rsidRPr="00C0591E">
        <w:rPr>
          <w:rFonts w:cs="Times New Roman"/>
          <w:i/>
          <w:szCs w:val="24"/>
        </w:rPr>
        <w:t>Annals of Indian Academy of Neurology</w:t>
      </w:r>
      <w:r w:rsidRPr="00C0591E">
        <w:rPr>
          <w:rFonts w:cs="Times New Roman"/>
          <w:szCs w:val="24"/>
        </w:rPr>
        <w:t>, 16, 483-487. doi:10.4103/0972-2327.120429</w:t>
      </w:r>
    </w:p>
    <w:p w14:paraId="77CFE176" w14:textId="77777777" w:rsidR="00E13F0B" w:rsidRPr="00C0591E" w:rsidRDefault="00E13F0B" w:rsidP="00E13F0B">
      <w:pPr>
        <w:ind w:left="720" w:hanging="720"/>
        <w:rPr>
          <w:rFonts w:cs="Times New Roman"/>
          <w:szCs w:val="24"/>
        </w:rPr>
      </w:pPr>
      <w:r w:rsidRPr="00C0591E">
        <w:rPr>
          <w:rFonts w:cs="Times New Roman"/>
          <w:szCs w:val="24"/>
        </w:rPr>
        <w:t xml:space="preserve">Tsamenyi, M., Enninful‐Adu, E., &amp; Onumah, J. (2017). Disclosure and corporate governance in developing countries: Evidence from Ghana. </w:t>
      </w:r>
      <w:r w:rsidRPr="00C0591E">
        <w:rPr>
          <w:rFonts w:cs="Times New Roman"/>
          <w:i/>
          <w:iCs/>
          <w:szCs w:val="24"/>
        </w:rPr>
        <w:t>Managerial Auditing Journal</w:t>
      </w:r>
      <w:r w:rsidRPr="00C0591E">
        <w:rPr>
          <w:rFonts w:cs="Times New Roman"/>
          <w:szCs w:val="24"/>
        </w:rPr>
        <w:t>.</w:t>
      </w:r>
    </w:p>
    <w:p w14:paraId="7D0955F6" w14:textId="77777777" w:rsidR="00E13F0B" w:rsidRPr="00C0591E" w:rsidRDefault="00E13F0B" w:rsidP="00E13F0B">
      <w:pPr>
        <w:ind w:left="720" w:hanging="720"/>
        <w:rPr>
          <w:rFonts w:cs="Times New Roman"/>
          <w:szCs w:val="24"/>
        </w:rPr>
      </w:pPr>
      <w:r w:rsidRPr="00C0591E">
        <w:rPr>
          <w:rFonts w:cs="Times New Roman"/>
          <w:szCs w:val="24"/>
        </w:rPr>
        <w:t xml:space="preserve">Turnbull, S. (2019). The limitations of corporate governance best practices. </w:t>
      </w:r>
      <w:r w:rsidRPr="00C0591E">
        <w:rPr>
          <w:rFonts w:cs="Times New Roman"/>
          <w:i/>
          <w:iCs/>
          <w:szCs w:val="24"/>
        </w:rPr>
        <w:t>The Sage Handbook of Corporate Governance, Sage Publications, Thousand Oaks, CA, chapt</w:t>
      </w:r>
      <w:r w:rsidRPr="00C0591E">
        <w:rPr>
          <w:rFonts w:cs="Times New Roman"/>
          <w:szCs w:val="24"/>
        </w:rPr>
        <w:t xml:space="preserve">, </w:t>
      </w:r>
      <w:r w:rsidRPr="00C0591E">
        <w:rPr>
          <w:rFonts w:cs="Times New Roman"/>
          <w:i/>
          <w:iCs/>
          <w:szCs w:val="24"/>
        </w:rPr>
        <w:t>19</w:t>
      </w:r>
      <w:r w:rsidRPr="00C0591E">
        <w:rPr>
          <w:rFonts w:cs="Times New Roman"/>
          <w:szCs w:val="24"/>
        </w:rPr>
        <w:t>, 428-450.</w:t>
      </w:r>
    </w:p>
    <w:p w14:paraId="6A33C65C" w14:textId="77777777" w:rsidR="00E13F0B" w:rsidRPr="00C0591E" w:rsidRDefault="00E13F0B" w:rsidP="00E13F0B">
      <w:pPr>
        <w:ind w:left="720" w:hanging="720"/>
        <w:rPr>
          <w:rFonts w:cs="Times New Roman"/>
          <w:szCs w:val="24"/>
        </w:rPr>
      </w:pPr>
      <w:r w:rsidRPr="00C0591E">
        <w:rPr>
          <w:rFonts w:cs="Times New Roman"/>
          <w:szCs w:val="24"/>
        </w:rPr>
        <w:t xml:space="preserve">Twine, E. E., Kiiza, B., &amp; Bashaasha, B. (2015). The flexible accelerator model of investment: An application to Ugandan tea-processing firms. </w:t>
      </w:r>
      <w:r w:rsidRPr="00C0591E">
        <w:rPr>
          <w:rFonts w:cs="Times New Roman"/>
          <w:i/>
          <w:szCs w:val="24"/>
        </w:rPr>
        <w:t>African Journal of Agricultural and Resource Economics</w:t>
      </w:r>
      <w:r w:rsidRPr="00C0591E">
        <w:rPr>
          <w:rFonts w:cs="Times New Roman"/>
          <w:szCs w:val="24"/>
        </w:rPr>
        <w:t>, 10(1), 1-15.</w:t>
      </w:r>
    </w:p>
    <w:p w14:paraId="5F4DAB56" w14:textId="77777777" w:rsidR="00E13F0B" w:rsidRPr="00C0591E" w:rsidRDefault="00E13F0B" w:rsidP="00E13F0B">
      <w:pPr>
        <w:ind w:left="720" w:hanging="720"/>
        <w:rPr>
          <w:rFonts w:cs="Times New Roman"/>
          <w:noProof/>
          <w:szCs w:val="24"/>
        </w:rPr>
      </w:pPr>
      <w:r w:rsidRPr="00C0591E">
        <w:rPr>
          <w:rFonts w:cs="Times New Roman"/>
          <w:color w:val="222222"/>
          <w:szCs w:val="24"/>
          <w:shd w:val="clear" w:color="auto" w:fill="FFFFFF"/>
        </w:rPr>
        <w:t>Ujunwa, A. (2019). Board characteristics and the financial performance of Nigerian quoted firms. </w:t>
      </w:r>
      <w:r w:rsidRPr="00C0591E">
        <w:rPr>
          <w:rFonts w:cs="Times New Roman"/>
          <w:i/>
          <w:iCs/>
          <w:color w:val="222222"/>
          <w:szCs w:val="24"/>
          <w:shd w:val="clear" w:color="auto" w:fill="FFFFFF"/>
        </w:rPr>
        <w:t>Corporate Governance: The international journal of business in society</w:t>
      </w:r>
      <w:r w:rsidRPr="00C0591E">
        <w:rPr>
          <w:rFonts w:cs="Times New Roman"/>
          <w:color w:val="222222"/>
          <w:szCs w:val="24"/>
          <w:shd w:val="clear" w:color="auto" w:fill="FFFFFF"/>
        </w:rPr>
        <w:t>, </w:t>
      </w:r>
      <w:r w:rsidRPr="00C0591E">
        <w:rPr>
          <w:rFonts w:cs="Times New Roman"/>
          <w:i/>
          <w:iCs/>
          <w:color w:val="222222"/>
          <w:szCs w:val="24"/>
          <w:shd w:val="clear" w:color="auto" w:fill="FFFFFF"/>
        </w:rPr>
        <w:t>12</w:t>
      </w:r>
      <w:r w:rsidRPr="00C0591E">
        <w:rPr>
          <w:rFonts w:cs="Times New Roman"/>
          <w:color w:val="222222"/>
          <w:szCs w:val="24"/>
          <w:shd w:val="clear" w:color="auto" w:fill="FFFFFF"/>
        </w:rPr>
        <w:t>(5), 656-674.</w:t>
      </w:r>
    </w:p>
    <w:p w14:paraId="41B2DC02" w14:textId="77777777" w:rsidR="00E13F0B" w:rsidRPr="00C0591E" w:rsidRDefault="00E13F0B" w:rsidP="00E13F0B">
      <w:pPr>
        <w:ind w:left="720" w:hanging="720"/>
        <w:rPr>
          <w:rFonts w:cs="Times New Roman"/>
          <w:szCs w:val="24"/>
        </w:rPr>
      </w:pPr>
      <w:r w:rsidRPr="00C0591E">
        <w:rPr>
          <w:rFonts w:cs="Times New Roman"/>
          <w:szCs w:val="24"/>
        </w:rPr>
        <w:t xml:space="preserve">Ullah, M. S., Muttakin, M. B., &amp; Khan, A. (2019). Corporate governance and corporate social responsibility disclosures in insurance companies. </w:t>
      </w:r>
      <w:r w:rsidRPr="00C0591E">
        <w:rPr>
          <w:rFonts w:cs="Times New Roman"/>
          <w:i/>
          <w:iCs/>
          <w:szCs w:val="24"/>
        </w:rPr>
        <w:t>International Journal of Accounting &amp; Information Management</w:t>
      </w:r>
      <w:r w:rsidRPr="00C0591E">
        <w:rPr>
          <w:rFonts w:cs="Times New Roman"/>
          <w:szCs w:val="24"/>
        </w:rPr>
        <w:t>.</w:t>
      </w:r>
    </w:p>
    <w:p w14:paraId="05AF036F" w14:textId="77777777" w:rsidR="00E13F0B" w:rsidRPr="00C0591E" w:rsidRDefault="00E13F0B" w:rsidP="00E13F0B">
      <w:pPr>
        <w:ind w:left="720" w:hanging="720"/>
        <w:rPr>
          <w:rFonts w:cs="Times New Roman"/>
          <w:szCs w:val="24"/>
        </w:rPr>
      </w:pPr>
      <w:r w:rsidRPr="00C0591E">
        <w:rPr>
          <w:rFonts w:cs="Times New Roman"/>
          <w:szCs w:val="24"/>
        </w:rPr>
        <w:t xml:space="preserve">Useem, M., &amp; Mitchell, O. S. (2016). Holders of the purse strings: Governance and performance of public retirement systems. </w:t>
      </w:r>
      <w:r w:rsidRPr="00C0591E">
        <w:rPr>
          <w:rFonts w:cs="Times New Roman"/>
          <w:i/>
          <w:iCs/>
          <w:szCs w:val="24"/>
        </w:rPr>
        <w:t>Social Science Quarterly</w:t>
      </w:r>
      <w:r w:rsidRPr="00C0591E">
        <w:rPr>
          <w:rFonts w:cs="Times New Roman"/>
          <w:szCs w:val="24"/>
        </w:rPr>
        <w:t>, 489-506.</w:t>
      </w:r>
    </w:p>
    <w:p w14:paraId="26237079" w14:textId="77777777" w:rsidR="00E13F0B" w:rsidRPr="00C0591E" w:rsidRDefault="00E13F0B" w:rsidP="00E13F0B">
      <w:pPr>
        <w:autoSpaceDE w:val="0"/>
        <w:autoSpaceDN w:val="0"/>
        <w:adjustRightInd w:val="0"/>
        <w:ind w:left="720" w:hanging="720"/>
        <w:rPr>
          <w:rFonts w:cs="Times New Roman"/>
          <w:color w:val="222222"/>
          <w:szCs w:val="24"/>
          <w:shd w:val="clear" w:color="auto" w:fill="FFFFFF"/>
        </w:rPr>
      </w:pPr>
      <w:r w:rsidRPr="00C0591E">
        <w:rPr>
          <w:rFonts w:eastAsiaTheme="minorHAnsi" w:cs="Times New Roman"/>
          <w:color w:val="000000"/>
          <w:szCs w:val="24"/>
        </w:rPr>
        <w:t xml:space="preserve">Velnampy, (2019) Corporate Governance and Firm Performance: A Study of Sri Lankan Manufacturing Companies; </w:t>
      </w:r>
      <w:r w:rsidRPr="00C0591E">
        <w:rPr>
          <w:rFonts w:eastAsiaTheme="minorHAnsi" w:cs="Times New Roman"/>
          <w:i/>
          <w:color w:val="000000"/>
          <w:szCs w:val="24"/>
        </w:rPr>
        <w:t>Journal of Economics and Sustainable Development</w:t>
      </w:r>
      <w:r w:rsidRPr="00C0591E">
        <w:rPr>
          <w:rFonts w:eastAsiaTheme="minorHAnsi" w:cs="Times New Roman"/>
          <w:color w:val="000000"/>
          <w:szCs w:val="24"/>
        </w:rPr>
        <w:t xml:space="preserve"> 4(3); 228-236</w:t>
      </w:r>
    </w:p>
    <w:p w14:paraId="389E9FCF" w14:textId="77777777" w:rsidR="00E13F0B" w:rsidRPr="00C0591E" w:rsidRDefault="00E13F0B" w:rsidP="00E13F0B">
      <w:pPr>
        <w:ind w:left="720" w:hanging="720"/>
        <w:rPr>
          <w:rFonts w:cs="Times New Roman"/>
          <w:color w:val="222222"/>
          <w:szCs w:val="24"/>
          <w:shd w:val="clear" w:color="auto" w:fill="FFFFFF"/>
        </w:rPr>
      </w:pPr>
      <w:r w:rsidRPr="00C0591E">
        <w:rPr>
          <w:rFonts w:cs="Times New Roman"/>
          <w:color w:val="222222"/>
          <w:szCs w:val="24"/>
          <w:shd w:val="clear" w:color="auto" w:fill="FFFFFF"/>
        </w:rPr>
        <w:t>Virlics, A. (2019). Investment decision making and risk. </w:t>
      </w:r>
      <w:r w:rsidRPr="00C0591E">
        <w:rPr>
          <w:rFonts w:cs="Times New Roman"/>
          <w:i/>
          <w:iCs/>
          <w:color w:val="222222"/>
          <w:szCs w:val="24"/>
          <w:shd w:val="clear" w:color="auto" w:fill="FFFFFF"/>
        </w:rPr>
        <w:t>Procedia Economics and Finance</w:t>
      </w:r>
      <w:r w:rsidRPr="00C0591E">
        <w:rPr>
          <w:rFonts w:cs="Times New Roman"/>
          <w:color w:val="222222"/>
          <w:szCs w:val="24"/>
          <w:shd w:val="clear" w:color="auto" w:fill="FFFFFF"/>
        </w:rPr>
        <w:t>, </w:t>
      </w:r>
      <w:r w:rsidRPr="00C0591E">
        <w:rPr>
          <w:rFonts w:cs="Times New Roman"/>
          <w:i/>
          <w:iCs/>
          <w:color w:val="222222"/>
          <w:szCs w:val="24"/>
          <w:shd w:val="clear" w:color="auto" w:fill="FFFFFF"/>
        </w:rPr>
        <w:t>6</w:t>
      </w:r>
      <w:r w:rsidRPr="00C0591E">
        <w:rPr>
          <w:rFonts w:cs="Times New Roman"/>
          <w:color w:val="222222"/>
          <w:szCs w:val="24"/>
          <w:shd w:val="clear" w:color="auto" w:fill="FFFFFF"/>
        </w:rPr>
        <w:t>, 169-177.</w:t>
      </w:r>
    </w:p>
    <w:p w14:paraId="38659779" w14:textId="77777777" w:rsidR="00E13F0B" w:rsidRPr="00C0591E" w:rsidRDefault="00E13F0B" w:rsidP="00E13F0B">
      <w:pPr>
        <w:ind w:left="720" w:hanging="720"/>
        <w:rPr>
          <w:rFonts w:cs="Times New Roman"/>
          <w:szCs w:val="24"/>
        </w:rPr>
      </w:pPr>
      <w:r w:rsidRPr="00C0591E">
        <w:rPr>
          <w:rFonts w:cs="Times New Roman"/>
          <w:szCs w:val="24"/>
        </w:rPr>
        <w:t xml:space="preserve">Vishny, R. W. &amp; Shleifer, A. (2017). A survey of corporate governance. </w:t>
      </w:r>
      <w:r w:rsidRPr="00C0591E">
        <w:rPr>
          <w:rFonts w:cs="Times New Roman"/>
          <w:i/>
          <w:iCs/>
          <w:szCs w:val="24"/>
        </w:rPr>
        <w:t>The journal of finance</w:t>
      </w:r>
      <w:r w:rsidRPr="00C0591E">
        <w:rPr>
          <w:rFonts w:cs="Times New Roman"/>
          <w:szCs w:val="24"/>
        </w:rPr>
        <w:t xml:space="preserve">, </w:t>
      </w:r>
      <w:r w:rsidRPr="00C0591E">
        <w:rPr>
          <w:rFonts w:cs="Times New Roman"/>
          <w:i/>
          <w:iCs/>
          <w:szCs w:val="24"/>
        </w:rPr>
        <w:t>52</w:t>
      </w:r>
      <w:r w:rsidRPr="00C0591E">
        <w:rPr>
          <w:rFonts w:cs="Times New Roman"/>
          <w:szCs w:val="24"/>
        </w:rPr>
        <w:t>(2), 737-783.</w:t>
      </w:r>
    </w:p>
    <w:p w14:paraId="2C70DD8B" w14:textId="77777777" w:rsidR="00E13F0B" w:rsidRPr="00C0591E" w:rsidRDefault="00E13F0B" w:rsidP="00E13F0B">
      <w:pPr>
        <w:ind w:left="720" w:hanging="720"/>
        <w:rPr>
          <w:rFonts w:cs="Times New Roman"/>
          <w:szCs w:val="24"/>
        </w:rPr>
      </w:pPr>
      <w:r w:rsidRPr="00C0591E">
        <w:rPr>
          <w:rFonts w:cs="Times New Roman"/>
          <w:szCs w:val="24"/>
        </w:rPr>
        <w:t xml:space="preserve">Vo, D. H., &amp; Nguyen, T. M. (2014). The impact of corporate governance on firm performance: Empirical study in Vietnam. </w:t>
      </w:r>
      <w:r w:rsidRPr="00C0591E">
        <w:rPr>
          <w:rFonts w:cs="Times New Roman"/>
          <w:i/>
          <w:iCs/>
          <w:szCs w:val="24"/>
        </w:rPr>
        <w:t>International Journal of Economics and Finance</w:t>
      </w:r>
      <w:r w:rsidRPr="00C0591E">
        <w:rPr>
          <w:rFonts w:cs="Times New Roman"/>
          <w:szCs w:val="24"/>
        </w:rPr>
        <w:t xml:space="preserve">, </w:t>
      </w:r>
      <w:r w:rsidRPr="00C0591E">
        <w:rPr>
          <w:rFonts w:cs="Times New Roman"/>
          <w:i/>
          <w:iCs/>
          <w:szCs w:val="24"/>
        </w:rPr>
        <w:t>6</w:t>
      </w:r>
      <w:r w:rsidRPr="00C0591E">
        <w:rPr>
          <w:rFonts w:cs="Times New Roman"/>
          <w:szCs w:val="24"/>
        </w:rPr>
        <w:t>(6), 1-13.</w:t>
      </w:r>
    </w:p>
    <w:p w14:paraId="00EFD625" w14:textId="77777777" w:rsidR="00E13F0B" w:rsidRPr="00C0591E" w:rsidRDefault="00E13F0B" w:rsidP="00E13F0B">
      <w:pPr>
        <w:ind w:left="720" w:hanging="720"/>
        <w:rPr>
          <w:rFonts w:cs="Times New Roman"/>
          <w:szCs w:val="24"/>
        </w:rPr>
      </w:pPr>
      <w:r w:rsidRPr="00C0591E">
        <w:rPr>
          <w:rFonts w:cs="Times New Roman"/>
          <w:szCs w:val="24"/>
        </w:rPr>
        <w:t xml:space="preserve">Waithaka, S. M., Gakure, &amp; Wanjau, K. (2017). The Effects of Board Characteristics on Microfinance Institutions ‘social Performance in Kenya. In </w:t>
      </w:r>
      <w:r w:rsidRPr="00C0591E">
        <w:rPr>
          <w:rFonts w:cs="Times New Roman"/>
          <w:i/>
          <w:iCs/>
          <w:szCs w:val="24"/>
        </w:rPr>
        <w:t>Scientific Conference Proceedings</w:t>
      </w:r>
      <w:r w:rsidRPr="00C0591E">
        <w:rPr>
          <w:rFonts w:cs="Times New Roman"/>
          <w:szCs w:val="24"/>
        </w:rPr>
        <w:t>.</w:t>
      </w:r>
    </w:p>
    <w:p w14:paraId="0BF70935" w14:textId="77777777" w:rsidR="00E13F0B" w:rsidRPr="00C0591E" w:rsidRDefault="00E13F0B" w:rsidP="00E13F0B">
      <w:pPr>
        <w:ind w:left="720" w:hanging="720"/>
        <w:rPr>
          <w:rFonts w:cs="Times New Roman"/>
          <w:color w:val="000000"/>
          <w:szCs w:val="24"/>
          <w:shd w:val="clear" w:color="auto" w:fill="FFFFFF"/>
        </w:rPr>
      </w:pPr>
      <w:r w:rsidRPr="00C0591E">
        <w:rPr>
          <w:rFonts w:eastAsia="Calibri" w:cs="Times New Roman"/>
        </w:rPr>
        <w:t xml:space="preserve">Walker, E., &amp; Iglesias, A. (2019). Financial performance of pension funds: an exploratory study. </w:t>
      </w:r>
      <w:r w:rsidRPr="00C0591E">
        <w:rPr>
          <w:rFonts w:eastAsia="Calibri" w:cs="Times New Roman"/>
          <w:i/>
          <w:iCs/>
        </w:rPr>
        <w:t>Evaluating the Financial Performance of Pension Funds</w:t>
      </w:r>
      <w:r w:rsidRPr="00C0591E">
        <w:rPr>
          <w:rFonts w:eastAsia="Calibri" w:cs="Times New Roman"/>
        </w:rPr>
        <w:t>, 39-54.</w:t>
      </w:r>
    </w:p>
    <w:p w14:paraId="1F28FFD6" w14:textId="77777777" w:rsidR="00E13F0B" w:rsidRPr="00C0591E" w:rsidRDefault="00E13F0B" w:rsidP="00E13F0B">
      <w:pPr>
        <w:ind w:left="720" w:hanging="720"/>
        <w:rPr>
          <w:rFonts w:cs="Times New Roman"/>
          <w:szCs w:val="24"/>
        </w:rPr>
      </w:pPr>
      <w:r w:rsidRPr="00C0591E">
        <w:rPr>
          <w:rFonts w:cs="Times New Roman"/>
          <w:szCs w:val="24"/>
        </w:rPr>
        <w:t>Wan Yusoff, W. F. &amp; Alhaji, I. A., (2019). An empirical study of the roles of audit committee in promoting good corporate governance.</w:t>
      </w:r>
    </w:p>
    <w:p w14:paraId="02EB81F6" w14:textId="77777777" w:rsidR="00E13F0B" w:rsidRPr="00C0591E" w:rsidRDefault="00E13F0B" w:rsidP="00E13F0B">
      <w:pPr>
        <w:ind w:left="720" w:hanging="720"/>
        <w:rPr>
          <w:rFonts w:cs="Times New Roman"/>
          <w:szCs w:val="24"/>
        </w:rPr>
      </w:pPr>
      <w:r w:rsidRPr="00C0591E">
        <w:rPr>
          <w:rFonts w:cs="Times New Roman"/>
          <w:szCs w:val="24"/>
        </w:rPr>
        <w:t xml:space="preserve">Wandabwa, G. (2016). </w:t>
      </w:r>
      <w:r w:rsidRPr="00C0591E">
        <w:rPr>
          <w:rFonts w:cs="Times New Roman"/>
          <w:i/>
          <w:iCs/>
          <w:szCs w:val="24"/>
        </w:rPr>
        <w:t>The relationship between corporate governance and financial performance among broadcasting stations in Kenya</w:t>
      </w:r>
      <w:r w:rsidRPr="00C0591E">
        <w:rPr>
          <w:rFonts w:cs="Times New Roman"/>
          <w:szCs w:val="24"/>
        </w:rPr>
        <w:t xml:space="preserve"> (Doctoral dissertation).</w:t>
      </w:r>
    </w:p>
    <w:p w14:paraId="1FE56198" w14:textId="77777777" w:rsidR="00E13F0B" w:rsidRPr="00C0591E" w:rsidRDefault="00E13F0B" w:rsidP="00E13F0B">
      <w:pPr>
        <w:ind w:left="720" w:hanging="720"/>
        <w:rPr>
          <w:rFonts w:cs="Times New Roman"/>
          <w:szCs w:val="24"/>
        </w:rPr>
      </w:pPr>
      <w:r w:rsidRPr="00C0591E">
        <w:rPr>
          <w:rFonts w:cs="Times New Roman"/>
          <w:szCs w:val="24"/>
        </w:rPr>
        <w:t xml:space="preserve">Wang, Z. J., &amp; Deng, X. L. (2016). Corporate governance and financial distress: Evidence from Chinese listed companies. </w:t>
      </w:r>
      <w:r w:rsidRPr="00C0591E">
        <w:rPr>
          <w:rFonts w:cs="Times New Roman"/>
          <w:i/>
          <w:iCs/>
          <w:szCs w:val="24"/>
        </w:rPr>
        <w:t>Chinese Economy</w:t>
      </w:r>
      <w:r w:rsidRPr="00C0591E">
        <w:rPr>
          <w:rFonts w:cs="Times New Roman"/>
          <w:szCs w:val="24"/>
        </w:rPr>
        <w:t xml:space="preserve">, </w:t>
      </w:r>
      <w:r w:rsidRPr="00C0591E">
        <w:rPr>
          <w:rFonts w:cs="Times New Roman"/>
          <w:i/>
          <w:iCs/>
          <w:szCs w:val="24"/>
        </w:rPr>
        <w:t>39</w:t>
      </w:r>
      <w:r w:rsidRPr="00C0591E">
        <w:rPr>
          <w:rFonts w:cs="Times New Roman"/>
          <w:szCs w:val="24"/>
        </w:rPr>
        <w:t>(5), 5-27.</w:t>
      </w:r>
    </w:p>
    <w:p w14:paraId="3DDDCE4A" w14:textId="77777777" w:rsidR="00E13F0B" w:rsidRPr="00C0591E" w:rsidRDefault="00E13F0B" w:rsidP="00E13F0B">
      <w:pPr>
        <w:ind w:left="720" w:hanging="720"/>
        <w:rPr>
          <w:rFonts w:cs="Times New Roman"/>
          <w:szCs w:val="24"/>
        </w:rPr>
      </w:pPr>
      <w:r w:rsidRPr="00C0591E">
        <w:rPr>
          <w:rFonts w:cs="Times New Roman"/>
          <w:szCs w:val="24"/>
        </w:rPr>
        <w:t xml:space="preserve">Wanyama, D. W., &amp; Olweny, T. (2019). Effects of corporate governance on financial performance of listed insurance firms in Kenya. </w:t>
      </w:r>
      <w:r w:rsidRPr="00C0591E">
        <w:rPr>
          <w:rFonts w:cs="Times New Roman"/>
          <w:i/>
          <w:iCs/>
          <w:szCs w:val="24"/>
        </w:rPr>
        <w:t>Public policy and administration research</w:t>
      </w:r>
      <w:r w:rsidRPr="00C0591E">
        <w:rPr>
          <w:rFonts w:cs="Times New Roman"/>
          <w:szCs w:val="24"/>
        </w:rPr>
        <w:t xml:space="preserve">, </w:t>
      </w:r>
      <w:r w:rsidRPr="00C0591E">
        <w:rPr>
          <w:rFonts w:cs="Times New Roman"/>
          <w:i/>
          <w:iCs/>
          <w:szCs w:val="24"/>
        </w:rPr>
        <w:t>3</w:t>
      </w:r>
      <w:r w:rsidRPr="00C0591E">
        <w:rPr>
          <w:rFonts w:cs="Times New Roman"/>
          <w:szCs w:val="24"/>
        </w:rPr>
        <w:t>(4), 96-120.</w:t>
      </w:r>
    </w:p>
    <w:p w14:paraId="013FB95A" w14:textId="77777777" w:rsidR="00E13F0B" w:rsidRPr="00C0591E" w:rsidRDefault="00E13F0B" w:rsidP="00E13F0B">
      <w:pPr>
        <w:ind w:left="720" w:hanging="720"/>
        <w:rPr>
          <w:rFonts w:cs="Times New Roman"/>
          <w:color w:val="222222"/>
          <w:szCs w:val="24"/>
          <w:shd w:val="clear" w:color="auto" w:fill="FFFFFF"/>
        </w:rPr>
      </w:pPr>
      <w:r w:rsidRPr="00C0591E">
        <w:rPr>
          <w:rFonts w:cs="Times New Roman"/>
          <w:color w:val="222222"/>
          <w:szCs w:val="24"/>
          <w:shd w:val="clear" w:color="auto" w:fill="FFFFFF"/>
        </w:rPr>
        <w:t>Warmbrod, J. R. (2014). Reporting and Interpreting Scores Derived from Likert-Type Scales. </w:t>
      </w:r>
      <w:r w:rsidRPr="00C0591E">
        <w:rPr>
          <w:rFonts w:cs="Times New Roman"/>
          <w:i/>
          <w:iCs/>
          <w:color w:val="222222"/>
          <w:szCs w:val="24"/>
          <w:shd w:val="clear" w:color="auto" w:fill="FFFFFF"/>
        </w:rPr>
        <w:t>Journal of Agricultural Education</w:t>
      </w:r>
      <w:r w:rsidRPr="00C0591E">
        <w:rPr>
          <w:rFonts w:cs="Times New Roman"/>
          <w:color w:val="222222"/>
          <w:szCs w:val="24"/>
          <w:shd w:val="clear" w:color="auto" w:fill="FFFFFF"/>
        </w:rPr>
        <w:t>, </w:t>
      </w:r>
      <w:r w:rsidRPr="00C0591E">
        <w:rPr>
          <w:rFonts w:cs="Times New Roman"/>
          <w:i/>
          <w:iCs/>
          <w:color w:val="222222"/>
          <w:szCs w:val="24"/>
          <w:shd w:val="clear" w:color="auto" w:fill="FFFFFF"/>
        </w:rPr>
        <w:t>55</w:t>
      </w:r>
      <w:r w:rsidRPr="00C0591E">
        <w:rPr>
          <w:rFonts w:cs="Times New Roman"/>
          <w:color w:val="222222"/>
          <w:szCs w:val="24"/>
          <w:shd w:val="clear" w:color="auto" w:fill="FFFFFF"/>
        </w:rPr>
        <w:t>(5), 30-47.</w:t>
      </w:r>
    </w:p>
    <w:p w14:paraId="04B66001" w14:textId="77777777" w:rsidR="00E13F0B" w:rsidRPr="00C0591E" w:rsidRDefault="00E13F0B" w:rsidP="00E13F0B">
      <w:pPr>
        <w:ind w:left="720" w:hanging="720"/>
        <w:rPr>
          <w:rFonts w:cs="Times New Roman"/>
          <w:color w:val="222222"/>
          <w:szCs w:val="24"/>
          <w:shd w:val="clear" w:color="auto" w:fill="FFFFFF"/>
        </w:rPr>
      </w:pPr>
      <w:r w:rsidRPr="00C0591E">
        <w:rPr>
          <w:rFonts w:cs="Times New Roman"/>
          <w:color w:val="222222"/>
          <w:szCs w:val="24"/>
          <w:shd w:val="clear" w:color="auto" w:fill="FFFFFF"/>
        </w:rPr>
        <w:t>Warström, O., &amp; Niemelä, M. (2015). Interest Rates and Aggregate Corporate Investment.</w:t>
      </w:r>
    </w:p>
    <w:p w14:paraId="638DC394" w14:textId="77777777" w:rsidR="00E13F0B" w:rsidRPr="00C0591E" w:rsidRDefault="00E13F0B" w:rsidP="00E13F0B">
      <w:pPr>
        <w:ind w:left="720" w:hanging="720"/>
        <w:rPr>
          <w:rFonts w:cs="Times New Roman"/>
          <w:szCs w:val="24"/>
        </w:rPr>
      </w:pPr>
      <w:r w:rsidRPr="00C0591E">
        <w:rPr>
          <w:rFonts w:cs="Times New Roman"/>
          <w:szCs w:val="24"/>
        </w:rPr>
        <w:t xml:space="preserve">Watkins, S. S. (2014). Twenty-first-century corporate governance: The growing pressure on the board toward a corporate solution. </w:t>
      </w:r>
      <w:r w:rsidRPr="00C0591E">
        <w:rPr>
          <w:rFonts w:cs="Times New Roman"/>
          <w:i/>
          <w:iCs/>
          <w:szCs w:val="24"/>
        </w:rPr>
        <w:t>Leadership and governance from the inside out</w:t>
      </w:r>
      <w:r w:rsidRPr="00C0591E">
        <w:rPr>
          <w:rFonts w:cs="Times New Roman"/>
          <w:szCs w:val="24"/>
        </w:rPr>
        <w:t>, 27-36.</w:t>
      </w:r>
    </w:p>
    <w:p w14:paraId="5094F976" w14:textId="77777777" w:rsidR="00E13F0B" w:rsidRPr="00C0591E" w:rsidRDefault="00E13F0B" w:rsidP="00E13F0B">
      <w:pPr>
        <w:ind w:left="720" w:hanging="720"/>
        <w:rPr>
          <w:rFonts w:cs="Times New Roman"/>
          <w:szCs w:val="24"/>
        </w:rPr>
      </w:pPr>
      <w:r w:rsidRPr="00C0591E">
        <w:rPr>
          <w:rFonts w:cs="Times New Roman"/>
          <w:szCs w:val="24"/>
        </w:rPr>
        <w:t>Waweru, C. &amp; Ngugi, K. (2014). Influence of financial management practices on the performance of micro and small enterprises in Kenya. European Journal of Business Management, 1(11), 141-161.</w:t>
      </w:r>
    </w:p>
    <w:p w14:paraId="7E3305A5" w14:textId="77777777" w:rsidR="00E13F0B" w:rsidRPr="00C0591E" w:rsidRDefault="00E13F0B" w:rsidP="00E13F0B">
      <w:pPr>
        <w:ind w:left="720" w:hanging="720"/>
        <w:rPr>
          <w:rFonts w:cs="Times New Roman"/>
          <w:szCs w:val="24"/>
        </w:rPr>
      </w:pPr>
      <w:r w:rsidRPr="00C0591E">
        <w:rPr>
          <w:rFonts w:cs="Times New Roman"/>
          <w:szCs w:val="24"/>
        </w:rPr>
        <w:t xml:space="preserve">Wheelen, M., &amp; Hunger, N. (2018). Corporate governance and social responsibility [Online] available: http://vig. prenhall. com/catalog/uploads. </w:t>
      </w:r>
      <w:r w:rsidRPr="00C0591E">
        <w:rPr>
          <w:rFonts w:cs="Times New Roman"/>
          <w:i/>
          <w:iCs/>
          <w:szCs w:val="24"/>
        </w:rPr>
        <w:t>Wheelan-Hunger Ch2. ppt,(16)</w:t>
      </w:r>
      <w:r w:rsidRPr="00C0591E">
        <w:rPr>
          <w:rFonts w:cs="Times New Roman"/>
          <w:szCs w:val="24"/>
        </w:rPr>
        <w:t>.</w:t>
      </w:r>
    </w:p>
    <w:p w14:paraId="066C8CB9" w14:textId="77777777" w:rsidR="00E13F0B" w:rsidRPr="00C0591E" w:rsidRDefault="00E13F0B" w:rsidP="00E13F0B">
      <w:pPr>
        <w:ind w:left="720" w:hanging="720"/>
        <w:rPr>
          <w:rFonts w:eastAsia="Times New Roman" w:cs="Times New Roman"/>
          <w:szCs w:val="24"/>
        </w:rPr>
      </w:pPr>
      <w:r w:rsidRPr="00C0591E">
        <w:rPr>
          <w:rFonts w:cs="Times New Roman"/>
          <w:szCs w:val="24"/>
        </w:rPr>
        <w:t xml:space="preserve">Woods, J. E. (2017). On the political economy of UK pension scheme regulation. </w:t>
      </w:r>
      <w:r w:rsidRPr="00C0591E">
        <w:rPr>
          <w:rFonts w:cs="Times New Roman"/>
          <w:i/>
          <w:iCs/>
          <w:szCs w:val="24"/>
        </w:rPr>
        <w:t>Cambridge Journal of Economics</w:t>
      </w:r>
      <w:r w:rsidRPr="00C0591E">
        <w:rPr>
          <w:rFonts w:cs="Times New Roman"/>
          <w:szCs w:val="24"/>
        </w:rPr>
        <w:t xml:space="preserve">, </w:t>
      </w:r>
      <w:r w:rsidRPr="00C0591E">
        <w:rPr>
          <w:rFonts w:cs="Times New Roman"/>
          <w:i/>
          <w:iCs/>
          <w:szCs w:val="24"/>
        </w:rPr>
        <w:t>41</w:t>
      </w:r>
      <w:r w:rsidRPr="00C0591E">
        <w:rPr>
          <w:rFonts w:cs="Times New Roman"/>
          <w:szCs w:val="24"/>
        </w:rPr>
        <w:t>(1), 147-180.</w:t>
      </w:r>
    </w:p>
    <w:p w14:paraId="0D5F3967" w14:textId="77777777" w:rsidR="00E13F0B" w:rsidRPr="00C0591E" w:rsidRDefault="00E13F0B" w:rsidP="00E13F0B">
      <w:pPr>
        <w:ind w:left="720" w:hanging="720"/>
        <w:rPr>
          <w:rFonts w:cs="Times New Roman"/>
          <w:szCs w:val="24"/>
        </w:rPr>
      </w:pPr>
      <w:r w:rsidRPr="00C0591E">
        <w:rPr>
          <w:rFonts w:cs="Times New Roman"/>
          <w:szCs w:val="24"/>
        </w:rPr>
        <w:t xml:space="preserve">Wruck, K. H. (2008). Private equity, corporate governance, and the reinvention of the market for corporate control. </w:t>
      </w:r>
      <w:r w:rsidRPr="00C0591E">
        <w:rPr>
          <w:rFonts w:cs="Times New Roman"/>
          <w:i/>
          <w:szCs w:val="24"/>
        </w:rPr>
        <w:t>Journal of Applied Corporate Finance</w:t>
      </w:r>
      <w:r w:rsidRPr="00C0591E">
        <w:rPr>
          <w:rFonts w:cs="Times New Roman"/>
          <w:szCs w:val="24"/>
        </w:rPr>
        <w:t>, 20(3), 8-21.</w:t>
      </w:r>
    </w:p>
    <w:p w14:paraId="1929CDA2" w14:textId="77777777" w:rsidR="00E13F0B" w:rsidRPr="00C0591E" w:rsidRDefault="00E13F0B" w:rsidP="00E13F0B">
      <w:pPr>
        <w:ind w:left="720" w:hanging="720"/>
        <w:rPr>
          <w:rFonts w:cs="Times New Roman"/>
          <w:szCs w:val="24"/>
        </w:rPr>
      </w:pPr>
      <w:r w:rsidRPr="00C0591E">
        <w:rPr>
          <w:rFonts w:cs="Times New Roman"/>
          <w:szCs w:val="24"/>
        </w:rPr>
        <w:t>Yang, T. S., &amp; Mitchell, O. S. (2015). Public pension governance, funding, and performance: a longitudinal appraisal.</w:t>
      </w:r>
    </w:p>
    <w:p w14:paraId="73C26F94" w14:textId="77777777" w:rsidR="00E13F0B" w:rsidRPr="00C0591E" w:rsidRDefault="00E13F0B" w:rsidP="00E13F0B">
      <w:pPr>
        <w:ind w:left="720" w:hanging="720"/>
        <w:rPr>
          <w:rFonts w:cs="Times New Roman"/>
          <w:szCs w:val="24"/>
        </w:rPr>
      </w:pPr>
      <w:r w:rsidRPr="00C0591E">
        <w:rPr>
          <w:rFonts w:cs="Times New Roman"/>
          <w:szCs w:val="24"/>
        </w:rPr>
        <w:t xml:space="preserve">Yermack, D. (2016). Higher market valuation of companies with a small board of directors. </w:t>
      </w:r>
      <w:r w:rsidRPr="00C0591E">
        <w:rPr>
          <w:rFonts w:cs="Times New Roman"/>
          <w:i/>
          <w:iCs/>
          <w:szCs w:val="24"/>
        </w:rPr>
        <w:t>Journal of financial economics</w:t>
      </w:r>
      <w:r w:rsidRPr="00C0591E">
        <w:rPr>
          <w:rFonts w:cs="Times New Roman"/>
          <w:szCs w:val="24"/>
        </w:rPr>
        <w:t xml:space="preserve">, </w:t>
      </w:r>
      <w:r w:rsidRPr="00C0591E">
        <w:rPr>
          <w:rFonts w:cs="Times New Roman"/>
          <w:i/>
          <w:iCs/>
          <w:szCs w:val="24"/>
        </w:rPr>
        <w:t>40</w:t>
      </w:r>
      <w:r w:rsidRPr="00C0591E">
        <w:rPr>
          <w:rFonts w:cs="Times New Roman"/>
          <w:szCs w:val="24"/>
        </w:rPr>
        <w:t>(2), 185-211.</w:t>
      </w:r>
    </w:p>
    <w:p w14:paraId="053F75A8" w14:textId="77777777" w:rsidR="00E13F0B" w:rsidRPr="00C0591E" w:rsidRDefault="00E13F0B" w:rsidP="00E13F0B">
      <w:pPr>
        <w:ind w:left="720" w:hanging="720"/>
        <w:rPr>
          <w:rFonts w:cs="Times New Roman"/>
          <w:szCs w:val="24"/>
        </w:rPr>
      </w:pPr>
      <w:r w:rsidRPr="00C0591E">
        <w:rPr>
          <w:rFonts w:cs="Times New Roman"/>
          <w:szCs w:val="24"/>
        </w:rPr>
        <w:t xml:space="preserve">Zaman, R., Arslan, M., &amp; Siddiqui, M. A. (2014). Corporate governance and firm performance: the role of transparency &amp; disclosure in banking sector of Pakistan. </w:t>
      </w:r>
      <w:r w:rsidRPr="00C0591E">
        <w:rPr>
          <w:rFonts w:cs="Times New Roman"/>
          <w:i/>
          <w:iCs/>
          <w:szCs w:val="24"/>
        </w:rPr>
        <w:t>International letters of social and humanistic sciences</w:t>
      </w:r>
      <w:r w:rsidRPr="00C0591E">
        <w:rPr>
          <w:rFonts w:cs="Times New Roman"/>
          <w:szCs w:val="24"/>
        </w:rPr>
        <w:t xml:space="preserve">, </w:t>
      </w:r>
      <w:r w:rsidRPr="00C0591E">
        <w:rPr>
          <w:rFonts w:cs="Times New Roman"/>
          <w:i/>
          <w:iCs/>
          <w:szCs w:val="24"/>
        </w:rPr>
        <w:t>43</w:t>
      </w:r>
      <w:r w:rsidRPr="00C0591E">
        <w:rPr>
          <w:rFonts w:cs="Times New Roman"/>
          <w:szCs w:val="24"/>
        </w:rPr>
        <w:t>, 152-166.</w:t>
      </w:r>
    </w:p>
    <w:p w14:paraId="6E916F4B" w14:textId="77777777" w:rsidR="00E13F0B" w:rsidRPr="00C0591E" w:rsidRDefault="00E13F0B" w:rsidP="00E13F0B">
      <w:pPr>
        <w:ind w:left="720" w:hanging="720"/>
        <w:rPr>
          <w:rFonts w:cs="Times New Roman"/>
          <w:szCs w:val="24"/>
        </w:rPr>
      </w:pPr>
      <w:r w:rsidRPr="00C0591E">
        <w:rPr>
          <w:rFonts w:cs="Times New Roman"/>
          <w:szCs w:val="24"/>
        </w:rPr>
        <w:t xml:space="preserve">Zhang, Y. (2020). Pension Investment Decision under Defined Benefit Pension Plan. </w:t>
      </w:r>
      <w:r w:rsidRPr="00C0591E">
        <w:rPr>
          <w:rFonts w:cs="Times New Roman"/>
          <w:i/>
          <w:iCs/>
          <w:szCs w:val="24"/>
        </w:rPr>
        <w:t>Available at SSRN 3583856</w:t>
      </w:r>
      <w:r w:rsidRPr="00C0591E">
        <w:rPr>
          <w:rFonts w:cs="Times New Roman"/>
          <w:szCs w:val="24"/>
        </w:rPr>
        <w:t>.</w:t>
      </w:r>
    </w:p>
    <w:p w14:paraId="5C67721A" w14:textId="77777777" w:rsidR="00E13F0B" w:rsidRPr="00C0591E" w:rsidRDefault="00E13F0B" w:rsidP="00E13F0B">
      <w:pPr>
        <w:ind w:left="720" w:hanging="720"/>
        <w:rPr>
          <w:rFonts w:cs="Times New Roman"/>
          <w:color w:val="222222"/>
          <w:szCs w:val="24"/>
          <w:shd w:val="clear" w:color="auto" w:fill="FFFFFF"/>
        </w:rPr>
      </w:pPr>
      <w:r w:rsidRPr="00C0591E">
        <w:rPr>
          <w:rFonts w:cs="Times New Roman"/>
          <w:color w:val="222222"/>
          <w:szCs w:val="24"/>
          <w:shd w:val="clear" w:color="auto" w:fill="FFFFFF"/>
        </w:rPr>
        <w:t>Zikmund, W. G., Babin, B. J., Carr, J. C., &amp; Griffin, M. (2003). Business research methods (ed.). </w:t>
      </w:r>
      <w:r w:rsidRPr="00C0591E">
        <w:rPr>
          <w:rFonts w:cs="Times New Roman"/>
          <w:i/>
          <w:iCs/>
          <w:color w:val="222222"/>
          <w:szCs w:val="24"/>
          <w:shd w:val="clear" w:color="auto" w:fill="FFFFFF"/>
        </w:rPr>
        <w:t>Thomson/South-Western, Cincinnati, OH</w:t>
      </w:r>
      <w:r w:rsidRPr="00C0591E">
        <w:rPr>
          <w:rFonts w:cs="Times New Roman"/>
          <w:color w:val="222222"/>
          <w:szCs w:val="24"/>
          <w:shd w:val="clear" w:color="auto" w:fill="FFFFFF"/>
        </w:rPr>
        <w:t>.</w:t>
      </w:r>
    </w:p>
    <w:p w14:paraId="079131FB" w14:textId="77777777" w:rsidR="00E13F0B" w:rsidRPr="00C0591E" w:rsidRDefault="00E13F0B" w:rsidP="00E13F0B">
      <w:pPr>
        <w:ind w:left="720" w:hanging="720"/>
        <w:rPr>
          <w:rFonts w:cs="Times New Roman"/>
          <w:color w:val="000000"/>
          <w:szCs w:val="24"/>
          <w:shd w:val="clear" w:color="auto" w:fill="FFFFFF"/>
        </w:rPr>
      </w:pPr>
      <w:r w:rsidRPr="00C0591E">
        <w:rPr>
          <w:rFonts w:cs="Times New Roman"/>
          <w:color w:val="000000"/>
          <w:szCs w:val="24"/>
          <w:shd w:val="clear" w:color="auto" w:fill="FFFFFF"/>
        </w:rPr>
        <w:t xml:space="preserve">Zohrabi, M. (2019). Mixed Method Research: Instruments, Validity, Reliability and Reporting Findings. </w:t>
      </w:r>
      <w:r w:rsidRPr="00C0591E">
        <w:rPr>
          <w:rFonts w:cs="Times New Roman"/>
          <w:i/>
          <w:color w:val="000000"/>
          <w:szCs w:val="24"/>
          <w:shd w:val="clear" w:color="auto" w:fill="FFFFFF"/>
        </w:rPr>
        <w:t>Theory and Practice in Language Studies</w:t>
      </w:r>
      <w:r w:rsidRPr="00C0591E">
        <w:rPr>
          <w:rFonts w:cs="Times New Roman"/>
          <w:color w:val="000000"/>
          <w:szCs w:val="24"/>
          <w:shd w:val="clear" w:color="auto" w:fill="FFFFFF"/>
        </w:rPr>
        <w:t>, 3, 254-262. </w:t>
      </w:r>
    </w:p>
    <w:p w14:paraId="4E84F7A9" w14:textId="77777777" w:rsidR="00034DBB" w:rsidRPr="00C0591E" w:rsidRDefault="00034DBB">
      <w:pPr>
        <w:spacing w:after="160" w:line="259" w:lineRule="auto"/>
        <w:rPr>
          <w:rFonts w:eastAsiaTheme="majorEastAsia" w:cs="Times New Roman"/>
          <w:b/>
          <w:bCs/>
          <w:szCs w:val="28"/>
        </w:rPr>
      </w:pPr>
      <w:bookmarkStart w:id="374" w:name="_Toc515997273"/>
      <w:bookmarkStart w:id="375" w:name="_Toc521858683"/>
      <w:r w:rsidRPr="00C0591E">
        <w:rPr>
          <w:rFonts w:cs="Times New Roman"/>
        </w:rPr>
        <w:br w:type="page"/>
      </w:r>
    </w:p>
    <w:p w14:paraId="5E1DE90E" w14:textId="63C7E37D" w:rsidR="00267BE6" w:rsidRPr="00C0591E" w:rsidRDefault="00267BE6" w:rsidP="00347D67">
      <w:pPr>
        <w:pStyle w:val="Heading1"/>
      </w:pPr>
      <w:bookmarkStart w:id="376" w:name="_Toc113125131"/>
      <w:r w:rsidRPr="00C0591E">
        <w:t>APPENDICES</w:t>
      </w:r>
      <w:bookmarkEnd w:id="374"/>
      <w:bookmarkEnd w:id="375"/>
      <w:bookmarkEnd w:id="376"/>
      <w:r w:rsidRPr="00C0591E">
        <w:t xml:space="preserve"> </w:t>
      </w:r>
    </w:p>
    <w:p w14:paraId="3C82B60C" w14:textId="0DC39048" w:rsidR="00267BE6" w:rsidRPr="00C0591E" w:rsidRDefault="00D96260" w:rsidP="00347D67">
      <w:pPr>
        <w:pStyle w:val="Heading2"/>
      </w:pPr>
      <w:bookmarkStart w:id="377" w:name="_Toc522360191"/>
      <w:bookmarkStart w:id="378" w:name="_Toc113125132"/>
      <w:r w:rsidRPr="00C0591E">
        <w:t>Appendix I: Letter of Introduction</w:t>
      </w:r>
      <w:bookmarkEnd w:id="377"/>
      <w:bookmarkEnd w:id="378"/>
    </w:p>
    <w:p w14:paraId="7D8EBCC7" w14:textId="77777777" w:rsidR="00267BE6" w:rsidRPr="00C0591E" w:rsidRDefault="00267BE6" w:rsidP="00267BE6">
      <w:pPr>
        <w:pStyle w:val="Default"/>
        <w:spacing w:line="360" w:lineRule="auto"/>
        <w:jc w:val="both"/>
        <w:rPr>
          <w:color w:val="auto"/>
        </w:rPr>
      </w:pPr>
    </w:p>
    <w:p w14:paraId="67ED1700" w14:textId="77777777" w:rsidR="00267BE6" w:rsidRPr="00C0591E" w:rsidRDefault="00267BE6" w:rsidP="00267BE6">
      <w:pPr>
        <w:pStyle w:val="Default"/>
        <w:spacing w:line="360" w:lineRule="auto"/>
        <w:jc w:val="both"/>
        <w:rPr>
          <w:color w:val="auto"/>
        </w:rPr>
      </w:pPr>
      <w:r w:rsidRPr="00C0591E">
        <w:rPr>
          <w:color w:val="auto"/>
        </w:rPr>
        <w:t>The Management University of Africa,</w:t>
      </w:r>
    </w:p>
    <w:p w14:paraId="0D984CD2" w14:textId="77777777" w:rsidR="00267BE6" w:rsidRPr="00C0591E" w:rsidRDefault="00267BE6" w:rsidP="00267BE6">
      <w:pPr>
        <w:pStyle w:val="Default"/>
        <w:spacing w:line="360" w:lineRule="auto"/>
        <w:jc w:val="both"/>
        <w:rPr>
          <w:color w:val="auto"/>
        </w:rPr>
      </w:pPr>
      <w:r w:rsidRPr="00C0591E">
        <w:rPr>
          <w:color w:val="auto"/>
        </w:rPr>
        <w:t>Nairobi.</w:t>
      </w:r>
    </w:p>
    <w:p w14:paraId="26C7C465" w14:textId="1C40794D" w:rsidR="00267BE6" w:rsidRPr="00C0591E" w:rsidRDefault="00CE1693" w:rsidP="00267BE6">
      <w:pPr>
        <w:pStyle w:val="Default"/>
        <w:spacing w:line="360" w:lineRule="auto"/>
        <w:jc w:val="both"/>
        <w:rPr>
          <w:color w:val="auto"/>
        </w:rPr>
      </w:pPr>
      <w:r w:rsidRPr="00C0591E">
        <w:rPr>
          <w:color w:val="auto"/>
        </w:rPr>
        <w:t>9</w:t>
      </w:r>
      <w:r w:rsidR="00267BE6" w:rsidRPr="00C0591E">
        <w:rPr>
          <w:color w:val="auto"/>
          <w:vertAlign w:val="superscript"/>
        </w:rPr>
        <w:t>th</w:t>
      </w:r>
      <w:r w:rsidR="00267BE6" w:rsidRPr="00C0591E">
        <w:rPr>
          <w:color w:val="auto"/>
        </w:rPr>
        <w:t xml:space="preserve"> </w:t>
      </w:r>
      <w:r w:rsidRPr="00C0591E">
        <w:rPr>
          <w:color w:val="auto"/>
        </w:rPr>
        <w:t>May</w:t>
      </w:r>
      <w:r w:rsidR="00267BE6" w:rsidRPr="00C0591E">
        <w:rPr>
          <w:color w:val="auto"/>
        </w:rPr>
        <w:t>, 201</w:t>
      </w:r>
      <w:r w:rsidRPr="00C0591E">
        <w:rPr>
          <w:color w:val="auto"/>
        </w:rPr>
        <w:t>9</w:t>
      </w:r>
      <w:r w:rsidR="000F590B" w:rsidRPr="00C0591E">
        <w:rPr>
          <w:color w:val="auto"/>
        </w:rPr>
        <w:t xml:space="preserve">. </w:t>
      </w:r>
    </w:p>
    <w:p w14:paraId="58C621B2" w14:textId="77777777" w:rsidR="00267BE6" w:rsidRPr="00C0591E" w:rsidRDefault="00267BE6" w:rsidP="00267BE6">
      <w:pPr>
        <w:pStyle w:val="Default"/>
        <w:spacing w:line="360" w:lineRule="auto"/>
        <w:jc w:val="both"/>
        <w:rPr>
          <w:color w:val="auto"/>
        </w:rPr>
      </w:pPr>
    </w:p>
    <w:p w14:paraId="44077CAF" w14:textId="77777777" w:rsidR="00267BE6" w:rsidRPr="00C0591E" w:rsidRDefault="00267BE6" w:rsidP="00267BE6">
      <w:pPr>
        <w:pStyle w:val="Default"/>
        <w:spacing w:line="360" w:lineRule="auto"/>
        <w:jc w:val="both"/>
        <w:rPr>
          <w:color w:val="auto"/>
        </w:rPr>
      </w:pPr>
      <w:r w:rsidRPr="00C0591E">
        <w:rPr>
          <w:color w:val="auto"/>
        </w:rPr>
        <w:t>Dear Respondent.</w:t>
      </w:r>
    </w:p>
    <w:p w14:paraId="6E47294D" w14:textId="1B5FFB9A" w:rsidR="00267BE6" w:rsidRPr="00C0591E" w:rsidRDefault="00267BE6" w:rsidP="00267BE6">
      <w:pPr>
        <w:shd w:val="clear" w:color="auto" w:fill="FFFFFF"/>
        <w:spacing w:after="0"/>
        <w:rPr>
          <w:rFonts w:eastAsia="Times New Roman" w:cs="Times New Roman"/>
          <w:b/>
          <w:color w:val="222222"/>
          <w:szCs w:val="19"/>
        </w:rPr>
      </w:pPr>
      <w:r w:rsidRPr="00C0591E">
        <w:rPr>
          <w:rFonts w:cs="Times New Roman"/>
          <w:szCs w:val="24"/>
        </w:rPr>
        <w:t>I am a post graduate student at Management University of Africa pursuing a Doctor of Philosophy in Management and Leadership.</w:t>
      </w:r>
      <w:r w:rsidRPr="00C0591E">
        <w:t xml:space="preserve"> The subject of my research is </w:t>
      </w:r>
      <w:r w:rsidRPr="00C0591E">
        <w:rPr>
          <w:i/>
        </w:rPr>
        <w:t>Effect of</w:t>
      </w:r>
      <w:r w:rsidRPr="00C0591E">
        <w:t xml:space="preserve"> </w:t>
      </w:r>
      <w:r w:rsidR="00173C67" w:rsidRPr="00173C67">
        <w:rPr>
          <w:i/>
        </w:rPr>
        <w:t>Pillars of Corporate governanc</w:t>
      </w:r>
      <w:r w:rsidR="00173C67" w:rsidRPr="00173C67">
        <w:t>e</w:t>
      </w:r>
      <w:r w:rsidRPr="00C0591E">
        <w:rPr>
          <w:i/>
        </w:rPr>
        <w:t>, Investment Policies, Government Regulation</w:t>
      </w:r>
      <w:r w:rsidR="00ED35EB" w:rsidRPr="00C0591E">
        <w:rPr>
          <w:i/>
        </w:rPr>
        <w:t>s</w:t>
      </w:r>
      <w:r w:rsidRPr="00C0591E">
        <w:rPr>
          <w:i/>
        </w:rPr>
        <w:t xml:space="preserve"> on Performance </w:t>
      </w:r>
      <w:r w:rsidR="007645DD" w:rsidRPr="00C0591E">
        <w:rPr>
          <w:i/>
        </w:rPr>
        <w:t>of Pension Fund Managers in</w:t>
      </w:r>
      <w:r w:rsidRPr="00C0591E">
        <w:rPr>
          <w:i/>
        </w:rPr>
        <w:t xml:space="preserve"> Kenya.</w:t>
      </w:r>
    </w:p>
    <w:p w14:paraId="3B08661C" w14:textId="77777777" w:rsidR="00267BE6" w:rsidRPr="00C0591E" w:rsidRDefault="00267BE6" w:rsidP="00267BE6">
      <w:pPr>
        <w:pStyle w:val="Default"/>
        <w:spacing w:line="360" w:lineRule="auto"/>
        <w:jc w:val="both"/>
        <w:rPr>
          <w:color w:val="auto"/>
        </w:rPr>
      </w:pPr>
      <w:r w:rsidRPr="00C0591E">
        <w:rPr>
          <w:color w:val="auto"/>
        </w:rPr>
        <w:t xml:space="preserve"> I am humbly requesting your assistance in this study by providing answers to the questions on the attached questionnaire. Please be assured that all the information provided will be treated with confidentiality and will be used for academic purposes only. </w:t>
      </w:r>
    </w:p>
    <w:p w14:paraId="4C4212D1" w14:textId="77777777" w:rsidR="00267BE6" w:rsidRPr="00C0591E" w:rsidRDefault="00267BE6" w:rsidP="00267BE6">
      <w:pPr>
        <w:pStyle w:val="Default"/>
        <w:spacing w:line="360" w:lineRule="auto"/>
        <w:jc w:val="both"/>
        <w:rPr>
          <w:color w:val="auto"/>
        </w:rPr>
      </w:pPr>
    </w:p>
    <w:p w14:paraId="1DD8C32E" w14:textId="77777777" w:rsidR="00267BE6" w:rsidRPr="00C0591E" w:rsidRDefault="00267BE6" w:rsidP="00267BE6">
      <w:pPr>
        <w:pStyle w:val="Default"/>
        <w:spacing w:line="360" w:lineRule="auto"/>
        <w:jc w:val="both"/>
        <w:rPr>
          <w:color w:val="auto"/>
        </w:rPr>
      </w:pPr>
      <w:r w:rsidRPr="00C0591E">
        <w:rPr>
          <w:color w:val="auto"/>
        </w:rPr>
        <w:t xml:space="preserve">Your assistance will be highly appreciated. </w:t>
      </w:r>
    </w:p>
    <w:p w14:paraId="1FC47ABA" w14:textId="77777777" w:rsidR="00267BE6" w:rsidRPr="00C0591E" w:rsidRDefault="00267BE6" w:rsidP="00267BE6">
      <w:pPr>
        <w:pStyle w:val="Default"/>
        <w:spacing w:line="360" w:lineRule="auto"/>
        <w:jc w:val="both"/>
        <w:rPr>
          <w:color w:val="auto"/>
        </w:rPr>
      </w:pPr>
    </w:p>
    <w:p w14:paraId="4FA50231" w14:textId="77777777" w:rsidR="00267BE6" w:rsidRPr="00C0591E" w:rsidRDefault="00267BE6" w:rsidP="00267BE6">
      <w:pPr>
        <w:pStyle w:val="Default"/>
        <w:spacing w:line="360" w:lineRule="auto"/>
        <w:jc w:val="both"/>
        <w:rPr>
          <w:color w:val="auto"/>
        </w:rPr>
      </w:pPr>
      <w:r w:rsidRPr="00C0591E">
        <w:rPr>
          <w:color w:val="auto"/>
        </w:rPr>
        <w:t xml:space="preserve">Yours faithfully, </w:t>
      </w:r>
    </w:p>
    <w:p w14:paraId="0851FCBA" w14:textId="77777777" w:rsidR="00267BE6" w:rsidRPr="00C0591E" w:rsidRDefault="00267BE6" w:rsidP="00267BE6">
      <w:pPr>
        <w:pStyle w:val="Default"/>
        <w:spacing w:line="360" w:lineRule="auto"/>
        <w:rPr>
          <w:b/>
          <w:bCs/>
        </w:rPr>
      </w:pPr>
    </w:p>
    <w:p w14:paraId="4C5926C3" w14:textId="77777777" w:rsidR="00267BE6" w:rsidRPr="00C0591E" w:rsidRDefault="00267BE6" w:rsidP="00267BE6">
      <w:pPr>
        <w:pStyle w:val="Default"/>
        <w:spacing w:line="360" w:lineRule="auto"/>
        <w:rPr>
          <w:bCs/>
        </w:rPr>
      </w:pPr>
      <w:r w:rsidRPr="00C0591E">
        <w:rPr>
          <w:bCs/>
        </w:rPr>
        <w:t xml:space="preserve">DEROW ADEN ALI </w:t>
      </w:r>
    </w:p>
    <w:p w14:paraId="1330F3B7" w14:textId="77777777" w:rsidR="00267BE6" w:rsidRPr="00C0591E" w:rsidRDefault="00267BE6" w:rsidP="00267BE6">
      <w:pPr>
        <w:rPr>
          <w:szCs w:val="24"/>
        </w:rPr>
      </w:pPr>
    </w:p>
    <w:p w14:paraId="58026408" w14:textId="77777777" w:rsidR="00267BE6" w:rsidRPr="00C0591E" w:rsidRDefault="00267BE6" w:rsidP="00267BE6">
      <w:pPr>
        <w:rPr>
          <w:szCs w:val="24"/>
        </w:rPr>
      </w:pPr>
      <w:r w:rsidRPr="00C0591E">
        <w:rPr>
          <w:szCs w:val="24"/>
        </w:rPr>
        <w:t>PhD.</w:t>
      </w:r>
    </w:p>
    <w:p w14:paraId="6EC47BB8" w14:textId="77777777" w:rsidR="00267BE6" w:rsidRPr="00C0591E" w:rsidRDefault="00267BE6" w:rsidP="00267BE6">
      <w:pPr>
        <w:rPr>
          <w:rFonts w:cs="Times New Roman"/>
          <w:szCs w:val="24"/>
        </w:rPr>
      </w:pPr>
    </w:p>
    <w:p w14:paraId="02CB2281" w14:textId="77777777" w:rsidR="00267BE6" w:rsidRPr="00C0591E" w:rsidRDefault="00267BE6" w:rsidP="00267BE6">
      <w:pPr>
        <w:rPr>
          <w:rFonts w:cs="Times New Roman"/>
          <w:szCs w:val="24"/>
        </w:rPr>
      </w:pPr>
      <w:r w:rsidRPr="00C0591E">
        <w:rPr>
          <w:rFonts w:cs="Times New Roman"/>
          <w:szCs w:val="24"/>
        </w:rPr>
        <w:br w:type="page"/>
      </w:r>
    </w:p>
    <w:p w14:paraId="45F76EA1" w14:textId="376E8E30" w:rsidR="00267BE6" w:rsidRPr="00C0591E" w:rsidRDefault="00D96260" w:rsidP="00347D67">
      <w:pPr>
        <w:pStyle w:val="Heading2"/>
      </w:pPr>
      <w:bookmarkStart w:id="379" w:name="_Toc513369501"/>
      <w:bookmarkStart w:id="380" w:name="_Toc521858685"/>
      <w:bookmarkStart w:id="381" w:name="_Toc113125133"/>
      <w:r w:rsidRPr="00C0591E">
        <w:t>Ap</w:t>
      </w:r>
      <w:r w:rsidRPr="00C0591E">
        <w:rPr>
          <w:spacing w:val="1"/>
        </w:rPr>
        <w:t>p</w:t>
      </w:r>
      <w:r w:rsidRPr="00C0591E">
        <w:rPr>
          <w:spacing w:val="-1"/>
        </w:rPr>
        <w:t>e</w:t>
      </w:r>
      <w:r w:rsidRPr="00C0591E">
        <w:rPr>
          <w:spacing w:val="1"/>
        </w:rPr>
        <w:t>nd</w:t>
      </w:r>
      <w:r w:rsidRPr="00C0591E">
        <w:t>ix II: Q</w:t>
      </w:r>
      <w:r w:rsidRPr="00C0591E">
        <w:rPr>
          <w:spacing w:val="1"/>
        </w:rPr>
        <w:t>u</w:t>
      </w:r>
      <w:r w:rsidRPr="00C0591E">
        <w:rPr>
          <w:spacing w:val="-1"/>
        </w:rPr>
        <w:t>e</w:t>
      </w:r>
      <w:r w:rsidRPr="00C0591E">
        <w:t>stio</w:t>
      </w:r>
      <w:r w:rsidRPr="00C0591E">
        <w:rPr>
          <w:spacing w:val="-1"/>
        </w:rPr>
        <w:t>nn</w:t>
      </w:r>
      <w:r w:rsidRPr="00C0591E">
        <w:t>aire</w:t>
      </w:r>
      <w:bookmarkEnd w:id="379"/>
      <w:bookmarkEnd w:id="380"/>
      <w:bookmarkEnd w:id="381"/>
    </w:p>
    <w:p w14:paraId="405BE012" w14:textId="77777777" w:rsidR="00267BE6" w:rsidRPr="00C0591E" w:rsidRDefault="00267BE6" w:rsidP="00267BE6">
      <w:pPr>
        <w:pStyle w:val="BodyText"/>
        <w:ind w:right="144"/>
        <w:rPr>
          <w:i/>
        </w:rPr>
      </w:pPr>
      <w:r w:rsidRPr="00C0591E">
        <w:rPr>
          <w:b/>
        </w:rPr>
        <w:t>INSTRUCTIONS</w:t>
      </w:r>
      <w:r w:rsidRPr="00C0591E">
        <w:t xml:space="preserve">:   </w:t>
      </w:r>
    </w:p>
    <w:p w14:paraId="1FAFEB42" w14:textId="77777777" w:rsidR="00267BE6" w:rsidRPr="00C0591E" w:rsidRDefault="00267BE6" w:rsidP="00267BE6">
      <w:pPr>
        <w:pStyle w:val="BodyText"/>
        <w:numPr>
          <w:ilvl w:val="0"/>
          <w:numId w:val="14"/>
        </w:numPr>
        <w:autoSpaceDE w:val="0"/>
        <w:autoSpaceDN w:val="0"/>
        <w:adjustRightInd w:val="0"/>
        <w:spacing w:after="0"/>
        <w:ind w:right="144"/>
        <w:rPr>
          <w:b/>
          <w:i/>
        </w:rPr>
      </w:pPr>
      <w:r w:rsidRPr="00C0591E">
        <w:t xml:space="preserve">Fill only one set of the questionnaire per individual.                                                              </w:t>
      </w:r>
    </w:p>
    <w:p w14:paraId="3AE0F8DA" w14:textId="77777777" w:rsidR="00267BE6" w:rsidRPr="00C0591E" w:rsidRDefault="00267BE6" w:rsidP="00267BE6">
      <w:pPr>
        <w:pStyle w:val="BodyText"/>
        <w:numPr>
          <w:ilvl w:val="0"/>
          <w:numId w:val="14"/>
        </w:numPr>
        <w:autoSpaceDE w:val="0"/>
        <w:autoSpaceDN w:val="0"/>
        <w:adjustRightInd w:val="0"/>
        <w:spacing w:after="0"/>
        <w:ind w:right="144"/>
        <w:rPr>
          <w:b/>
          <w:i/>
        </w:rPr>
      </w:pPr>
      <w:r w:rsidRPr="00C0591E">
        <w:t>Please answer each question as completely and clearly as possible by ticking appropriately on only one answer (unless otherwise advised) from the choices given or writing your response as appropriate in the space provided.</w:t>
      </w:r>
    </w:p>
    <w:p w14:paraId="63B78DAC" w14:textId="77777777" w:rsidR="00267BE6" w:rsidRPr="00C0591E" w:rsidRDefault="00267BE6" w:rsidP="00267BE6">
      <w:pPr>
        <w:widowControl w:val="0"/>
        <w:autoSpaceDE w:val="0"/>
        <w:autoSpaceDN w:val="0"/>
        <w:adjustRightInd w:val="0"/>
        <w:spacing w:after="0" w:line="200" w:lineRule="exact"/>
        <w:rPr>
          <w:rFonts w:cs="Times New Roman"/>
          <w:sz w:val="20"/>
          <w:szCs w:val="20"/>
        </w:rPr>
      </w:pPr>
    </w:p>
    <w:p w14:paraId="13C2EE75" w14:textId="77777777" w:rsidR="00267BE6" w:rsidRPr="00C0591E" w:rsidRDefault="00267BE6" w:rsidP="00267BE6">
      <w:pPr>
        <w:widowControl w:val="0"/>
        <w:autoSpaceDE w:val="0"/>
        <w:autoSpaceDN w:val="0"/>
        <w:adjustRightInd w:val="0"/>
        <w:spacing w:before="9" w:after="0" w:line="170" w:lineRule="exact"/>
        <w:rPr>
          <w:rFonts w:cs="Times New Roman"/>
          <w:sz w:val="17"/>
          <w:szCs w:val="17"/>
        </w:rPr>
      </w:pPr>
    </w:p>
    <w:p w14:paraId="3842B25B" w14:textId="77777777" w:rsidR="00267BE6" w:rsidRPr="00C0591E" w:rsidRDefault="00267BE6" w:rsidP="00267BE6">
      <w:pPr>
        <w:widowControl w:val="0"/>
        <w:autoSpaceDE w:val="0"/>
        <w:autoSpaceDN w:val="0"/>
        <w:adjustRightInd w:val="0"/>
        <w:spacing w:after="0" w:line="240" w:lineRule="auto"/>
        <w:rPr>
          <w:rFonts w:cs="Times New Roman"/>
          <w:szCs w:val="24"/>
        </w:rPr>
      </w:pPr>
      <w:r w:rsidRPr="00C0591E">
        <w:rPr>
          <w:rFonts w:cs="Times New Roman"/>
          <w:b/>
          <w:bCs/>
          <w:spacing w:val="1"/>
          <w:szCs w:val="24"/>
        </w:rPr>
        <w:t>S</w:t>
      </w:r>
      <w:r w:rsidRPr="00C0591E">
        <w:rPr>
          <w:rFonts w:cs="Times New Roman"/>
          <w:b/>
          <w:bCs/>
          <w:szCs w:val="24"/>
        </w:rPr>
        <w:t>ECTI</w:t>
      </w:r>
      <w:r w:rsidRPr="00C0591E">
        <w:rPr>
          <w:rFonts w:cs="Times New Roman"/>
          <w:b/>
          <w:bCs/>
          <w:spacing w:val="1"/>
          <w:szCs w:val="24"/>
        </w:rPr>
        <w:t>O</w:t>
      </w:r>
      <w:r w:rsidRPr="00C0591E">
        <w:rPr>
          <w:rFonts w:cs="Times New Roman"/>
          <w:b/>
          <w:bCs/>
          <w:szCs w:val="24"/>
        </w:rPr>
        <w:t xml:space="preserve">N </w:t>
      </w:r>
      <w:r w:rsidRPr="00C0591E">
        <w:rPr>
          <w:rFonts w:cs="Times New Roman"/>
          <w:b/>
          <w:bCs/>
          <w:spacing w:val="-1"/>
          <w:szCs w:val="24"/>
        </w:rPr>
        <w:t>A</w:t>
      </w:r>
      <w:r w:rsidRPr="00C0591E">
        <w:rPr>
          <w:rFonts w:cs="Times New Roman"/>
          <w:b/>
          <w:bCs/>
          <w:szCs w:val="24"/>
        </w:rPr>
        <w:t>: D</w:t>
      </w:r>
      <w:r w:rsidRPr="00C0591E">
        <w:rPr>
          <w:rFonts w:cs="Times New Roman"/>
          <w:b/>
          <w:bCs/>
          <w:spacing w:val="1"/>
          <w:szCs w:val="24"/>
        </w:rPr>
        <w:t>E</w:t>
      </w:r>
      <w:r w:rsidRPr="00C0591E">
        <w:rPr>
          <w:rFonts w:cs="Times New Roman"/>
          <w:b/>
          <w:bCs/>
          <w:spacing w:val="-3"/>
          <w:szCs w:val="24"/>
        </w:rPr>
        <w:t>M</w:t>
      </w:r>
      <w:r w:rsidRPr="00C0591E">
        <w:rPr>
          <w:rFonts w:cs="Times New Roman"/>
          <w:b/>
          <w:bCs/>
          <w:szCs w:val="24"/>
        </w:rPr>
        <w:t>OG</w:t>
      </w:r>
      <w:r w:rsidRPr="00C0591E">
        <w:rPr>
          <w:rFonts w:cs="Times New Roman"/>
          <w:b/>
          <w:bCs/>
          <w:spacing w:val="-1"/>
          <w:szCs w:val="24"/>
        </w:rPr>
        <w:t>R</w:t>
      </w:r>
      <w:r w:rsidRPr="00C0591E">
        <w:rPr>
          <w:rFonts w:cs="Times New Roman"/>
          <w:b/>
          <w:bCs/>
          <w:spacing w:val="2"/>
          <w:szCs w:val="24"/>
        </w:rPr>
        <w:t>A</w:t>
      </w:r>
      <w:r w:rsidRPr="00C0591E">
        <w:rPr>
          <w:rFonts w:cs="Times New Roman"/>
          <w:b/>
          <w:bCs/>
          <w:spacing w:val="1"/>
          <w:szCs w:val="24"/>
        </w:rPr>
        <w:t>PH</w:t>
      </w:r>
      <w:r w:rsidRPr="00C0591E">
        <w:rPr>
          <w:rFonts w:cs="Times New Roman"/>
          <w:b/>
          <w:bCs/>
          <w:szCs w:val="24"/>
        </w:rPr>
        <w:t>IC I</w:t>
      </w:r>
      <w:r w:rsidRPr="00C0591E">
        <w:rPr>
          <w:rFonts w:cs="Times New Roman"/>
          <w:b/>
          <w:bCs/>
          <w:spacing w:val="-2"/>
          <w:szCs w:val="24"/>
        </w:rPr>
        <w:t>N</w:t>
      </w:r>
      <w:r w:rsidRPr="00C0591E">
        <w:rPr>
          <w:rFonts w:cs="Times New Roman"/>
          <w:b/>
          <w:bCs/>
          <w:spacing w:val="1"/>
          <w:szCs w:val="24"/>
        </w:rPr>
        <w:t>F</w:t>
      </w:r>
      <w:r w:rsidRPr="00C0591E">
        <w:rPr>
          <w:rFonts w:cs="Times New Roman"/>
          <w:b/>
          <w:bCs/>
          <w:szCs w:val="24"/>
        </w:rPr>
        <w:t>O</w:t>
      </w:r>
      <w:r w:rsidRPr="00C0591E">
        <w:rPr>
          <w:rFonts w:cs="Times New Roman"/>
          <w:b/>
          <w:bCs/>
          <w:spacing w:val="-1"/>
          <w:szCs w:val="24"/>
        </w:rPr>
        <w:t>R</w:t>
      </w:r>
      <w:r w:rsidRPr="00C0591E">
        <w:rPr>
          <w:rFonts w:cs="Times New Roman"/>
          <w:b/>
          <w:bCs/>
          <w:spacing w:val="-3"/>
          <w:szCs w:val="24"/>
        </w:rPr>
        <w:t>M</w:t>
      </w:r>
      <w:r w:rsidRPr="00C0591E">
        <w:rPr>
          <w:rFonts w:cs="Times New Roman"/>
          <w:b/>
          <w:bCs/>
          <w:szCs w:val="24"/>
        </w:rPr>
        <w:t>A</w:t>
      </w:r>
      <w:r w:rsidRPr="00C0591E">
        <w:rPr>
          <w:rFonts w:cs="Times New Roman"/>
          <w:b/>
          <w:bCs/>
          <w:spacing w:val="-1"/>
          <w:szCs w:val="24"/>
        </w:rPr>
        <w:t>T</w:t>
      </w:r>
      <w:r w:rsidRPr="00C0591E">
        <w:rPr>
          <w:rFonts w:cs="Times New Roman"/>
          <w:b/>
          <w:bCs/>
          <w:szCs w:val="24"/>
        </w:rPr>
        <w:t>ION</w:t>
      </w:r>
    </w:p>
    <w:p w14:paraId="71C11B35" w14:textId="77777777" w:rsidR="00267BE6" w:rsidRPr="00C0591E" w:rsidRDefault="00267BE6" w:rsidP="00267BE6">
      <w:pPr>
        <w:widowControl w:val="0"/>
        <w:autoSpaceDE w:val="0"/>
        <w:autoSpaceDN w:val="0"/>
        <w:adjustRightInd w:val="0"/>
        <w:spacing w:before="2" w:after="0" w:line="170" w:lineRule="exact"/>
        <w:rPr>
          <w:rFonts w:cs="Times New Roman"/>
          <w:sz w:val="17"/>
          <w:szCs w:val="17"/>
        </w:rPr>
      </w:pPr>
    </w:p>
    <w:p w14:paraId="183DAB67" w14:textId="77777777" w:rsidR="00267BE6" w:rsidRPr="00C0591E" w:rsidRDefault="00267BE6" w:rsidP="00267BE6">
      <w:pPr>
        <w:widowControl w:val="0"/>
        <w:tabs>
          <w:tab w:val="left" w:pos="4950"/>
        </w:tabs>
        <w:autoSpaceDE w:val="0"/>
        <w:autoSpaceDN w:val="0"/>
        <w:adjustRightInd w:val="0"/>
        <w:spacing w:line="275" w:lineRule="auto"/>
        <w:rPr>
          <w:rFonts w:cs="Times New Roman"/>
        </w:rPr>
      </w:pPr>
      <w:r w:rsidRPr="00C0591E">
        <w:rPr>
          <w:rFonts w:cs="Times New Roman"/>
          <w:b/>
          <w:bCs/>
        </w:rPr>
        <w:t>Tick w</w:t>
      </w:r>
      <w:r w:rsidRPr="00C0591E">
        <w:rPr>
          <w:rFonts w:cs="Times New Roman"/>
          <w:b/>
          <w:bCs/>
          <w:spacing w:val="1"/>
        </w:rPr>
        <w:t>h</w:t>
      </w:r>
      <w:r w:rsidRPr="00C0591E">
        <w:rPr>
          <w:rFonts w:cs="Times New Roman"/>
          <w:b/>
          <w:bCs/>
          <w:spacing w:val="-1"/>
        </w:rPr>
        <w:t>er</w:t>
      </w:r>
      <w:r w:rsidRPr="00C0591E">
        <w:rPr>
          <w:rFonts w:cs="Times New Roman"/>
          <w:b/>
          <w:bCs/>
        </w:rPr>
        <w:t>e</w:t>
      </w:r>
      <w:r w:rsidRPr="00C0591E">
        <w:rPr>
          <w:rFonts w:cs="Times New Roman"/>
          <w:b/>
          <w:bCs/>
          <w:spacing w:val="-1"/>
        </w:rPr>
        <w:t xml:space="preserve"> </w:t>
      </w:r>
      <w:r w:rsidRPr="00C0591E">
        <w:rPr>
          <w:rFonts w:cs="Times New Roman"/>
          <w:b/>
          <w:bCs/>
        </w:rPr>
        <w:t>a</w:t>
      </w:r>
      <w:r w:rsidRPr="00C0591E">
        <w:rPr>
          <w:rFonts w:cs="Times New Roman"/>
          <w:b/>
          <w:bCs/>
          <w:spacing w:val="1"/>
        </w:rPr>
        <w:t>pp</w:t>
      </w:r>
      <w:r w:rsidRPr="00C0591E">
        <w:rPr>
          <w:rFonts w:cs="Times New Roman"/>
          <w:b/>
          <w:bCs/>
          <w:spacing w:val="-1"/>
        </w:rPr>
        <w:t>r</w:t>
      </w:r>
      <w:r w:rsidRPr="00C0591E">
        <w:rPr>
          <w:rFonts w:cs="Times New Roman"/>
          <w:b/>
          <w:bCs/>
        </w:rPr>
        <w:t>o</w:t>
      </w:r>
      <w:r w:rsidRPr="00C0591E">
        <w:rPr>
          <w:rFonts w:cs="Times New Roman"/>
          <w:b/>
          <w:bCs/>
          <w:spacing w:val="1"/>
        </w:rPr>
        <w:t>p</w:t>
      </w:r>
      <w:r w:rsidRPr="00C0591E">
        <w:rPr>
          <w:rFonts w:cs="Times New Roman"/>
          <w:b/>
          <w:bCs/>
          <w:spacing w:val="-1"/>
        </w:rPr>
        <w:t>r</w:t>
      </w:r>
      <w:r w:rsidRPr="00C0591E">
        <w:rPr>
          <w:rFonts w:cs="Times New Roman"/>
          <w:b/>
          <w:bCs/>
        </w:rPr>
        <w:t>iate</w:t>
      </w:r>
    </w:p>
    <w:p w14:paraId="10E55EAB" w14:textId="77777777" w:rsidR="00267BE6" w:rsidRPr="00C0591E" w:rsidRDefault="00267BE6" w:rsidP="00267BE6">
      <w:pPr>
        <w:pStyle w:val="ListParagraph"/>
        <w:widowControl w:val="0"/>
        <w:autoSpaceDE w:val="0"/>
        <w:autoSpaceDN w:val="0"/>
        <w:adjustRightInd w:val="0"/>
        <w:spacing w:after="0" w:line="240" w:lineRule="auto"/>
        <w:rPr>
          <w:rFonts w:cs="Times New Roman"/>
          <w:szCs w:val="24"/>
        </w:rPr>
      </w:pPr>
    </w:p>
    <w:p w14:paraId="4A6D8E34" w14:textId="334F0848" w:rsidR="00267BE6" w:rsidRPr="00C0591E" w:rsidRDefault="00267BE6" w:rsidP="00267BE6">
      <w:pPr>
        <w:numPr>
          <w:ilvl w:val="0"/>
          <w:numId w:val="16"/>
        </w:numPr>
        <w:spacing w:after="0"/>
        <w:rPr>
          <w:szCs w:val="24"/>
        </w:rPr>
      </w:pPr>
      <w:r w:rsidRPr="00C0591E">
        <w:t xml:space="preserve">Please indicate your </w:t>
      </w:r>
      <w:r w:rsidR="008314BE" w:rsidRPr="00C0591E">
        <w:t>sex</w:t>
      </w:r>
      <w:r w:rsidRPr="00C0591E">
        <w:t xml:space="preserve">? </w:t>
      </w:r>
    </w:p>
    <w:p w14:paraId="67F530B0" w14:textId="77777777" w:rsidR="00267BE6" w:rsidRPr="00C0591E" w:rsidRDefault="00267BE6" w:rsidP="00267BE6">
      <w:pPr>
        <w:spacing w:after="0"/>
        <w:ind w:left="720"/>
      </w:pPr>
      <w:r w:rsidRPr="00C0591E">
        <w:t xml:space="preserve">Male </w:t>
      </w:r>
      <w:r w:rsidRPr="00C0591E">
        <w:rPr>
          <w:rFonts w:cs="Times New Roman"/>
          <w:szCs w:val="24"/>
        </w:rPr>
        <w:t xml:space="preserve">( ) </w:t>
      </w:r>
      <w:r w:rsidRPr="00C0591E">
        <w:t xml:space="preserve">Female </w:t>
      </w:r>
      <w:r w:rsidRPr="00C0591E">
        <w:rPr>
          <w:rFonts w:cs="Times New Roman"/>
          <w:szCs w:val="24"/>
        </w:rPr>
        <w:t>( )</w:t>
      </w:r>
    </w:p>
    <w:p w14:paraId="4459BAEF" w14:textId="77777777" w:rsidR="00267BE6" w:rsidRPr="00C0591E" w:rsidRDefault="00267BE6" w:rsidP="00267BE6">
      <w:pPr>
        <w:numPr>
          <w:ilvl w:val="0"/>
          <w:numId w:val="16"/>
        </w:numPr>
        <w:spacing w:after="0"/>
        <w:rPr>
          <w:szCs w:val="24"/>
        </w:rPr>
      </w:pPr>
      <w:r w:rsidRPr="00C0591E">
        <w:t xml:space="preserve"> Which is your age bracket? </w:t>
      </w:r>
    </w:p>
    <w:p w14:paraId="41654B59" w14:textId="63CC7550" w:rsidR="00267BE6" w:rsidRPr="00C0591E" w:rsidRDefault="00C16CB1" w:rsidP="00C16CB1">
      <w:pPr>
        <w:pStyle w:val="ListParagraph"/>
        <w:spacing w:after="0"/>
        <w:ind w:left="1080"/>
      </w:pPr>
      <w:r w:rsidRPr="00C0591E">
        <w:t>18</w:t>
      </w:r>
      <w:r w:rsidR="00267BE6" w:rsidRPr="00C0591E">
        <w:t xml:space="preserve">-25 Years </w:t>
      </w:r>
      <w:r w:rsidR="00267BE6" w:rsidRPr="00C0591E">
        <w:rPr>
          <w:rFonts w:cs="Times New Roman"/>
          <w:szCs w:val="24"/>
        </w:rPr>
        <w:t xml:space="preserve">( ) </w:t>
      </w:r>
      <w:r w:rsidR="00267BE6" w:rsidRPr="00C0591E">
        <w:t>2</w:t>
      </w:r>
      <w:r w:rsidRPr="00C0591E">
        <w:t>6</w:t>
      </w:r>
      <w:r w:rsidR="00267BE6" w:rsidRPr="00C0591E">
        <w:t xml:space="preserve">-30 Years </w:t>
      </w:r>
      <w:r w:rsidR="00267BE6" w:rsidRPr="00C0591E">
        <w:rPr>
          <w:rFonts w:cs="Times New Roman"/>
          <w:szCs w:val="24"/>
        </w:rPr>
        <w:t xml:space="preserve">( ) </w:t>
      </w:r>
      <w:r w:rsidR="00267BE6" w:rsidRPr="00C0591E">
        <w:t>3</w:t>
      </w:r>
      <w:r w:rsidRPr="00C0591E">
        <w:t>1</w:t>
      </w:r>
      <w:r w:rsidR="00267BE6" w:rsidRPr="00C0591E">
        <w:t xml:space="preserve">-35 Years </w:t>
      </w:r>
      <w:r w:rsidR="00267BE6" w:rsidRPr="00C0591E">
        <w:rPr>
          <w:rFonts w:cs="Times New Roman"/>
          <w:szCs w:val="24"/>
        </w:rPr>
        <w:t xml:space="preserve">( ) </w:t>
      </w:r>
      <w:r w:rsidR="00267BE6" w:rsidRPr="00C0591E">
        <w:t>3</w:t>
      </w:r>
      <w:r w:rsidRPr="00C0591E">
        <w:t>6</w:t>
      </w:r>
      <w:r w:rsidR="00267BE6" w:rsidRPr="00C0591E">
        <w:t xml:space="preserve">Years and above </w:t>
      </w:r>
      <w:r w:rsidR="00267BE6" w:rsidRPr="00C0591E">
        <w:rPr>
          <w:rFonts w:cs="Times New Roman"/>
          <w:szCs w:val="24"/>
        </w:rPr>
        <w:t>( )</w:t>
      </w:r>
    </w:p>
    <w:p w14:paraId="66087E14" w14:textId="77777777" w:rsidR="00267BE6" w:rsidRPr="00C0591E" w:rsidRDefault="00267BE6" w:rsidP="00267BE6">
      <w:pPr>
        <w:widowControl w:val="0"/>
        <w:autoSpaceDE w:val="0"/>
        <w:autoSpaceDN w:val="0"/>
        <w:adjustRightInd w:val="0"/>
        <w:spacing w:before="9" w:after="0" w:line="170" w:lineRule="exact"/>
        <w:rPr>
          <w:rFonts w:cs="Times New Roman"/>
          <w:sz w:val="17"/>
          <w:szCs w:val="17"/>
        </w:rPr>
      </w:pPr>
    </w:p>
    <w:p w14:paraId="6ED9C2EB" w14:textId="074265A9" w:rsidR="00267BE6" w:rsidRPr="00C0591E" w:rsidRDefault="00267BE6" w:rsidP="00267BE6">
      <w:pPr>
        <w:pStyle w:val="ListParagraph"/>
        <w:widowControl w:val="0"/>
        <w:numPr>
          <w:ilvl w:val="0"/>
          <w:numId w:val="16"/>
        </w:numPr>
        <w:autoSpaceDE w:val="0"/>
        <w:autoSpaceDN w:val="0"/>
        <w:adjustRightInd w:val="0"/>
        <w:spacing w:after="0" w:line="240" w:lineRule="auto"/>
        <w:rPr>
          <w:rFonts w:cs="Times New Roman"/>
          <w:szCs w:val="24"/>
        </w:rPr>
      </w:pPr>
      <w:r w:rsidRPr="00C0591E">
        <w:rPr>
          <w:rFonts w:cs="Times New Roman"/>
          <w:szCs w:val="24"/>
        </w:rPr>
        <w:t xml:space="preserve">Which is your highest </w:t>
      </w:r>
      <w:r w:rsidR="008314BE" w:rsidRPr="00C0591E">
        <w:rPr>
          <w:rFonts w:cs="Times New Roman"/>
          <w:szCs w:val="24"/>
        </w:rPr>
        <w:t>certificate</w:t>
      </w:r>
      <w:r w:rsidRPr="00C0591E">
        <w:rPr>
          <w:rFonts w:cs="Times New Roman"/>
          <w:szCs w:val="24"/>
        </w:rPr>
        <w:t xml:space="preserve"> qualification?</w:t>
      </w:r>
    </w:p>
    <w:p w14:paraId="3317A2AA" w14:textId="77777777" w:rsidR="00267BE6" w:rsidRPr="00C0591E" w:rsidRDefault="00267BE6" w:rsidP="00267BE6">
      <w:pPr>
        <w:widowControl w:val="0"/>
        <w:autoSpaceDE w:val="0"/>
        <w:autoSpaceDN w:val="0"/>
        <w:adjustRightInd w:val="0"/>
        <w:spacing w:before="7" w:after="0" w:line="170" w:lineRule="exact"/>
        <w:rPr>
          <w:rFonts w:cs="Times New Roman"/>
          <w:sz w:val="17"/>
          <w:szCs w:val="17"/>
        </w:rPr>
      </w:pPr>
    </w:p>
    <w:p w14:paraId="02F59731" w14:textId="40058BFF" w:rsidR="00D12D7A" w:rsidRPr="00C0591E" w:rsidRDefault="00D12D7A" w:rsidP="00D12D7A">
      <w:pPr>
        <w:pStyle w:val="ListParagraph"/>
        <w:widowControl w:val="0"/>
        <w:autoSpaceDE w:val="0"/>
        <w:autoSpaceDN w:val="0"/>
        <w:adjustRightInd w:val="0"/>
        <w:spacing w:after="0" w:line="240" w:lineRule="auto"/>
        <w:rPr>
          <w:rFonts w:cs="Times New Roman"/>
          <w:szCs w:val="24"/>
        </w:rPr>
      </w:pPr>
      <w:r w:rsidRPr="00C0591E">
        <w:rPr>
          <w:szCs w:val="24"/>
        </w:rPr>
        <w:t xml:space="preserve">Diploma    </w:t>
      </w:r>
      <w:r w:rsidRPr="00C0591E">
        <w:rPr>
          <w:rFonts w:cs="Times New Roman"/>
          <w:szCs w:val="24"/>
        </w:rPr>
        <w:t xml:space="preserve">( )  </w:t>
      </w:r>
      <w:r w:rsidRPr="00C0591E">
        <w:rPr>
          <w:szCs w:val="24"/>
        </w:rPr>
        <w:t xml:space="preserve">Undergraduate </w:t>
      </w:r>
      <w:r w:rsidR="00C16CB1" w:rsidRPr="00C0591E">
        <w:rPr>
          <w:szCs w:val="24"/>
        </w:rPr>
        <w:t>Degree (</w:t>
      </w:r>
      <w:r w:rsidRPr="00C0591E">
        <w:rPr>
          <w:rFonts w:cs="Times New Roman"/>
          <w:szCs w:val="24"/>
        </w:rPr>
        <w:t xml:space="preserve"> </w:t>
      </w:r>
      <w:r w:rsidR="00C16CB1" w:rsidRPr="00C0591E">
        <w:rPr>
          <w:rFonts w:cs="Times New Roman"/>
          <w:szCs w:val="24"/>
        </w:rPr>
        <w:t>) Master’s</w:t>
      </w:r>
      <w:r w:rsidRPr="00C0591E">
        <w:rPr>
          <w:szCs w:val="24"/>
        </w:rPr>
        <w:t xml:space="preserve"> </w:t>
      </w:r>
      <w:r w:rsidR="00C16CB1" w:rsidRPr="00C0591E">
        <w:rPr>
          <w:szCs w:val="24"/>
        </w:rPr>
        <w:t>Degree (</w:t>
      </w:r>
      <w:r w:rsidRPr="00C0591E">
        <w:rPr>
          <w:rFonts w:cs="Times New Roman"/>
          <w:szCs w:val="24"/>
        </w:rPr>
        <w:t xml:space="preserve"> )</w:t>
      </w:r>
      <w:r w:rsidRPr="00C0591E">
        <w:rPr>
          <w:szCs w:val="24"/>
        </w:rPr>
        <w:t xml:space="preserve">  PhD </w:t>
      </w:r>
      <w:r w:rsidRPr="00C0591E">
        <w:rPr>
          <w:rFonts w:cs="Times New Roman"/>
          <w:szCs w:val="24"/>
        </w:rPr>
        <w:t>( )</w:t>
      </w:r>
      <w:r w:rsidRPr="00C0591E">
        <w:rPr>
          <w:szCs w:val="24"/>
        </w:rPr>
        <w:tab/>
      </w:r>
    </w:p>
    <w:p w14:paraId="4AD4A01F" w14:textId="77777777" w:rsidR="00D12D7A" w:rsidRPr="00C0591E" w:rsidRDefault="00D12D7A" w:rsidP="00D12D7A">
      <w:pPr>
        <w:pStyle w:val="ListParagraph"/>
        <w:rPr>
          <w:rFonts w:cs="Times New Roman"/>
          <w:szCs w:val="24"/>
        </w:rPr>
      </w:pPr>
    </w:p>
    <w:p w14:paraId="1479300E" w14:textId="3709830F" w:rsidR="00267BE6" w:rsidRPr="00C0591E" w:rsidRDefault="00267BE6" w:rsidP="00267BE6">
      <w:pPr>
        <w:pStyle w:val="ListParagraph"/>
        <w:widowControl w:val="0"/>
        <w:numPr>
          <w:ilvl w:val="0"/>
          <w:numId w:val="16"/>
        </w:numPr>
        <w:autoSpaceDE w:val="0"/>
        <w:autoSpaceDN w:val="0"/>
        <w:adjustRightInd w:val="0"/>
        <w:spacing w:after="0" w:line="240" w:lineRule="auto"/>
        <w:rPr>
          <w:rFonts w:cs="Times New Roman"/>
          <w:szCs w:val="24"/>
        </w:rPr>
      </w:pPr>
      <w:r w:rsidRPr="00C0591E">
        <w:rPr>
          <w:rFonts w:cs="Times New Roman"/>
          <w:szCs w:val="24"/>
        </w:rPr>
        <w:t>How ma</w:t>
      </w:r>
      <w:r w:rsidRPr="00C0591E">
        <w:rPr>
          <w:rFonts w:cs="Times New Roman"/>
          <w:spacing w:val="4"/>
          <w:szCs w:val="24"/>
        </w:rPr>
        <w:t>n</w:t>
      </w:r>
      <w:r w:rsidRPr="00C0591E">
        <w:rPr>
          <w:rFonts w:cs="Times New Roman"/>
          <w:szCs w:val="24"/>
        </w:rPr>
        <w:t xml:space="preserve">y </w:t>
      </w:r>
      <w:r w:rsidRPr="00C0591E">
        <w:rPr>
          <w:rFonts w:cs="Times New Roman"/>
          <w:spacing w:val="-5"/>
          <w:szCs w:val="24"/>
        </w:rPr>
        <w:t>y</w:t>
      </w:r>
      <w:r w:rsidRPr="00C0591E">
        <w:rPr>
          <w:rFonts w:cs="Times New Roman"/>
          <w:spacing w:val="-1"/>
          <w:szCs w:val="24"/>
        </w:rPr>
        <w:t>e</w:t>
      </w:r>
      <w:r w:rsidRPr="00C0591E">
        <w:rPr>
          <w:rFonts w:cs="Times New Roman"/>
          <w:spacing w:val="1"/>
          <w:szCs w:val="24"/>
        </w:rPr>
        <w:t>a</w:t>
      </w:r>
      <w:r w:rsidRPr="00C0591E">
        <w:rPr>
          <w:rFonts w:cs="Times New Roman"/>
          <w:szCs w:val="24"/>
        </w:rPr>
        <w:t>rs h</w:t>
      </w:r>
      <w:r w:rsidRPr="00C0591E">
        <w:rPr>
          <w:rFonts w:cs="Times New Roman"/>
          <w:spacing w:val="-1"/>
          <w:szCs w:val="24"/>
        </w:rPr>
        <w:t>a</w:t>
      </w:r>
      <w:r w:rsidRPr="00C0591E">
        <w:rPr>
          <w:rFonts w:cs="Times New Roman"/>
          <w:szCs w:val="24"/>
        </w:rPr>
        <w:t>ve you worked in th</w:t>
      </w:r>
      <w:r w:rsidRPr="00C0591E">
        <w:rPr>
          <w:rFonts w:cs="Times New Roman"/>
          <w:spacing w:val="3"/>
          <w:szCs w:val="24"/>
        </w:rPr>
        <w:t>i</w:t>
      </w:r>
      <w:r w:rsidRPr="00C0591E">
        <w:rPr>
          <w:rFonts w:cs="Times New Roman"/>
          <w:szCs w:val="24"/>
        </w:rPr>
        <w:t>s org</w:t>
      </w:r>
      <w:r w:rsidRPr="00C0591E">
        <w:rPr>
          <w:rFonts w:cs="Times New Roman"/>
          <w:spacing w:val="-1"/>
          <w:szCs w:val="24"/>
        </w:rPr>
        <w:t>a</w:t>
      </w:r>
      <w:r w:rsidRPr="00C0591E">
        <w:rPr>
          <w:rFonts w:cs="Times New Roman"/>
          <w:szCs w:val="24"/>
        </w:rPr>
        <w:t>ni</w:t>
      </w:r>
      <w:r w:rsidRPr="00C0591E">
        <w:rPr>
          <w:rFonts w:cs="Times New Roman"/>
          <w:spacing w:val="2"/>
          <w:szCs w:val="24"/>
        </w:rPr>
        <w:t>z</w:t>
      </w:r>
      <w:r w:rsidRPr="00C0591E">
        <w:rPr>
          <w:rFonts w:cs="Times New Roman"/>
          <w:spacing w:val="-1"/>
          <w:szCs w:val="24"/>
        </w:rPr>
        <w:t>a</w:t>
      </w:r>
      <w:r w:rsidRPr="00C0591E">
        <w:rPr>
          <w:rFonts w:cs="Times New Roman"/>
          <w:szCs w:val="24"/>
        </w:rPr>
        <w:t>t</w:t>
      </w:r>
      <w:r w:rsidRPr="00C0591E">
        <w:rPr>
          <w:rFonts w:cs="Times New Roman"/>
          <w:spacing w:val="1"/>
          <w:szCs w:val="24"/>
        </w:rPr>
        <w:t>i</w:t>
      </w:r>
      <w:r w:rsidRPr="00C0591E">
        <w:rPr>
          <w:rFonts w:cs="Times New Roman"/>
          <w:szCs w:val="24"/>
        </w:rPr>
        <w:t>on?</w:t>
      </w:r>
    </w:p>
    <w:p w14:paraId="08353320" w14:textId="77777777" w:rsidR="00267BE6" w:rsidRPr="00C0591E" w:rsidRDefault="00267BE6" w:rsidP="00267BE6">
      <w:pPr>
        <w:widowControl w:val="0"/>
        <w:autoSpaceDE w:val="0"/>
        <w:autoSpaceDN w:val="0"/>
        <w:adjustRightInd w:val="0"/>
        <w:spacing w:before="7" w:after="0" w:line="170" w:lineRule="exact"/>
        <w:rPr>
          <w:rFonts w:cs="Times New Roman"/>
          <w:sz w:val="17"/>
          <w:szCs w:val="17"/>
        </w:rPr>
      </w:pPr>
    </w:p>
    <w:p w14:paraId="7BF70247" w14:textId="77777777" w:rsidR="00267BE6" w:rsidRPr="00C0591E" w:rsidRDefault="00267BE6" w:rsidP="00267BE6">
      <w:pPr>
        <w:widowControl w:val="0"/>
        <w:autoSpaceDE w:val="0"/>
        <w:autoSpaceDN w:val="0"/>
        <w:adjustRightInd w:val="0"/>
        <w:spacing w:after="0" w:line="200" w:lineRule="exact"/>
        <w:rPr>
          <w:rFonts w:cs="Times New Roman"/>
          <w:sz w:val="20"/>
          <w:szCs w:val="20"/>
        </w:rPr>
      </w:pPr>
    </w:p>
    <w:p w14:paraId="4E1F4BB6" w14:textId="44F37992" w:rsidR="00267BE6" w:rsidRPr="00C0591E" w:rsidRDefault="00267BE6" w:rsidP="00267BE6">
      <w:pPr>
        <w:ind w:firstLine="720"/>
        <w:rPr>
          <w:rFonts w:cs="Times New Roman"/>
          <w:szCs w:val="24"/>
        </w:rPr>
      </w:pPr>
      <w:r w:rsidRPr="00C0591E">
        <w:rPr>
          <w:rFonts w:cs="Times New Roman"/>
        </w:rPr>
        <w:t xml:space="preserve">0– 5 </w:t>
      </w:r>
      <w:r w:rsidRPr="00C0591E">
        <w:rPr>
          <w:rFonts w:cs="Times New Roman"/>
          <w:spacing w:val="-5"/>
        </w:rPr>
        <w:t>y</w:t>
      </w:r>
      <w:r w:rsidRPr="00C0591E">
        <w:rPr>
          <w:rFonts w:cs="Times New Roman"/>
          <w:spacing w:val="1"/>
        </w:rPr>
        <w:t>e</w:t>
      </w:r>
      <w:r w:rsidRPr="00C0591E">
        <w:rPr>
          <w:rFonts w:cs="Times New Roman"/>
          <w:spacing w:val="-1"/>
        </w:rPr>
        <w:t>a</w:t>
      </w:r>
      <w:r w:rsidR="00C16CB1" w:rsidRPr="00C0591E">
        <w:rPr>
          <w:rFonts w:cs="Times New Roman"/>
        </w:rPr>
        <w:t>rs ( )  6</w:t>
      </w:r>
      <w:r w:rsidRPr="00C0591E">
        <w:rPr>
          <w:rFonts w:cs="Times New Roman"/>
        </w:rPr>
        <w:t xml:space="preserve"> – 10</w:t>
      </w:r>
      <w:r w:rsidRPr="00C0591E">
        <w:rPr>
          <w:rFonts w:cs="Times New Roman"/>
          <w:spacing w:val="-5"/>
        </w:rPr>
        <w:t>y</w:t>
      </w:r>
      <w:r w:rsidRPr="00C0591E">
        <w:rPr>
          <w:rFonts w:cs="Times New Roman"/>
          <w:spacing w:val="1"/>
        </w:rPr>
        <w:t>e</w:t>
      </w:r>
      <w:r w:rsidRPr="00C0591E">
        <w:rPr>
          <w:rFonts w:cs="Times New Roman"/>
          <w:spacing w:val="-1"/>
        </w:rPr>
        <w:t>a</w:t>
      </w:r>
      <w:r w:rsidR="00C16CB1" w:rsidRPr="00C0591E">
        <w:rPr>
          <w:rFonts w:cs="Times New Roman"/>
        </w:rPr>
        <w:t>rs ( ) 11</w:t>
      </w:r>
      <w:r w:rsidRPr="00C0591E">
        <w:rPr>
          <w:rFonts w:cs="Times New Roman"/>
        </w:rPr>
        <w:t xml:space="preserve"> </w:t>
      </w:r>
      <w:r w:rsidRPr="00C0591E">
        <w:rPr>
          <w:rFonts w:cs="Times New Roman"/>
          <w:szCs w:val="24"/>
        </w:rPr>
        <w:t>– 15</w:t>
      </w:r>
      <w:r w:rsidRPr="00C0591E">
        <w:rPr>
          <w:rFonts w:cs="Times New Roman"/>
          <w:spacing w:val="-5"/>
          <w:szCs w:val="24"/>
        </w:rPr>
        <w:t>y</w:t>
      </w:r>
      <w:r w:rsidRPr="00C0591E">
        <w:rPr>
          <w:rFonts w:cs="Times New Roman"/>
          <w:spacing w:val="1"/>
          <w:szCs w:val="24"/>
        </w:rPr>
        <w:t>e</w:t>
      </w:r>
      <w:r w:rsidRPr="00C0591E">
        <w:rPr>
          <w:rFonts w:cs="Times New Roman"/>
          <w:spacing w:val="-1"/>
          <w:szCs w:val="24"/>
        </w:rPr>
        <w:t>a</w:t>
      </w:r>
      <w:r w:rsidRPr="00C0591E">
        <w:rPr>
          <w:rFonts w:cs="Times New Roman"/>
          <w:szCs w:val="24"/>
        </w:rPr>
        <w:t xml:space="preserve">rs  </w:t>
      </w:r>
      <w:r w:rsidRPr="00C0591E">
        <w:rPr>
          <w:rFonts w:cs="Times New Roman"/>
          <w:spacing w:val="37"/>
          <w:szCs w:val="24"/>
        </w:rPr>
        <w:t>(</w:t>
      </w:r>
      <w:r w:rsidRPr="00C0591E">
        <w:rPr>
          <w:rFonts w:cs="Times New Roman"/>
          <w:szCs w:val="24"/>
        </w:rPr>
        <w:t>) 1</w:t>
      </w:r>
      <w:r w:rsidR="00C16CB1" w:rsidRPr="00C0591E">
        <w:rPr>
          <w:rFonts w:cs="Times New Roman"/>
          <w:szCs w:val="24"/>
        </w:rPr>
        <w:t>6</w:t>
      </w:r>
      <w:r w:rsidRPr="00C0591E">
        <w:rPr>
          <w:rFonts w:cs="Times New Roman"/>
          <w:szCs w:val="24"/>
        </w:rPr>
        <w:t xml:space="preserve"> – 20</w:t>
      </w:r>
      <w:r w:rsidRPr="00C0591E">
        <w:rPr>
          <w:rFonts w:cs="Times New Roman"/>
          <w:spacing w:val="-5"/>
          <w:szCs w:val="24"/>
        </w:rPr>
        <w:t>y</w:t>
      </w:r>
      <w:r w:rsidRPr="00C0591E">
        <w:rPr>
          <w:rFonts w:cs="Times New Roman"/>
          <w:spacing w:val="1"/>
          <w:szCs w:val="24"/>
        </w:rPr>
        <w:t>e</w:t>
      </w:r>
      <w:r w:rsidRPr="00C0591E">
        <w:rPr>
          <w:rFonts w:cs="Times New Roman"/>
          <w:spacing w:val="-1"/>
          <w:szCs w:val="24"/>
        </w:rPr>
        <w:t>a</w:t>
      </w:r>
      <w:r w:rsidR="00C16CB1" w:rsidRPr="00C0591E">
        <w:rPr>
          <w:rFonts w:cs="Times New Roman"/>
          <w:szCs w:val="24"/>
        </w:rPr>
        <w:t>rs ( )  21</w:t>
      </w:r>
      <w:r w:rsidRPr="00C0591E">
        <w:rPr>
          <w:rFonts w:cs="Times New Roman"/>
          <w:szCs w:val="24"/>
        </w:rPr>
        <w:t xml:space="preserve"> </w:t>
      </w:r>
      <w:r w:rsidRPr="00C0591E">
        <w:rPr>
          <w:rFonts w:cs="Times New Roman"/>
          <w:spacing w:val="-5"/>
          <w:szCs w:val="24"/>
        </w:rPr>
        <w:t>y</w:t>
      </w:r>
      <w:r w:rsidRPr="00C0591E">
        <w:rPr>
          <w:rFonts w:cs="Times New Roman"/>
          <w:spacing w:val="1"/>
          <w:szCs w:val="24"/>
        </w:rPr>
        <w:t>e</w:t>
      </w:r>
      <w:r w:rsidRPr="00C0591E">
        <w:rPr>
          <w:rFonts w:cs="Times New Roman"/>
          <w:spacing w:val="-1"/>
          <w:szCs w:val="24"/>
        </w:rPr>
        <w:t>a</w:t>
      </w:r>
      <w:r w:rsidRPr="00C0591E">
        <w:rPr>
          <w:rFonts w:cs="Times New Roman"/>
          <w:szCs w:val="24"/>
        </w:rPr>
        <w:t xml:space="preserve">rs </w:t>
      </w:r>
      <w:r w:rsidRPr="00C0591E">
        <w:rPr>
          <w:rFonts w:cs="Times New Roman"/>
          <w:spacing w:val="-1"/>
          <w:szCs w:val="24"/>
        </w:rPr>
        <w:t>a</w:t>
      </w:r>
      <w:r w:rsidRPr="00C0591E">
        <w:rPr>
          <w:rFonts w:cs="Times New Roman"/>
          <w:szCs w:val="24"/>
        </w:rPr>
        <w:t xml:space="preserve">nd </w:t>
      </w:r>
      <w:r w:rsidRPr="00C0591E">
        <w:rPr>
          <w:rFonts w:cs="Times New Roman"/>
          <w:spacing w:val="-1"/>
          <w:szCs w:val="24"/>
        </w:rPr>
        <w:t>a</w:t>
      </w:r>
      <w:r w:rsidRPr="00C0591E">
        <w:rPr>
          <w:rFonts w:cs="Times New Roman"/>
          <w:szCs w:val="24"/>
        </w:rPr>
        <w:t>bove ( )</w:t>
      </w:r>
    </w:p>
    <w:p w14:paraId="21A870F1" w14:textId="77777777" w:rsidR="00267BE6" w:rsidRPr="00C0591E" w:rsidRDefault="00267BE6" w:rsidP="00267BE6">
      <w:pPr>
        <w:widowControl w:val="0"/>
        <w:autoSpaceDE w:val="0"/>
        <w:autoSpaceDN w:val="0"/>
        <w:adjustRightInd w:val="0"/>
        <w:spacing w:before="9" w:after="0" w:line="170" w:lineRule="exact"/>
        <w:rPr>
          <w:rFonts w:cs="Times New Roman"/>
          <w:sz w:val="17"/>
          <w:szCs w:val="17"/>
        </w:rPr>
      </w:pPr>
    </w:p>
    <w:p w14:paraId="56018FA3" w14:textId="77777777" w:rsidR="00267BE6" w:rsidRPr="00C0591E" w:rsidRDefault="00267BE6" w:rsidP="00267BE6">
      <w:pPr>
        <w:pStyle w:val="ListParagraph"/>
        <w:numPr>
          <w:ilvl w:val="0"/>
          <w:numId w:val="16"/>
        </w:numPr>
        <w:rPr>
          <w:rFonts w:cs="Times New Roman"/>
        </w:rPr>
      </w:pPr>
      <w:r w:rsidRPr="00C0591E">
        <w:rPr>
          <w:rFonts w:cs="Times New Roman"/>
          <w:spacing w:val="1"/>
        </w:rPr>
        <w:t>W</w:t>
      </w:r>
      <w:r w:rsidRPr="00C0591E">
        <w:rPr>
          <w:rFonts w:cs="Times New Roman"/>
        </w:rPr>
        <w:t>h</w:t>
      </w:r>
      <w:r w:rsidRPr="00C0591E">
        <w:rPr>
          <w:rFonts w:cs="Times New Roman"/>
          <w:spacing w:val="-1"/>
        </w:rPr>
        <w:t>a</w:t>
      </w:r>
      <w:r w:rsidRPr="00C0591E">
        <w:rPr>
          <w:rFonts w:cs="Times New Roman"/>
        </w:rPr>
        <w:t xml:space="preserve">t </w:t>
      </w:r>
      <w:r w:rsidRPr="00C0591E">
        <w:rPr>
          <w:rFonts w:cs="Times New Roman"/>
          <w:spacing w:val="1"/>
        </w:rPr>
        <w:t>i</w:t>
      </w:r>
      <w:r w:rsidRPr="00C0591E">
        <w:rPr>
          <w:rFonts w:cs="Times New Roman"/>
        </w:rPr>
        <w:t>s the si</w:t>
      </w:r>
      <w:r w:rsidRPr="00C0591E">
        <w:rPr>
          <w:rFonts w:cs="Times New Roman"/>
          <w:spacing w:val="2"/>
        </w:rPr>
        <w:t>z</w:t>
      </w:r>
      <w:r w:rsidRPr="00C0591E">
        <w:rPr>
          <w:rFonts w:cs="Times New Roman"/>
        </w:rPr>
        <w:t xml:space="preserve">e of </w:t>
      </w:r>
      <w:r w:rsidRPr="00C0591E">
        <w:rPr>
          <w:rFonts w:cs="Times New Roman"/>
          <w:spacing w:val="-7"/>
        </w:rPr>
        <w:t>y</w:t>
      </w:r>
      <w:r w:rsidRPr="00C0591E">
        <w:rPr>
          <w:rFonts w:cs="Times New Roman"/>
        </w:rPr>
        <w:t>o</w:t>
      </w:r>
      <w:r w:rsidRPr="00C0591E">
        <w:rPr>
          <w:rFonts w:cs="Times New Roman"/>
          <w:spacing w:val="2"/>
        </w:rPr>
        <w:t>u</w:t>
      </w:r>
      <w:r w:rsidRPr="00C0591E">
        <w:rPr>
          <w:rFonts w:cs="Times New Roman"/>
        </w:rPr>
        <w:t>r o</w:t>
      </w:r>
      <w:r w:rsidRPr="00C0591E">
        <w:rPr>
          <w:rFonts w:cs="Times New Roman"/>
          <w:spacing w:val="-1"/>
        </w:rPr>
        <w:t>r</w:t>
      </w:r>
      <w:r w:rsidRPr="00C0591E">
        <w:rPr>
          <w:rFonts w:cs="Times New Roman"/>
        </w:rPr>
        <w:t>g</w:t>
      </w:r>
      <w:r w:rsidRPr="00C0591E">
        <w:rPr>
          <w:rFonts w:cs="Times New Roman"/>
          <w:spacing w:val="-1"/>
        </w:rPr>
        <w:t>a</w:t>
      </w:r>
      <w:r w:rsidRPr="00C0591E">
        <w:rPr>
          <w:rFonts w:cs="Times New Roman"/>
        </w:rPr>
        <w:t>ni</w:t>
      </w:r>
      <w:r w:rsidRPr="00C0591E">
        <w:rPr>
          <w:rFonts w:cs="Times New Roman"/>
          <w:spacing w:val="2"/>
        </w:rPr>
        <w:t>z</w:t>
      </w:r>
      <w:r w:rsidRPr="00C0591E">
        <w:rPr>
          <w:rFonts w:cs="Times New Roman"/>
          <w:spacing w:val="-1"/>
        </w:rPr>
        <w:t>a</w:t>
      </w:r>
      <w:r w:rsidRPr="00C0591E">
        <w:rPr>
          <w:rFonts w:cs="Times New Roman"/>
        </w:rPr>
        <w:t>t</w:t>
      </w:r>
      <w:r w:rsidRPr="00C0591E">
        <w:rPr>
          <w:rFonts w:cs="Times New Roman"/>
          <w:spacing w:val="1"/>
        </w:rPr>
        <w:t>i</w:t>
      </w:r>
      <w:r w:rsidRPr="00C0591E">
        <w:rPr>
          <w:rFonts w:cs="Times New Roman"/>
        </w:rPr>
        <w:t xml:space="preserve">on in </w:t>
      </w:r>
      <w:r w:rsidRPr="00C0591E">
        <w:rPr>
          <w:rFonts w:cs="Times New Roman"/>
          <w:spacing w:val="1"/>
        </w:rPr>
        <w:t>t</w:t>
      </w:r>
      <w:r w:rsidRPr="00C0591E">
        <w:rPr>
          <w:rFonts w:cs="Times New Roman"/>
          <w:spacing w:val="-1"/>
        </w:rPr>
        <w:t>e</w:t>
      </w:r>
      <w:r w:rsidRPr="00C0591E">
        <w:rPr>
          <w:rFonts w:cs="Times New Roman"/>
        </w:rPr>
        <w:t xml:space="preserve">rms of number of </w:t>
      </w:r>
      <w:r w:rsidRPr="00C0591E">
        <w:rPr>
          <w:rFonts w:cs="Times New Roman"/>
          <w:spacing w:val="-2"/>
        </w:rPr>
        <w:t>e</w:t>
      </w:r>
      <w:r w:rsidRPr="00C0591E">
        <w:rPr>
          <w:rFonts w:cs="Times New Roman"/>
        </w:rPr>
        <w:t>mp</w:t>
      </w:r>
      <w:r w:rsidRPr="00C0591E">
        <w:rPr>
          <w:rFonts w:cs="Times New Roman"/>
          <w:spacing w:val="1"/>
        </w:rPr>
        <w:t>l</w:t>
      </w:r>
      <w:r w:rsidRPr="00C0591E">
        <w:rPr>
          <w:rFonts w:cs="Times New Roman"/>
          <w:spacing w:val="5"/>
        </w:rPr>
        <w:t>o</w:t>
      </w:r>
      <w:r w:rsidRPr="00C0591E">
        <w:rPr>
          <w:rFonts w:cs="Times New Roman"/>
          <w:spacing w:val="-5"/>
        </w:rPr>
        <w:t>y</w:t>
      </w:r>
      <w:r w:rsidRPr="00C0591E">
        <w:rPr>
          <w:rFonts w:cs="Times New Roman"/>
          <w:spacing w:val="1"/>
        </w:rPr>
        <w:t>e</w:t>
      </w:r>
      <w:r w:rsidRPr="00C0591E">
        <w:rPr>
          <w:rFonts w:cs="Times New Roman"/>
          <w:spacing w:val="-1"/>
        </w:rPr>
        <w:t>e</w:t>
      </w:r>
      <w:r w:rsidRPr="00C0591E">
        <w:rPr>
          <w:rFonts w:cs="Times New Roman"/>
        </w:rPr>
        <w:t>s?</w:t>
      </w:r>
    </w:p>
    <w:p w14:paraId="14F04200" w14:textId="77777777" w:rsidR="00267BE6" w:rsidRPr="00C0591E" w:rsidRDefault="00267BE6" w:rsidP="00267BE6">
      <w:pPr>
        <w:ind w:left="720"/>
        <w:rPr>
          <w:rFonts w:cs="Times New Roman"/>
        </w:rPr>
      </w:pPr>
      <w:r w:rsidRPr="00C0591E">
        <w:rPr>
          <w:rFonts w:cs="Times New Roman"/>
        </w:rPr>
        <w:t xml:space="preserve">1 -50 </w:t>
      </w:r>
      <w:r w:rsidRPr="00C0591E">
        <w:rPr>
          <w:rFonts w:cs="Times New Roman"/>
          <w:spacing w:val="-1"/>
        </w:rPr>
        <w:t>e</w:t>
      </w:r>
      <w:r w:rsidRPr="00C0591E">
        <w:rPr>
          <w:rFonts w:cs="Times New Roman"/>
        </w:rPr>
        <w:t>mp</w:t>
      </w:r>
      <w:r w:rsidRPr="00C0591E">
        <w:rPr>
          <w:rFonts w:cs="Times New Roman"/>
          <w:spacing w:val="1"/>
        </w:rPr>
        <w:t>l</w:t>
      </w:r>
      <w:r w:rsidRPr="00C0591E">
        <w:rPr>
          <w:rFonts w:cs="Times New Roman"/>
          <w:spacing w:val="2"/>
        </w:rPr>
        <w:t>o</w:t>
      </w:r>
      <w:r w:rsidRPr="00C0591E">
        <w:rPr>
          <w:rFonts w:cs="Times New Roman"/>
          <w:spacing w:val="-5"/>
        </w:rPr>
        <w:t>y</w:t>
      </w:r>
      <w:r w:rsidRPr="00C0591E">
        <w:rPr>
          <w:rFonts w:cs="Times New Roman"/>
          <w:spacing w:val="1"/>
        </w:rPr>
        <w:t>e</w:t>
      </w:r>
      <w:r w:rsidRPr="00C0591E">
        <w:rPr>
          <w:rFonts w:cs="Times New Roman"/>
          <w:spacing w:val="-1"/>
        </w:rPr>
        <w:t>e</w:t>
      </w:r>
      <w:r w:rsidRPr="00C0591E">
        <w:rPr>
          <w:rFonts w:cs="Times New Roman"/>
        </w:rPr>
        <w:t xml:space="preserve">s ( ) 51-100 </w:t>
      </w:r>
      <w:r w:rsidRPr="00C0591E">
        <w:rPr>
          <w:rFonts w:cs="Times New Roman"/>
          <w:spacing w:val="1"/>
        </w:rPr>
        <w:t>e</w:t>
      </w:r>
      <w:r w:rsidRPr="00C0591E">
        <w:rPr>
          <w:rFonts w:cs="Times New Roman"/>
        </w:rPr>
        <w:t>mp</w:t>
      </w:r>
      <w:r w:rsidRPr="00C0591E">
        <w:rPr>
          <w:rFonts w:cs="Times New Roman"/>
          <w:spacing w:val="1"/>
        </w:rPr>
        <w:t>l</w:t>
      </w:r>
      <w:r w:rsidRPr="00C0591E">
        <w:rPr>
          <w:rFonts w:cs="Times New Roman"/>
          <w:spacing w:val="2"/>
        </w:rPr>
        <w:t>o</w:t>
      </w:r>
      <w:r w:rsidRPr="00C0591E">
        <w:rPr>
          <w:rFonts w:cs="Times New Roman"/>
          <w:spacing w:val="-5"/>
        </w:rPr>
        <w:t>y</w:t>
      </w:r>
      <w:r w:rsidRPr="00C0591E">
        <w:rPr>
          <w:rFonts w:cs="Times New Roman"/>
          <w:spacing w:val="-1"/>
        </w:rPr>
        <w:t>ee</w:t>
      </w:r>
      <w:r w:rsidRPr="00C0591E">
        <w:rPr>
          <w:rFonts w:cs="Times New Roman"/>
        </w:rPr>
        <w:t>s ( ) 101</w:t>
      </w:r>
      <w:r w:rsidRPr="00C0591E">
        <w:rPr>
          <w:rFonts w:cs="Times New Roman"/>
          <w:spacing w:val="-1"/>
        </w:rPr>
        <w:t>-</w:t>
      </w:r>
      <w:r w:rsidRPr="00C0591E">
        <w:rPr>
          <w:rFonts w:cs="Times New Roman"/>
        </w:rPr>
        <w:t>200 employees ( ) Above 200 ( )</w:t>
      </w:r>
    </w:p>
    <w:p w14:paraId="6020AF0C" w14:textId="21667018" w:rsidR="00267BE6" w:rsidRPr="00C0591E" w:rsidRDefault="00267BE6" w:rsidP="00267BE6">
      <w:pPr>
        <w:rPr>
          <w:rFonts w:cs="Times New Roman"/>
          <w:b/>
        </w:rPr>
      </w:pPr>
      <w:r w:rsidRPr="00C0591E">
        <w:rPr>
          <w:rFonts w:cs="Times New Roman"/>
          <w:b/>
        </w:rPr>
        <w:br w:type="page"/>
        <w:t xml:space="preserve">SECTION B: </w:t>
      </w:r>
      <w:r w:rsidR="00173C67">
        <w:rPr>
          <w:rFonts w:eastAsia="Times New Roman" w:cs="Times New Roman"/>
          <w:b/>
          <w:color w:val="222222"/>
          <w:szCs w:val="19"/>
        </w:rPr>
        <w:t>PILLARS OF CORPORATE GOVERNANCE</w:t>
      </w:r>
      <w:r w:rsidRPr="00C0591E">
        <w:rPr>
          <w:rFonts w:eastAsia="Times New Roman" w:cs="Times New Roman"/>
          <w:b/>
          <w:color w:val="222222"/>
          <w:szCs w:val="19"/>
        </w:rPr>
        <w:t xml:space="preserve"> IN PENSION FUND MANAGERS </w:t>
      </w:r>
    </w:p>
    <w:p w14:paraId="15AC6291" w14:textId="62AB6C60" w:rsidR="00F06914" w:rsidRPr="00C0591E" w:rsidRDefault="00621F0C" w:rsidP="00F06914">
      <w:pPr>
        <w:spacing w:after="0"/>
        <w:rPr>
          <w:rFonts w:cs="Times New Roman"/>
          <w:bCs/>
          <w:color w:val="000000"/>
        </w:rPr>
      </w:pPr>
      <w:r w:rsidRPr="00C0591E">
        <w:t xml:space="preserve">6. </w:t>
      </w:r>
      <w:r w:rsidR="00F06914" w:rsidRPr="00C0591E">
        <w:rPr>
          <w:rFonts w:cs="Times New Roman"/>
        </w:rPr>
        <w:t>Using a s</w:t>
      </w:r>
      <w:r w:rsidR="00F06914" w:rsidRPr="00C0591E">
        <w:rPr>
          <w:rFonts w:cs="Times New Roman"/>
          <w:spacing w:val="-1"/>
        </w:rPr>
        <w:t>ca</w:t>
      </w:r>
      <w:r w:rsidR="00F06914" w:rsidRPr="00C0591E">
        <w:rPr>
          <w:rFonts w:cs="Times New Roman"/>
        </w:rPr>
        <w:t>le of 1 to 5 t</w:t>
      </w:r>
      <w:r w:rsidR="00F06914" w:rsidRPr="00C0591E">
        <w:rPr>
          <w:rFonts w:cs="Times New Roman"/>
          <w:spacing w:val="-1"/>
        </w:rPr>
        <w:t>ic</w:t>
      </w:r>
      <w:r w:rsidR="00F06914" w:rsidRPr="00C0591E">
        <w:rPr>
          <w:rFonts w:cs="Times New Roman"/>
        </w:rPr>
        <w:t xml:space="preserve">k the </w:t>
      </w:r>
      <w:r w:rsidR="00F06914" w:rsidRPr="00C0591E">
        <w:rPr>
          <w:rFonts w:cs="Times New Roman"/>
          <w:spacing w:val="-1"/>
        </w:rPr>
        <w:t>a</w:t>
      </w:r>
      <w:r w:rsidR="00F06914" w:rsidRPr="00C0591E">
        <w:rPr>
          <w:rFonts w:cs="Times New Roman"/>
        </w:rPr>
        <w:t>ppro</w:t>
      </w:r>
      <w:r w:rsidR="00F06914" w:rsidRPr="00C0591E">
        <w:rPr>
          <w:rFonts w:cs="Times New Roman"/>
          <w:spacing w:val="-1"/>
        </w:rPr>
        <w:t>p</w:t>
      </w:r>
      <w:r w:rsidR="00F06914" w:rsidRPr="00C0591E">
        <w:rPr>
          <w:rFonts w:cs="Times New Roman"/>
        </w:rPr>
        <w:t>ri</w:t>
      </w:r>
      <w:r w:rsidR="00F06914" w:rsidRPr="00C0591E">
        <w:rPr>
          <w:rFonts w:cs="Times New Roman"/>
          <w:spacing w:val="-1"/>
        </w:rPr>
        <w:t>a</w:t>
      </w:r>
      <w:r w:rsidR="00F06914" w:rsidRPr="00C0591E">
        <w:rPr>
          <w:rFonts w:cs="Times New Roman"/>
        </w:rPr>
        <w:t xml:space="preserve">te </w:t>
      </w:r>
      <w:r w:rsidR="00F06914" w:rsidRPr="00C0591E">
        <w:rPr>
          <w:rFonts w:cs="Times New Roman"/>
          <w:spacing w:val="-1"/>
        </w:rPr>
        <w:t>a</w:t>
      </w:r>
      <w:r w:rsidR="00F06914" w:rsidRPr="00C0591E">
        <w:rPr>
          <w:rFonts w:cs="Times New Roman"/>
        </w:rPr>
        <w:t>ns</w:t>
      </w:r>
      <w:r w:rsidR="00F06914" w:rsidRPr="00C0591E">
        <w:rPr>
          <w:rFonts w:cs="Times New Roman"/>
          <w:spacing w:val="2"/>
        </w:rPr>
        <w:t>w</w:t>
      </w:r>
      <w:r w:rsidR="00F06914" w:rsidRPr="00C0591E">
        <w:rPr>
          <w:rFonts w:cs="Times New Roman"/>
          <w:spacing w:val="1"/>
        </w:rPr>
        <w:t>e</w:t>
      </w:r>
      <w:r w:rsidR="00F06914" w:rsidRPr="00C0591E">
        <w:rPr>
          <w:rFonts w:cs="Times New Roman"/>
        </w:rPr>
        <w:t>r f</w:t>
      </w:r>
      <w:r w:rsidR="00F06914" w:rsidRPr="00C0591E">
        <w:rPr>
          <w:rFonts w:cs="Times New Roman"/>
          <w:spacing w:val="-1"/>
        </w:rPr>
        <w:t>r</w:t>
      </w:r>
      <w:r w:rsidR="00F06914" w:rsidRPr="00C0591E">
        <w:rPr>
          <w:rFonts w:cs="Times New Roman"/>
        </w:rPr>
        <w:t xml:space="preserve">om the </w:t>
      </w:r>
      <w:r w:rsidR="00F06914" w:rsidRPr="00C0591E">
        <w:rPr>
          <w:rFonts w:cs="Times New Roman"/>
          <w:spacing w:val="-1"/>
        </w:rPr>
        <w:t>a</w:t>
      </w:r>
      <w:r w:rsidR="00F06914" w:rsidRPr="00C0591E">
        <w:rPr>
          <w:rFonts w:cs="Times New Roman"/>
        </w:rPr>
        <w:t>l</w:t>
      </w:r>
      <w:r w:rsidR="00F06914" w:rsidRPr="00C0591E">
        <w:rPr>
          <w:rFonts w:cs="Times New Roman"/>
          <w:spacing w:val="1"/>
        </w:rPr>
        <w:t>t</w:t>
      </w:r>
      <w:r w:rsidR="00F06914" w:rsidRPr="00C0591E">
        <w:rPr>
          <w:rFonts w:cs="Times New Roman"/>
          <w:spacing w:val="-1"/>
        </w:rPr>
        <w:t>e</w:t>
      </w:r>
      <w:r w:rsidR="00F06914" w:rsidRPr="00C0591E">
        <w:rPr>
          <w:rFonts w:cs="Times New Roman"/>
        </w:rPr>
        <w:t>rn</w:t>
      </w:r>
      <w:r w:rsidR="00F06914" w:rsidRPr="00C0591E">
        <w:rPr>
          <w:rFonts w:cs="Times New Roman"/>
          <w:spacing w:val="-2"/>
        </w:rPr>
        <w:t>a</w:t>
      </w:r>
      <w:r w:rsidR="00F06914" w:rsidRPr="00C0591E">
        <w:rPr>
          <w:rFonts w:cs="Times New Roman"/>
        </w:rPr>
        <w:t>t</w:t>
      </w:r>
      <w:r w:rsidR="00F06914" w:rsidRPr="00C0591E">
        <w:rPr>
          <w:rFonts w:cs="Times New Roman"/>
          <w:spacing w:val="1"/>
        </w:rPr>
        <w:t>i</w:t>
      </w:r>
      <w:r w:rsidR="00F06914" w:rsidRPr="00C0591E">
        <w:rPr>
          <w:rFonts w:cs="Times New Roman"/>
        </w:rPr>
        <w:t>v</w:t>
      </w:r>
      <w:r w:rsidR="00F06914" w:rsidRPr="00C0591E">
        <w:rPr>
          <w:rFonts w:cs="Times New Roman"/>
          <w:spacing w:val="-1"/>
        </w:rPr>
        <w:t>e</w:t>
      </w:r>
      <w:r w:rsidR="00F06914" w:rsidRPr="00C0591E">
        <w:rPr>
          <w:rFonts w:cs="Times New Roman"/>
        </w:rPr>
        <w:t>s p</w:t>
      </w:r>
      <w:r w:rsidR="00F06914" w:rsidRPr="00C0591E">
        <w:rPr>
          <w:rFonts w:cs="Times New Roman"/>
          <w:spacing w:val="-1"/>
        </w:rPr>
        <w:t>r</w:t>
      </w:r>
      <w:r w:rsidR="00F06914" w:rsidRPr="00C0591E">
        <w:rPr>
          <w:rFonts w:cs="Times New Roman"/>
        </w:rPr>
        <w:t xml:space="preserve">ovided for </w:t>
      </w:r>
      <w:r w:rsidR="00F06914" w:rsidRPr="00C0591E">
        <w:rPr>
          <w:rFonts w:cs="Times New Roman"/>
          <w:spacing w:val="-1"/>
        </w:rPr>
        <w:t>eac</w:t>
      </w:r>
      <w:r w:rsidR="00F06914" w:rsidRPr="00C0591E">
        <w:rPr>
          <w:rFonts w:cs="Times New Roman"/>
        </w:rPr>
        <w:t>h of the qu</w:t>
      </w:r>
      <w:r w:rsidR="00F06914" w:rsidRPr="00C0591E">
        <w:rPr>
          <w:rFonts w:cs="Times New Roman"/>
          <w:spacing w:val="-1"/>
        </w:rPr>
        <w:t>e</w:t>
      </w:r>
      <w:r w:rsidR="00F06914" w:rsidRPr="00C0591E">
        <w:rPr>
          <w:rFonts w:cs="Times New Roman"/>
        </w:rPr>
        <w:t>st</w:t>
      </w:r>
      <w:r w:rsidR="00F06914" w:rsidRPr="00C0591E">
        <w:rPr>
          <w:rFonts w:cs="Times New Roman"/>
          <w:spacing w:val="1"/>
        </w:rPr>
        <w:t>i</w:t>
      </w:r>
      <w:r w:rsidR="00F06914" w:rsidRPr="00C0591E">
        <w:rPr>
          <w:rFonts w:cs="Times New Roman"/>
        </w:rPr>
        <w:t>ons</w:t>
      </w:r>
      <w:r w:rsidR="00F06914" w:rsidRPr="00C0591E">
        <w:rPr>
          <w:rFonts w:cs="Times New Roman"/>
          <w:bCs/>
          <w:color w:val="000000"/>
        </w:rPr>
        <w:t xml:space="preserve"> </w:t>
      </w:r>
    </w:p>
    <w:p w14:paraId="4B5C835E" w14:textId="77777777" w:rsidR="00267BE6" w:rsidRPr="00C0591E" w:rsidRDefault="00267BE6" w:rsidP="00267BE6">
      <w:pPr>
        <w:widowControl w:val="0"/>
        <w:autoSpaceDE w:val="0"/>
        <w:autoSpaceDN w:val="0"/>
        <w:adjustRightInd w:val="0"/>
        <w:spacing w:after="0"/>
        <w:ind w:left="100"/>
        <w:rPr>
          <w:sz w:val="14"/>
          <w:szCs w:val="14"/>
        </w:rPr>
      </w:pPr>
      <w:r w:rsidRPr="00C0591E">
        <w:rPr>
          <w:b/>
          <w:bCs/>
          <w:color w:val="000000"/>
          <w:szCs w:val="24"/>
        </w:rPr>
        <w:t>(1=Strongly Agree, 2=Agree, 3=Neutral, 4 =Disagree, 5=Strongly Disagree)</w:t>
      </w:r>
    </w:p>
    <w:tbl>
      <w:tblPr>
        <w:tblW w:w="5000" w:type="pct"/>
        <w:tblLook w:val="04A0" w:firstRow="1" w:lastRow="0" w:firstColumn="1" w:lastColumn="0" w:noHBand="0" w:noVBand="1"/>
      </w:tblPr>
      <w:tblGrid>
        <w:gridCol w:w="456"/>
        <w:gridCol w:w="5120"/>
        <w:gridCol w:w="688"/>
        <w:gridCol w:w="688"/>
        <w:gridCol w:w="688"/>
        <w:gridCol w:w="688"/>
        <w:gridCol w:w="688"/>
      </w:tblGrid>
      <w:tr w:rsidR="003E0C42" w:rsidRPr="00C0591E" w14:paraId="004FD31F" w14:textId="77777777" w:rsidTr="00A376E1">
        <w:trPr>
          <w:cantSplit/>
          <w:trHeight w:val="288"/>
        </w:trPr>
        <w:tc>
          <w:tcPr>
            <w:tcW w:w="238"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121CA97D" w14:textId="77777777" w:rsidR="003E0C42" w:rsidRPr="00C0591E" w:rsidRDefault="003E0C42" w:rsidP="00A376E1">
            <w:pPr>
              <w:spacing w:after="0" w:line="240" w:lineRule="auto"/>
              <w:rPr>
                <w:rFonts w:eastAsia="Times New Roman"/>
              </w:rPr>
            </w:pPr>
            <w:r w:rsidRPr="00C0591E">
              <w:rPr>
                <w:rFonts w:eastAsia="Times New Roman"/>
              </w:rPr>
              <w:t> </w:t>
            </w:r>
          </w:p>
        </w:tc>
        <w:tc>
          <w:tcPr>
            <w:tcW w:w="2842" w:type="pct"/>
            <w:tcBorders>
              <w:top w:val="single" w:sz="4" w:space="0" w:color="auto"/>
              <w:left w:val="nil"/>
              <w:bottom w:val="single" w:sz="4" w:space="0" w:color="auto"/>
              <w:right w:val="single" w:sz="4" w:space="0" w:color="auto"/>
            </w:tcBorders>
            <w:shd w:val="clear" w:color="auto" w:fill="auto"/>
            <w:vAlign w:val="bottom"/>
            <w:hideMark/>
          </w:tcPr>
          <w:p w14:paraId="709EE81D" w14:textId="77777777" w:rsidR="003E0C42" w:rsidRPr="00C0591E" w:rsidRDefault="003E0C42" w:rsidP="00A376E1">
            <w:pPr>
              <w:spacing w:after="0" w:line="240" w:lineRule="auto"/>
              <w:rPr>
                <w:rFonts w:eastAsia="Times New Roman"/>
                <w:b/>
              </w:rPr>
            </w:pPr>
            <w:r w:rsidRPr="00C0591E">
              <w:rPr>
                <w:rFonts w:eastAsia="Times New Roman"/>
                <w:b/>
              </w:rPr>
              <w:t>Statement</w:t>
            </w:r>
          </w:p>
        </w:tc>
        <w:tc>
          <w:tcPr>
            <w:tcW w:w="384" w:type="pct"/>
            <w:tcBorders>
              <w:top w:val="single" w:sz="4" w:space="0" w:color="auto"/>
              <w:left w:val="nil"/>
              <w:bottom w:val="single" w:sz="4" w:space="0" w:color="auto"/>
              <w:right w:val="single" w:sz="4" w:space="0" w:color="auto"/>
            </w:tcBorders>
            <w:shd w:val="clear" w:color="auto" w:fill="auto"/>
            <w:vAlign w:val="bottom"/>
            <w:hideMark/>
          </w:tcPr>
          <w:p w14:paraId="1B3B9A39" w14:textId="77777777" w:rsidR="003E0C42" w:rsidRPr="00C0591E" w:rsidRDefault="003E0C42" w:rsidP="00A376E1">
            <w:pPr>
              <w:spacing w:after="0" w:line="240" w:lineRule="auto"/>
              <w:rPr>
                <w:rFonts w:eastAsia="Times New Roman"/>
                <w:b/>
              </w:rPr>
            </w:pPr>
            <w:r w:rsidRPr="00C0591E">
              <w:rPr>
                <w:rFonts w:eastAsia="Times New Roman"/>
                <w:b/>
              </w:rPr>
              <w:t>1</w:t>
            </w:r>
          </w:p>
        </w:tc>
        <w:tc>
          <w:tcPr>
            <w:tcW w:w="384" w:type="pct"/>
            <w:tcBorders>
              <w:top w:val="single" w:sz="4" w:space="0" w:color="auto"/>
              <w:left w:val="nil"/>
              <w:bottom w:val="single" w:sz="4" w:space="0" w:color="auto"/>
              <w:right w:val="single" w:sz="4" w:space="0" w:color="auto"/>
            </w:tcBorders>
            <w:shd w:val="clear" w:color="auto" w:fill="auto"/>
            <w:vAlign w:val="bottom"/>
            <w:hideMark/>
          </w:tcPr>
          <w:p w14:paraId="58982F95" w14:textId="77777777" w:rsidR="003E0C42" w:rsidRPr="00C0591E" w:rsidRDefault="003E0C42" w:rsidP="00A376E1">
            <w:pPr>
              <w:spacing w:after="0" w:line="240" w:lineRule="auto"/>
              <w:rPr>
                <w:rFonts w:eastAsia="Times New Roman"/>
                <w:b/>
              </w:rPr>
            </w:pPr>
            <w:r w:rsidRPr="00C0591E">
              <w:rPr>
                <w:rFonts w:eastAsia="Times New Roman"/>
                <w:b/>
              </w:rPr>
              <w:t>2</w:t>
            </w:r>
          </w:p>
        </w:tc>
        <w:tc>
          <w:tcPr>
            <w:tcW w:w="384" w:type="pct"/>
            <w:tcBorders>
              <w:top w:val="single" w:sz="4" w:space="0" w:color="auto"/>
              <w:left w:val="nil"/>
              <w:bottom w:val="single" w:sz="4" w:space="0" w:color="auto"/>
              <w:right w:val="single" w:sz="4" w:space="0" w:color="auto"/>
            </w:tcBorders>
            <w:shd w:val="clear" w:color="auto" w:fill="auto"/>
            <w:vAlign w:val="bottom"/>
            <w:hideMark/>
          </w:tcPr>
          <w:p w14:paraId="61664DC7" w14:textId="77777777" w:rsidR="003E0C42" w:rsidRPr="00C0591E" w:rsidRDefault="003E0C42" w:rsidP="00A376E1">
            <w:pPr>
              <w:spacing w:after="0" w:line="240" w:lineRule="auto"/>
              <w:rPr>
                <w:rFonts w:eastAsia="Times New Roman"/>
                <w:b/>
              </w:rPr>
            </w:pPr>
            <w:r w:rsidRPr="00C0591E">
              <w:rPr>
                <w:rFonts w:eastAsia="Times New Roman"/>
                <w:b/>
              </w:rPr>
              <w:t>3</w:t>
            </w:r>
          </w:p>
        </w:tc>
        <w:tc>
          <w:tcPr>
            <w:tcW w:w="384" w:type="pct"/>
            <w:tcBorders>
              <w:top w:val="single" w:sz="4" w:space="0" w:color="auto"/>
              <w:left w:val="nil"/>
              <w:bottom w:val="single" w:sz="4" w:space="0" w:color="auto"/>
              <w:right w:val="single" w:sz="4" w:space="0" w:color="auto"/>
            </w:tcBorders>
            <w:shd w:val="clear" w:color="auto" w:fill="auto"/>
            <w:vAlign w:val="bottom"/>
            <w:hideMark/>
          </w:tcPr>
          <w:p w14:paraId="2CC2C5A7" w14:textId="77777777" w:rsidR="003E0C42" w:rsidRPr="00C0591E" w:rsidRDefault="003E0C42" w:rsidP="00A376E1">
            <w:pPr>
              <w:spacing w:after="0" w:line="240" w:lineRule="auto"/>
              <w:rPr>
                <w:rFonts w:eastAsia="Times New Roman"/>
                <w:b/>
              </w:rPr>
            </w:pPr>
            <w:r w:rsidRPr="00C0591E">
              <w:rPr>
                <w:rFonts w:eastAsia="Times New Roman"/>
                <w:b/>
              </w:rPr>
              <w:t>4</w:t>
            </w:r>
          </w:p>
        </w:tc>
        <w:tc>
          <w:tcPr>
            <w:tcW w:w="384" w:type="pct"/>
            <w:tcBorders>
              <w:top w:val="single" w:sz="4" w:space="0" w:color="auto"/>
              <w:left w:val="nil"/>
              <w:bottom w:val="single" w:sz="4" w:space="0" w:color="auto"/>
              <w:right w:val="single" w:sz="4" w:space="0" w:color="auto"/>
            </w:tcBorders>
            <w:shd w:val="clear" w:color="auto" w:fill="auto"/>
            <w:vAlign w:val="bottom"/>
            <w:hideMark/>
          </w:tcPr>
          <w:p w14:paraId="472562E5" w14:textId="77777777" w:rsidR="003E0C42" w:rsidRPr="00C0591E" w:rsidRDefault="003E0C42" w:rsidP="00A376E1">
            <w:pPr>
              <w:spacing w:after="0" w:line="240" w:lineRule="auto"/>
              <w:rPr>
                <w:rFonts w:eastAsia="Times New Roman"/>
                <w:b/>
              </w:rPr>
            </w:pPr>
            <w:r w:rsidRPr="00C0591E">
              <w:rPr>
                <w:rFonts w:eastAsia="Times New Roman"/>
                <w:b/>
              </w:rPr>
              <w:t>5</w:t>
            </w:r>
          </w:p>
        </w:tc>
      </w:tr>
      <w:tr w:rsidR="003E0C42" w:rsidRPr="00C0591E" w14:paraId="06BBC358" w14:textId="77777777" w:rsidTr="00A376E1">
        <w:trPr>
          <w:cantSplit/>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1162FD45" w14:textId="77777777" w:rsidR="003E0C42" w:rsidRPr="00C0591E" w:rsidRDefault="003E0C42" w:rsidP="00A376E1">
            <w:pPr>
              <w:spacing w:after="0" w:line="240" w:lineRule="auto"/>
              <w:rPr>
                <w:rFonts w:eastAsia="Times New Roman"/>
              </w:rPr>
            </w:pPr>
            <w:r w:rsidRPr="00C0591E">
              <w:rPr>
                <w:rFonts w:eastAsia="Times New Roman"/>
              </w:rPr>
              <w:t> </w:t>
            </w:r>
          </w:p>
        </w:tc>
        <w:tc>
          <w:tcPr>
            <w:tcW w:w="2842" w:type="pct"/>
            <w:tcBorders>
              <w:top w:val="nil"/>
              <w:left w:val="nil"/>
              <w:bottom w:val="single" w:sz="4" w:space="0" w:color="auto"/>
              <w:right w:val="single" w:sz="4" w:space="0" w:color="auto"/>
            </w:tcBorders>
            <w:shd w:val="clear" w:color="auto" w:fill="auto"/>
            <w:vAlign w:val="bottom"/>
            <w:hideMark/>
          </w:tcPr>
          <w:p w14:paraId="1D9AEB9B" w14:textId="77777777" w:rsidR="003E0C42" w:rsidRPr="00C0591E" w:rsidRDefault="003E0C42" w:rsidP="00A376E1">
            <w:pPr>
              <w:spacing w:after="0" w:line="240" w:lineRule="auto"/>
              <w:rPr>
                <w:rFonts w:eastAsia="Times New Roman"/>
                <w:b/>
              </w:rPr>
            </w:pPr>
            <w:r w:rsidRPr="00C0591E">
              <w:rPr>
                <w:rFonts w:eastAsia="Times New Roman"/>
                <w:b/>
              </w:rPr>
              <w:t xml:space="preserve">Transparency </w:t>
            </w:r>
          </w:p>
        </w:tc>
        <w:tc>
          <w:tcPr>
            <w:tcW w:w="384" w:type="pct"/>
            <w:tcBorders>
              <w:top w:val="nil"/>
              <w:left w:val="nil"/>
              <w:bottom w:val="single" w:sz="4" w:space="0" w:color="auto"/>
              <w:right w:val="single" w:sz="4" w:space="0" w:color="auto"/>
            </w:tcBorders>
            <w:shd w:val="clear" w:color="auto" w:fill="auto"/>
            <w:vAlign w:val="bottom"/>
            <w:hideMark/>
          </w:tcPr>
          <w:p w14:paraId="5B4D493E"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EFFBAD2"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73AEE852"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1813906C"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419831D0"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218F91D7"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6C41C515" w14:textId="77777777" w:rsidR="003E0C42" w:rsidRPr="00C0591E" w:rsidRDefault="003E0C42" w:rsidP="00A376E1">
            <w:pPr>
              <w:spacing w:after="0" w:line="240" w:lineRule="auto"/>
              <w:rPr>
                <w:rFonts w:eastAsia="Times New Roman"/>
              </w:rPr>
            </w:pPr>
            <w:r w:rsidRPr="00C0591E">
              <w:rPr>
                <w:rFonts w:eastAsia="Times New Roman"/>
              </w:rPr>
              <w:t>1</w:t>
            </w:r>
          </w:p>
        </w:tc>
        <w:tc>
          <w:tcPr>
            <w:tcW w:w="2842" w:type="pct"/>
            <w:tcBorders>
              <w:top w:val="nil"/>
              <w:left w:val="nil"/>
              <w:bottom w:val="single" w:sz="4" w:space="0" w:color="auto"/>
              <w:right w:val="single" w:sz="4" w:space="0" w:color="auto"/>
            </w:tcBorders>
            <w:shd w:val="clear" w:color="auto" w:fill="auto"/>
            <w:vAlign w:val="bottom"/>
            <w:hideMark/>
          </w:tcPr>
          <w:p w14:paraId="3232A6B9" w14:textId="77777777" w:rsidR="003E0C42" w:rsidRPr="00C0591E" w:rsidRDefault="003E0C42" w:rsidP="00A376E1">
            <w:pPr>
              <w:spacing w:after="0" w:line="240" w:lineRule="auto"/>
              <w:rPr>
                <w:rFonts w:eastAsia="Times New Roman"/>
              </w:rPr>
            </w:pPr>
            <w:r w:rsidRPr="00C0591E">
              <w:rPr>
                <w:rFonts w:eastAsia="Times New Roman"/>
              </w:rPr>
              <w:t>The board discloses the corporation’s independent auditors</w:t>
            </w:r>
          </w:p>
        </w:tc>
        <w:tc>
          <w:tcPr>
            <w:tcW w:w="384" w:type="pct"/>
            <w:tcBorders>
              <w:top w:val="nil"/>
              <w:left w:val="nil"/>
              <w:bottom w:val="single" w:sz="4" w:space="0" w:color="auto"/>
              <w:right w:val="single" w:sz="4" w:space="0" w:color="auto"/>
            </w:tcBorders>
            <w:shd w:val="clear" w:color="auto" w:fill="auto"/>
            <w:vAlign w:val="bottom"/>
            <w:hideMark/>
          </w:tcPr>
          <w:p w14:paraId="5C32D6DB"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5696C9F"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878DA2A"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F566542"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0777350"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30C0DF25"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1BDAAD6A" w14:textId="77777777" w:rsidR="003E0C42" w:rsidRPr="00C0591E" w:rsidRDefault="003E0C42" w:rsidP="00A376E1">
            <w:pPr>
              <w:spacing w:after="0" w:line="240" w:lineRule="auto"/>
              <w:rPr>
                <w:rFonts w:eastAsia="Times New Roman"/>
              </w:rPr>
            </w:pPr>
            <w:r w:rsidRPr="00C0591E">
              <w:rPr>
                <w:rFonts w:eastAsia="Times New Roman"/>
              </w:rPr>
              <w:t>2</w:t>
            </w:r>
          </w:p>
        </w:tc>
        <w:tc>
          <w:tcPr>
            <w:tcW w:w="2842" w:type="pct"/>
            <w:tcBorders>
              <w:top w:val="nil"/>
              <w:left w:val="nil"/>
              <w:bottom w:val="single" w:sz="4" w:space="0" w:color="auto"/>
              <w:right w:val="single" w:sz="4" w:space="0" w:color="auto"/>
            </w:tcBorders>
            <w:shd w:val="clear" w:color="auto" w:fill="auto"/>
            <w:vAlign w:val="bottom"/>
            <w:hideMark/>
          </w:tcPr>
          <w:p w14:paraId="2F3B79D9" w14:textId="77777777" w:rsidR="003E0C42" w:rsidRPr="00C0591E" w:rsidRDefault="003E0C42" w:rsidP="00A376E1">
            <w:pPr>
              <w:spacing w:after="0" w:line="240" w:lineRule="auto"/>
              <w:rPr>
                <w:rFonts w:eastAsia="Times New Roman"/>
              </w:rPr>
            </w:pPr>
            <w:r w:rsidRPr="00C0591E">
              <w:rPr>
                <w:rFonts w:eastAsia="Times New Roman"/>
              </w:rPr>
              <w:t>There is equal access to information for all stakeholders</w:t>
            </w:r>
          </w:p>
        </w:tc>
        <w:tc>
          <w:tcPr>
            <w:tcW w:w="384" w:type="pct"/>
            <w:tcBorders>
              <w:top w:val="nil"/>
              <w:left w:val="nil"/>
              <w:bottom w:val="single" w:sz="4" w:space="0" w:color="auto"/>
              <w:right w:val="single" w:sz="4" w:space="0" w:color="auto"/>
            </w:tcBorders>
            <w:shd w:val="clear" w:color="auto" w:fill="auto"/>
            <w:vAlign w:val="bottom"/>
            <w:hideMark/>
          </w:tcPr>
          <w:p w14:paraId="17BE5878"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7C54B6E0"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8F8B3EC"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81B4B03"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A19899C"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4C3537CC"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723D4E21" w14:textId="77777777" w:rsidR="003E0C42" w:rsidRPr="00C0591E" w:rsidRDefault="003E0C42" w:rsidP="00A376E1">
            <w:pPr>
              <w:spacing w:after="0" w:line="240" w:lineRule="auto"/>
              <w:rPr>
                <w:rFonts w:eastAsia="Times New Roman"/>
              </w:rPr>
            </w:pPr>
            <w:r w:rsidRPr="00C0591E">
              <w:rPr>
                <w:rFonts w:eastAsia="Times New Roman"/>
              </w:rPr>
              <w:t>3</w:t>
            </w:r>
          </w:p>
        </w:tc>
        <w:tc>
          <w:tcPr>
            <w:tcW w:w="2842" w:type="pct"/>
            <w:tcBorders>
              <w:top w:val="nil"/>
              <w:left w:val="nil"/>
              <w:bottom w:val="single" w:sz="4" w:space="0" w:color="auto"/>
              <w:right w:val="single" w:sz="4" w:space="0" w:color="auto"/>
            </w:tcBorders>
            <w:shd w:val="clear" w:color="auto" w:fill="auto"/>
            <w:vAlign w:val="bottom"/>
            <w:hideMark/>
          </w:tcPr>
          <w:p w14:paraId="34EB30F7" w14:textId="77777777" w:rsidR="003E0C42" w:rsidRPr="00C0591E" w:rsidRDefault="003E0C42" w:rsidP="00A376E1">
            <w:pPr>
              <w:spacing w:after="0" w:line="240" w:lineRule="auto"/>
              <w:rPr>
                <w:rFonts w:eastAsia="Times New Roman"/>
              </w:rPr>
            </w:pPr>
            <w:r w:rsidRPr="00C0591E">
              <w:rPr>
                <w:rFonts w:eastAsia="Times New Roman"/>
              </w:rPr>
              <w:t>The board discloses managerial ownership and compensation</w:t>
            </w:r>
          </w:p>
        </w:tc>
        <w:tc>
          <w:tcPr>
            <w:tcW w:w="384" w:type="pct"/>
            <w:tcBorders>
              <w:top w:val="nil"/>
              <w:left w:val="nil"/>
              <w:bottom w:val="single" w:sz="4" w:space="0" w:color="auto"/>
              <w:right w:val="single" w:sz="4" w:space="0" w:color="auto"/>
            </w:tcBorders>
            <w:shd w:val="clear" w:color="auto" w:fill="auto"/>
            <w:vAlign w:val="bottom"/>
            <w:hideMark/>
          </w:tcPr>
          <w:p w14:paraId="3DC239A4"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F2A0E1C"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6B6C3797"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19D7984"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14B98E5"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4F868685" w14:textId="77777777" w:rsidTr="00A376E1">
        <w:trPr>
          <w:trHeight w:val="576"/>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30AA6634" w14:textId="77777777" w:rsidR="003E0C42" w:rsidRPr="00C0591E" w:rsidRDefault="003E0C42" w:rsidP="00A376E1">
            <w:pPr>
              <w:spacing w:after="0" w:line="240" w:lineRule="auto"/>
              <w:rPr>
                <w:rFonts w:eastAsia="Times New Roman"/>
              </w:rPr>
            </w:pPr>
            <w:r w:rsidRPr="00C0591E">
              <w:rPr>
                <w:rFonts w:eastAsia="Times New Roman"/>
              </w:rPr>
              <w:t>4</w:t>
            </w:r>
          </w:p>
        </w:tc>
        <w:tc>
          <w:tcPr>
            <w:tcW w:w="2842" w:type="pct"/>
            <w:tcBorders>
              <w:top w:val="nil"/>
              <w:left w:val="nil"/>
              <w:bottom w:val="single" w:sz="4" w:space="0" w:color="auto"/>
              <w:right w:val="single" w:sz="4" w:space="0" w:color="auto"/>
            </w:tcBorders>
            <w:shd w:val="clear" w:color="auto" w:fill="auto"/>
            <w:vAlign w:val="bottom"/>
            <w:hideMark/>
          </w:tcPr>
          <w:p w14:paraId="141F96B6" w14:textId="77777777" w:rsidR="003E0C42" w:rsidRPr="00C0591E" w:rsidRDefault="003E0C42" w:rsidP="00A376E1">
            <w:pPr>
              <w:spacing w:after="0" w:line="240" w:lineRule="auto"/>
              <w:rPr>
                <w:rFonts w:eastAsia="Times New Roman"/>
              </w:rPr>
            </w:pPr>
            <w:r w:rsidRPr="00C0591E">
              <w:rPr>
                <w:rFonts w:eastAsia="Times New Roman"/>
              </w:rPr>
              <w:t>Board guidelines on Corporate Governance are published in the firm proxy statement</w:t>
            </w:r>
          </w:p>
        </w:tc>
        <w:tc>
          <w:tcPr>
            <w:tcW w:w="384" w:type="pct"/>
            <w:tcBorders>
              <w:top w:val="nil"/>
              <w:left w:val="nil"/>
              <w:bottom w:val="single" w:sz="4" w:space="0" w:color="auto"/>
              <w:right w:val="single" w:sz="4" w:space="0" w:color="auto"/>
            </w:tcBorders>
            <w:shd w:val="clear" w:color="auto" w:fill="auto"/>
            <w:vAlign w:val="bottom"/>
            <w:hideMark/>
          </w:tcPr>
          <w:p w14:paraId="1AE571FA"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6F523D96"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4111A56B"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D03D283"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76AFC0DB"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4B150DAD" w14:textId="77777777" w:rsidTr="00A376E1">
        <w:trPr>
          <w:trHeight w:val="576"/>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76E38AFC" w14:textId="77777777" w:rsidR="003E0C42" w:rsidRPr="00C0591E" w:rsidRDefault="003E0C42" w:rsidP="00A376E1">
            <w:pPr>
              <w:spacing w:after="0" w:line="240" w:lineRule="auto"/>
              <w:rPr>
                <w:rFonts w:eastAsia="Times New Roman"/>
              </w:rPr>
            </w:pPr>
            <w:r w:rsidRPr="00C0591E">
              <w:rPr>
                <w:rFonts w:eastAsia="Times New Roman"/>
              </w:rPr>
              <w:t>5</w:t>
            </w:r>
          </w:p>
        </w:tc>
        <w:tc>
          <w:tcPr>
            <w:tcW w:w="2842" w:type="pct"/>
            <w:tcBorders>
              <w:top w:val="nil"/>
              <w:left w:val="nil"/>
              <w:bottom w:val="single" w:sz="4" w:space="0" w:color="auto"/>
              <w:right w:val="single" w:sz="4" w:space="0" w:color="auto"/>
            </w:tcBorders>
            <w:shd w:val="clear" w:color="auto" w:fill="auto"/>
            <w:vAlign w:val="bottom"/>
            <w:hideMark/>
          </w:tcPr>
          <w:p w14:paraId="1257CA41" w14:textId="77777777" w:rsidR="003E0C42" w:rsidRPr="00C0591E" w:rsidRDefault="003E0C42" w:rsidP="00A376E1">
            <w:pPr>
              <w:spacing w:after="0" w:line="240" w:lineRule="auto"/>
              <w:rPr>
                <w:rFonts w:eastAsia="Times New Roman"/>
              </w:rPr>
            </w:pPr>
            <w:r w:rsidRPr="00C0591E">
              <w:rPr>
                <w:rFonts w:eastAsia="Times New Roman"/>
              </w:rPr>
              <w:t>Board guidelines on the code of ethics and conduct are published in the firm’s proxy statement</w:t>
            </w:r>
          </w:p>
        </w:tc>
        <w:tc>
          <w:tcPr>
            <w:tcW w:w="384" w:type="pct"/>
            <w:tcBorders>
              <w:top w:val="nil"/>
              <w:left w:val="nil"/>
              <w:bottom w:val="single" w:sz="4" w:space="0" w:color="auto"/>
              <w:right w:val="single" w:sz="4" w:space="0" w:color="auto"/>
            </w:tcBorders>
            <w:shd w:val="clear" w:color="auto" w:fill="auto"/>
            <w:vAlign w:val="bottom"/>
            <w:hideMark/>
          </w:tcPr>
          <w:p w14:paraId="4CF6D7E2"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4C4E2C0"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03BBDF0"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EF26008"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35ABD19"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0BB6EDA2" w14:textId="77777777" w:rsidTr="00A376E1">
        <w:trPr>
          <w:trHeight w:val="576"/>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01BA8E95" w14:textId="77777777" w:rsidR="003E0C42" w:rsidRPr="00C0591E" w:rsidRDefault="003E0C42" w:rsidP="00A376E1">
            <w:pPr>
              <w:spacing w:after="0" w:line="240" w:lineRule="auto"/>
              <w:rPr>
                <w:rFonts w:eastAsia="Times New Roman"/>
              </w:rPr>
            </w:pPr>
            <w:r w:rsidRPr="00C0591E">
              <w:rPr>
                <w:rFonts w:eastAsia="Times New Roman"/>
              </w:rPr>
              <w:t>6</w:t>
            </w:r>
          </w:p>
        </w:tc>
        <w:tc>
          <w:tcPr>
            <w:tcW w:w="2842" w:type="pct"/>
            <w:tcBorders>
              <w:top w:val="nil"/>
              <w:left w:val="nil"/>
              <w:bottom w:val="single" w:sz="4" w:space="0" w:color="auto"/>
              <w:right w:val="single" w:sz="4" w:space="0" w:color="auto"/>
            </w:tcBorders>
            <w:shd w:val="clear" w:color="auto" w:fill="auto"/>
            <w:vAlign w:val="bottom"/>
            <w:hideMark/>
          </w:tcPr>
          <w:p w14:paraId="6CFCA2EC" w14:textId="77777777" w:rsidR="003E0C42" w:rsidRPr="00C0591E" w:rsidRDefault="003E0C42" w:rsidP="00A376E1">
            <w:pPr>
              <w:spacing w:after="0" w:line="240" w:lineRule="auto"/>
              <w:rPr>
                <w:rFonts w:eastAsia="Times New Roman"/>
              </w:rPr>
            </w:pPr>
            <w:r w:rsidRPr="00C0591E">
              <w:rPr>
                <w:rFonts w:eastAsia="Times New Roman"/>
              </w:rPr>
              <w:t>The Fund manager prepares audited financial statements and makes them available to members</w:t>
            </w:r>
          </w:p>
        </w:tc>
        <w:tc>
          <w:tcPr>
            <w:tcW w:w="384" w:type="pct"/>
            <w:tcBorders>
              <w:top w:val="nil"/>
              <w:left w:val="nil"/>
              <w:bottom w:val="single" w:sz="4" w:space="0" w:color="auto"/>
              <w:right w:val="single" w:sz="4" w:space="0" w:color="auto"/>
            </w:tcBorders>
            <w:shd w:val="clear" w:color="auto" w:fill="auto"/>
            <w:vAlign w:val="bottom"/>
            <w:hideMark/>
          </w:tcPr>
          <w:p w14:paraId="33032BCD"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1BB42FD1"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6A9B1E52"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BE70EDF"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4A326E1B"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632C674D"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03C721F1" w14:textId="77777777" w:rsidR="003E0C42" w:rsidRPr="00C0591E" w:rsidRDefault="003E0C42" w:rsidP="00A376E1">
            <w:pPr>
              <w:spacing w:after="0" w:line="240" w:lineRule="auto"/>
              <w:rPr>
                <w:rFonts w:eastAsia="Times New Roman"/>
              </w:rPr>
            </w:pPr>
            <w:r w:rsidRPr="00C0591E">
              <w:rPr>
                <w:rFonts w:eastAsia="Times New Roman"/>
              </w:rPr>
              <w:t> </w:t>
            </w:r>
          </w:p>
        </w:tc>
        <w:tc>
          <w:tcPr>
            <w:tcW w:w="2842" w:type="pct"/>
            <w:tcBorders>
              <w:top w:val="nil"/>
              <w:left w:val="nil"/>
              <w:bottom w:val="single" w:sz="4" w:space="0" w:color="auto"/>
              <w:right w:val="single" w:sz="4" w:space="0" w:color="auto"/>
            </w:tcBorders>
            <w:shd w:val="clear" w:color="auto" w:fill="auto"/>
            <w:vAlign w:val="bottom"/>
            <w:hideMark/>
          </w:tcPr>
          <w:p w14:paraId="096DD5F9" w14:textId="085792A1" w:rsidR="003E0C42" w:rsidRPr="00C0591E" w:rsidRDefault="003E0C42" w:rsidP="00A376E1">
            <w:pPr>
              <w:spacing w:after="0" w:line="240" w:lineRule="auto"/>
              <w:rPr>
                <w:rFonts w:eastAsia="Times New Roman"/>
                <w:b/>
              </w:rPr>
            </w:pPr>
            <w:r w:rsidRPr="00C0591E">
              <w:rPr>
                <w:rFonts w:eastAsia="Times New Roman"/>
                <w:b/>
              </w:rPr>
              <w:t>Structure</w:t>
            </w:r>
          </w:p>
        </w:tc>
        <w:tc>
          <w:tcPr>
            <w:tcW w:w="384" w:type="pct"/>
            <w:tcBorders>
              <w:top w:val="nil"/>
              <w:left w:val="nil"/>
              <w:bottom w:val="single" w:sz="4" w:space="0" w:color="auto"/>
              <w:right w:val="single" w:sz="4" w:space="0" w:color="auto"/>
            </w:tcBorders>
            <w:shd w:val="clear" w:color="auto" w:fill="auto"/>
            <w:vAlign w:val="bottom"/>
            <w:hideMark/>
          </w:tcPr>
          <w:p w14:paraId="55B66681"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18753C8"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4FA5EF3B"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BD78087"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56A8992"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561F9B3D"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3983D6D4" w14:textId="77777777" w:rsidR="003E0C42" w:rsidRPr="00C0591E" w:rsidRDefault="003E0C42" w:rsidP="00A376E1">
            <w:pPr>
              <w:spacing w:after="0" w:line="240" w:lineRule="auto"/>
              <w:rPr>
                <w:rFonts w:eastAsia="Times New Roman"/>
              </w:rPr>
            </w:pPr>
            <w:r w:rsidRPr="00C0591E">
              <w:rPr>
                <w:rFonts w:eastAsia="Times New Roman"/>
              </w:rPr>
              <w:t>7</w:t>
            </w:r>
          </w:p>
        </w:tc>
        <w:tc>
          <w:tcPr>
            <w:tcW w:w="2842" w:type="pct"/>
            <w:tcBorders>
              <w:top w:val="nil"/>
              <w:left w:val="nil"/>
              <w:bottom w:val="single" w:sz="4" w:space="0" w:color="auto"/>
              <w:right w:val="single" w:sz="4" w:space="0" w:color="auto"/>
            </w:tcBorders>
            <w:shd w:val="clear" w:color="auto" w:fill="auto"/>
            <w:vAlign w:val="bottom"/>
            <w:hideMark/>
          </w:tcPr>
          <w:p w14:paraId="11D56566" w14:textId="77777777" w:rsidR="003E0C42" w:rsidRPr="00C0591E" w:rsidRDefault="003E0C42" w:rsidP="00A376E1">
            <w:pPr>
              <w:spacing w:after="0" w:line="240" w:lineRule="auto"/>
              <w:rPr>
                <w:rFonts w:eastAsia="Times New Roman"/>
              </w:rPr>
            </w:pPr>
            <w:r w:rsidRPr="00C0591E">
              <w:rPr>
                <w:rFonts w:eastAsia="Times New Roman"/>
              </w:rPr>
              <w:t>There is an established audit committee in my organization</w:t>
            </w:r>
          </w:p>
        </w:tc>
        <w:tc>
          <w:tcPr>
            <w:tcW w:w="384" w:type="pct"/>
            <w:tcBorders>
              <w:top w:val="nil"/>
              <w:left w:val="nil"/>
              <w:bottom w:val="single" w:sz="4" w:space="0" w:color="auto"/>
              <w:right w:val="single" w:sz="4" w:space="0" w:color="auto"/>
            </w:tcBorders>
            <w:shd w:val="clear" w:color="auto" w:fill="auto"/>
            <w:vAlign w:val="bottom"/>
            <w:hideMark/>
          </w:tcPr>
          <w:p w14:paraId="429FC07D"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5A84B5D"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45FDAFF"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C61228F"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5778B17"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38EB9076" w14:textId="77777777" w:rsidTr="00A376E1">
        <w:trPr>
          <w:trHeight w:val="576"/>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1593619B" w14:textId="77777777" w:rsidR="003E0C42" w:rsidRPr="00C0591E" w:rsidRDefault="003E0C42" w:rsidP="00A376E1">
            <w:pPr>
              <w:spacing w:after="0" w:line="240" w:lineRule="auto"/>
              <w:rPr>
                <w:rFonts w:eastAsia="Times New Roman"/>
              </w:rPr>
            </w:pPr>
            <w:r w:rsidRPr="00C0591E">
              <w:rPr>
                <w:rFonts w:eastAsia="Times New Roman"/>
              </w:rPr>
              <w:t>8</w:t>
            </w:r>
          </w:p>
        </w:tc>
        <w:tc>
          <w:tcPr>
            <w:tcW w:w="2842" w:type="pct"/>
            <w:tcBorders>
              <w:top w:val="nil"/>
              <w:left w:val="nil"/>
              <w:bottom w:val="single" w:sz="4" w:space="0" w:color="auto"/>
              <w:right w:val="single" w:sz="4" w:space="0" w:color="auto"/>
            </w:tcBorders>
            <w:shd w:val="clear" w:color="auto" w:fill="auto"/>
            <w:vAlign w:val="bottom"/>
            <w:hideMark/>
          </w:tcPr>
          <w:p w14:paraId="5214471B" w14:textId="77777777" w:rsidR="003E0C42" w:rsidRPr="00C0591E" w:rsidRDefault="003E0C42" w:rsidP="00A376E1">
            <w:pPr>
              <w:spacing w:after="0" w:line="240" w:lineRule="auto"/>
              <w:rPr>
                <w:rFonts w:eastAsia="Times New Roman"/>
              </w:rPr>
            </w:pPr>
            <w:r w:rsidRPr="00C0591E">
              <w:rPr>
                <w:rFonts w:eastAsia="Times New Roman"/>
              </w:rPr>
              <w:t>The Audit Committee is composed of only nonexecutive directors who are independent of the company</w:t>
            </w:r>
          </w:p>
        </w:tc>
        <w:tc>
          <w:tcPr>
            <w:tcW w:w="384" w:type="pct"/>
            <w:tcBorders>
              <w:top w:val="nil"/>
              <w:left w:val="nil"/>
              <w:bottom w:val="single" w:sz="4" w:space="0" w:color="auto"/>
              <w:right w:val="single" w:sz="4" w:space="0" w:color="auto"/>
            </w:tcBorders>
            <w:shd w:val="clear" w:color="auto" w:fill="auto"/>
            <w:vAlign w:val="bottom"/>
            <w:hideMark/>
          </w:tcPr>
          <w:p w14:paraId="6EF8C1CE"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82FE45C"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4058863F"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1F22FD26"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1C56619D"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6F9FCA60" w14:textId="77777777" w:rsidTr="00A376E1">
        <w:trPr>
          <w:trHeight w:val="576"/>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4011E332" w14:textId="77777777" w:rsidR="003E0C42" w:rsidRPr="00C0591E" w:rsidRDefault="003E0C42" w:rsidP="00A376E1">
            <w:pPr>
              <w:spacing w:after="0" w:line="240" w:lineRule="auto"/>
              <w:rPr>
                <w:rFonts w:eastAsia="Times New Roman"/>
              </w:rPr>
            </w:pPr>
            <w:r w:rsidRPr="00C0591E">
              <w:rPr>
                <w:rFonts w:eastAsia="Times New Roman"/>
              </w:rPr>
              <w:t>9</w:t>
            </w:r>
          </w:p>
        </w:tc>
        <w:tc>
          <w:tcPr>
            <w:tcW w:w="2842" w:type="pct"/>
            <w:tcBorders>
              <w:top w:val="nil"/>
              <w:left w:val="nil"/>
              <w:bottom w:val="single" w:sz="4" w:space="0" w:color="auto"/>
              <w:right w:val="single" w:sz="4" w:space="0" w:color="auto"/>
            </w:tcBorders>
            <w:shd w:val="clear" w:color="auto" w:fill="auto"/>
            <w:vAlign w:val="bottom"/>
            <w:hideMark/>
          </w:tcPr>
          <w:p w14:paraId="0945D753" w14:textId="77777777" w:rsidR="003E0C42" w:rsidRPr="00C0591E" w:rsidRDefault="003E0C42" w:rsidP="00A376E1">
            <w:pPr>
              <w:spacing w:after="0" w:line="240" w:lineRule="auto"/>
              <w:rPr>
                <w:rFonts w:eastAsia="Times New Roman"/>
              </w:rPr>
            </w:pPr>
            <w:r w:rsidRPr="00C0591E">
              <w:rPr>
                <w:rFonts w:eastAsia="Times New Roman"/>
              </w:rPr>
              <w:t>Members of the Audit committee possess certain level of financial competency</w:t>
            </w:r>
          </w:p>
        </w:tc>
        <w:tc>
          <w:tcPr>
            <w:tcW w:w="384" w:type="pct"/>
            <w:tcBorders>
              <w:top w:val="nil"/>
              <w:left w:val="nil"/>
              <w:bottom w:val="single" w:sz="4" w:space="0" w:color="auto"/>
              <w:right w:val="single" w:sz="4" w:space="0" w:color="auto"/>
            </w:tcBorders>
            <w:shd w:val="clear" w:color="auto" w:fill="auto"/>
            <w:vAlign w:val="bottom"/>
            <w:hideMark/>
          </w:tcPr>
          <w:p w14:paraId="57623CAE"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6EBEBB85"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62CD521"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0F9178D"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F09376B"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154D2C0C" w14:textId="77777777" w:rsidTr="00A376E1">
        <w:trPr>
          <w:trHeight w:val="576"/>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6023C227" w14:textId="77777777" w:rsidR="003E0C42" w:rsidRPr="00C0591E" w:rsidRDefault="003E0C42" w:rsidP="00A376E1">
            <w:pPr>
              <w:spacing w:after="0" w:line="240" w:lineRule="auto"/>
              <w:rPr>
                <w:rFonts w:eastAsia="Times New Roman"/>
              </w:rPr>
            </w:pPr>
            <w:r w:rsidRPr="00C0591E">
              <w:rPr>
                <w:rFonts w:eastAsia="Times New Roman"/>
              </w:rPr>
              <w:t>10</w:t>
            </w:r>
          </w:p>
        </w:tc>
        <w:tc>
          <w:tcPr>
            <w:tcW w:w="2842" w:type="pct"/>
            <w:tcBorders>
              <w:top w:val="nil"/>
              <w:left w:val="nil"/>
              <w:bottom w:val="single" w:sz="4" w:space="0" w:color="auto"/>
              <w:right w:val="single" w:sz="4" w:space="0" w:color="auto"/>
            </w:tcBorders>
            <w:shd w:val="clear" w:color="auto" w:fill="auto"/>
            <w:vAlign w:val="bottom"/>
            <w:hideMark/>
          </w:tcPr>
          <w:p w14:paraId="56DC46FB" w14:textId="77777777" w:rsidR="003E0C42" w:rsidRPr="00C0591E" w:rsidRDefault="003E0C42" w:rsidP="00A376E1">
            <w:pPr>
              <w:spacing w:after="0" w:line="240" w:lineRule="auto"/>
              <w:rPr>
                <w:rFonts w:eastAsia="Times New Roman"/>
              </w:rPr>
            </w:pPr>
            <w:r w:rsidRPr="00C0591E">
              <w:rPr>
                <w:rFonts w:eastAsia="Times New Roman"/>
              </w:rPr>
              <w:t>There is a procedure to assesses the performance of the audit committee chair</w:t>
            </w:r>
          </w:p>
        </w:tc>
        <w:tc>
          <w:tcPr>
            <w:tcW w:w="384" w:type="pct"/>
            <w:tcBorders>
              <w:top w:val="nil"/>
              <w:left w:val="nil"/>
              <w:bottom w:val="single" w:sz="4" w:space="0" w:color="auto"/>
              <w:right w:val="single" w:sz="4" w:space="0" w:color="auto"/>
            </w:tcBorders>
            <w:shd w:val="clear" w:color="auto" w:fill="auto"/>
            <w:vAlign w:val="bottom"/>
            <w:hideMark/>
          </w:tcPr>
          <w:p w14:paraId="5B9BEBD7"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7B37D16"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BD270A3"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337E72C"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2AC412D"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29E43447" w14:textId="77777777" w:rsidTr="00A376E1">
        <w:trPr>
          <w:trHeight w:val="576"/>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4C9F93E3" w14:textId="77777777" w:rsidR="003E0C42" w:rsidRPr="00C0591E" w:rsidRDefault="003E0C42" w:rsidP="00A376E1">
            <w:pPr>
              <w:spacing w:after="0" w:line="240" w:lineRule="auto"/>
              <w:rPr>
                <w:rFonts w:eastAsia="Times New Roman"/>
              </w:rPr>
            </w:pPr>
            <w:r w:rsidRPr="00C0591E">
              <w:rPr>
                <w:rFonts w:eastAsia="Times New Roman"/>
              </w:rPr>
              <w:t>11</w:t>
            </w:r>
          </w:p>
        </w:tc>
        <w:tc>
          <w:tcPr>
            <w:tcW w:w="2842" w:type="pct"/>
            <w:tcBorders>
              <w:top w:val="nil"/>
              <w:left w:val="nil"/>
              <w:bottom w:val="single" w:sz="4" w:space="0" w:color="auto"/>
              <w:right w:val="single" w:sz="4" w:space="0" w:color="auto"/>
            </w:tcBorders>
            <w:shd w:val="clear" w:color="auto" w:fill="auto"/>
            <w:vAlign w:val="bottom"/>
            <w:hideMark/>
          </w:tcPr>
          <w:p w14:paraId="20F948E7" w14:textId="77777777" w:rsidR="003E0C42" w:rsidRPr="00C0591E" w:rsidRDefault="003E0C42" w:rsidP="00A376E1">
            <w:pPr>
              <w:spacing w:after="0" w:line="240" w:lineRule="auto"/>
              <w:rPr>
                <w:rFonts w:eastAsia="Times New Roman"/>
              </w:rPr>
            </w:pPr>
            <w:r w:rsidRPr="00C0591E">
              <w:rPr>
                <w:rFonts w:eastAsia="Times New Roman"/>
              </w:rPr>
              <w:t>The audit committee has effective working relationships with senior management</w:t>
            </w:r>
          </w:p>
        </w:tc>
        <w:tc>
          <w:tcPr>
            <w:tcW w:w="384" w:type="pct"/>
            <w:tcBorders>
              <w:top w:val="nil"/>
              <w:left w:val="nil"/>
              <w:bottom w:val="single" w:sz="4" w:space="0" w:color="auto"/>
              <w:right w:val="single" w:sz="4" w:space="0" w:color="auto"/>
            </w:tcBorders>
            <w:shd w:val="clear" w:color="auto" w:fill="auto"/>
            <w:vAlign w:val="bottom"/>
            <w:hideMark/>
          </w:tcPr>
          <w:p w14:paraId="166E8CCE"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A1C67DF"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1EC98FDC"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5A0A717"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6F36F1B9"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56C31662"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32B65B30" w14:textId="77777777" w:rsidR="003E0C42" w:rsidRPr="00C0591E" w:rsidRDefault="003E0C42" w:rsidP="00A376E1">
            <w:pPr>
              <w:spacing w:after="0" w:line="240" w:lineRule="auto"/>
              <w:rPr>
                <w:rFonts w:eastAsia="Times New Roman"/>
              </w:rPr>
            </w:pPr>
            <w:r w:rsidRPr="00C0591E">
              <w:rPr>
                <w:rFonts w:eastAsia="Times New Roman"/>
              </w:rPr>
              <w:t>12</w:t>
            </w:r>
          </w:p>
        </w:tc>
        <w:tc>
          <w:tcPr>
            <w:tcW w:w="2842" w:type="pct"/>
            <w:tcBorders>
              <w:top w:val="nil"/>
              <w:left w:val="nil"/>
              <w:bottom w:val="single" w:sz="4" w:space="0" w:color="auto"/>
              <w:right w:val="single" w:sz="4" w:space="0" w:color="auto"/>
            </w:tcBorders>
            <w:shd w:val="clear" w:color="auto" w:fill="auto"/>
            <w:vAlign w:val="bottom"/>
            <w:hideMark/>
          </w:tcPr>
          <w:p w14:paraId="18D520A6" w14:textId="77777777" w:rsidR="003E0C42" w:rsidRPr="00C0591E" w:rsidRDefault="003E0C42" w:rsidP="00A376E1">
            <w:pPr>
              <w:spacing w:after="0" w:line="240" w:lineRule="auto"/>
              <w:rPr>
                <w:rFonts w:eastAsia="Times New Roman"/>
              </w:rPr>
            </w:pPr>
            <w:r w:rsidRPr="00C0591E">
              <w:rPr>
                <w:rFonts w:eastAsia="Times New Roman"/>
              </w:rPr>
              <w:t>The Audit Committee meets at least 3 times in a year</w:t>
            </w:r>
          </w:p>
        </w:tc>
        <w:tc>
          <w:tcPr>
            <w:tcW w:w="384" w:type="pct"/>
            <w:tcBorders>
              <w:top w:val="nil"/>
              <w:left w:val="nil"/>
              <w:bottom w:val="single" w:sz="4" w:space="0" w:color="auto"/>
              <w:right w:val="single" w:sz="4" w:space="0" w:color="auto"/>
            </w:tcBorders>
            <w:shd w:val="clear" w:color="auto" w:fill="auto"/>
            <w:vAlign w:val="bottom"/>
            <w:hideMark/>
          </w:tcPr>
          <w:p w14:paraId="43523C79"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44E6C254"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63B9D838"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6BA8D606"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4727A3C8"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1B484A86"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153E8891" w14:textId="77777777" w:rsidR="003E0C42" w:rsidRPr="00C0591E" w:rsidRDefault="003E0C42" w:rsidP="00A376E1">
            <w:pPr>
              <w:spacing w:after="0" w:line="240" w:lineRule="auto"/>
              <w:rPr>
                <w:rFonts w:eastAsia="Times New Roman"/>
              </w:rPr>
            </w:pPr>
            <w:r w:rsidRPr="00C0591E">
              <w:rPr>
                <w:rFonts w:eastAsia="Times New Roman"/>
              </w:rPr>
              <w:t>13</w:t>
            </w:r>
          </w:p>
        </w:tc>
        <w:tc>
          <w:tcPr>
            <w:tcW w:w="2842" w:type="pct"/>
            <w:tcBorders>
              <w:top w:val="nil"/>
              <w:left w:val="nil"/>
              <w:bottom w:val="single" w:sz="4" w:space="0" w:color="auto"/>
              <w:right w:val="single" w:sz="4" w:space="0" w:color="auto"/>
            </w:tcBorders>
            <w:shd w:val="clear" w:color="auto" w:fill="auto"/>
            <w:vAlign w:val="bottom"/>
            <w:hideMark/>
          </w:tcPr>
          <w:p w14:paraId="1B09E9C9" w14:textId="77777777" w:rsidR="003E0C42" w:rsidRPr="00C0591E" w:rsidRDefault="003E0C42" w:rsidP="00A376E1">
            <w:pPr>
              <w:spacing w:after="0" w:line="240" w:lineRule="auto"/>
              <w:rPr>
                <w:rFonts w:eastAsia="Times New Roman"/>
              </w:rPr>
            </w:pPr>
            <w:r w:rsidRPr="00C0591E">
              <w:rPr>
                <w:rFonts w:eastAsia="Times New Roman"/>
              </w:rPr>
              <w:t>The Fund conducts AGM’s for its members annually</w:t>
            </w:r>
          </w:p>
        </w:tc>
        <w:tc>
          <w:tcPr>
            <w:tcW w:w="384" w:type="pct"/>
            <w:tcBorders>
              <w:top w:val="nil"/>
              <w:left w:val="nil"/>
              <w:bottom w:val="single" w:sz="4" w:space="0" w:color="auto"/>
              <w:right w:val="single" w:sz="4" w:space="0" w:color="auto"/>
            </w:tcBorders>
            <w:shd w:val="clear" w:color="auto" w:fill="auto"/>
            <w:vAlign w:val="bottom"/>
            <w:hideMark/>
          </w:tcPr>
          <w:p w14:paraId="665A85F4"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9D1DBD9"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42EBF77D"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71824036"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CE65499"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2FE9535E"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3F5FC175" w14:textId="77777777" w:rsidR="003E0C42" w:rsidRPr="00C0591E" w:rsidRDefault="003E0C42" w:rsidP="00A376E1">
            <w:pPr>
              <w:spacing w:after="0" w:line="240" w:lineRule="auto"/>
              <w:rPr>
                <w:rFonts w:eastAsia="Times New Roman"/>
              </w:rPr>
            </w:pPr>
            <w:r w:rsidRPr="00C0591E">
              <w:rPr>
                <w:rFonts w:eastAsia="Times New Roman"/>
              </w:rPr>
              <w:t>14</w:t>
            </w:r>
          </w:p>
        </w:tc>
        <w:tc>
          <w:tcPr>
            <w:tcW w:w="2842" w:type="pct"/>
            <w:tcBorders>
              <w:top w:val="nil"/>
              <w:left w:val="nil"/>
              <w:bottom w:val="single" w:sz="4" w:space="0" w:color="auto"/>
              <w:right w:val="single" w:sz="4" w:space="0" w:color="auto"/>
            </w:tcBorders>
            <w:shd w:val="clear" w:color="auto" w:fill="auto"/>
            <w:vAlign w:val="bottom"/>
            <w:hideMark/>
          </w:tcPr>
          <w:p w14:paraId="578D89FB" w14:textId="77777777" w:rsidR="003E0C42" w:rsidRPr="00C0591E" w:rsidRDefault="003E0C42" w:rsidP="00A376E1">
            <w:pPr>
              <w:spacing w:after="0" w:line="240" w:lineRule="auto"/>
              <w:rPr>
                <w:rFonts w:eastAsia="Times New Roman"/>
              </w:rPr>
            </w:pPr>
            <w:r w:rsidRPr="00C0591E">
              <w:rPr>
                <w:rFonts w:eastAsia="Times New Roman"/>
              </w:rPr>
              <w:t>There is clear remuneration package for the Directors</w:t>
            </w:r>
          </w:p>
        </w:tc>
        <w:tc>
          <w:tcPr>
            <w:tcW w:w="384" w:type="pct"/>
            <w:tcBorders>
              <w:top w:val="nil"/>
              <w:left w:val="nil"/>
              <w:bottom w:val="single" w:sz="4" w:space="0" w:color="auto"/>
              <w:right w:val="single" w:sz="4" w:space="0" w:color="auto"/>
            </w:tcBorders>
            <w:shd w:val="clear" w:color="auto" w:fill="auto"/>
            <w:vAlign w:val="bottom"/>
            <w:hideMark/>
          </w:tcPr>
          <w:p w14:paraId="6BF35246"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70A83D70"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149F531"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D5003E3"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1B1DFF3"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340C68D9"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25301677" w14:textId="77777777" w:rsidR="003E0C42" w:rsidRPr="00C0591E" w:rsidRDefault="003E0C42" w:rsidP="00A376E1">
            <w:pPr>
              <w:spacing w:after="0" w:line="240" w:lineRule="auto"/>
              <w:rPr>
                <w:rFonts w:eastAsia="Times New Roman"/>
              </w:rPr>
            </w:pPr>
            <w:r w:rsidRPr="00C0591E">
              <w:rPr>
                <w:rFonts w:eastAsia="Times New Roman"/>
              </w:rPr>
              <w:t>15</w:t>
            </w:r>
          </w:p>
        </w:tc>
        <w:tc>
          <w:tcPr>
            <w:tcW w:w="2842" w:type="pct"/>
            <w:tcBorders>
              <w:top w:val="nil"/>
              <w:left w:val="nil"/>
              <w:bottom w:val="single" w:sz="4" w:space="0" w:color="auto"/>
              <w:right w:val="single" w:sz="4" w:space="0" w:color="auto"/>
            </w:tcBorders>
            <w:shd w:val="clear" w:color="auto" w:fill="auto"/>
            <w:vAlign w:val="bottom"/>
            <w:hideMark/>
          </w:tcPr>
          <w:p w14:paraId="40DA9A7D" w14:textId="77777777" w:rsidR="003E0C42" w:rsidRPr="00C0591E" w:rsidRDefault="003E0C42" w:rsidP="00A376E1">
            <w:pPr>
              <w:spacing w:after="0" w:line="240" w:lineRule="auto"/>
              <w:rPr>
                <w:rFonts w:eastAsia="Times New Roman"/>
              </w:rPr>
            </w:pPr>
            <w:r w:rsidRPr="00C0591E">
              <w:rPr>
                <w:rFonts w:eastAsia="Times New Roman"/>
              </w:rPr>
              <w:t>The remuneration committee is composed solely of independent directors</w:t>
            </w:r>
          </w:p>
        </w:tc>
        <w:tc>
          <w:tcPr>
            <w:tcW w:w="384" w:type="pct"/>
            <w:tcBorders>
              <w:top w:val="nil"/>
              <w:left w:val="nil"/>
              <w:bottom w:val="single" w:sz="4" w:space="0" w:color="auto"/>
              <w:right w:val="single" w:sz="4" w:space="0" w:color="auto"/>
            </w:tcBorders>
            <w:shd w:val="clear" w:color="auto" w:fill="auto"/>
            <w:vAlign w:val="bottom"/>
            <w:hideMark/>
          </w:tcPr>
          <w:p w14:paraId="1D657D49"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984251F"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D90FAAB"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7DED34E1"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101295E0"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3D14AA71"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5B1F28B1" w14:textId="77777777" w:rsidR="003E0C42" w:rsidRPr="00C0591E" w:rsidRDefault="003E0C42" w:rsidP="00A376E1">
            <w:pPr>
              <w:spacing w:after="0" w:line="240" w:lineRule="auto"/>
              <w:rPr>
                <w:rFonts w:eastAsia="Times New Roman"/>
              </w:rPr>
            </w:pPr>
            <w:r w:rsidRPr="00C0591E">
              <w:rPr>
                <w:rFonts w:eastAsia="Times New Roman"/>
              </w:rPr>
              <w:t>16</w:t>
            </w:r>
          </w:p>
        </w:tc>
        <w:tc>
          <w:tcPr>
            <w:tcW w:w="2842" w:type="pct"/>
            <w:tcBorders>
              <w:top w:val="nil"/>
              <w:left w:val="nil"/>
              <w:bottom w:val="single" w:sz="4" w:space="0" w:color="auto"/>
              <w:right w:val="single" w:sz="4" w:space="0" w:color="auto"/>
            </w:tcBorders>
            <w:shd w:val="clear" w:color="auto" w:fill="auto"/>
            <w:vAlign w:val="bottom"/>
            <w:hideMark/>
          </w:tcPr>
          <w:p w14:paraId="556902AA" w14:textId="77777777" w:rsidR="003E0C42" w:rsidRPr="00C0591E" w:rsidRDefault="003E0C42" w:rsidP="00A376E1">
            <w:pPr>
              <w:spacing w:after="0" w:line="240" w:lineRule="auto"/>
              <w:rPr>
                <w:rFonts w:eastAsia="Times New Roman"/>
              </w:rPr>
            </w:pPr>
            <w:r w:rsidRPr="00C0591E">
              <w:rPr>
                <w:rFonts w:eastAsia="Times New Roman"/>
              </w:rPr>
              <w:t>Non-employees do not participate in the company pension plans</w:t>
            </w:r>
          </w:p>
        </w:tc>
        <w:tc>
          <w:tcPr>
            <w:tcW w:w="384" w:type="pct"/>
            <w:tcBorders>
              <w:top w:val="nil"/>
              <w:left w:val="nil"/>
              <w:bottom w:val="single" w:sz="4" w:space="0" w:color="auto"/>
              <w:right w:val="single" w:sz="4" w:space="0" w:color="auto"/>
            </w:tcBorders>
            <w:shd w:val="clear" w:color="auto" w:fill="auto"/>
            <w:vAlign w:val="bottom"/>
            <w:hideMark/>
          </w:tcPr>
          <w:p w14:paraId="389810F8"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CCFD26F"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BC8CC16"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14A20B7"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3D5D337"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3B65CD7C" w14:textId="77777777" w:rsidTr="00A376E1">
        <w:trPr>
          <w:trHeight w:val="576"/>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5CDB7323" w14:textId="77777777" w:rsidR="003E0C42" w:rsidRPr="00C0591E" w:rsidRDefault="003E0C42" w:rsidP="00A376E1">
            <w:pPr>
              <w:spacing w:after="0" w:line="240" w:lineRule="auto"/>
              <w:rPr>
                <w:rFonts w:eastAsia="Times New Roman"/>
              </w:rPr>
            </w:pPr>
            <w:r w:rsidRPr="00C0591E">
              <w:rPr>
                <w:rFonts w:eastAsia="Times New Roman"/>
              </w:rPr>
              <w:t>17</w:t>
            </w:r>
          </w:p>
        </w:tc>
        <w:tc>
          <w:tcPr>
            <w:tcW w:w="2842" w:type="pct"/>
            <w:tcBorders>
              <w:top w:val="nil"/>
              <w:left w:val="nil"/>
              <w:bottom w:val="single" w:sz="4" w:space="0" w:color="auto"/>
              <w:right w:val="single" w:sz="4" w:space="0" w:color="auto"/>
            </w:tcBorders>
            <w:shd w:val="clear" w:color="auto" w:fill="auto"/>
            <w:vAlign w:val="bottom"/>
            <w:hideMark/>
          </w:tcPr>
          <w:p w14:paraId="69DCE77E" w14:textId="77777777" w:rsidR="003E0C42" w:rsidRPr="00C0591E" w:rsidRDefault="003E0C42" w:rsidP="00A376E1">
            <w:pPr>
              <w:spacing w:after="0" w:line="240" w:lineRule="auto"/>
              <w:rPr>
                <w:rFonts w:eastAsia="Times New Roman"/>
              </w:rPr>
            </w:pPr>
            <w:r w:rsidRPr="00C0591E">
              <w:rPr>
                <w:rFonts w:eastAsia="Times New Roman"/>
              </w:rPr>
              <w:t>In the organization Incentive plans are used to improve Directors monitoring of performance</w:t>
            </w:r>
          </w:p>
        </w:tc>
        <w:tc>
          <w:tcPr>
            <w:tcW w:w="384" w:type="pct"/>
            <w:tcBorders>
              <w:top w:val="nil"/>
              <w:left w:val="nil"/>
              <w:bottom w:val="single" w:sz="4" w:space="0" w:color="auto"/>
              <w:right w:val="single" w:sz="4" w:space="0" w:color="auto"/>
            </w:tcBorders>
            <w:shd w:val="clear" w:color="auto" w:fill="auto"/>
            <w:vAlign w:val="bottom"/>
            <w:hideMark/>
          </w:tcPr>
          <w:p w14:paraId="5AA9CE8C"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F65C1C7"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DC7BEDE"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2F220BE"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DDEE78D"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77C786CC"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4B88EFE7" w14:textId="77777777" w:rsidR="003E0C42" w:rsidRPr="00C0591E" w:rsidRDefault="003E0C42" w:rsidP="00A376E1">
            <w:pPr>
              <w:spacing w:after="0" w:line="240" w:lineRule="auto"/>
              <w:rPr>
                <w:rFonts w:eastAsia="Times New Roman"/>
              </w:rPr>
            </w:pPr>
            <w:r w:rsidRPr="00C0591E">
              <w:rPr>
                <w:rFonts w:eastAsia="Times New Roman"/>
              </w:rPr>
              <w:t>18</w:t>
            </w:r>
          </w:p>
        </w:tc>
        <w:tc>
          <w:tcPr>
            <w:tcW w:w="2842" w:type="pct"/>
            <w:tcBorders>
              <w:top w:val="nil"/>
              <w:left w:val="nil"/>
              <w:bottom w:val="single" w:sz="4" w:space="0" w:color="auto"/>
              <w:right w:val="single" w:sz="4" w:space="0" w:color="auto"/>
            </w:tcBorders>
            <w:shd w:val="clear" w:color="auto" w:fill="auto"/>
            <w:vAlign w:val="bottom"/>
            <w:hideMark/>
          </w:tcPr>
          <w:p w14:paraId="5F68534C" w14:textId="77777777" w:rsidR="003E0C42" w:rsidRPr="00C0591E" w:rsidRDefault="003E0C42" w:rsidP="00A376E1">
            <w:pPr>
              <w:spacing w:after="0" w:line="240" w:lineRule="auto"/>
              <w:rPr>
                <w:rFonts w:eastAsia="Times New Roman"/>
              </w:rPr>
            </w:pPr>
            <w:r w:rsidRPr="00C0591E">
              <w:rPr>
                <w:rFonts w:eastAsia="Times New Roman"/>
              </w:rPr>
              <w:t>Directors receive all or a portion of their fees in Bonuses</w:t>
            </w:r>
          </w:p>
        </w:tc>
        <w:tc>
          <w:tcPr>
            <w:tcW w:w="384" w:type="pct"/>
            <w:tcBorders>
              <w:top w:val="nil"/>
              <w:left w:val="nil"/>
              <w:bottom w:val="single" w:sz="4" w:space="0" w:color="auto"/>
              <w:right w:val="single" w:sz="4" w:space="0" w:color="auto"/>
            </w:tcBorders>
            <w:shd w:val="clear" w:color="auto" w:fill="auto"/>
            <w:vAlign w:val="bottom"/>
            <w:hideMark/>
          </w:tcPr>
          <w:p w14:paraId="40507768"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6A01A0BA"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B7FF881"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76D4D25"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17356DF1"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3ADB8D81" w14:textId="77777777" w:rsidTr="00A376E1">
        <w:trPr>
          <w:trHeight w:val="576"/>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3C8B2E8E" w14:textId="77777777" w:rsidR="003E0C42" w:rsidRPr="00C0591E" w:rsidRDefault="003E0C42" w:rsidP="00A376E1">
            <w:pPr>
              <w:spacing w:after="0" w:line="240" w:lineRule="auto"/>
              <w:rPr>
                <w:rFonts w:eastAsia="Times New Roman"/>
              </w:rPr>
            </w:pPr>
            <w:r w:rsidRPr="00C0591E">
              <w:rPr>
                <w:rFonts w:eastAsia="Times New Roman"/>
              </w:rPr>
              <w:t>19</w:t>
            </w:r>
          </w:p>
        </w:tc>
        <w:tc>
          <w:tcPr>
            <w:tcW w:w="2842" w:type="pct"/>
            <w:tcBorders>
              <w:top w:val="nil"/>
              <w:left w:val="nil"/>
              <w:bottom w:val="single" w:sz="4" w:space="0" w:color="auto"/>
              <w:right w:val="single" w:sz="4" w:space="0" w:color="auto"/>
            </w:tcBorders>
            <w:shd w:val="clear" w:color="auto" w:fill="auto"/>
            <w:vAlign w:val="bottom"/>
            <w:hideMark/>
          </w:tcPr>
          <w:p w14:paraId="4285CD89" w14:textId="77777777" w:rsidR="003E0C42" w:rsidRPr="00C0591E" w:rsidRDefault="003E0C42" w:rsidP="00A376E1">
            <w:pPr>
              <w:spacing w:after="0" w:line="240" w:lineRule="auto"/>
              <w:rPr>
                <w:rFonts w:eastAsia="Times New Roman"/>
              </w:rPr>
            </w:pPr>
            <w:r w:rsidRPr="00C0591E">
              <w:rPr>
                <w:rFonts w:eastAsia="Times New Roman"/>
              </w:rPr>
              <w:t>The Company does not provide any loans to executives for exercising options</w:t>
            </w:r>
          </w:p>
        </w:tc>
        <w:tc>
          <w:tcPr>
            <w:tcW w:w="384" w:type="pct"/>
            <w:tcBorders>
              <w:top w:val="nil"/>
              <w:left w:val="nil"/>
              <w:bottom w:val="single" w:sz="4" w:space="0" w:color="auto"/>
              <w:right w:val="single" w:sz="4" w:space="0" w:color="auto"/>
            </w:tcBorders>
            <w:shd w:val="clear" w:color="auto" w:fill="auto"/>
            <w:vAlign w:val="bottom"/>
            <w:hideMark/>
          </w:tcPr>
          <w:p w14:paraId="222AD358"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FFA90E3"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A953DF7"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A76FCFB"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1D3F145"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179D4118" w14:textId="77777777" w:rsidTr="009D7A73">
        <w:trPr>
          <w:trHeight w:val="134"/>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13D05281" w14:textId="77777777" w:rsidR="003E0C42" w:rsidRPr="00C0591E" w:rsidRDefault="003E0C42" w:rsidP="00A376E1">
            <w:pPr>
              <w:spacing w:after="0" w:line="240" w:lineRule="auto"/>
              <w:rPr>
                <w:rFonts w:eastAsia="Times New Roman"/>
              </w:rPr>
            </w:pPr>
            <w:r w:rsidRPr="00C0591E">
              <w:rPr>
                <w:rFonts w:eastAsia="Times New Roman"/>
              </w:rPr>
              <w:t> </w:t>
            </w:r>
          </w:p>
        </w:tc>
        <w:tc>
          <w:tcPr>
            <w:tcW w:w="2842" w:type="pct"/>
            <w:tcBorders>
              <w:top w:val="nil"/>
              <w:left w:val="nil"/>
              <w:bottom w:val="single" w:sz="4" w:space="0" w:color="auto"/>
              <w:right w:val="single" w:sz="4" w:space="0" w:color="auto"/>
            </w:tcBorders>
            <w:shd w:val="clear" w:color="auto" w:fill="auto"/>
            <w:vAlign w:val="bottom"/>
            <w:hideMark/>
          </w:tcPr>
          <w:p w14:paraId="39F9D1AA" w14:textId="033FF499" w:rsidR="003E0C42" w:rsidRPr="00C0591E" w:rsidRDefault="003E0C42" w:rsidP="00A376E1">
            <w:pPr>
              <w:spacing w:after="0" w:line="240" w:lineRule="auto"/>
              <w:rPr>
                <w:rFonts w:eastAsia="Times New Roman"/>
                <w:b/>
              </w:rPr>
            </w:pPr>
            <w:r w:rsidRPr="00C0591E">
              <w:rPr>
                <w:rFonts w:eastAsia="Times New Roman"/>
                <w:b/>
              </w:rPr>
              <w:t>Accountability</w:t>
            </w:r>
          </w:p>
        </w:tc>
        <w:tc>
          <w:tcPr>
            <w:tcW w:w="384" w:type="pct"/>
            <w:tcBorders>
              <w:top w:val="nil"/>
              <w:left w:val="nil"/>
              <w:bottom w:val="single" w:sz="4" w:space="0" w:color="auto"/>
              <w:right w:val="single" w:sz="4" w:space="0" w:color="auto"/>
            </w:tcBorders>
            <w:shd w:val="clear" w:color="auto" w:fill="auto"/>
            <w:vAlign w:val="bottom"/>
            <w:hideMark/>
          </w:tcPr>
          <w:p w14:paraId="3FED4671"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CB4352B"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78687D79"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BA27667"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2A5398B"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174D3193" w14:textId="77777777" w:rsidTr="00A376E1">
        <w:trPr>
          <w:trHeight w:val="576"/>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06D70706" w14:textId="77777777" w:rsidR="003E0C42" w:rsidRPr="00C0591E" w:rsidRDefault="003E0C42" w:rsidP="00A376E1">
            <w:pPr>
              <w:spacing w:after="0" w:line="240" w:lineRule="auto"/>
              <w:rPr>
                <w:rFonts w:eastAsia="Times New Roman"/>
              </w:rPr>
            </w:pPr>
            <w:r w:rsidRPr="00C0591E">
              <w:rPr>
                <w:rFonts w:eastAsia="Times New Roman"/>
              </w:rPr>
              <w:t>20</w:t>
            </w:r>
          </w:p>
        </w:tc>
        <w:tc>
          <w:tcPr>
            <w:tcW w:w="2842" w:type="pct"/>
            <w:tcBorders>
              <w:top w:val="nil"/>
              <w:left w:val="nil"/>
              <w:bottom w:val="single" w:sz="4" w:space="0" w:color="auto"/>
              <w:right w:val="single" w:sz="4" w:space="0" w:color="auto"/>
            </w:tcBorders>
            <w:shd w:val="clear" w:color="auto" w:fill="auto"/>
            <w:vAlign w:val="bottom"/>
            <w:hideMark/>
          </w:tcPr>
          <w:p w14:paraId="0235185F" w14:textId="77777777" w:rsidR="003E0C42" w:rsidRPr="00C0591E" w:rsidRDefault="003E0C42" w:rsidP="00A376E1">
            <w:pPr>
              <w:spacing w:after="0" w:line="240" w:lineRule="auto"/>
              <w:rPr>
                <w:rFonts w:eastAsia="Times New Roman"/>
              </w:rPr>
            </w:pPr>
            <w:r w:rsidRPr="00C0591E">
              <w:rPr>
                <w:rFonts w:eastAsia="Times New Roman"/>
              </w:rPr>
              <w:t>The Fund manager has developed and adopted a code of corporate governance practices</w:t>
            </w:r>
          </w:p>
        </w:tc>
        <w:tc>
          <w:tcPr>
            <w:tcW w:w="384" w:type="pct"/>
            <w:tcBorders>
              <w:top w:val="nil"/>
              <w:left w:val="nil"/>
              <w:bottom w:val="single" w:sz="4" w:space="0" w:color="auto"/>
              <w:right w:val="single" w:sz="4" w:space="0" w:color="auto"/>
            </w:tcBorders>
            <w:shd w:val="clear" w:color="auto" w:fill="auto"/>
            <w:vAlign w:val="bottom"/>
            <w:hideMark/>
          </w:tcPr>
          <w:p w14:paraId="49F4A7EA"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49DA86B7"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F6EE8A1"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CDF53A3"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E986450"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14016315" w14:textId="77777777" w:rsidTr="00A376E1">
        <w:trPr>
          <w:trHeight w:val="576"/>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07738615" w14:textId="77777777" w:rsidR="003E0C42" w:rsidRPr="00C0591E" w:rsidRDefault="003E0C42" w:rsidP="00A376E1">
            <w:pPr>
              <w:spacing w:after="0" w:line="240" w:lineRule="auto"/>
              <w:rPr>
                <w:rFonts w:eastAsia="Times New Roman"/>
              </w:rPr>
            </w:pPr>
            <w:r w:rsidRPr="00C0591E">
              <w:rPr>
                <w:rFonts w:eastAsia="Times New Roman"/>
              </w:rPr>
              <w:t>21</w:t>
            </w:r>
          </w:p>
        </w:tc>
        <w:tc>
          <w:tcPr>
            <w:tcW w:w="2842" w:type="pct"/>
            <w:tcBorders>
              <w:top w:val="nil"/>
              <w:left w:val="nil"/>
              <w:bottom w:val="single" w:sz="4" w:space="0" w:color="auto"/>
              <w:right w:val="single" w:sz="4" w:space="0" w:color="auto"/>
            </w:tcBorders>
            <w:shd w:val="clear" w:color="auto" w:fill="auto"/>
            <w:vAlign w:val="bottom"/>
            <w:hideMark/>
          </w:tcPr>
          <w:p w14:paraId="75EB9783" w14:textId="77777777" w:rsidR="003E0C42" w:rsidRPr="00C0591E" w:rsidRDefault="003E0C42" w:rsidP="00A376E1">
            <w:pPr>
              <w:spacing w:after="0" w:line="240" w:lineRule="auto"/>
              <w:rPr>
                <w:rFonts w:eastAsia="Times New Roman"/>
              </w:rPr>
            </w:pPr>
            <w:r w:rsidRPr="00C0591E">
              <w:rPr>
                <w:rFonts w:eastAsia="Times New Roman"/>
              </w:rPr>
              <w:t>The Fund manager has formed board committees to deal with specialized matters such as audit, investments, governance, staff and administration.</w:t>
            </w:r>
          </w:p>
        </w:tc>
        <w:tc>
          <w:tcPr>
            <w:tcW w:w="384" w:type="pct"/>
            <w:tcBorders>
              <w:top w:val="nil"/>
              <w:left w:val="nil"/>
              <w:bottom w:val="single" w:sz="4" w:space="0" w:color="auto"/>
              <w:right w:val="single" w:sz="4" w:space="0" w:color="auto"/>
            </w:tcBorders>
            <w:shd w:val="clear" w:color="auto" w:fill="auto"/>
            <w:vAlign w:val="bottom"/>
            <w:hideMark/>
          </w:tcPr>
          <w:p w14:paraId="6A206C28"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78E22633"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16E07368"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BB82071"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1C169B7"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7B13B561" w14:textId="77777777" w:rsidTr="00A376E1">
        <w:trPr>
          <w:trHeight w:val="576"/>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1442C8B1" w14:textId="77777777" w:rsidR="003E0C42" w:rsidRPr="00C0591E" w:rsidRDefault="003E0C42" w:rsidP="00A376E1">
            <w:pPr>
              <w:spacing w:after="0" w:line="240" w:lineRule="auto"/>
              <w:rPr>
                <w:rFonts w:eastAsia="Times New Roman"/>
              </w:rPr>
            </w:pPr>
            <w:r w:rsidRPr="00C0591E">
              <w:rPr>
                <w:rFonts w:eastAsia="Times New Roman"/>
              </w:rPr>
              <w:t>22</w:t>
            </w:r>
          </w:p>
        </w:tc>
        <w:tc>
          <w:tcPr>
            <w:tcW w:w="2842" w:type="pct"/>
            <w:tcBorders>
              <w:top w:val="nil"/>
              <w:left w:val="nil"/>
              <w:bottom w:val="single" w:sz="4" w:space="0" w:color="auto"/>
              <w:right w:val="single" w:sz="4" w:space="0" w:color="auto"/>
            </w:tcBorders>
            <w:shd w:val="clear" w:color="auto" w:fill="auto"/>
            <w:vAlign w:val="bottom"/>
            <w:hideMark/>
          </w:tcPr>
          <w:p w14:paraId="6119DA48" w14:textId="77777777" w:rsidR="003E0C42" w:rsidRPr="00C0591E" w:rsidRDefault="003E0C42" w:rsidP="00A376E1">
            <w:pPr>
              <w:spacing w:after="0" w:line="240" w:lineRule="auto"/>
              <w:rPr>
                <w:rFonts w:eastAsia="Times New Roman"/>
              </w:rPr>
            </w:pPr>
            <w:r w:rsidRPr="00C0591E">
              <w:rPr>
                <w:rFonts w:eastAsia="Times New Roman"/>
              </w:rPr>
              <w:t>The Fund manager has appointed an organisation and/or persons to carry out internal audits</w:t>
            </w:r>
          </w:p>
        </w:tc>
        <w:tc>
          <w:tcPr>
            <w:tcW w:w="384" w:type="pct"/>
            <w:tcBorders>
              <w:top w:val="nil"/>
              <w:left w:val="nil"/>
              <w:bottom w:val="single" w:sz="4" w:space="0" w:color="auto"/>
              <w:right w:val="single" w:sz="4" w:space="0" w:color="auto"/>
            </w:tcBorders>
            <w:shd w:val="clear" w:color="auto" w:fill="auto"/>
            <w:vAlign w:val="bottom"/>
            <w:hideMark/>
          </w:tcPr>
          <w:p w14:paraId="37D7EDE6"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71CE600D"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1547C837"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7DD89242"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786FFB97"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183C02DB" w14:textId="77777777" w:rsidTr="00A376E1">
        <w:trPr>
          <w:trHeight w:val="576"/>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3E224F3D" w14:textId="77777777" w:rsidR="003E0C42" w:rsidRPr="00C0591E" w:rsidRDefault="003E0C42" w:rsidP="00A376E1">
            <w:pPr>
              <w:spacing w:after="0" w:line="240" w:lineRule="auto"/>
              <w:rPr>
                <w:rFonts w:eastAsia="Times New Roman"/>
              </w:rPr>
            </w:pPr>
            <w:r w:rsidRPr="00C0591E">
              <w:rPr>
                <w:rFonts w:eastAsia="Times New Roman"/>
              </w:rPr>
              <w:t>23</w:t>
            </w:r>
          </w:p>
        </w:tc>
        <w:tc>
          <w:tcPr>
            <w:tcW w:w="2842" w:type="pct"/>
            <w:tcBorders>
              <w:top w:val="nil"/>
              <w:left w:val="nil"/>
              <w:bottom w:val="single" w:sz="4" w:space="0" w:color="auto"/>
              <w:right w:val="single" w:sz="4" w:space="0" w:color="auto"/>
            </w:tcBorders>
            <w:shd w:val="clear" w:color="auto" w:fill="auto"/>
            <w:vAlign w:val="bottom"/>
            <w:hideMark/>
          </w:tcPr>
          <w:p w14:paraId="45469A85" w14:textId="77777777" w:rsidR="003E0C42" w:rsidRPr="00C0591E" w:rsidRDefault="003E0C42" w:rsidP="00A376E1">
            <w:pPr>
              <w:spacing w:after="0" w:line="240" w:lineRule="auto"/>
              <w:rPr>
                <w:rFonts w:eastAsia="Times New Roman"/>
              </w:rPr>
            </w:pPr>
            <w:r w:rsidRPr="00C0591E">
              <w:rPr>
                <w:rFonts w:eastAsia="Times New Roman"/>
              </w:rPr>
              <w:t>The Fund manager publicly announces the biodata and qualifications of the Trustees</w:t>
            </w:r>
          </w:p>
        </w:tc>
        <w:tc>
          <w:tcPr>
            <w:tcW w:w="384" w:type="pct"/>
            <w:tcBorders>
              <w:top w:val="nil"/>
              <w:left w:val="nil"/>
              <w:bottom w:val="single" w:sz="4" w:space="0" w:color="auto"/>
              <w:right w:val="single" w:sz="4" w:space="0" w:color="auto"/>
            </w:tcBorders>
            <w:shd w:val="clear" w:color="auto" w:fill="auto"/>
            <w:vAlign w:val="bottom"/>
            <w:hideMark/>
          </w:tcPr>
          <w:p w14:paraId="40A2C578"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F7E6EAD"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7068B3C5"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7BC56CFF"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FF36A25"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5C6E4E4E"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5146573C" w14:textId="77777777" w:rsidR="003E0C42" w:rsidRPr="00C0591E" w:rsidRDefault="003E0C42" w:rsidP="00A376E1">
            <w:pPr>
              <w:spacing w:after="0" w:line="240" w:lineRule="auto"/>
              <w:rPr>
                <w:rFonts w:eastAsia="Times New Roman"/>
              </w:rPr>
            </w:pPr>
            <w:r w:rsidRPr="00C0591E">
              <w:rPr>
                <w:rFonts w:eastAsia="Times New Roman"/>
              </w:rPr>
              <w:t>24</w:t>
            </w:r>
          </w:p>
        </w:tc>
        <w:tc>
          <w:tcPr>
            <w:tcW w:w="2842" w:type="pct"/>
            <w:tcBorders>
              <w:top w:val="nil"/>
              <w:left w:val="nil"/>
              <w:bottom w:val="single" w:sz="4" w:space="0" w:color="auto"/>
              <w:right w:val="single" w:sz="4" w:space="0" w:color="auto"/>
            </w:tcBorders>
            <w:shd w:val="clear" w:color="auto" w:fill="auto"/>
            <w:vAlign w:val="bottom"/>
            <w:hideMark/>
          </w:tcPr>
          <w:p w14:paraId="128D842C" w14:textId="77777777" w:rsidR="003E0C42" w:rsidRPr="00C0591E" w:rsidRDefault="003E0C42" w:rsidP="00A376E1">
            <w:pPr>
              <w:spacing w:after="0" w:line="240" w:lineRule="auto"/>
              <w:rPr>
                <w:rFonts w:eastAsia="Times New Roman"/>
              </w:rPr>
            </w:pPr>
            <w:r w:rsidRPr="00C0591E">
              <w:rPr>
                <w:rFonts w:eastAsia="Times New Roman"/>
              </w:rPr>
              <w:t>Audit committee members are carefully recruited and retired</w:t>
            </w:r>
          </w:p>
        </w:tc>
        <w:tc>
          <w:tcPr>
            <w:tcW w:w="384" w:type="pct"/>
            <w:tcBorders>
              <w:top w:val="nil"/>
              <w:left w:val="nil"/>
              <w:bottom w:val="single" w:sz="4" w:space="0" w:color="auto"/>
              <w:right w:val="single" w:sz="4" w:space="0" w:color="auto"/>
            </w:tcBorders>
            <w:shd w:val="clear" w:color="auto" w:fill="auto"/>
            <w:vAlign w:val="bottom"/>
            <w:hideMark/>
          </w:tcPr>
          <w:p w14:paraId="5A144AA0"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77FB045"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89A203B"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BD3571E"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65C1F203"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29AA3107"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0EBEF1C9" w14:textId="77777777" w:rsidR="003E0C42" w:rsidRPr="00C0591E" w:rsidRDefault="003E0C42" w:rsidP="00A376E1">
            <w:pPr>
              <w:spacing w:after="0" w:line="240" w:lineRule="auto"/>
              <w:rPr>
                <w:rFonts w:eastAsia="Times New Roman"/>
              </w:rPr>
            </w:pPr>
            <w:r w:rsidRPr="00C0591E">
              <w:rPr>
                <w:rFonts w:eastAsia="Times New Roman"/>
              </w:rPr>
              <w:t>25</w:t>
            </w:r>
          </w:p>
        </w:tc>
        <w:tc>
          <w:tcPr>
            <w:tcW w:w="2842" w:type="pct"/>
            <w:tcBorders>
              <w:top w:val="nil"/>
              <w:left w:val="nil"/>
              <w:bottom w:val="single" w:sz="4" w:space="0" w:color="auto"/>
              <w:right w:val="single" w:sz="4" w:space="0" w:color="auto"/>
            </w:tcBorders>
            <w:shd w:val="clear" w:color="auto" w:fill="auto"/>
            <w:vAlign w:val="bottom"/>
            <w:hideMark/>
          </w:tcPr>
          <w:p w14:paraId="4E4E71A1" w14:textId="77777777" w:rsidR="003E0C42" w:rsidRPr="00C0591E" w:rsidRDefault="003E0C42" w:rsidP="00A376E1">
            <w:pPr>
              <w:spacing w:after="0" w:line="240" w:lineRule="auto"/>
              <w:rPr>
                <w:rFonts w:eastAsia="Times New Roman"/>
              </w:rPr>
            </w:pPr>
            <w:r w:rsidRPr="00C0591E">
              <w:rPr>
                <w:rFonts w:eastAsia="Times New Roman"/>
              </w:rPr>
              <w:t>The independence of the audit committee is real as well as perceived</w:t>
            </w:r>
          </w:p>
        </w:tc>
        <w:tc>
          <w:tcPr>
            <w:tcW w:w="384" w:type="pct"/>
            <w:tcBorders>
              <w:top w:val="nil"/>
              <w:left w:val="nil"/>
              <w:bottom w:val="single" w:sz="4" w:space="0" w:color="auto"/>
              <w:right w:val="single" w:sz="4" w:space="0" w:color="auto"/>
            </w:tcBorders>
            <w:shd w:val="clear" w:color="auto" w:fill="auto"/>
            <w:vAlign w:val="bottom"/>
            <w:hideMark/>
          </w:tcPr>
          <w:p w14:paraId="3269FD83"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72F6422"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60212226"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7227F5AD"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208E0F1"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2FE688A6"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0127AB39" w14:textId="77777777" w:rsidR="003E0C42" w:rsidRPr="00C0591E" w:rsidRDefault="003E0C42" w:rsidP="00A376E1">
            <w:pPr>
              <w:spacing w:after="0" w:line="240" w:lineRule="auto"/>
              <w:rPr>
                <w:rFonts w:eastAsia="Times New Roman"/>
              </w:rPr>
            </w:pPr>
            <w:r w:rsidRPr="00C0591E">
              <w:rPr>
                <w:rFonts w:eastAsia="Times New Roman"/>
              </w:rPr>
              <w:t> </w:t>
            </w:r>
          </w:p>
        </w:tc>
        <w:tc>
          <w:tcPr>
            <w:tcW w:w="2842" w:type="pct"/>
            <w:tcBorders>
              <w:top w:val="nil"/>
              <w:left w:val="nil"/>
              <w:bottom w:val="single" w:sz="4" w:space="0" w:color="auto"/>
              <w:right w:val="single" w:sz="4" w:space="0" w:color="auto"/>
            </w:tcBorders>
            <w:shd w:val="clear" w:color="auto" w:fill="auto"/>
            <w:vAlign w:val="bottom"/>
            <w:hideMark/>
          </w:tcPr>
          <w:p w14:paraId="69E04D5F" w14:textId="77777777" w:rsidR="003E0C42" w:rsidRPr="00C0591E" w:rsidRDefault="003E0C42" w:rsidP="00A376E1">
            <w:pPr>
              <w:spacing w:after="0" w:line="240" w:lineRule="auto"/>
              <w:rPr>
                <w:rFonts w:eastAsia="Times New Roman"/>
                <w:b/>
              </w:rPr>
            </w:pPr>
            <w:r w:rsidRPr="00C0591E">
              <w:rPr>
                <w:rFonts w:eastAsia="Times New Roman"/>
                <w:b/>
              </w:rPr>
              <w:t>Participation</w:t>
            </w:r>
          </w:p>
        </w:tc>
        <w:tc>
          <w:tcPr>
            <w:tcW w:w="384" w:type="pct"/>
            <w:tcBorders>
              <w:top w:val="nil"/>
              <w:left w:val="nil"/>
              <w:bottom w:val="single" w:sz="4" w:space="0" w:color="auto"/>
              <w:right w:val="single" w:sz="4" w:space="0" w:color="auto"/>
            </w:tcBorders>
            <w:shd w:val="clear" w:color="auto" w:fill="auto"/>
            <w:vAlign w:val="bottom"/>
            <w:hideMark/>
          </w:tcPr>
          <w:p w14:paraId="5D052109"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8D12E50"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7BEA76F2"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6CE2117B"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7C5875B"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1D47460E"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3A1512EF" w14:textId="77777777" w:rsidR="003E0C42" w:rsidRPr="00C0591E" w:rsidRDefault="003E0C42" w:rsidP="00A376E1">
            <w:pPr>
              <w:spacing w:after="0" w:line="240" w:lineRule="auto"/>
              <w:rPr>
                <w:rFonts w:eastAsia="Times New Roman"/>
              </w:rPr>
            </w:pPr>
            <w:r w:rsidRPr="00C0591E">
              <w:rPr>
                <w:rFonts w:eastAsia="Times New Roman"/>
              </w:rPr>
              <w:t>26</w:t>
            </w:r>
          </w:p>
        </w:tc>
        <w:tc>
          <w:tcPr>
            <w:tcW w:w="2842" w:type="pct"/>
            <w:tcBorders>
              <w:top w:val="nil"/>
              <w:left w:val="nil"/>
              <w:bottom w:val="single" w:sz="4" w:space="0" w:color="auto"/>
              <w:right w:val="single" w:sz="4" w:space="0" w:color="auto"/>
            </w:tcBorders>
            <w:shd w:val="clear" w:color="auto" w:fill="auto"/>
            <w:vAlign w:val="bottom"/>
            <w:hideMark/>
          </w:tcPr>
          <w:p w14:paraId="5584315E" w14:textId="77777777" w:rsidR="003E0C42" w:rsidRPr="00C0591E" w:rsidRDefault="003E0C42" w:rsidP="00A376E1">
            <w:pPr>
              <w:spacing w:after="0" w:line="240" w:lineRule="auto"/>
              <w:rPr>
                <w:rFonts w:eastAsia="Times New Roman"/>
              </w:rPr>
            </w:pPr>
            <w:r w:rsidRPr="00C0591E">
              <w:rPr>
                <w:rFonts w:eastAsia="Times New Roman"/>
              </w:rPr>
              <w:t>The Fund manager has a set quota for meetings of Trustees</w:t>
            </w:r>
          </w:p>
        </w:tc>
        <w:tc>
          <w:tcPr>
            <w:tcW w:w="384" w:type="pct"/>
            <w:tcBorders>
              <w:top w:val="nil"/>
              <w:left w:val="nil"/>
              <w:bottom w:val="single" w:sz="4" w:space="0" w:color="auto"/>
              <w:right w:val="single" w:sz="4" w:space="0" w:color="auto"/>
            </w:tcBorders>
            <w:shd w:val="clear" w:color="auto" w:fill="auto"/>
            <w:vAlign w:val="bottom"/>
            <w:hideMark/>
          </w:tcPr>
          <w:p w14:paraId="4B66B51F"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E3F3529"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19E74A00"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90EAF40"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3660E82"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48BF8482"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52573CBC" w14:textId="77777777" w:rsidR="003E0C42" w:rsidRPr="00C0591E" w:rsidRDefault="003E0C42" w:rsidP="00A376E1">
            <w:pPr>
              <w:spacing w:after="0" w:line="240" w:lineRule="auto"/>
              <w:rPr>
                <w:rFonts w:eastAsia="Times New Roman"/>
              </w:rPr>
            </w:pPr>
            <w:r w:rsidRPr="00C0591E">
              <w:rPr>
                <w:rFonts w:eastAsia="Times New Roman"/>
              </w:rPr>
              <w:t>27</w:t>
            </w:r>
          </w:p>
        </w:tc>
        <w:tc>
          <w:tcPr>
            <w:tcW w:w="2842" w:type="pct"/>
            <w:tcBorders>
              <w:top w:val="nil"/>
              <w:left w:val="nil"/>
              <w:bottom w:val="single" w:sz="4" w:space="0" w:color="auto"/>
              <w:right w:val="single" w:sz="4" w:space="0" w:color="auto"/>
            </w:tcBorders>
            <w:shd w:val="clear" w:color="auto" w:fill="auto"/>
            <w:vAlign w:val="bottom"/>
            <w:hideMark/>
          </w:tcPr>
          <w:p w14:paraId="77C1D43B" w14:textId="77777777" w:rsidR="003E0C42" w:rsidRPr="00C0591E" w:rsidRDefault="003E0C42" w:rsidP="00A376E1">
            <w:pPr>
              <w:spacing w:after="0" w:line="240" w:lineRule="auto"/>
              <w:rPr>
                <w:rFonts w:eastAsia="Times New Roman"/>
              </w:rPr>
            </w:pPr>
            <w:r w:rsidRPr="00C0591E">
              <w:rPr>
                <w:rFonts w:eastAsia="Times New Roman"/>
              </w:rPr>
              <w:t xml:space="preserve">The Fund manager has the conflict management process </w:t>
            </w:r>
          </w:p>
        </w:tc>
        <w:tc>
          <w:tcPr>
            <w:tcW w:w="384" w:type="pct"/>
            <w:tcBorders>
              <w:top w:val="nil"/>
              <w:left w:val="nil"/>
              <w:bottom w:val="single" w:sz="4" w:space="0" w:color="auto"/>
              <w:right w:val="single" w:sz="4" w:space="0" w:color="auto"/>
            </w:tcBorders>
            <w:shd w:val="clear" w:color="auto" w:fill="auto"/>
            <w:vAlign w:val="bottom"/>
            <w:hideMark/>
          </w:tcPr>
          <w:p w14:paraId="61F7D6C4"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7BF6F670"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4C5933B4"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1521548A"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AB4E4EF"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1527247A"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764B4757" w14:textId="77777777" w:rsidR="003E0C42" w:rsidRPr="00C0591E" w:rsidRDefault="003E0C42" w:rsidP="00A376E1">
            <w:pPr>
              <w:spacing w:after="0" w:line="240" w:lineRule="auto"/>
              <w:rPr>
                <w:rFonts w:eastAsia="Times New Roman"/>
              </w:rPr>
            </w:pPr>
            <w:r w:rsidRPr="00C0591E">
              <w:rPr>
                <w:rFonts w:eastAsia="Times New Roman"/>
              </w:rPr>
              <w:t>28</w:t>
            </w:r>
          </w:p>
        </w:tc>
        <w:tc>
          <w:tcPr>
            <w:tcW w:w="2842" w:type="pct"/>
            <w:tcBorders>
              <w:top w:val="nil"/>
              <w:left w:val="nil"/>
              <w:bottom w:val="single" w:sz="4" w:space="0" w:color="auto"/>
              <w:right w:val="single" w:sz="4" w:space="0" w:color="auto"/>
            </w:tcBorders>
            <w:shd w:val="clear" w:color="auto" w:fill="auto"/>
            <w:vAlign w:val="bottom"/>
            <w:hideMark/>
          </w:tcPr>
          <w:p w14:paraId="40FCC5D3" w14:textId="77777777" w:rsidR="003E0C42" w:rsidRPr="00C0591E" w:rsidRDefault="003E0C42" w:rsidP="00A376E1">
            <w:pPr>
              <w:spacing w:after="0" w:line="240" w:lineRule="auto"/>
              <w:rPr>
                <w:rFonts w:eastAsia="Times New Roman"/>
              </w:rPr>
            </w:pPr>
            <w:r w:rsidRPr="00C0591E">
              <w:rPr>
                <w:rFonts w:eastAsia="Times New Roman"/>
              </w:rPr>
              <w:t>The board has an effective remuneration committee.</w:t>
            </w:r>
          </w:p>
        </w:tc>
        <w:tc>
          <w:tcPr>
            <w:tcW w:w="384" w:type="pct"/>
            <w:tcBorders>
              <w:top w:val="nil"/>
              <w:left w:val="nil"/>
              <w:bottom w:val="single" w:sz="4" w:space="0" w:color="auto"/>
              <w:right w:val="single" w:sz="4" w:space="0" w:color="auto"/>
            </w:tcBorders>
            <w:shd w:val="clear" w:color="auto" w:fill="auto"/>
            <w:vAlign w:val="bottom"/>
            <w:hideMark/>
          </w:tcPr>
          <w:p w14:paraId="3C3DF4D0"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FE59C24"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16A3DCFC"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7616319"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E238EB8"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3B441AE0"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19AF2AEC" w14:textId="77777777" w:rsidR="003E0C42" w:rsidRPr="00C0591E" w:rsidRDefault="003E0C42" w:rsidP="00A376E1">
            <w:pPr>
              <w:spacing w:after="0" w:line="240" w:lineRule="auto"/>
              <w:rPr>
                <w:rFonts w:eastAsia="Times New Roman"/>
              </w:rPr>
            </w:pPr>
            <w:r w:rsidRPr="00C0591E">
              <w:rPr>
                <w:rFonts w:eastAsia="Times New Roman"/>
              </w:rPr>
              <w:t>29</w:t>
            </w:r>
          </w:p>
        </w:tc>
        <w:tc>
          <w:tcPr>
            <w:tcW w:w="2842" w:type="pct"/>
            <w:tcBorders>
              <w:top w:val="nil"/>
              <w:left w:val="nil"/>
              <w:bottom w:val="single" w:sz="4" w:space="0" w:color="auto"/>
              <w:right w:val="single" w:sz="4" w:space="0" w:color="auto"/>
            </w:tcBorders>
            <w:shd w:val="clear" w:color="auto" w:fill="auto"/>
            <w:vAlign w:val="bottom"/>
            <w:hideMark/>
          </w:tcPr>
          <w:p w14:paraId="700E67F6" w14:textId="77777777" w:rsidR="003E0C42" w:rsidRPr="00C0591E" w:rsidRDefault="003E0C42" w:rsidP="00A376E1">
            <w:pPr>
              <w:spacing w:after="0" w:line="240" w:lineRule="auto"/>
              <w:rPr>
                <w:rFonts w:eastAsia="Times New Roman"/>
              </w:rPr>
            </w:pPr>
            <w:r w:rsidRPr="00C0591E">
              <w:rPr>
                <w:rFonts w:eastAsia="Times New Roman"/>
              </w:rPr>
              <w:t>There is an elaborate policy on executive remuneration.</w:t>
            </w:r>
          </w:p>
        </w:tc>
        <w:tc>
          <w:tcPr>
            <w:tcW w:w="384" w:type="pct"/>
            <w:tcBorders>
              <w:top w:val="nil"/>
              <w:left w:val="nil"/>
              <w:bottom w:val="single" w:sz="4" w:space="0" w:color="auto"/>
              <w:right w:val="single" w:sz="4" w:space="0" w:color="auto"/>
            </w:tcBorders>
            <w:shd w:val="clear" w:color="auto" w:fill="auto"/>
            <w:vAlign w:val="bottom"/>
            <w:hideMark/>
          </w:tcPr>
          <w:p w14:paraId="73B74C77"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9FD540F"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668EB3C4"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B934AC3"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CA7C52D"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2B0F77F8"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3EC7E0D0" w14:textId="77777777" w:rsidR="003E0C42" w:rsidRPr="00C0591E" w:rsidRDefault="003E0C42" w:rsidP="00A376E1">
            <w:pPr>
              <w:spacing w:after="0" w:line="240" w:lineRule="auto"/>
              <w:rPr>
                <w:rFonts w:eastAsia="Times New Roman"/>
              </w:rPr>
            </w:pPr>
            <w:r w:rsidRPr="00C0591E">
              <w:rPr>
                <w:rFonts w:eastAsia="Times New Roman"/>
              </w:rPr>
              <w:t>30</w:t>
            </w:r>
          </w:p>
        </w:tc>
        <w:tc>
          <w:tcPr>
            <w:tcW w:w="2842" w:type="pct"/>
            <w:tcBorders>
              <w:top w:val="nil"/>
              <w:left w:val="nil"/>
              <w:bottom w:val="single" w:sz="4" w:space="0" w:color="auto"/>
              <w:right w:val="single" w:sz="4" w:space="0" w:color="auto"/>
            </w:tcBorders>
            <w:shd w:val="clear" w:color="auto" w:fill="auto"/>
            <w:vAlign w:val="bottom"/>
            <w:hideMark/>
          </w:tcPr>
          <w:p w14:paraId="15085273" w14:textId="77777777" w:rsidR="003E0C42" w:rsidRPr="00C0591E" w:rsidRDefault="003E0C42" w:rsidP="00A376E1">
            <w:pPr>
              <w:spacing w:after="0" w:line="240" w:lineRule="auto"/>
              <w:rPr>
                <w:rFonts w:eastAsia="Times New Roman"/>
              </w:rPr>
            </w:pPr>
            <w:r w:rsidRPr="00C0591E">
              <w:rPr>
                <w:rFonts w:eastAsia="Times New Roman"/>
              </w:rPr>
              <w:t>Executives are subject to annual appraisals</w:t>
            </w:r>
          </w:p>
        </w:tc>
        <w:tc>
          <w:tcPr>
            <w:tcW w:w="384" w:type="pct"/>
            <w:tcBorders>
              <w:top w:val="nil"/>
              <w:left w:val="nil"/>
              <w:bottom w:val="single" w:sz="4" w:space="0" w:color="auto"/>
              <w:right w:val="single" w:sz="4" w:space="0" w:color="auto"/>
            </w:tcBorders>
            <w:shd w:val="clear" w:color="auto" w:fill="auto"/>
            <w:vAlign w:val="bottom"/>
            <w:hideMark/>
          </w:tcPr>
          <w:p w14:paraId="7B4FB2CE"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B8B8F68"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74096B4F"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866B06F"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68B5A2F"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29A96316" w14:textId="77777777" w:rsidTr="00A376E1">
        <w:trPr>
          <w:trHeight w:val="288"/>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0B7A3618" w14:textId="77777777" w:rsidR="003E0C42" w:rsidRPr="00C0591E" w:rsidRDefault="003E0C42" w:rsidP="00A376E1">
            <w:pPr>
              <w:spacing w:after="0" w:line="240" w:lineRule="auto"/>
              <w:rPr>
                <w:rFonts w:eastAsia="Times New Roman"/>
              </w:rPr>
            </w:pPr>
            <w:r w:rsidRPr="00C0591E">
              <w:rPr>
                <w:rFonts w:eastAsia="Times New Roman"/>
              </w:rPr>
              <w:t>31</w:t>
            </w:r>
          </w:p>
        </w:tc>
        <w:tc>
          <w:tcPr>
            <w:tcW w:w="2842" w:type="pct"/>
            <w:tcBorders>
              <w:top w:val="nil"/>
              <w:left w:val="nil"/>
              <w:bottom w:val="single" w:sz="4" w:space="0" w:color="auto"/>
              <w:right w:val="single" w:sz="4" w:space="0" w:color="auto"/>
            </w:tcBorders>
            <w:shd w:val="clear" w:color="auto" w:fill="auto"/>
            <w:vAlign w:val="bottom"/>
            <w:hideMark/>
          </w:tcPr>
          <w:p w14:paraId="6A79F7C1" w14:textId="77777777" w:rsidR="003E0C42" w:rsidRPr="00C0591E" w:rsidRDefault="003E0C42" w:rsidP="00A376E1">
            <w:pPr>
              <w:spacing w:after="0" w:line="240" w:lineRule="auto"/>
              <w:rPr>
                <w:rFonts w:eastAsia="Times New Roman"/>
              </w:rPr>
            </w:pPr>
            <w:r w:rsidRPr="00C0591E">
              <w:rPr>
                <w:rFonts w:eastAsia="Times New Roman"/>
              </w:rPr>
              <w:t>Directors are subject to annual appraisals</w:t>
            </w:r>
          </w:p>
        </w:tc>
        <w:tc>
          <w:tcPr>
            <w:tcW w:w="384" w:type="pct"/>
            <w:tcBorders>
              <w:top w:val="nil"/>
              <w:left w:val="nil"/>
              <w:bottom w:val="single" w:sz="4" w:space="0" w:color="auto"/>
              <w:right w:val="single" w:sz="4" w:space="0" w:color="auto"/>
            </w:tcBorders>
            <w:shd w:val="clear" w:color="auto" w:fill="auto"/>
            <w:vAlign w:val="bottom"/>
            <w:hideMark/>
          </w:tcPr>
          <w:p w14:paraId="64229A6D"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1E8B3658"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DB09347"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5A0EE54E"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87FCB5D" w14:textId="77777777" w:rsidR="003E0C42" w:rsidRPr="00C0591E" w:rsidRDefault="003E0C42" w:rsidP="00A376E1">
            <w:pPr>
              <w:spacing w:after="0" w:line="240" w:lineRule="auto"/>
              <w:rPr>
                <w:rFonts w:eastAsia="Times New Roman"/>
              </w:rPr>
            </w:pPr>
            <w:r w:rsidRPr="00C0591E">
              <w:rPr>
                <w:rFonts w:eastAsia="Times New Roman"/>
              </w:rPr>
              <w:t> </w:t>
            </w:r>
          </w:p>
        </w:tc>
      </w:tr>
      <w:tr w:rsidR="003E0C42" w:rsidRPr="00C0591E" w14:paraId="6563CFB4" w14:textId="77777777" w:rsidTr="00A376E1">
        <w:trPr>
          <w:trHeight w:val="576"/>
        </w:trPr>
        <w:tc>
          <w:tcPr>
            <w:tcW w:w="238" w:type="pct"/>
            <w:tcBorders>
              <w:top w:val="nil"/>
              <w:left w:val="single" w:sz="4" w:space="0" w:color="auto"/>
              <w:bottom w:val="single" w:sz="4" w:space="0" w:color="auto"/>
              <w:right w:val="single" w:sz="4" w:space="0" w:color="auto"/>
            </w:tcBorders>
            <w:shd w:val="clear" w:color="auto" w:fill="auto"/>
            <w:vAlign w:val="bottom"/>
            <w:hideMark/>
          </w:tcPr>
          <w:p w14:paraId="624B1496" w14:textId="77777777" w:rsidR="003E0C42" w:rsidRPr="00C0591E" w:rsidRDefault="003E0C42" w:rsidP="00A376E1">
            <w:pPr>
              <w:spacing w:after="0" w:line="240" w:lineRule="auto"/>
              <w:rPr>
                <w:rFonts w:eastAsia="Times New Roman"/>
              </w:rPr>
            </w:pPr>
            <w:r w:rsidRPr="00C0591E">
              <w:rPr>
                <w:rFonts w:eastAsia="Times New Roman"/>
              </w:rPr>
              <w:t>32</w:t>
            </w:r>
          </w:p>
        </w:tc>
        <w:tc>
          <w:tcPr>
            <w:tcW w:w="2842" w:type="pct"/>
            <w:tcBorders>
              <w:top w:val="nil"/>
              <w:left w:val="nil"/>
              <w:bottom w:val="single" w:sz="4" w:space="0" w:color="auto"/>
              <w:right w:val="single" w:sz="4" w:space="0" w:color="auto"/>
            </w:tcBorders>
            <w:shd w:val="clear" w:color="auto" w:fill="auto"/>
            <w:vAlign w:val="bottom"/>
            <w:hideMark/>
          </w:tcPr>
          <w:p w14:paraId="7561B746" w14:textId="77777777" w:rsidR="003E0C42" w:rsidRPr="00C0591E" w:rsidRDefault="003E0C42" w:rsidP="00A376E1">
            <w:pPr>
              <w:spacing w:after="0" w:line="240" w:lineRule="auto"/>
              <w:rPr>
                <w:rFonts w:eastAsia="Times New Roman"/>
              </w:rPr>
            </w:pPr>
            <w:r w:rsidRPr="00C0591E">
              <w:rPr>
                <w:rFonts w:eastAsia="Times New Roman"/>
              </w:rPr>
              <w:t>Executive and Directors long term compensation is tied to shareholder returns</w:t>
            </w:r>
          </w:p>
        </w:tc>
        <w:tc>
          <w:tcPr>
            <w:tcW w:w="384" w:type="pct"/>
            <w:tcBorders>
              <w:top w:val="nil"/>
              <w:left w:val="nil"/>
              <w:bottom w:val="single" w:sz="4" w:space="0" w:color="auto"/>
              <w:right w:val="single" w:sz="4" w:space="0" w:color="auto"/>
            </w:tcBorders>
            <w:shd w:val="clear" w:color="auto" w:fill="auto"/>
            <w:vAlign w:val="bottom"/>
            <w:hideMark/>
          </w:tcPr>
          <w:p w14:paraId="40C0F124"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44EFBD88"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3C46E0E0"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062DBC62" w14:textId="77777777" w:rsidR="003E0C42" w:rsidRPr="00C0591E" w:rsidRDefault="003E0C42" w:rsidP="00A376E1">
            <w:pPr>
              <w:spacing w:after="0" w:line="240" w:lineRule="auto"/>
              <w:rPr>
                <w:rFonts w:eastAsia="Times New Roman"/>
              </w:rPr>
            </w:pPr>
            <w:r w:rsidRPr="00C0591E">
              <w:rPr>
                <w:rFonts w:eastAsia="Times New Roman"/>
              </w:rPr>
              <w:t> </w:t>
            </w:r>
          </w:p>
        </w:tc>
        <w:tc>
          <w:tcPr>
            <w:tcW w:w="384" w:type="pct"/>
            <w:tcBorders>
              <w:top w:val="nil"/>
              <w:left w:val="nil"/>
              <w:bottom w:val="single" w:sz="4" w:space="0" w:color="auto"/>
              <w:right w:val="single" w:sz="4" w:space="0" w:color="auto"/>
            </w:tcBorders>
            <w:shd w:val="clear" w:color="auto" w:fill="auto"/>
            <w:vAlign w:val="bottom"/>
            <w:hideMark/>
          </w:tcPr>
          <w:p w14:paraId="23A0A843" w14:textId="77777777" w:rsidR="003E0C42" w:rsidRPr="00C0591E" w:rsidRDefault="003E0C42" w:rsidP="00A376E1">
            <w:pPr>
              <w:spacing w:after="0" w:line="240" w:lineRule="auto"/>
              <w:rPr>
                <w:rFonts w:eastAsia="Times New Roman"/>
              </w:rPr>
            </w:pPr>
            <w:r w:rsidRPr="00C0591E">
              <w:rPr>
                <w:rFonts w:eastAsia="Times New Roman"/>
              </w:rPr>
              <w:t> </w:t>
            </w:r>
          </w:p>
        </w:tc>
      </w:tr>
    </w:tbl>
    <w:p w14:paraId="3728833E" w14:textId="1F3C2914" w:rsidR="00267BE6" w:rsidRPr="00C0591E" w:rsidRDefault="00267BE6" w:rsidP="00267BE6"/>
    <w:p w14:paraId="6200B8A2" w14:textId="55CEAAC5" w:rsidR="003E0C42" w:rsidRPr="00C0591E" w:rsidRDefault="003E0C42" w:rsidP="00267BE6"/>
    <w:p w14:paraId="747A3675" w14:textId="20F2AF6E" w:rsidR="003E0C42" w:rsidRPr="00C0591E" w:rsidRDefault="003E0C42" w:rsidP="00267BE6"/>
    <w:p w14:paraId="2E9CC3D9" w14:textId="77777777" w:rsidR="00267BE6" w:rsidRPr="00C0591E" w:rsidRDefault="00267BE6" w:rsidP="00267BE6">
      <w:pPr>
        <w:rPr>
          <w:rFonts w:cs="Times New Roman"/>
          <w:b/>
        </w:rPr>
      </w:pPr>
      <w:r w:rsidRPr="00C0591E">
        <w:rPr>
          <w:rFonts w:cs="Times New Roman"/>
          <w:b/>
        </w:rPr>
        <w:t xml:space="preserve">SECTION C: </w:t>
      </w:r>
      <w:r w:rsidRPr="00C0591E">
        <w:rPr>
          <w:rFonts w:eastAsia="Times New Roman" w:cs="Times New Roman"/>
          <w:b/>
          <w:color w:val="222222"/>
          <w:szCs w:val="19"/>
        </w:rPr>
        <w:t>INVESTMENT POLICIES</w:t>
      </w:r>
      <w:r w:rsidRPr="00C0591E">
        <w:rPr>
          <w:rFonts w:cs="Times New Roman"/>
          <w:b/>
        </w:rPr>
        <w:t xml:space="preserve"> IN </w:t>
      </w:r>
      <w:r w:rsidRPr="00C0591E">
        <w:rPr>
          <w:rFonts w:eastAsia="Times New Roman" w:cs="Times New Roman"/>
          <w:b/>
          <w:color w:val="222222"/>
          <w:szCs w:val="19"/>
        </w:rPr>
        <w:t>PENSION FUND MANAGERS </w:t>
      </w:r>
      <w:r w:rsidRPr="00C0591E">
        <w:rPr>
          <w:rFonts w:cs="Times New Roman"/>
          <w:b/>
        </w:rPr>
        <w:t xml:space="preserve"> </w:t>
      </w:r>
    </w:p>
    <w:p w14:paraId="7ECBD6CD" w14:textId="79018375" w:rsidR="00EE450E" w:rsidRPr="00C0591E" w:rsidRDefault="002C3F7A" w:rsidP="00EE450E">
      <w:pPr>
        <w:spacing w:after="0"/>
        <w:rPr>
          <w:rFonts w:eastAsia="Calibri" w:cs="Times New Roman"/>
          <w:bCs/>
          <w:szCs w:val="24"/>
        </w:rPr>
      </w:pPr>
      <w:r w:rsidRPr="00C0591E">
        <w:rPr>
          <w:szCs w:val="24"/>
        </w:rPr>
        <w:t>7</w:t>
      </w:r>
      <w:r w:rsidR="00A14A0E" w:rsidRPr="00C0591E">
        <w:rPr>
          <w:szCs w:val="24"/>
        </w:rPr>
        <w:t xml:space="preserve">. </w:t>
      </w:r>
      <w:r w:rsidR="00EE450E" w:rsidRPr="00C0591E">
        <w:rPr>
          <w:rFonts w:eastAsia="Calibri" w:cs="Times New Roman"/>
          <w:bCs/>
          <w:szCs w:val="24"/>
        </w:rPr>
        <w:t>Kindly indicate the extent to which the following attributes of investment policies affect your firm’s financial performance. Please (ƴ) tick appr</w:t>
      </w:r>
      <w:r w:rsidR="004718A2" w:rsidRPr="00C0591E">
        <w:rPr>
          <w:rFonts w:eastAsia="Calibri" w:cs="Times New Roman"/>
          <w:bCs/>
          <w:szCs w:val="24"/>
        </w:rPr>
        <w:t xml:space="preserve">opriately on a scale of 1-5. </w:t>
      </w:r>
    </w:p>
    <w:p w14:paraId="0762EBC6" w14:textId="3E723C63" w:rsidR="00AB3303" w:rsidRPr="00C0591E" w:rsidRDefault="00AB3303" w:rsidP="00AB3303">
      <w:pPr>
        <w:widowControl w:val="0"/>
        <w:autoSpaceDE w:val="0"/>
        <w:autoSpaceDN w:val="0"/>
        <w:adjustRightInd w:val="0"/>
        <w:spacing w:after="0"/>
        <w:ind w:left="100"/>
        <w:rPr>
          <w:b/>
          <w:bCs/>
          <w:color w:val="000000"/>
          <w:szCs w:val="24"/>
        </w:rPr>
      </w:pPr>
      <w:r w:rsidRPr="00C0591E">
        <w:rPr>
          <w:b/>
          <w:bCs/>
          <w:color w:val="000000"/>
          <w:szCs w:val="24"/>
        </w:rPr>
        <w:t>(1=Strongly Agree, 2=Agree, 3=Neutral, 4 =Disagree, 5=Strongly Disagree)</w:t>
      </w:r>
    </w:p>
    <w:p w14:paraId="3F8385FF" w14:textId="77777777" w:rsidR="00AB3303" w:rsidRPr="00C0591E" w:rsidRDefault="00AB3303" w:rsidP="00AB3303">
      <w:pPr>
        <w:widowControl w:val="0"/>
        <w:autoSpaceDE w:val="0"/>
        <w:autoSpaceDN w:val="0"/>
        <w:adjustRightInd w:val="0"/>
        <w:spacing w:after="0"/>
        <w:ind w:left="100"/>
        <w:rPr>
          <w:sz w:val="14"/>
          <w:szCs w:val="14"/>
        </w:rPr>
      </w:pPr>
    </w:p>
    <w:tbl>
      <w:tblPr>
        <w:tblStyle w:val="TableGrid"/>
        <w:tblW w:w="5000" w:type="pct"/>
        <w:tblLook w:val="04A0" w:firstRow="1" w:lastRow="0" w:firstColumn="1" w:lastColumn="0" w:noHBand="0" w:noVBand="1"/>
      </w:tblPr>
      <w:tblGrid>
        <w:gridCol w:w="520"/>
        <w:gridCol w:w="5989"/>
        <w:gridCol w:w="500"/>
        <w:gridCol w:w="499"/>
        <w:gridCol w:w="499"/>
        <w:gridCol w:w="499"/>
        <w:gridCol w:w="510"/>
      </w:tblGrid>
      <w:tr w:rsidR="00267BE6" w:rsidRPr="00C0591E" w14:paraId="2FF79D5E" w14:textId="77777777" w:rsidTr="00727013">
        <w:tc>
          <w:tcPr>
            <w:tcW w:w="288" w:type="pct"/>
          </w:tcPr>
          <w:p w14:paraId="73EA1A60" w14:textId="77777777" w:rsidR="00267BE6" w:rsidRPr="00C0591E" w:rsidRDefault="00267BE6" w:rsidP="00FD71D7">
            <w:pPr>
              <w:pStyle w:val="Header"/>
              <w:tabs>
                <w:tab w:val="clear" w:pos="4680"/>
                <w:tab w:val="clear" w:pos="9360"/>
              </w:tabs>
              <w:spacing w:line="276" w:lineRule="auto"/>
              <w:jc w:val="center"/>
              <w:rPr>
                <w:rFonts w:cs="Times New Roman"/>
                <w:szCs w:val="24"/>
              </w:rPr>
            </w:pPr>
          </w:p>
        </w:tc>
        <w:tc>
          <w:tcPr>
            <w:tcW w:w="3321" w:type="pct"/>
          </w:tcPr>
          <w:p w14:paraId="7702C9E9" w14:textId="4E23D834" w:rsidR="00267BE6" w:rsidRPr="00C0591E" w:rsidRDefault="00FD71D7" w:rsidP="00FD71D7">
            <w:pPr>
              <w:spacing w:after="0"/>
              <w:jc w:val="center"/>
              <w:rPr>
                <w:rFonts w:cs="Times New Roman"/>
                <w:b/>
                <w:szCs w:val="24"/>
              </w:rPr>
            </w:pPr>
            <w:r w:rsidRPr="00C0591E">
              <w:rPr>
                <w:b/>
              </w:rPr>
              <w:t>Statement</w:t>
            </w:r>
          </w:p>
        </w:tc>
        <w:tc>
          <w:tcPr>
            <w:tcW w:w="277" w:type="pct"/>
          </w:tcPr>
          <w:p w14:paraId="4108E55B" w14:textId="77777777" w:rsidR="00267BE6" w:rsidRPr="00C0591E" w:rsidRDefault="00267BE6" w:rsidP="00FD71D7">
            <w:pPr>
              <w:spacing w:after="0"/>
              <w:jc w:val="center"/>
              <w:rPr>
                <w:rFonts w:cs="Times New Roman"/>
                <w:b/>
                <w:szCs w:val="24"/>
              </w:rPr>
            </w:pPr>
            <w:r w:rsidRPr="00C0591E">
              <w:rPr>
                <w:rFonts w:cs="Times New Roman"/>
                <w:szCs w:val="24"/>
              </w:rPr>
              <w:t>1</w:t>
            </w:r>
          </w:p>
        </w:tc>
        <w:tc>
          <w:tcPr>
            <w:tcW w:w="277" w:type="pct"/>
          </w:tcPr>
          <w:p w14:paraId="0D53BBB0" w14:textId="77777777" w:rsidR="00267BE6" w:rsidRPr="00C0591E" w:rsidRDefault="00267BE6" w:rsidP="00FD71D7">
            <w:pPr>
              <w:spacing w:after="0"/>
              <w:jc w:val="center"/>
              <w:rPr>
                <w:rFonts w:cs="Times New Roman"/>
                <w:b/>
                <w:szCs w:val="24"/>
              </w:rPr>
            </w:pPr>
            <w:r w:rsidRPr="00C0591E">
              <w:rPr>
                <w:rFonts w:cs="Times New Roman"/>
                <w:szCs w:val="24"/>
              </w:rPr>
              <w:t>2</w:t>
            </w:r>
          </w:p>
        </w:tc>
        <w:tc>
          <w:tcPr>
            <w:tcW w:w="277" w:type="pct"/>
          </w:tcPr>
          <w:p w14:paraId="60540A6E" w14:textId="77777777" w:rsidR="00267BE6" w:rsidRPr="00C0591E" w:rsidRDefault="00267BE6" w:rsidP="00FD71D7">
            <w:pPr>
              <w:spacing w:after="0"/>
              <w:jc w:val="center"/>
              <w:rPr>
                <w:rFonts w:cs="Times New Roman"/>
                <w:b/>
                <w:szCs w:val="24"/>
              </w:rPr>
            </w:pPr>
            <w:r w:rsidRPr="00C0591E">
              <w:rPr>
                <w:rFonts w:cs="Times New Roman"/>
                <w:szCs w:val="24"/>
              </w:rPr>
              <w:t>3</w:t>
            </w:r>
          </w:p>
        </w:tc>
        <w:tc>
          <w:tcPr>
            <w:tcW w:w="277" w:type="pct"/>
          </w:tcPr>
          <w:p w14:paraId="13210058" w14:textId="77777777" w:rsidR="00267BE6" w:rsidRPr="00C0591E" w:rsidRDefault="00267BE6" w:rsidP="00FD71D7">
            <w:pPr>
              <w:spacing w:after="0"/>
              <w:jc w:val="center"/>
              <w:rPr>
                <w:rFonts w:cs="Times New Roman"/>
                <w:b/>
                <w:szCs w:val="24"/>
              </w:rPr>
            </w:pPr>
            <w:r w:rsidRPr="00C0591E">
              <w:rPr>
                <w:rFonts w:cs="Times New Roman"/>
                <w:szCs w:val="24"/>
              </w:rPr>
              <w:t>4</w:t>
            </w:r>
          </w:p>
        </w:tc>
        <w:tc>
          <w:tcPr>
            <w:tcW w:w="283" w:type="pct"/>
          </w:tcPr>
          <w:p w14:paraId="7416F666" w14:textId="77777777" w:rsidR="00267BE6" w:rsidRPr="00C0591E" w:rsidRDefault="00267BE6" w:rsidP="00FD71D7">
            <w:pPr>
              <w:spacing w:after="0"/>
              <w:jc w:val="center"/>
              <w:rPr>
                <w:rFonts w:cs="Times New Roman"/>
                <w:szCs w:val="24"/>
              </w:rPr>
            </w:pPr>
            <w:r w:rsidRPr="00C0591E">
              <w:rPr>
                <w:rFonts w:cs="Times New Roman"/>
                <w:szCs w:val="24"/>
              </w:rPr>
              <w:t>5</w:t>
            </w:r>
          </w:p>
        </w:tc>
      </w:tr>
      <w:tr w:rsidR="0064644D" w:rsidRPr="00C0591E" w14:paraId="6D05D48A" w14:textId="77777777" w:rsidTr="00727013">
        <w:tc>
          <w:tcPr>
            <w:tcW w:w="288" w:type="pct"/>
          </w:tcPr>
          <w:p w14:paraId="495CF1CB" w14:textId="77777777" w:rsidR="0064644D" w:rsidRPr="00C0591E" w:rsidRDefault="00BE6779" w:rsidP="00E01DA9">
            <w:pPr>
              <w:spacing w:after="0"/>
              <w:rPr>
                <w:rFonts w:cs="Times New Roman"/>
                <w:szCs w:val="24"/>
              </w:rPr>
            </w:pPr>
            <w:r w:rsidRPr="00C0591E">
              <w:rPr>
                <w:rFonts w:cs="Times New Roman"/>
                <w:szCs w:val="24"/>
              </w:rPr>
              <w:t>1.</w:t>
            </w:r>
          </w:p>
        </w:tc>
        <w:tc>
          <w:tcPr>
            <w:tcW w:w="3321" w:type="pct"/>
          </w:tcPr>
          <w:p w14:paraId="0DB4E000" w14:textId="77777777" w:rsidR="0064644D" w:rsidRPr="00C0591E" w:rsidRDefault="0064644D" w:rsidP="00BE6779">
            <w:pPr>
              <w:pStyle w:val="NoSpacing"/>
              <w:spacing w:line="276" w:lineRule="auto"/>
              <w:rPr>
                <w:rFonts w:cs="Times New Roman"/>
                <w:b/>
                <w:szCs w:val="24"/>
              </w:rPr>
            </w:pPr>
            <w:r w:rsidRPr="00C0591E">
              <w:t>Our pension plan rules do not restrict investments in any company</w:t>
            </w:r>
          </w:p>
        </w:tc>
        <w:tc>
          <w:tcPr>
            <w:tcW w:w="277" w:type="pct"/>
          </w:tcPr>
          <w:p w14:paraId="6F021F03" w14:textId="77777777" w:rsidR="0064644D" w:rsidRPr="00C0591E" w:rsidRDefault="0064644D" w:rsidP="00E01DA9">
            <w:pPr>
              <w:spacing w:after="0"/>
              <w:rPr>
                <w:rFonts w:cs="Times New Roman"/>
                <w:szCs w:val="24"/>
              </w:rPr>
            </w:pPr>
          </w:p>
        </w:tc>
        <w:tc>
          <w:tcPr>
            <w:tcW w:w="277" w:type="pct"/>
          </w:tcPr>
          <w:p w14:paraId="3F6CAD14" w14:textId="77777777" w:rsidR="0064644D" w:rsidRPr="00C0591E" w:rsidRDefault="0064644D" w:rsidP="00E01DA9">
            <w:pPr>
              <w:spacing w:after="0"/>
              <w:rPr>
                <w:rFonts w:cs="Times New Roman"/>
                <w:szCs w:val="24"/>
              </w:rPr>
            </w:pPr>
          </w:p>
        </w:tc>
        <w:tc>
          <w:tcPr>
            <w:tcW w:w="277" w:type="pct"/>
          </w:tcPr>
          <w:p w14:paraId="47389CD3" w14:textId="77777777" w:rsidR="0064644D" w:rsidRPr="00C0591E" w:rsidRDefault="0064644D" w:rsidP="00E01DA9">
            <w:pPr>
              <w:spacing w:after="0"/>
              <w:rPr>
                <w:rFonts w:cs="Times New Roman"/>
                <w:szCs w:val="24"/>
              </w:rPr>
            </w:pPr>
          </w:p>
        </w:tc>
        <w:tc>
          <w:tcPr>
            <w:tcW w:w="277" w:type="pct"/>
          </w:tcPr>
          <w:p w14:paraId="61E52C35" w14:textId="77777777" w:rsidR="0064644D" w:rsidRPr="00C0591E" w:rsidRDefault="0064644D" w:rsidP="00E01DA9">
            <w:pPr>
              <w:spacing w:after="0"/>
              <w:rPr>
                <w:rFonts w:cs="Times New Roman"/>
                <w:szCs w:val="24"/>
              </w:rPr>
            </w:pPr>
          </w:p>
        </w:tc>
        <w:tc>
          <w:tcPr>
            <w:tcW w:w="283" w:type="pct"/>
          </w:tcPr>
          <w:p w14:paraId="2FDDDA20" w14:textId="77777777" w:rsidR="0064644D" w:rsidRPr="00C0591E" w:rsidRDefault="0064644D" w:rsidP="00E01DA9">
            <w:pPr>
              <w:spacing w:after="0"/>
              <w:rPr>
                <w:rFonts w:cs="Times New Roman"/>
                <w:szCs w:val="24"/>
              </w:rPr>
            </w:pPr>
          </w:p>
        </w:tc>
      </w:tr>
      <w:tr w:rsidR="0064644D" w:rsidRPr="00C0591E" w14:paraId="02D06C4F" w14:textId="77777777" w:rsidTr="00727013">
        <w:tc>
          <w:tcPr>
            <w:tcW w:w="288" w:type="pct"/>
          </w:tcPr>
          <w:p w14:paraId="13B7A6F3" w14:textId="77777777" w:rsidR="0064644D" w:rsidRPr="00C0591E" w:rsidRDefault="00BE6779" w:rsidP="00E01DA9">
            <w:pPr>
              <w:spacing w:after="0"/>
              <w:rPr>
                <w:rFonts w:cs="Times New Roman"/>
                <w:szCs w:val="24"/>
              </w:rPr>
            </w:pPr>
            <w:r w:rsidRPr="00C0591E">
              <w:rPr>
                <w:rFonts w:cs="Times New Roman"/>
                <w:szCs w:val="24"/>
              </w:rPr>
              <w:t>2.</w:t>
            </w:r>
          </w:p>
        </w:tc>
        <w:tc>
          <w:tcPr>
            <w:tcW w:w="3321" w:type="pct"/>
          </w:tcPr>
          <w:p w14:paraId="078C72A6" w14:textId="77777777" w:rsidR="0064644D" w:rsidRPr="00C0591E" w:rsidRDefault="00BE6779" w:rsidP="00BE6779">
            <w:pPr>
              <w:spacing w:after="0"/>
              <w:rPr>
                <w:rFonts w:cs="Times New Roman"/>
                <w:b/>
                <w:szCs w:val="24"/>
              </w:rPr>
            </w:pPr>
            <w:r w:rsidRPr="00C0591E">
              <w:t>We have a pension investment committee that makes investment decisions</w:t>
            </w:r>
          </w:p>
        </w:tc>
        <w:tc>
          <w:tcPr>
            <w:tcW w:w="277" w:type="pct"/>
          </w:tcPr>
          <w:p w14:paraId="321710E3" w14:textId="77777777" w:rsidR="0064644D" w:rsidRPr="00C0591E" w:rsidRDefault="0064644D" w:rsidP="00E01DA9">
            <w:pPr>
              <w:spacing w:after="0"/>
              <w:rPr>
                <w:rFonts w:cs="Times New Roman"/>
                <w:szCs w:val="24"/>
              </w:rPr>
            </w:pPr>
          </w:p>
        </w:tc>
        <w:tc>
          <w:tcPr>
            <w:tcW w:w="277" w:type="pct"/>
          </w:tcPr>
          <w:p w14:paraId="39EFB25A" w14:textId="77777777" w:rsidR="0064644D" w:rsidRPr="00C0591E" w:rsidRDefault="0064644D" w:rsidP="00E01DA9">
            <w:pPr>
              <w:spacing w:after="0"/>
              <w:rPr>
                <w:rFonts w:cs="Times New Roman"/>
                <w:szCs w:val="24"/>
              </w:rPr>
            </w:pPr>
          </w:p>
        </w:tc>
        <w:tc>
          <w:tcPr>
            <w:tcW w:w="277" w:type="pct"/>
          </w:tcPr>
          <w:p w14:paraId="3B99F106" w14:textId="77777777" w:rsidR="0064644D" w:rsidRPr="00C0591E" w:rsidRDefault="0064644D" w:rsidP="00E01DA9">
            <w:pPr>
              <w:spacing w:after="0"/>
              <w:rPr>
                <w:rFonts w:cs="Times New Roman"/>
                <w:szCs w:val="24"/>
              </w:rPr>
            </w:pPr>
          </w:p>
        </w:tc>
        <w:tc>
          <w:tcPr>
            <w:tcW w:w="277" w:type="pct"/>
          </w:tcPr>
          <w:p w14:paraId="1BC05437" w14:textId="77777777" w:rsidR="0064644D" w:rsidRPr="00C0591E" w:rsidRDefault="0064644D" w:rsidP="00E01DA9">
            <w:pPr>
              <w:spacing w:after="0"/>
              <w:rPr>
                <w:rFonts w:cs="Times New Roman"/>
                <w:szCs w:val="24"/>
              </w:rPr>
            </w:pPr>
          </w:p>
        </w:tc>
        <w:tc>
          <w:tcPr>
            <w:tcW w:w="283" w:type="pct"/>
          </w:tcPr>
          <w:p w14:paraId="3C6B7E13" w14:textId="77777777" w:rsidR="0064644D" w:rsidRPr="00C0591E" w:rsidRDefault="0064644D" w:rsidP="00E01DA9">
            <w:pPr>
              <w:spacing w:after="0"/>
              <w:rPr>
                <w:rFonts w:cs="Times New Roman"/>
                <w:szCs w:val="24"/>
              </w:rPr>
            </w:pPr>
          </w:p>
        </w:tc>
      </w:tr>
      <w:tr w:rsidR="0064644D" w:rsidRPr="00C0591E" w14:paraId="1B7A3DC2" w14:textId="77777777" w:rsidTr="00727013">
        <w:tc>
          <w:tcPr>
            <w:tcW w:w="288" w:type="pct"/>
          </w:tcPr>
          <w:p w14:paraId="10D7B82B" w14:textId="77777777" w:rsidR="0064644D" w:rsidRPr="00C0591E" w:rsidRDefault="00BE6779" w:rsidP="00E01DA9">
            <w:pPr>
              <w:spacing w:after="0"/>
              <w:rPr>
                <w:rFonts w:cs="Times New Roman"/>
                <w:szCs w:val="24"/>
              </w:rPr>
            </w:pPr>
            <w:r w:rsidRPr="00C0591E">
              <w:rPr>
                <w:rFonts w:cs="Times New Roman"/>
                <w:szCs w:val="24"/>
              </w:rPr>
              <w:t>3.</w:t>
            </w:r>
          </w:p>
        </w:tc>
        <w:tc>
          <w:tcPr>
            <w:tcW w:w="3321" w:type="pct"/>
          </w:tcPr>
          <w:p w14:paraId="3EC0F635" w14:textId="77777777" w:rsidR="0064644D" w:rsidRPr="00C0591E" w:rsidRDefault="00BE6779" w:rsidP="00BE6779">
            <w:pPr>
              <w:spacing w:after="0"/>
              <w:rPr>
                <w:rFonts w:cs="Times New Roman"/>
                <w:b/>
                <w:szCs w:val="24"/>
              </w:rPr>
            </w:pPr>
            <w:r w:rsidRPr="00C0591E">
              <w:t>Trustees are covered by liability insurance</w:t>
            </w:r>
          </w:p>
        </w:tc>
        <w:tc>
          <w:tcPr>
            <w:tcW w:w="277" w:type="pct"/>
          </w:tcPr>
          <w:p w14:paraId="0BB21CA9" w14:textId="77777777" w:rsidR="0064644D" w:rsidRPr="00C0591E" w:rsidRDefault="0064644D" w:rsidP="00E01DA9">
            <w:pPr>
              <w:spacing w:after="0"/>
              <w:rPr>
                <w:rFonts w:cs="Times New Roman"/>
                <w:szCs w:val="24"/>
              </w:rPr>
            </w:pPr>
          </w:p>
        </w:tc>
        <w:tc>
          <w:tcPr>
            <w:tcW w:w="277" w:type="pct"/>
          </w:tcPr>
          <w:p w14:paraId="4B0224DC" w14:textId="77777777" w:rsidR="0064644D" w:rsidRPr="00C0591E" w:rsidRDefault="0064644D" w:rsidP="00E01DA9">
            <w:pPr>
              <w:spacing w:after="0"/>
              <w:rPr>
                <w:rFonts w:cs="Times New Roman"/>
                <w:szCs w:val="24"/>
              </w:rPr>
            </w:pPr>
          </w:p>
        </w:tc>
        <w:tc>
          <w:tcPr>
            <w:tcW w:w="277" w:type="pct"/>
          </w:tcPr>
          <w:p w14:paraId="2C4CDEDE" w14:textId="77777777" w:rsidR="0064644D" w:rsidRPr="00C0591E" w:rsidRDefault="0064644D" w:rsidP="00E01DA9">
            <w:pPr>
              <w:spacing w:after="0"/>
              <w:rPr>
                <w:rFonts w:cs="Times New Roman"/>
                <w:szCs w:val="24"/>
              </w:rPr>
            </w:pPr>
          </w:p>
        </w:tc>
        <w:tc>
          <w:tcPr>
            <w:tcW w:w="277" w:type="pct"/>
          </w:tcPr>
          <w:p w14:paraId="1C0EC76A" w14:textId="77777777" w:rsidR="0064644D" w:rsidRPr="00C0591E" w:rsidRDefault="0064644D" w:rsidP="00E01DA9">
            <w:pPr>
              <w:spacing w:after="0"/>
              <w:rPr>
                <w:rFonts w:cs="Times New Roman"/>
                <w:szCs w:val="24"/>
              </w:rPr>
            </w:pPr>
          </w:p>
        </w:tc>
        <w:tc>
          <w:tcPr>
            <w:tcW w:w="283" w:type="pct"/>
          </w:tcPr>
          <w:p w14:paraId="7E04DC09" w14:textId="77777777" w:rsidR="0064644D" w:rsidRPr="00C0591E" w:rsidRDefault="0064644D" w:rsidP="00E01DA9">
            <w:pPr>
              <w:spacing w:after="0"/>
              <w:rPr>
                <w:rFonts w:cs="Times New Roman"/>
                <w:szCs w:val="24"/>
              </w:rPr>
            </w:pPr>
          </w:p>
        </w:tc>
      </w:tr>
      <w:tr w:rsidR="0064644D" w:rsidRPr="00C0591E" w14:paraId="70CC0474" w14:textId="77777777" w:rsidTr="00727013">
        <w:tc>
          <w:tcPr>
            <w:tcW w:w="288" w:type="pct"/>
          </w:tcPr>
          <w:p w14:paraId="3B9FF1F3" w14:textId="77777777" w:rsidR="0064644D" w:rsidRPr="00C0591E" w:rsidRDefault="00BE6779" w:rsidP="00E01DA9">
            <w:pPr>
              <w:spacing w:after="0"/>
              <w:rPr>
                <w:rFonts w:cs="Times New Roman"/>
                <w:szCs w:val="24"/>
              </w:rPr>
            </w:pPr>
            <w:r w:rsidRPr="00C0591E">
              <w:rPr>
                <w:rFonts w:cs="Times New Roman"/>
                <w:szCs w:val="24"/>
              </w:rPr>
              <w:t>4.</w:t>
            </w:r>
          </w:p>
        </w:tc>
        <w:tc>
          <w:tcPr>
            <w:tcW w:w="3321" w:type="pct"/>
          </w:tcPr>
          <w:p w14:paraId="0211D325" w14:textId="0E014315" w:rsidR="0064644D" w:rsidRPr="00C0591E" w:rsidRDefault="00BE6779" w:rsidP="00204097">
            <w:pPr>
              <w:spacing w:after="0"/>
              <w:rPr>
                <w:rFonts w:cs="Times New Roman"/>
                <w:b/>
                <w:szCs w:val="24"/>
              </w:rPr>
            </w:pPr>
            <w:r w:rsidRPr="00C0591E">
              <w:t>We have invested more in fixed interest investments (bonds and Treasury bills) over the past two years</w:t>
            </w:r>
          </w:p>
        </w:tc>
        <w:tc>
          <w:tcPr>
            <w:tcW w:w="277" w:type="pct"/>
          </w:tcPr>
          <w:p w14:paraId="00DDDA15" w14:textId="77777777" w:rsidR="0064644D" w:rsidRPr="00C0591E" w:rsidRDefault="0064644D" w:rsidP="00E01DA9">
            <w:pPr>
              <w:spacing w:after="0"/>
              <w:rPr>
                <w:rFonts w:cs="Times New Roman"/>
                <w:szCs w:val="24"/>
              </w:rPr>
            </w:pPr>
          </w:p>
        </w:tc>
        <w:tc>
          <w:tcPr>
            <w:tcW w:w="277" w:type="pct"/>
          </w:tcPr>
          <w:p w14:paraId="5A040E7A" w14:textId="77777777" w:rsidR="0064644D" w:rsidRPr="00C0591E" w:rsidRDefault="0064644D" w:rsidP="00E01DA9">
            <w:pPr>
              <w:spacing w:after="0"/>
              <w:rPr>
                <w:rFonts w:cs="Times New Roman"/>
                <w:szCs w:val="24"/>
              </w:rPr>
            </w:pPr>
          </w:p>
        </w:tc>
        <w:tc>
          <w:tcPr>
            <w:tcW w:w="277" w:type="pct"/>
          </w:tcPr>
          <w:p w14:paraId="68AC4DA8" w14:textId="77777777" w:rsidR="0064644D" w:rsidRPr="00C0591E" w:rsidRDefault="0064644D" w:rsidP="00E01DA9">
            <w:pPr>
              <w:spacing w:after="0"/>
              <w:rPr>
                <w:rFonts w:cs="Times New Roman"/>
                <w:szCs w:val="24"/>
              </w:rPr>
            </w:pPr>
          </w:p>
        </w:tc>
        <w:tc>
          <w:tcPr>
            <w:tcW w:w="277" w:type="pct"/>
          </w:tcPr>
          <w:p w14:paraId="352C0FFB" w14:textId="77777777" w:rsidR="0064644D" w:rsidRPr="00C0591E" w:rsidRDefault="0064644D" w:rsidP="00E01DA9">
            <w:pPr>
              <w:spacing w:after="0"/>
              <w:rPr>
                <w:rFonts w:cs="Times New Roman"/>
                <w:szCs w:val="24"/>
              </w:rPr>
            </w:pPr>
          </w:p>
        </w:tc>
        <w:tc>
          <w:tcPr>
            <w:tcW w:w="283" w:type="pct"/>
          </w:tcPr>
          <w:p w14:paraId="766DE3E0" w14:textId="77777777" w:rsidR="0064644D" w:rsidRPr="00C0591E" w:rsidRDefault="0064644D" w:rsidP="00E01DA9">
            <w:pPr>
              <w:spacing w:after="0"/>
              <w:rPr>
                <w:rFonts w:cs="Times New Roman"/>
                <w:szCs w:val="24"/>
              </w:rPr>
            </w:pPr>
          </w:p>
        </w:tc>
      </w:tr>
      <w:tr w:rsidR="00BE6779" w:rsidRPr="00C0591E" w14:paraId="2C2F4AB9" w14:textId="77777777" w:rsidTr="00727013">
        <w:tc>
          <w:tcPr>
            <w:tcW w:w="288" w:type="pct"/>
          </w:tcPr>
          <w:p w14:paraId="5DD3CE8D" w14:textId="77777777" w:rsidR="00BE6779" w:rsidRPr="00C0591E" w:rsidRDefault="00BE6779" w:rsidP="00E01DA9">
            <w:pPr>
              <w:spacing w:after="0"/>
              <w:rPr>
                <w:rFonts w:cs="Times New Roman"/>
                <w:szCs w:val="24"/>
              </w:rPr>
            </w:pPr>
            <w:r w:rsidRPr="00C0591E">
              <w:rPr>
                <w:rFonts w:cs="Times New Roman"/>
                <w:szCs w:val="24"/>
              </w:rPr>
              <w:t>5.</w:t>
            </w:r>
          </w:p>
        </w:tc>
        <w:tc>
          <w:tcPr>
            <w:tcW w:w="3321" w:type="pct"/>
          </w:tcPr>
          <w:p w14:paraId="21A7CD2B" w14:textId="77777777" w:rsidR="00BE6779" w:rsidRPr="00C0591E" w:rsidRDefault="00BE6779" w:rsidP="00BE6779">
            <w:pPr>
              <w:spacing w:after="0"/>
              <w:rPr>
                <w:rFonts w:cs="Times New Roman"/>
                <w:b/>
                <w:szCs w:val="24"/>
              </w:rPr>
            </w:pPr>
            <w:r w:rsidRPr="00C0591E">
              <w:t>RBA rules on investment restrictions have a negative impact on our investment decisions</w:t>
            </w:r>
          </w:p>
        </w:tc>
        <w:tc>
          <w:tcPr>
            <w:tcW w:w="277" w:type="pct"/>
          </w:tcPr>
          <w:p w14:paraId="3D76AB36" w14:textId="77777777" w:rsidR="00BE6779" w:rsidRPr="00C0591E" w:rsidRDefault="00BE6779" w:rsidP="00E01DA9">
            <w:pPr>
              <w:spacing w:after="0"/>
              <w:rPr>
                <w:rFonts w:cs="Times New Roman"/>
                <w:szCs w:val="24"/>
              </w:rPr>
            </w:pPr>
          </w:p>
        </w:tc>
        <w:tc>
          <w:tcPr>
            <w:tcW w:w="277" w:type="pct"/>
          </w:tcPr>
          <w:p w14:paraId="0C930020" w14:textId="77777777" w:rsidR="00BE6779" w:rsidRPr="00C0591E" w:rsidRDefault="00BE6779" w:rsidP="00E01DA9">
            <w:pPr>
              <w:spacing w:after="0"/>
              <w:rPr>
                <w:rFonts w:cs="Times New Roman"/>
                <w:szCs w:val="24"/>
              </w:rPr>
            </w:pPr>
          </w:p>
        </w:tc>
        <w:tc>
          <w:tcPr>
            <w:tcW w:w="277" w:type="pct"/>
          </w:tcPr>
          <w:p w14:paraId="7E78865E" w14:textId="77777777" w:rsidR="00BE6779" w:rsidRPr="00C0591E" w:rsidRDefault="00BE6779" w:rsidP="00E01DA9">
            <w:pPr>
              <w:spacing w:after="0"/>
              <w:rPr>
                <w:rFonts w:cs="Times New Roman"/>
                <w:szCs w:val="24"/>
              </w:rPr>
            </w:pPr>
          </w:p>
        </w:tc>
        <w:tc>
          <w:tcPr>
            <w:tcW w:w="277" w:type="pct"/>
          </w:tcPr>
          <w:p w14:paraId="70C7AD92" w14:textId="77777777" w:rsidR="00BE6779" w:rsidRPr="00C0591E" w:rsidRDefault="00BE6779" w:rsidP="00E01DA9">
            <w:pPr>
              <w:spacing w:after="0"/>
              <w:rPr>
                <w:rFonts w:cs="Times New Roman"/>
                <w:szCs w:val="24"/>
              </w:rPr>
            </w:pPr>
          </w:p>
        </w:tc>
        <w:tc>
          <w:tcPr>
            <w:tcW w:w="283" w:type="pct"/>
          </w:tcPr>
          <w:p w14:paraId="375AA9C2" w14:textId="77777777" w:rsidR="00BE6779" w:rsidRPr="00C0591E" w:rsidRDefault="00BE6779" w:rsidP="00E01DA9">
            <w:pPr>
              <w:spacing w:after="0"/>
              <w:rPr>
                <w:rFonts w:cs="Times New Roman"/>
                <w:szCs w:val="24"/>
              </w:rPr>
            </w:pPr>
          </w:p>
        </w:tc>
      </w:tr>
      <w:tr w:rsidR="00BE6779" w:rsidRPr="00C0591E" w14:paraId="58A62207" w14:textId="77777777" w:rsidTr="00727013">
        <w:tc>
          <w:tcPr>
            <w:tcW w:w="288" w:type="pct"/>
          </w:tcPr>
          <w:p w14:paraId="2D526D7B" w14:textId="77777777" w:rsidR="00BE6779" w:rsidRPr="00C0591E" w:rsidRDefault="00BE6779" w:rsidP="00E01DA9">
            <w:pPr>
              <w:spacing w:after="0"/>
              <w:rPr>
                <w:rFonts w:cs="Times New Roman"/>
                <w:szCs w:val="24"/>
              </w:rPr>
            </w:pPr>
            <w:r w:rsidRPr="00C0591E">
              <w:rPr>
                <w:rFonts w:cs="Times New Roman"/>
                <w:szCs w:val="24"/>
              </w:rPr>
              <w:t>6.</w:t>
            </w:r>
          </w:p>
        </w:tc>
        <w:tc>
          <w:tcPr>
            <w:tcW w:w="3321" w:type="pct"/>
          </w:tcPr>
          <w:p w14:paraId="4E3ECC18" w14:textId="77777777" w:rsidR="00BE6779" w:rsidRPr="00C0591E" w:rsidRDefault="00BE6779" w:rsidP="00BE6779">
            <w:pPr>
              <w:spacing w:after="0"/>
              <w:rPr>
                <w:rFonts w:cs="Times New Roman"/>
                <w:b/>
                <w:szCs w:val="24"/>
              </w:rPr>
            </w:pPr>
            <w:r w:rsidRPr="00C0591E">
              <w:t>We conduct independent evaluations of our pension fund performance to confirm the rates given by the fund administrators</w:t>
            </w:r>
          </w:p>
        </w:tc>
        <w:tc>
          <w:tcPr>
            <w:tcW w:w="277" w:type="pct"/>
          </w:tcPr>
          <w:p w14:paraId="5A288856" w14:textId="77777777" w:rsidR="00BE6779" w:rsidRPr="00C0591E" w:rsidRDefault="00BE6779" w:rsidP="00E01DA9">
            <w:pPr>
              <w:spacing w:after="0"/>
              <w:rPr>
                <w:rFonts w:cs="Times New Roman"/>
                <w:szCs w:val="24"/>
              </w:rPr>
            </w:pPr>
          </w:p>
        </w:tc>
        <w:tc>
          <w:tcPr>
            <w:tcW w:w="277" w:type="pct"/>
          </w:tcPr>
          <w:p w14:paraId="6003405A" w14:textId="77777777" w:rsidR="00BE6779" w:rsidRPr="00C0591E" w:rsidRDefault="00BE6779" w:rsidP="00E01DA9">
            <w:pPr>
              <w:spacing w:after="0"/>
              <w:rPr>
                <w:rFonts w:cs="Times New Roman"/>
                <w:szCs w:val="24"/>
              </w:rPr>
            </w:pPr>
          </w:p>
        </w:tc>
        <w:tc>
          <w:tcPr>
            <w:tcW w:w="277" w:type="pct"/>
          </w:tcPr>
          <w:p w14:paraId="77C8B939" w14:textId="77777777" w:rsidR="00BE6779" w:rsidRPr="00C0591E" w:rsidRDefault="00BE6779" w:rsidP="00E01DA9">
            <w:pPr>
              <w:spacing w:after="0"/>
              <w:rPr>
                <w:rFonts w:cs="Times New Roman"/>
                <w:szCs w:val="24"/>
              </w:rPr>
            </w:pPr>
          </w:p>
        </w:tc>
        <w:tc>
          <w:tcPr>
            <w:tcW w:w="277" w:type="pct"/>
          </w:tcPr>
          <w:p w14:paraId="6A76BB90" w14:textId="77777777" w:rsidR="00BE6779" w:rsidRPr="00C0591E" w:rsidRDefault="00BE6779" w:rsidP="00E01DA9">
            <w:pPr>
              <w:spacing w:after="0"/>
              <w:rPr>
                <w:rFonts w:cs="Times New Roman"/>
                <w:szCs w:val="24"/>
              </w:rPr>
            </w:pPr>
          </w:p>
        </w:tc>
        <w:tc>
          <w:tcPr>
            <w:tcW w:w="283" w:type="pct"/>
          </w:tcPr>
          <w:p w14:paraId="680666E4" w14:textId="77777777" w:rsidR="00BE6779" w:rsidRPr="00C0591E" w:rsidRDefault="00BE6779" w:rsidP="00E01DA9">
            <w:pPr>
              <w:spacing w:after="0"/>
              <w:rPr>
                <w:rFonts w:cs="Times New Roman"/>
                <w:szCs w:val="24"/>
              </w:rPr>
            </w:pPr>
          </w:p>
        </w:tc>
      </w:tr>
      <w:tr w:rsidR="00BE6779" w:rsidRPr="00C0591E" w14:paraId="13E05457" w14:textId="77777777" w:rsidTr="00727013">
        <w:tc>
          <w:tcPr>
            <w:tcW w:w="288" w:type="pct"/>
          </w:tcPr>
          <w:p w14:paraId="78744147" w14:textId="77777777" w:rsidR="00BE6779" w:rsidRPr="00C0591E" w:rsidRDefault="00BE6779" w:rsidP="00E01DA9">
            <w:pPr>
              <w:spacing w:after="0"/>
              <w:rPr>
                <w:rFonts w:cs="Times New Roman"/>
                <w:szCs w:val="24"/>
              </w:rPr>
            </w:pPr>
            <w:r w:rsidRPr="00C0591E">
              <w:rPr>
                <w:rFonts w:cs="Times New Roman"/>
                <w:szCs w:val="24"/>
              </w:rPr>
              <w:t>7.</w:t>
            </w:r>
          </w:p>
        </w:tc>
        <w:tc>
          <w:tcPr>
            <w:tcW w:w="3321" w:type="pct"/>
          </w:tcPr>
          <w:p w14:paraId="1EF93FB9" w14:textId="77777777" w:rsidR="00BE6779" w:rsidRPr="00C0591E" w:rsidRDefault="00BE6779" w:rsidP="00BE6779">
            <w:pPr>
              <w:spacing w:after="0"/>
              <w:rPr>
                <w:rFonts w:cs="Times New Roman"/>
                <w:b/>
                <w:szCs w:val="24"/>
              </w:rPr>
            </w:pPr>
            <w:r w:rsidRPr="00C0591E">
              <w:t>We have a clear investment policy that is strictly implemented</w:t>
            </w:r>
          </w:p>
        </w:tc>
        <w:tc>
          <w:tcPr>
            <w:tcW w:w="277" w:type="pct"/>
          </w:tcPr>
          <w:p w14:paraId="5B0E6AA8" w14:textId="77777777" w:rsidR="00BE6779" w:rsidRPr="00C0591E" w:rsidRDefault="00BE6779" w:rsidP="00E01DA9">
            <w:pPr>
              <w:spacing w:after="0"/>
              <w:rPr>
                <w:rFonts w:cs="Times New Roman"/>
                <w:szCs w:val="24"/>
              </w:rPr>
            </w:pPr>
          </w:p>
        </w:tc>
        <w:tc>
          <w:tcPr>
            <w:tcW w:w="277" w:type="pct"/>
          </w:tcPr>
          <w:p w14:paraId="531E8FB0" w14:textId="77777777" w:rsidR="00BE6779" w:rsidRPr="00C0591E" w:rsidRDefault="00BE6779" w:rsidP="00E01DA9">
            <w:pPr>
              <w:spacing w:after="0"/>
              <w:rPr>
                <w:rFonts w:cs="Times New Roman"/>
                <w:szCs w:val="24"/>
              </w:rPr>
            </w:pPr>
          </w:p>
        </w:tc>
        <w:tc>
          <w:tcPr>
            <w:tcW w:w="277" w:type="pct"/>
          </w:tcPr>
          <w:p w14:paraId="567B38EA" w14:textId="77777777" w:rsidR="00BE6779" w:rsidRPr="00C0591E" w:rsidRDefault="00BE6779" w:rsidP="00E01DA9">
            <w:pPr>
              <w:spacing w:after="0"/>
              <w:rPr>
                <w:rFonts w:cs="Times New Roman"/>
                <w:szCs w:val="24"/>
              </w:rPr>
            </w:pPr>
          </w:p>
        </w:tc>
        <w:tc>
          <w:tcPr>
            <w:tcW w:w="277" w:type="pct"/>
          </w:tcPr>
          <w:p w14:paraId="50434B03" w14:textId="77777777" w:rsidR="00BE6779" w:rsidRPr="00C0591E" w:rsidRDefault="00BE6779" w:rsidP="00E01DA9">
            <w:pPr>
              <w:spacing w:after="0"/>
              <w:rPr>
                <w:rFonts w:cs="Times New Roman"/>
                <w:szCs w:val="24"/>
              </w:rPr>
            </w:pPr>
          </w:p>
        </w:tc>
        <w:tc>
          <w:tcPr>
            <w:tcW w:w="283" w:type="pct"/>
          </w:tcPr>
          <w:p w14:paraId="40A1A268" w14:textId="77777777" w:rsidR="00BE6779" w:rsidRPr="00C0591E" w:rsidRDefault="00BE6779" w:rsidP="00E01DA9">
            <w:pPr>
              <w:spacing w:after="0"/>
              <w:rPr>
                <w:rFonts w:cs="Times New Roman"/>
                <w:szCs w:val="24"/>
              </w:rPr>
            </w:pPr>
          </w:p>
        </w:tc>
      </w:tr>
      <w:tr w:rsidR="00BE6779" w:rsidRPr="00C0591E" w14:paraId="27FB36EB" w14:textId="77777777" w:rsidTr="00727013">
        <w:tc>
          <w:tcPr>
            <w:tcW w:w="288" w:type="pct"/>
          </w:tcPr>
          <w:p w14:paraId="201037F1" w14:textId="77777777" w:rsidR="00BE6779" w:rsidRPr="00C0591E" w:rsidRDefault="00BE6779" w:rsidP="00E01DA9">
            <w:pPr>
              <w:spacing w:after="0"/>
              <w:rPr>
                <w:rFonts w:cs="Times New Roman"/>
                <w:szCs w:val="24"/>
              </w:rPr>
            </w:pPr>
            <w:r w:rsidRPr="00C0591E">
              <w:rPr>
                <w:rFonts w:cs="Times New Roman"/>
                <w:szCs w:val="24"/>
              </w:rPr>
              <w:t>8.</w:t>
            </w:r>
          </w:p>
        </w:tc>
        <w:tc>
          <w:tcPr>
            <w:tcW w:w="3321" w:type="pct"/>
          </w:tcPr>
          <w:p w14:paraId="293EE415" w14:textId="77777777" w:rsidR="00BE6779" w:rsidRPr="00C0591E" w:rsidRDefault="00BE6779" w:rsidP="00BE6779">
            <w:pPr>
              <w:spacing w:after="0"/>
              <w:rPr>
                <w:rFonts w:cs="Times New Roman"/>
                <w:b/>
                <w:szCs w:val="24"/>
              </w:rPr>
            </w:pPr>
            <w:r w:rsidRPr="00C0591E">
              <w:t>Trustees give total investment discretion to the fund managers</w:t>
            </w:r>
          </w:p>
        </w:tc>
        <w:tc>
          <w:tcPr>
            <w:tcW w:w="277" w:type="pct"/>
          </w:tcPr>
          <w:p w14:paraId="6CC0B0B3" w14:textId="77777777" w:rsidR="00BE6779" w:rsidRPr="00C0591E" w:rsidRDefault="00BE6779" w:rsidP="00E01DA9">
            <w:pPr>
              <w:spacing w:after="0"/>
              <w:rPr>
                <w:rFonts w:cs="Times New Roman"/>
                <w:szCs w:val="24"/>
              </w:rPr>
            </w:pPr>
          </w:p>
        </w:tc>
        <w:tc>
          <w:tcPr>
            <w:tcW w:w="277" w:type="pct"/>
          </w:tcPr>
          <w:p w14:paraId="3747B046" w14:textId="77777777" w:rsidR="00BE6779" w:rsidRPr="00C0591E" w:rsidRDefault="00BE6779" w:rsidP="00E01DA9">
            <w:pPr>
              <w:spacing w:after="0"/>
              <w:rPr>
                <w:rFonts w:cs="Times New Roman"/>
                <w:szCs w:val="24"/>
              </w:rPr>
            </w:pPr>
          </w:p>
        </w:tc>
        <w:tc>
          <w:tcPr>
            <w:tcW w:w="277" w:type="pct"/>
          </w:tcPr>
          <w:p w14:paraId="544240F9" w14:textId="77777777" w:rsidR="00BE6779" w:rsidRPr="00C0591E" w:rsidRDefault="00BE6779" w:rsidP="00E01DA9">
            <w:pPr>
              <w:spacing w:after="0"/>
              <w:rPr>
                <w:rFonts w:cs="Times New Roman"/>
                <w:szCs w:val="24"/>
              </w:rPr>
            </w:pPr>
          </w:p>
        </w:tc>
        <w:tc>
          <w:tcPr>
            <w:tcW w:w="277" w:type="pct"/>
          </w:tcPr>
          <w:p w14:paraId="0CC37E9B" w14:textId="77777777" w:rsidR="00BE6779" w:rsidRPr="00C0591E" w:rsidRDefault="00BE6779" w:rsidP="00E01DA9">
            <w:pPr>
              <w:spacing w:after="0"/>
              <w:rPr>
                <w:rFonts w:cs="Times New Roman"/>
                <w:szCs w:val="24"/>
              </w:rPr>
            </w:pPr>
          </w:p>
        </w:tc>
        <w:tc>
          <w:tcPr>
            <w:tcW w:w="283" w:type="pct"/>
          </w:tcPr>
          <w:p w14:paraId="42DCB43C" w14:textId="77777777" w:rsidR="00BE6779" w:rsidRPr="00C0591E" w:rsidRDefault="00BE6779" w:rsidP="00E01DA9">
            <w:pPr>
              <w:spacing w:after="0"/>
              <w:rPr>
                <w:rFonts w:cs="Times New Roman"/>
                <w:szCs w:val="24"/>
              </w:rPr>
            </w:pPr>
          </w:p>
        </w:tc>
      </w:tr>
      <w:tr w:rsidR="00BE6779" w:rsidRPr="00C0591E" w14:paraId="17F7C67D" w14:textId="77777777" w:rsidTr="00727013">
        <w:tc>
          <w:tcPr>
            <w:tcW w:w="288" w:type="pct"/>
          </w:tcPr>
          <w:p w14:paraId="6B769608" w14:textId="77777777" w:rsidR="00BE6779" w:rsidRPr="00C0591E" w:rsidRDefault="00BE6779" w:rsidP="00E01DA9">
            <w:pPr>
              <w:spacing w:after="0"/>
              <w:rPr>
                <w:rFonts w:cs="Times New Roman"/>
                <w:szCs w:val="24"/>
              </w:rPr>
            </w:pPr>
            <w:r w:rsidRPr="00C0591E">
              <w:rPr>
                <w:rFonts w:cs="Times New Roman"/>
                <w:szCs w:val="24"/>
              </w:rPr>
              <w:t>9.</w:t>
            </w:r>
          </w:p>
        </w:tc>
        <w:tc>
          <w:tcPr>
            <w:tcW w:w="3321" w:type="pct"/>
          </w:tcPr>
          <w:p w14:paraId="3F66A7BE" w14:textId="77777777" w:rsidR="00BE6779" w:rsidRPr="00C0591E" w:rsidRDefault="00BE6779" w:rsidP="00BE6779">
            <w:pPr>
              <w:spacing w:after="0"/>
              <w:rPr>
                <w:rFonts w:cs="Times New Roman"/>
                <w:b/>
                <w:szCs w:val="24"/>
              </w:rPr>
            </w:pPr>
            <w:r w:rsidRPr="00C0591E">
              <w:t>We have an investment risk management policy for our pension plan</w:t>
            </w:r>
          </w:p>
        </w:tc>
        <w:tc>
          <w:tcPr>
            <w:tcW w:w="277" w:type="pct"/>
          </w:tcPr>
          <w:p w14:paraId="603E0128" w14:textId="77777777" w:rsidR="00BE6779" w:rsidRPr="00C0591E" w:rsidRDefault="00BE6779" w:rsidP="00E01DA9">
            <w:pPr>
              <w:spacing w:after="0"/>
              <w:rPr>
                <w:rFonts w:cs="Times New Roman"/>
                <w:szCs w:val="24"/>
              </w:rPr>
            </w:pPr>
          </w:p>
        </w:tc>
        <w:tc>
          <w:tcPr>
            <w:tcW w:w="277" w:type="pct"/>
          </w:tcPr>
          <w:p w14:paraId="45BF5344" w14:textId="77777777" w:rsidR="00BE6779" w:rsidRPr="00C0591E" w:rsidRDefault="00BE6779" w:rsidP="00E01DA9">
            <w:pPr>
              <w:spacing w:after="0"/>
              <w:rPr>
                <w:rFonts w:cs="Times New Roman"/>
                <w:szCs w:val="24"/>
              </w:rPr>
            </w:pPr>
          </w:p>
        </w:tc>
        <w:tc>
          <w:tcPr>
            <w:tcW w:w="277" w:type="pct"/>
          </w:tcPr>
          <w:p w14:paraId="57EA3B95" w14:textId="77777777" w:rsidR="00BE6779" w:rsidRPr="00C0591E" w:rsidRDefault="00BE6779" w:rsidP="00E01DA9">
            <w:pPr>
              <w:spacing w:after="0"/>
              <w:rPr>
                <w:rFonts w:cs="Times New Roman"/>
                <w:szCs w:val="24"/>
              </w:rPr>
            </w:pPr>
          </w:p>
        </w:tc>
        <w:tc>
          <w:tcPr>
            <w:tcW w:w="277" w:type="pct"/>
          </w:tcPr>
          <w:p w14:paraId="4FFCA1D6" w14:textId="77777777" w:rsidR="00BE6779" w:rsidRPr="00C0591E" w:rsidRDefault="00BE6779" w:rsidP="00E01DA9">
            <w:pPr>
              <w:spacing w:after="0"/>
              <w:rPr>
                <w:rFonts w:cs="Times New Roman"/>
                <w:szCs w:val="24"/>
              </w:rPr>
            </w:pPr>
          </w:p>
        </w:tc>
        <w:tc>
          <w:tcPr>
            <w:tcW w:w="283" w:type="pct"/>
          </w:tcPr>
          <w:p w14:paraId="29D97F5C" w14:textId="77777777" w:rsidR="00BE6779" w:rsidRPr="00C0591E" w:rsidRDefault="00BE6779" w:rsidP="00E01DA9">
            <w:pPr>
              <w:spacing w:after="0"/>
              <w:rPr>
                <w:rFonts w:cs="Times New Roman"/>
                <w:szCs w:val="24"/>
              </w:rPr>
            </w:pPr>
          </w:p>
        </w:tc>
      </w:tr>
      <w:tr w:rsidR="00BE6779" w:rsidRPr="00C0591E" w14:paraId="6A214E5C" w14:textId="77777777" w:rsidTr="00727013">
        <w:tc>
          <w:tcPr>
            <w:tcW w:w="288" w:type="pct"/>
          </w:tcPr>
          <w:p w14:paraId="178669A0" w14:textId="77777777" w:rsidR="00BE6779" w:rsidRPr="00C0591E" w:rsidRDefault="00A14A0E" w:rsidP="00E01DA9">
            <w:pPr>
              <w:spacing w:after="0"/>
              <w:rPr>
                <w:rFonts w:cs="Times New Roman"/>
                <w:szCs w:val="24"/>
              </w:rPr>
            </w:pPr>
            <w:r w:rsidRPr="00C0591E">
              <w:rPr>
                <w:rFonts w:cs="Times New Roman"/>
                <w:szCs w:val="24"/>
              </w:rPr>
              <w:t>1</w:t>
            </w:r>
            <w:r w:rsidR="00BE6779" w:rsidRPr="00C0591E">
              <w:rPr>
                <w:rFonts w:cs="Times New Roman"/>
                <w:szCs w:val="24"/>
              </w:rPr>
              <w:t>0.</w:t>
            </w:r>
          </w:p>
        </w:tc>
        <w:tc>
          <w:tcPr>
            <w:tcW w:w="3321" w:type="pct"/>
          </w:tcPr>
          <w:p w14:paraId="1A8EEC27" w14:textId="77777777" w:rsidR="00BE6779" w:rsidRPr="00C0591E" w:rsidRDefault="00BE6779" w:rsidP="00BE6779">
            <w:pPr>
              <w:spacing w:after="0"/>
              <w:rPr>
                <w:rFonts w:cs="Times New Roman"/>
                <w:b/>
                <w:szCs w:val="24"/>
              </w:rPr>
            </w:pPr>
            <w:r w:rsidRPr="00C0591E">
              <w:t>Our investment strategies are based on findings of market research conducted by fund managers</w:t>
            </w:r>
          </w:p>
        </w:tc>
        <w:tc>
          <w:tcPr>
            <w:tcW w:w="277" w:type="pct"/>
          </w:tcPr>
          <w:p w14:paraId="78066384" w14:textId="77777777" w:rsidR="00BE6779" w:rsidRPr="00C0591E" w:rsidRDefault="00BE6779" w:rsidP="00E01DA9">
            <w:pPr>
              <w:spacing w:after="0"/>
              <w:rPr>
                <w:rFonts w:cs="Times New Roman"/>
                <w:szCs w:val="24"/>
              </w:rPr>
            </w:pPr>
          </w:p>
        </w:tc>
        <w:tc>
          <w:tcPr>
            <w:tcW w:w="277" w:type="pct"/>
          </w:tcPr>
          <w:p w14:paraId="2824A681" w14:textId="77777777" w:rsidR="00BE6779" w:rsidRPr="00C0591E" w:rsidRDefault="00BE6779" w:rsidP="00E01DA9">
            <w:pPr>
              <w:spacing w:after="0"/>
              <w:rPr>
                <w:rFonts w:cs="Times New Roman"/>
                <w:szCs w:val="24"/>
              </w:rPr>
            </w:pPr>
          </w:p>
        </w:tc>
        <w:tc>
          <w:tcPr>
            <w:tcW w:w="277" w:type="pct"/>
          </w:tcPr>
          <w:p w14:paraId="21147DE7" w14:textId="77777777" w:rsidR="00BE6779" w:rsidRPr="00C0591E" w:rsidRDefault="00BE6779" w:rsidP="00E01DA9">
            <w:pPr>
              <w:spacing w:after="0"/>
              <w:rPr>
                <w:rFonts w:cs="Times New Roman"/>
                <w:szCs w:val="24"/>
              </w:rPr>
            </w:pPr>
          </w:p>
        </w:tc>
        <w:tc>
          <w:tcPr>
            <w:tcW w:w="277" w:type="pct"/>
          </w:tcPr>
          <w:p w14:paraId="2A2ED4FF" w14:textId="77777777" w:rsidR="00BE6779" w:rsidRPr="00C0591E" w:rsidRDefault="00BE6779" w:rsidP="00E01DA9">
            <w:pPr>
              <w:spacing w:after="0"/>
              <w:rPr>
                <w:rFonts w:cs="Times New Roman"/>
                <w:szCs w:val="24"/>
              </w:rPr>
            </w:pPr>
          </w:p>
        </w:tc>
        <w:tc>
          <w:tcPr>
            <w:tcW w:w="283" w:type="pct"/>
          </w:tcPr>
          <w:p w14:paraId="61ADF873" w14:textId="77777777" w:rsidR="00BE6779" w:rsidRPr="00C0591E" w:rsidRDefault="00BE6779" w:rsidP="00E01DA9">
            <w:pPr>
              <w:spacing w:after="0"/>
              <w:rPr>
                <w:rFonts w:cs="Times New Roman"/>
                <w:szCs w:val="24"/>
              </w:rPr>
            </w:pPr>
          </w:p>
        </w:tc>
      </w:tr>
      <w:tr w:rsidR="00BE6779" w:rsidRPr="00C0591E" w14:paraId="3FE80A71" w14:textId="77777777" w:rsidTr="00727013">
        <w:tc>
          <w:tcPr>
            <w:tcW w:w="288" w:type="pct"/>
          </w:tcPr>
          <w:p w14:paraId="1AC7FF8F" w14:textId="77777777" w:rsidR="00BE6779" w:rsidRPr="00C0591E" w:rsidRDefault="00A14A0E" w:rsidP="00E01DA9">
            <w:pPr>
              <w:spacing w:after="0"/>
              <w:rPr>
                <w:rFonts w:cs="Times New Roman"/>
                <w:szCs w:val="24"/>
              </w:rPr>
            </w:pPr>
            <w:r w:rsidRPr="00C0591E">
              <w:rPr>
                <w:rFonts w:cs="Times New Roman"/>
                <w:szCs w:val="24"/>
              </w:rPr>
              <w:t>1</w:t>
            </w:r>
            <w:r w:rsidR="00BE6779" w:rsidRPr="00C0591E">
              <w:rPr>
                <w:rFonts w:cs="Times New Roman"/>
                <w:szCs w:val="24"/>
              </w:rPr>
              <w:t>1.</w:t>
            </w:r>
          </w:p>
        </w:tc>
        <w:tc>
          <w:tcPr>
            <w:tcW w:w="3321" w:type="pct"/>
          </w:tcPr>
          <w:p w14:paraId="05A3C627" w14:textId="77777777" w:rsidR="00BE6779" w:rsidRPr="00C0591E" w:rsidRDefault="00BE6779" w:rsidP="00BE6779">
            <w:pPr>
              <w:spacing w:after="0"/>
              <w:rPr>
                <w:rFonts w:cs="Times New Roman"/>
                <w:b/>
                <w:szCs w:val="24"/>
              </w:rPr>
            </w:pPr>
            <w:r w:rsidRPr="00C0591E">
              <w:t>We set quarterly targets on investment returns and strategize to achieve them</w:t>
            </w:r>
          </w:p>
        </w:tc>
        <w:tc>
          <w:tcPr>
            <w:tcW w:w="277" w:type="pct"/>
          </w:tcPr>
          <w:p w14:paraId="76F5784B" w14:textId="77777777" w:rsidR="00BE6779" w:rsidRPr="00C0591E" w:rsidRDefault="00BE6779" w:rsidP="00E01DA9">
            <w:pPr>
              <w:spacing w:after="0"/>
              <w:rPr>
                <w:rFonts w:cs="Times New Roman"/>
                <w:szCs w:val="24"/>
              </w:rPr>
            </w:pPr>
          </w:p>
        </w:tc>
        <w:tc>
          <w:tcPr>
            <w:tcW w:w="277" w:type="pct"/>
          </w:tcPr>
          <w:p w14:paraId="4214C2F1" w14:textId="77777777" w:rsidR="00BE6779" w:rsidRPr="00C0591E" w:rsidRDefault="00BE6779" w:rsidP="00E01DA9">
            <w:pPr>
              <w:spacing w:after="0"/>
              <w:rPr>
                <w:rFonts w:cs="Times New Roman"/>
                <w:szCs w:val="24"/>
              </w:rPr>
            </w:pPr>
          </w:p>
        </w:tc>
        <w:tc>
          <w:tcPr>
            <w:tcW w:w="277" w:type="pct"/>
          </w:tcPr>
          <w:p w14:paraId="31876E65" w14:textId="77777777" w:rsidR="00BE6779" w:rsidRPr="00C0591E" w:rsidRDefault="00BE6779" w:rsidP="00E01DA9">
            <w:pPr>
              <w:spacing w:after="0"/>
              <w:rPr>
                <w:rFonts w:cs="Times New Roman"/>
                <w:szCs w:val="24"/>
              </w:rPr>
            </w:pPr>
          </w:p>
        </w:tc>
        <w:tc>
          <w:tcPr>
            <w:tcW w:w="277" w:type="pct"/>
          </w:tcPr>
          <w:p w14:paraId="33A2E02D" w14:textId="77777777" w:rsidR="00BE6779" w:rsidRPr="00C0591E" w:rsidRDefault="00BE6779" w:rsidP="00E01DA9">
            <w:pPr>
              <w:spacing w:after="0"/>
              <w:rPr>
                <w:rFonts w:cs="Times New Roman"/>
                <w:szCs w:val="24"/>
              </w:rPr>
            </w:pPr>
          </w:p>
        </w:tc>
        <w:tc>
          <w:tcPr>
            <w:tcW w:w="283" w:type="pct"/>
          </w:tcPr>
          <w:p w14:paraId="0A7EDCC4" w14:textId="77777777" w:rsidR="00BE6779" w:rsidRPr="00C0591E" w:rsidRDefault="00BE6779" w:rsidP="00E01DA9">
            <w:pPr>
              <w:spacing w:after="0"/>
              <w:rPr>
                <w:rFonts w:cs="Times New Roman"/>
                <w:szCs w:val="24"/>
              </w:rPr>
            </w:pPr>
          </w:p>
        </w:tc>
      </w:tr>
      <w:tr w:rsidR="00267BE6" w:rsidRPr="00C0591E" w14:paraId="6B4BAE1C" w14:textId="77777777" w:rsidTr="00727013">
        <w:tc>
          <w:tcPr>
            <w:tcW w:w="288" w:type="pct"/>
          </w:tcPr>
          <w:p w14:paraId="43E57694" w14:textId="77777777" w:rsidR="00267BE6" w:rsidRPr="00C0591E" w:rsidRDefault="00A14A0E" w:rsidP="00E01DA9">
            <w:pPr>
              <w:spacing w:after="0"/>
              <w:rPr>
                <w:rFonts w:cs="Times New Roman"/>
                <w:szCs w:val="24"/>
              </w:rPr>
            </w:pPr>
            <w:r w:rsidRPr="00C0591E">
              <w:rPr>
                <w:rFonts w:cs="Times New Roman"/>
                <w:szCs w:val="24"/>
              </w:rPr>
              <w:t>1</w:t>
            </w:r>
            <w:r w:rsidR="00BE6779" w:rsidRPr="00C0591E">
              <w:rPr>
                <w:rFonts w:cs="Times New Roman"/>
                <w:szCs w:val="24"/>
              </w:rPr>
              <w:t>2</w:t>
            </w:r>
            <w:r w:rsidR="00267BE6" w:rsidRPr="00C0591E">
              <w:rPr>
                <w:rFonts w:cs="Times New Roman"/>
                <w:szCs w:val="24"/>
              </w:rPr>
              <w:t>.</w:t>
            </w:r>
          </w:p>
        </w:tc>
        <w:tc>
          <w:tcPr>
            <w:tcW w:w="3321" w:type="pct"/>
          </w:tcPr>
          <w:p w14:paraId="5502EA53" w14:textId="77777777" w:rsidR="00267BE6" w:rsidRPr="00C0591E" w:rsidRDefault="00267BE6" w:rsidP="00BE6779">
            <w:pPr>
              <w:spacing w:after="0"/>
              <w:rPr>
                <w:rFonts w:cs="Times New Roman"/>
                <w:b/>
                <w:szCs w:val="24"/>
              </w:rPr>
            </w:pPr>
            <w:r w:rsidRPr="00C0591E">
              <w:rPr>
                <w:rFonts w:cs="Times New Roman"/>
                <w:szCs w:val="24"/>
              </w:rPr>
              <w:t>Fund manager has increased its reliance on relevant professional advisors in making investment policies.</w:t>
            </w:r>
          </w:p>
        </w:tc>
        <w:tc>
          <w:tcPr>
            <w:tcW w:w="277" w:type="pct"/>
          </w:tcPr>
          <w:p w14:paraId="6BE454D5" w14:textId="77777777" w:rsidR="00267BE6" w:rsidRPr="00C0591E" w:rsidRDefault="00267BE6" w:rsidP="00E01DA9">
            <w:pPr>
              <w:spacing w:after="0"/>
              <w:rPr>
                <w:rFonts w:cs="Times New Roman"/>
                <w:b/>
                <w:szCs w:val="24"/>
              </w:rPr>
            </w:pPr>
          </w:p>
        </w:tc>
        <w:tc>
          <w:tcPr>
            <w:tcW w:w="277" w:type="pct"/>
          </w:tcPr>
          <w:p w14:paraId="319751B0" w14:textId="77777777" w:rsidR="00267BE6" w:rsidRPr="00C0591E" w:rsidRDefault="00267BE6" w:rsidP="00E01DA9">
            <w:pPr>
              <w:spacing w:after="0"/>
              <w:rPr>
                <w:rFonts w:cs="Times New Roman"/>
                <w:b/>
                <w:szCs w:val="24"/>
              </w:rPr>
            </w:pPr>
          </w:p>
        </w:tc>
        <w:tc>
          <w:tcPr>
            <w:tcW w:w="277" w:type="pct"/>
          </w:tcPr>
          <w:p w14:paraId="15258C68" w14:textId="77777777" w:rsidR="00267BE6" w:rsidRPr="00C0591E" w:rsidRDefault="00267BE6" w:rsidP="00E01DA9">
            <w:pPr>
              <w:spacing w:after="0"/>
              <w:rPr>
                <w:rFonts w:cs="Times New Roman"/>
                <w:b/>
                <w:szCs w:val="24"/>
              </w:rPr>
            </w:pPr>
          </w:p>
        </w:tc>
        <w:tc>
          <w:tcPr>
            <w:tcW w:w="277" w:type="pct"/>
          </w:tcPr>
          <w:p w14:paraId="5C881F7C" w14:textId="77777777" w:rsidR="00267BE6" w:rsidRPr="00C0591E" w:rsidRDefault="00267BE6" w:rsidP="00E01DA9">
            <w:pPr>
              <w:spacing w:after="0"/>
              <w:rPr>
                <w:rFonts w:cs="Times New Roman"/>
                <w:b/>
                <w:szCs w:val="24"/>
              </w:rPr>
            </w:pPr>
          </w:p>
        </w:tc>
        <w:tc>
          <w:tcPr>
            <w:tcW w:w="283" w:type="pct"/>
          </w:tcPr>
          <w:p w14:paraId="6D2CD09B" w14:textId="77777777" w:rsidR="00267BE6" w:rsidRPr="00C0591E" w:rsidRDefault="00267BE6" w:rsidP="00E01DA9">
            <w:pPr>
              <w:spacing w:after="0"/>
              <w:rPr>
                <w:rFonts w:cs="Times New Roman"/>
                <w:b/>
                <w:szCs w:val="24"/>
              </w:rPr>
            </w:pPr>
          </w:p>
        </w:tc>
      </w:tr>
      <w:tr w:rsidR="00267BE6" w:rsidRPr="00C0591E" w14:paraId="16ECE255" w14:textId="77777777" w:rsidTr="00727013">
        <w:tc>
          <w:tcPr>
            <w:tcW w:w="288" w:type="pct"/>
          </w:tcPr>
          <w:p w14:paraId="51636647" w14:textId="77777777" w:rsidR="00267BE6" w:rsidRPr="00C0591E" w:rsidRDefault="00A14A0E" w:rsidP="00E01DA9">
            <w:pPr>
              <w:spacing w:after="0"/>
              <w:rPr>
                <w:rFonts w:cs="Times New Roman"/>
                <w:szCs w:val="24"/>
              </w:rPr>
            </w:pPr>
            <w:r w:rsidRPr="00C0591E">
              <w:rPr>
                <w:rFonts w:cs="Times New Roman"/>
                <w:szCs w:val="24"/>
              </w:rPr>
              <w:t>1</w:t>
            </w:r>
            <w:r w:rsidR="00BE6779" w:rsidRPr="00C0591E">
              <w:rPr>
                <w:rFonts w:cs="Times New Roman"/>
                <w:szCs w:val="24"/>
              </w:rPr>
              <w:t>3</w:t>
            </w:r>
            <w:r w:rsidR="00267BE6" w:rsidRPr="00C0591E">
              <w:rPr>
                <w:rFonts w:cs="Times New Roman"/>
                <w:szCs w:val="24"/>
              </w:rPr>
              <w:t>.</w:t>
            </w:r>
          </w:p>
        </w:tc>
        <w:tc>
          <w:tcPr>
            <w:tcW w:w="3321" w:type="pct"/>
          </w:tcPr>
          <w:p w14:paraId="6D57803E" w14:textId="77777777" w:rsidR="00267BE6" w:rsidRPr="00C0591E" w:rsidRDefault="00267BE6" w:rsidP="00BE6779">
            <w:pPr>
              <w:spacing w:after="0"/>
              <w:rPr>
                <w:rFonts w:cs="Times New Roman"/>
                <w:b/>
                <w:szCs w:val="24"/>
              </w:rPr>
            </w:pPr>
            <w:r w:rsidRPr="00C0591E">
              <w:rPr>
                <w:rFonts w:cs="Times New Roman"/>
                <w:szCs w:val="24"/>
              </w:rPr>
              <w:t>Fund manager’s assets are more diversified in different asset classes as compared to the past</w:t>
            </w:r>
          </w:p>
        </w:tc>
        <w:tc>
          <w:tcPr>
            <w:tcW w:w="277" w:type="pct"/>
          </w:tcPr>
          <w:p w14:paraId="50DFAB2E" w14:textId="77777777" w:rsidR="00267BE6" w:rsidRPr="00C0591E" w:rsidRDefault="00267BE6" w:rsidP="00E01DA9">
            <w:pPr>
              <w:spacing w:after="0"/>
              <w:rPr>
                <w:rFonts w:cs="Times New Roman"/>
                <w:b/>
                <w:szCs w:val="24"/>
              </w:rPr>
            </w:pPr>
          </w:p>
        </w:tc>
        <w:tc>
          <w:tcPr>
            <w:tcW w:w="277" w:type="pct"/>
          </w:tcPr>
          <w:p w14:paraId="2FB6E9D7" w14:textId="77777777" w:rsidR="00267BE6" w:rsidRPr="00C0591E" w:rsidRDefault="00267BE6" w:rsidP="00E01DA9">
            <w:pPr>
              <w:spacing w:after="0"/>
              <w:rPr>
                <w:rFonts w:cs="Times New Roman"/>
                <w:b/>
                <w:szCs w:val="24"/>
              </w:rPr>
            </w:pPr>
          </w:p>
        </w:tc>
        <w:tc>
          <w:tcPr>
            <w:tcW w:w="277" w:type="pct"/>
          </w:tcPr>
          <w:p w14:paraId="1735A6B0" w14:textId="77777777" w:rsidR="00267BE6" w:rsidRPr="00C0591E" w:rsidRDefault="00267BE6" w:rsidP="00E01DA9">
            <w:pPr>
              <w:spacing w:after="0"/>
              <w:rPr>
                <w:rFonts w:cs="Times New Roman"/>
                <w:b/>
                <w:szCs w:val="24"/>
              </w:rPr>
            </w:pPr>
          </w:p>
        </w:tc>
        <w:tc>
          <w:tcPr>
            <w:tcW w:w="277" w:type="pct"/>
          </w:tcPr>
          <w:p w14:paraId="00486FA7" w14:textId="77777777" w:rsidR="00267BE6" w:rsidRPr="00C0591E" w:rsidRDefault="00267BE6" w:rsidP="00E01DA9">
            <w:pPr>
              <w:spacing w:after="0"/>
              <w:rPr>
                <w:rFonts w:cs="Times New Roman"/>
                <w:b/>
                <w:szCs w:val="24"/>
              </w:rPr>
            </w:pPr>
          </w:p>
        </w:tc>
        <w:tc>
          <w:tcPr>
            <w:tcW w:w="283" w:type="pct"/>
          </w:tcPr>
          <w:p w14:paraId="75F0189B" w14:textId="77777777" w:rsidR="00267BE6" w:rsidRPr="00C0591E" w:rsidRDefault="00267BE6" w:rsidP="00E01DA9">
            <w:pPr>
              <w:spacing w:after="0"/>
              <w:rPr>
                <w:rFonts w:cs="Times New Roman"/>
                <w:b/>
                <w:szCs w:val="24"/>
              </w:rPr>
            </w:pPr>
          </w:p>
        </w:tc>
      </w:tr>
      <w:tr w:rsidR="00267BE6" w:rsidRPr="00C0591E" w14:paraId="68EEB487" w14:textId="77777777" w:rsidTr="00727013">
        <w:tc>
          <w:tcPr>
            <w:tcW w:w="288" w:type="pct"/>
          </w:tcPr>
          <w:p w14:paraId="18B387A9" w14:textId="77777777" w:rsidR="00267BE6" w:rsidRPr="00C0591E" w:rsidRDefault="00A14A0E" w:rsidP="00E01DA9">
            <w:pPr>
              <w:spacing w:after="0"/>
              <w:rPr>
                <w:rFonts w:cs="Times New Roman"/>
                <w:szCs w:val="24"/>
              </w:rPr>
            </w:pPr>
            <w:r w:rsidRPr="00C0591E">
              <w:rPr>
                <w:rFonts w:cs="Times New Roman"/>
                <w:szCs w:val="24"/>
              </w:rPr>
              <w:t>1</w:t>
            </w:r>
            <w:r w:rsidR="00BE6779" w:rsidRPr="00C0591E">
              <w:rPr>
                <w:rFonts w:cs="Times New Roman"/>
                <w:szCs w:val="24"/>
              </w:rPr>
              <w:t>4</w:t>
            </w:r>
            <w:r w:rsidR="00267BE6" w:rsidRPr="00C0591E">
              <w:rPr>
                <w:rFonts w:cs="Times New Roman"/>
                <w:szCs w:val="24"/>
              </w:rPr>
              <w:t>.</w:t>
            </w:r>
          </w:p>
        </w:tc>
        <w:tc>
          <w:tcPr>
            <w:tcW w:w="3321" w:type="pct"/>
          </w:tcPr>
          <w:p w14:paraId="3A681B63" w14:textId="77777777" w:rsidR="00267BE6" w:rsidRPr="00C0591E" w:rsidRDefault="00267BE6" w:rsidP="00BE6779">
            <w:pPr>
              <w:spacing w:after="0"/>
              <w:rPr>
                <w:rFonts w:cs="Times New Roman"/>
                <w:b/>
                <w:szCs w:val="24"/>
              </w:rPr>
            </w:pPr>
            <w:r w:rsidRPr="00C0591E">
              <w:rPr>
                <w:rFonts w:cs="Times New Roman"/>
                <w:szCs w:val="24"/>
              </w:rPr>
              <w:t>members receive satisfactory responses to queries regarding investment performance of the Scheme</w:t>
            </w:r>
          </w:p>
        </w:tc>
        <w:tc>
          <w:tcPr>
            <w:tcW w:w="277" w:type="pct"/>
          </w:tcPr>
          <w:p w14:paraId="46EF7942" w14:textId="77777777" w:rsidR="00267BE6" w:rsidRPr="00C0591E" w:rsidRDefault="00267BE6" w:rsidP="00E01DA9">
            <w:pPr>
              <w:spacing w:after="0"/>
              <w:rPr>
                <w:rFonts w:cs="Times New Roman"/>
                <w:b/>
                <w:szCs w:val="24"/>
              </w:rPr>
            </w:pPr>
          </w:p>
        </w:tc>
        <w:tc>
          <w:tcPr>
            <w:tcW w:w="277" w:type="pct"/>
          </w:tcPr>
          <w:p w14:paraId="6C0BC013" w14:textId="77777777" w:rsidR="00267BE6" w:rsidRPr="00C0591E" w:rsidRDefault="00267BE6" w:rsidP="00E01DA9">
            <w:pPr>
              <w:spacing w:after="0"/>
              <w:rPr>
                <w:rFonts w:cs="Times New Roman"/>
                <w:b/>
                <w:szCs w:val="24"/>
              </w:rPr>
            </w:pPr>
          </w:p>
        </w:tc>
        <w:tc>
          <w:tcPr>
            <w:tcW w:w="277" w:type="pct"/>
          </w:tcPr>
          <w:p w14:paraId="19D496B6" w14:textId="77777777" w:rsidR="00267BE6" w:rsidRPr="00C0591E" w:rsidRDefault="00267BE6" w:rsidP="00E01DA9">
            <w:pPr>
              <w:spacing w:after="0"/>
              <w:rPr>
                <w:rFonts w:cs="Times New Roman"/>
                <w:b/>
                <w:szCs w:val="24"/>
              </w:rPr>
            </w:pPr>
          </w:p>
        </w:tc>
        <w:tc>
          <w:tcPr>
            <w:tcW w:w="277" w:type="pct"/>
          </w:tcPr>
          <w:p w14:paraId="0BA676B3" w14:textId="77777777" w:rsidR="00267BE6" w:rsidRPr="00C0591E" w:rsidRDefault="00267BE6" w:rsidP="00E01DA9">
            <w:pPr>
              <w:spacing w:after="0"/>
              <w:rPr>
                <w:rFonts w:cs="Times New Roman"/>
                <w:b/>
                <w:szCs w:val="24"/>
              </w:rPr>
            </w:pPr>
          </w:p>
        </w:tc>
        <w:tc>
          <w:tcPr>
            <w:tcW w:w="283" w:type="pct"/>
          </w:tcPr>
          <w:p w14:paraId="0C245572" w14:textId="77777777" w:rsidR="00267BE6" w:rsidRPr="00C0591E" w:rsidRDefault="00267BE6" w:rsidP="00E01DA9">
            <w:pPr>
              <w:spacing w:after="0"/>
              <w:rPr>
                <w:rFonts w:cs="Times New Roman"/>
                <w:b/>
                <w:szCs w:val="24"/>
              </w:rPr>
            </w:pPr>
          </w:p>
        </w:tc>
      </w:tr>
      <w:tr w:rsidR="00267BE6" w:rsidRPr="00C0591E" w14:paraId="7B47741A" w14:textId="77777777" w:rsidTr="00727013">
        <w:tc>
          <w:tcPr>
            <w:tcW w:w="288" w:type="pct"/>
          </w:tcPr>
          <w:p w14:paraId="28908F23" w14:textId="77777777" w:rsidR="00267BE6" w:rsidRPr="00C0591E" w:rsidRDefault="00A14A0E" w:rsidP="00E01DA9">
            <w:pPr>
              <w:spacing w:after="0"/>
              <w:rPr>
                <w:rFonts w:cs="Times New Roman"/>
                <w:szCs w:val="24"/>
              </w:rPr>
            </w:pPr>
            <w:r w:rsidRPr="00C0591E">
              <w:rPr>
                <w:rFonts w:cs="Times New Roman"/>
                <w:szCs w:val="24"/>
              </w:rPr>
              <w:t>1</w:t>
            </w:r>
            <w:r w:rsidR="00BE6779" w:rsidRPr="00C0591E">
              <w:rPr>
                <w:rFonts w:cs="Times New Roman"/>
                <w:szCs w:val="24"/>
              </w:rPr>
              <w:t>5</w:t>
            </w:r>
            <w:r w:rsidR="00267BE6" w:rsidRPr="00C0591E">
              <w:rPr>
                <w:rFonts w:cs="Times New Roman"/>
                <w:szCs w:val="24"/>
              </w:rPr>
              <w:t>.</w:t>
            </w:r>
          </w:p>
        </w:tc>
        <w:tc>
          <w:tcPr>
            <w:tcW w:w="3321" w:type="pct"/>
          </w:tcPr>
          <w:p w14:paraId="4CD0015D" w14:textId="77777777" w:rsidR="00267BE6" w:rsidRPr="00C0591E" w:rsidRDefault="00267BE6" w:rsidP="00BE6779">
            <w:pPr>
              <w:spacing w:after="0"/>
              <w:rPr>
                <w:rFonts w:cs="Times New Roman"/>
                <w:b/>
                <w:szCs w:val="24"/>
              </w:rPr>
            </w:pPr>
            <w:r w:rsidRPr="00C0591E">
              <w:rPr>
                <w:rFonts w:cs="Times New Roman"/>
                <w:szCs w:val="24"/>
              </w:rPr>
              <w:t>Fund manager has improved on reporting on the status of investments</w:t>
            </w:r>
          </w:p>
        </w:tc>
        <w:tc>
          <w:tcPr>
            <w:tcW w:w="277" w:type="pct"/>
          </w:tcPr>
          <w:p w14:paraId="62D129D8" w14:textId="77777777" w:rsidR="00267BE6" w:rsidRPr="00C0591E" w:rsidRDefault="00267BE6" w:rsidP="00E01DA9">
            <w:pPr>
              <w:spacing w:after="0"/>
              <w:rPr>
                <w:rFonts w:cs="Times New Roman"/>
                <w:b/>
                <w:szCs w:val="24"/>
              </w:rPr>
            </w:pPr>
          </w:p>
        </w:tc>
        <w:tc>
          <w:tcPr>
            <w:tcW w:w="277" w:type="pct"/>
          </w:tcPr>
          <w:p w14:paraId="0D3F343D" w14:textId="77777777" w:rsidR="00267BE6" w:rsidRPr="00C0591E" w:rsidRDefault="00267BE6" w:rsidP="00E01DA9">
            <w:pPr>
              <w:spacing w:after="0"/>
              <w:rPr>
                <w:rFonts w:cs="Times New Roman"/>
                <w:b/>
                <w:szCs w:val="24"/>
              </w:rPr>
            </w:pPr>
          </w:p>
        </w:tc>
        <w:tc>
          <w:tcPr>
            <w:tcW w:w="277" w:type="pct"/>
          </w:tcPr>
          <w:p w14:paraId="4CC3C9CC" w14:textId="77777777" w:rsidR="00267BE6" w:rsidRPr="00C0591E" w:rsidRDefault="00267BE6" w:rsidP="00E01DA9">
            <w:pPr>
              <w:spacing w:after="0"/>
              <w:rPr>
                <w:rFonts w:cs="Times New Roman"/>
                <w:b/>
                <w:szCs w:val="24"/>
              </w:rPr>
            </w:pPr>
          </w:p>
        </w:tc>
        <w:tc>
          <w:tcPr>
            <w:tcW w:w="277" w:type="pct"/>
          </w:tcPr>
          <w:p w14:paraId="0E217573" w14:textId="77777777" w:rsidR="00267BE6" w:rsidRPr="00C0591E" w:rsidRDefault="00267BE6" w:rsidP="00E01DA9">
            <w:pPr>
              <w:spacing w:after="0"/>
              <w:rPr>
                <w:rFonts w:cs="Times New Roman"/>
                <w:b/>
                <w:szCs w:val="24"/>
              </w:rPr>
            </w:pPr>
          </w:p>
        </w:tc>
        <w:tc>
          <w:tcPr>
            <w:tcW w:w="283" w:type="pct"/>
          </w:tcPr>
          <w:p w14:paraId="34A36431" w14:textId="77777777" w:rsidR="00267BE6" w:rsidRPr="00C0591E" w:rsidRDefault="00267BE6" w:rsidP="00E01DA9">
            <w:pPr>
              <w:spacing w:after="0"/>
              <w:rPr>
                <w:rFonts w:cs="Times New Roman"/>
                <w:b/>
                <w:szCs w:val="24"/>
              </w:rPr>
            </w:pPr>
          </w:p>
        </w:tc>
      </w:tr>
      <w:tr w:rsidR="00267BE6" w:rsidRPr="00C0591E" w14:paraId="2AE10743" w14:textId="77777777" w:rsidTr="00727013">
        <w:tc>
          <w:tcPr>
            <w:tcW w:w="288" w:type="pct"/>
          </w:tcPr>
          <w:p w14:paraId="7F3E1482" w14:textId="77777777" w:rsidR="00267BE6" w:rsidRPr="00C0591E" w:rsidRDefault="00A14A0E" w:rsidP="00E01DA9">
            <w:pPr>
              <w:spacing w:after="0"/>
              <w:rPr>
                <w:rFonts w:cs="Times New Roman"/>
                <w:szCs w:val="24"/>
              </w:rPr>
            </w:pPr>
            <w:r w:rsidRPr="00C0591E">
              <w:rPr>
                <w:rFonts w:cs="Times New Roman"/>
                <w:szCs w:val="24"/>
              </w:rPr>
              <w:t>1</w:t>
            </w:r>
            <w:r w:rsidR="00BE6779" w:rsidRPr="00C0591E">
              <w:rPr>
                <w:rFonts w:cs="Times New Roman"/>
                <w:szCs w:val="24"/>
              </w:rPr>
              <w:t>6</w:t>
            </w:r>
            <w:r w:rsidR="00267BE6" w:rsidRPr="00C0591E">
              <w:rPr>
                <w:rFonts w:cs="Times New Roman"/>
                <w:szCs w:val="24"/>
              </w:rPr>
              <w:t>.</w:t>
            </w:r>
          </w:p>
        </w:tc>
        <w:tc>
          <w:tcPr>
            <w:tcW w:w="3321" w:type="pct"/>
          </w:tcPr>
          <w:p w14:paraId="0BA5C43A" w14:textId="77777777" w:rsidR="00267BE6" w:rsidRPr="00C0591E" w:rsidRDefault="00267BE6" w:rsidP="00BE6779">
            <w:pPr>
              <w:spacing w:after="0"/>
              <w:rPr>
                <w:rFonts w:cs="Times New Roman"/>
                <w:b/>
                <w:szCs w:val="24"/>
              </w:rPr>
            </w:pPr>
            <w:r w:rsidRPr="00C0591E">
              <w:rPr>
                <w:rFonts w:cs="Times New Roman"/>
                <w:szCs w:val="24"/>
              </w:rPr>
              <w:t>Pension benefits paid by the fund have improved over the years</w:t>
            </w:r>
          </w:p>
        </w:tc>
        <w:tc>
          <w:tcPr>
            <w:tcW w:w="277" w:type="pct"/>
          </w:tcPr>
          <w:p w14:paraId="7165A86E" w14:textId="77777777" w:rsidR="00267BE6" w:rsidRPr="00C0591E" w:rsidRDefault="00267BE6" w:rsidP="00E01DA9">
            <w:pPr>
              <w:spacing w:after="0"/>
              <w:rPr>
                <w:rFonts w:cs="Times New Roman"/>
                <w:b/>
                <w:szCs w:val="24"/>
              </w:rPr>
            </w:pPr>
          </w:p>
        </w:tc>
        <w:tc>
          <w:tcPr>
            <w:tcW w:w="277" w:type="pct"/>
          </w:tcPr>
          <w:p w14:paraId="63FB691D" w14:textId="77777777" w:rsidR="00267BE6" w:rsidRPr="00C0591E" w:rsidRDefault="00267BE6" w:rsidP="00E01DA9">
            <w:pPr>
              <w:spacing w:after="0"/>
              <w:rPr>
                <w:rFonts w:cs="Times New Roman"/>
                <w:b/>
                <w:szCs w:val="24"/>
              </w:rPr>
            </w:pPr>
          </w:p>
        </w:tc>
        <w:tc>
          <w:tcPr>
            <w:tcW w:w="277" w:type="pct"/>
          </w:tcPr>
          <w:p w14:paraId="3EFC5FC4" w14:textId="77777777" w:rsidR="00267BE6" w:rsidRPr="00C0591E" w:rsidRDefault="00267BE6" w:rsidP="00E01DA9">
            <w:pPr>
              <w:spacing w:after="0"/>
              <w:rPr>
                <w:rFonts w:cs="Times New Roman"/>
                <w:b/>
                <w:szCs w:val="24"/>
              </w:rPr>
            </w:pPr>
          </w:p>
        </w:tc>
        <w:tc>
          <w:tcPr>
            <w:tcW w:w="277" w:type="pct"/>
          </w:tcPr>
          <w:p w14:paraId="72F2C10F" w14:textId="77777777" w:rsidR="00267BE6" w:rsidRPr="00C0591E" w:rsidRDefault="00267BE6" w:rsidP="00E01DA9">
            <w:pPr>
              <w:spacing w:after="0"/>
              <w:rPr>
                <w:rFonts w:cs="Times New Roman"/>
                <w:b/>
                <w:szCs w:val="24"/>
              </w:rPr>
            </w:pPr>
          </w:p>
        </w:tc>
        <w:tc>
          <w:tcPr>
            <w:tcW w:w="283" w:type="pct"/>
          </w:tcPr>
          <w:p w14:paraId="65E55B00" w14:textId="77777777" w:rsidR="00267BE6" w:rsidRPr="00C0591E" w:rsidRDefault="00267BE6" w:rsidP="00E01DA9">
            <w:pPr>
              <w:spacing w:after="0"/>
              <w:rPr>
                <w:rFonts w:cs="Times New Roman"/>
                <w:b/>
                <w:szCs w:val="24"/>
              </w:rPr>
            </w:pPr>
          </w:p>
        </w:tc>
      </w:tr>
      <w:tr w:rsidR="00267BE6" w:rsidRPr="00C0591E" w14:paraId="49060D8F" w14:textId="77777777" w:rsidTr="00727013">
        <w:tc>
          <w:tcPr>
            <w:tcW w:w="288" w:type="pct"/>
          </w:tcPr>
          <w:p w14:paraId="15E05D46" w14:textId="77777777" w:rsidR="00267BE6" w:rsidRPr="00C0591E" w:rsidRDefault="00A14A0E" w:rsidP="00E01DA9">
            <w:pPr>
              <w:spacing w:after="0"/>
              <w:rPr>
                <w:rFonts w:cs="Times New Roman"/>
                <w:szCs w:val="24"/>
              </w:rPr>
            </w:pPr>
            <w:r w:rsidRPr="00C0591E">
              <w:rPr>
                <w:rFonts w:cs="Times New Roman"/>
                <w:szCs w:val="24"/>
              </w:rPr>
              <w:t>1</w:t>
            </w:r>
            <w:r w:rsidR="00BE6779" w:rsidRPr="00C0591E">
              <w:rPr>
                <w:rFonts w:cs="Times New Roman"/>
                <w:szCs w:val="24"/>
              </w:rPr>
              <w:t>7</w:t>
            </w:r>
            <w:r w:rsidR="00267BE6" w:rsidRPr="00C0591E">
              <w:rPr>
                <w:rFonts w:cs="Times New Roman"/>
                <w:szCs w:val="24"/>
              </w:rPr>
              <w:t>.</w:t>
            </w:r>
          </w:p>
        </w:tc>
        <w:tc>
          <w:tcPr>
            <w:tcW w:w="3321" w:type="pct"/>
          </w:tcPr>
          <w:p w14:paraId="5B67084A" w14:textId="77777777" w:rsidR="00267BE6" w:rsidRPr="00C0591E" w:rsidRDefault="00267BE6" w:rsidP="00BE6779">
            <w:pPr>
              <w:spacing w:after="0"/>
              <w:rPr>
                <w:rFonts w:cs="Times New Roman"/>
                <w:szCs w:val="24"/>
              </w:rPr>
            </w:pPr>
            <w:r w:rsidRPr="00C0591E">
              <w:rPr>
                <w:rFonts w:cs="Times New Roman"/>
                <w:szCs w:val="24"/>
              </w:rPr>
              <w:t>The level of pension benefits paid by the fund are better than those paid by other pension schemes</w:t>
            </w:r>
          </w:p>
        </w:tc>
        <w:tc>
          <w:tcPr>
            <w:tcW w:w="277" w:type="pct"/>
          </w:tcPr>
          <w:p w14:paraId="1AB5F220" w14:textId="77777777" w:rsidR="00267BE6" w:rsidRPr="00C0591E" w:rsidRDefault="00267BE6" w:rsidP="00E01DA9">
            <w:pPr>
              <w:spacing w:after="0"/>
              <w:rPr>
                <w:rFonts w:cs="Times New Roman"/>
                <w:b/>
                <w:szCs w:val="24"/>
              </w:rPr>
            </w:pPr>
          </w:p>
        </w:tc>
        <w:tc>
          <w:tcPr>
            <w:tcW w:w="277" w:type="pct"/>
          </w:tcPr>
          <w:p w14:paraId="51167709" w14:textId="77777777" w:rsidR="00267BE6" w:rsidRPr="00C0591E" w:rsidRDefault="00267BE6" w:rsidP="00E01DA9">
            <w:pPr>
              <w:spacing w:after="0"/>
              <w:rPr>
                <w:rFonts w:cs="Times New Roman"/>
                <w:b/>
                <w:szCs w:val="24"/>
              </w:rPr>
            </w:pPr>
          </w:p>
        </w:tc>
        <w:tc>
          <w:tcPr>
            <w:tcW w:w="277" w:type="pct"/>
          </w:tcPr>
          <w:p w14:paraId="65E18410" w14:textId="77777777" w:rsidR="00267BE6" w:rsidRPr="00C0591E" w:rsidRDefault="00267BE6" w:rsidP="00E01DA9">
            <w:pPr>
              <w:spacing w:after="0"/>
              <w:rPr>
                <w:rFonts w:cs="Times New Roman"/>
                <w:b/>
                <w:szCs w:val="24"/>
              </w:rPr>
            </w:pPr>
          </w:p>
        </w:tc>
        <w:tc>
          <w:tcPr>
            <w:tcW w:w="277" w:type="pct"/>
          </w:tcPr>
          <w:p w14:paraId="179433F4" w14:textId="77777777" w:rsidR="00267BE6" w:rsidRPr="00C0591E" w:rsidRDefault="00267BE6" w:rsidP="00E01DA9">
            <w:pPr>
              <w:spacing w:after="0"/>
              <w:rPr>
                <w:rFonts w:cs="Times New Roman"/>
                <w:b/>
                <w:szCs w:val="24"/>
              </w:rPr>
            </w:pPr>
          </w:p>
        </w:tc>
        <w:tc>
          <w:tcPr>
            <w:tcW w:w="283" w:type="pct"/>
          </w:tcPr>
          <w:p w14:paraId="2B99DED3" w14:textId="77777777" w:rsidR="00267BE6" w:rsidRPr="00C0591E" w:rsidRDefault="00267BE6" w:rsidP="00E01DA9">
            <w:pPr>
              <w:spacing w:after="0"/>
              <w:rPr>
                <w:rFonts w:cs="Times New Roman"/>
                <w:b/>
                <w:szCs w:val="24"/>
              </w:rPr>
            </w:pPr>
          </w:p>
        </w:tc>
      </w:tr>
      <w:tr w:rsidR="00267BE6" w:rsidRPr="00C0591E" w14:paraId="5E69635B" w14:textId="77777777" w:rsidTr="00727013">
        <w:tc>
          <w:tcPr>
            <w:tcW w:w="288" w:type="pct"/>
          </w:tcPr>
          <w:p w14:paraId="0842F6AD" w14:textId="77777777" w:rsidR="00267BE6" w:rsidRPr="00C0591E" w:rsidRDefault="00A14A0E" w:rsidP="00E01DA9">
            <w:pPr>
              <w:spacing w:after="0"/>
              <w:rPr>
                <w:rFonts w:cs="Times New Roman"/>
                <w:szCs w:val="24"/>
              </w:rPr>
            </w:pPr>
            <w:r w:rsidRPr="00C0591E">
              <w:rPr>
                <w:rFonts w:cs="Times New Roman"/>
                <w:szCs w:val="24"/>
              </w:rPr>
              <w:t>1</w:t>
            </w:r>
            <w:r w:rsidR="00BE6779" w:rsidRPr="00C0591E">
              <w:rPr>
                <w:rFonts w:cs="Times New Roman"/>
                <w:szCs w:val="24"/>
              </w:rPr>
              <w:t>8</w:t>
            </w:r>
            <w:r w:rsidR="00267BE6" w:rsidRPr="00C0591E">
              <w:rPr>
                <w:rFonts w:cs="Times New Roman"/>
                <w:szCs w:val="24"/>
              </w:rPr>
              <w:t>.</w:t>
            </w:r>
          </w:p>
        </w:tc>
        <w:tc>
          <w:tcPr>
            <w:tcW w:w="3321" w:type="pct"/>
          </w:tcPr>
          <w:p w14:paraId="0BFE0884" w14:textId="77777777" w:rsidR="00267BE6" w:rsidRPr="00C0591E" w:rsidRDefault="00267BE6" w:rsidP="00BE6779">
            <w:pPr>
              <w:spacing w:after="0"/>
              <w:rPr>
                <w:rFonts w:cs="Times New Roman"/>
                <w:szCs w:val="24"/>
              </w:rPr>
            </w:pPr>
            <w:r w:rsidRPr="00C0591E">
              <w:rPr>
                <w:rFonts w:cs="Times New Roman"/>
                <w:szCs w:val="24"/>
              </w:rPr>
              <w:t>The investment returns reported by the fund have improved over the years</w:t>
            </w:r>
          </w:p>
        </w:tc>
        <w:tc>
          <w:tcPr>
            <w:tcW w:w="277" w:type="pct"/>
          </w:tcPr>
          <w:p w14:paraId="2B99763D" w14:textId="77777777" w:rsidR="00267BE6" w:rsidRPr="00C0591E" w:rsidRDefault="00267BE6" w:rsidP="00E01DA9">
            <w:pPr>
              <w:spacing w:after="0"/>
              <w:rPr>
                <w:rFonts w:cs="Times New Roman"/>
                <w:b/>
                <w:szCs w:val="24"/>
              </w:rPr>
            </w:pPr>
          </w:p>
        </w:tc>
        <w:tc>
          <w:tcPr>
            <w:tcW w:w="277" w:type="pct"/>
          </w:tcPr>
          <w:p w14:paraId="3959C42C" w14:textId="77777777" w:rsidR="00267BE6" w:rsidRPr="00C0591E" w:rsidRDefault="00267BE6" w:rsidP="00E01DA9">
            <w:pPr>
              <w:spacing w:after="0"/>
              <w:rPr>
                <w:rFonts w:cs="Times New Roman"/>
                <w:b/>
                <w:szCs w:val="24"/>
              </w:rPr>
            </w:pPr>
          </w:p>
        </w:tc>
        <w:tc>
          <w:tcPr>
            <w:tcW w:w="277" w:type="pct"/>
          </w:tcPr>
          <w:p w14:paraId="43C7A6CC" w14:textId="77777777" w:rsidR="00267BE6" w:rsidRPr="00C0591E" w:rsidRDefault="00267BE6" w:rsidP="00E01DA9">
            <w:pPr>
              <w:spacing w:after="0"/>
              <w:rPr>
                <w:rFonts w:cs="Times New Roman"/>
                <w:b/>
                <w:szCs w:val="24"/>
              </w:rPr>
            </w:pPr>
          </w:p>
        </w:tc>
        <w:tc>
          <w:tcPr>
            <w:tcW w:w="277" w:type="pct"/>
          </w:tcPr>
          <w:p w14:paraId="5D56BFA4" w14:textId="77777777" w:rsidR="00267BE6" w:rsidRPr="00C0591E" w:rsidRDefault="00267BE6" w:rsidP="00E01DA9">
            <w:pPr>
              <w:spacing w:after="0"/>
              <w:rPr>
                <w:rFonts w:cs="Times New Roman"/>
                <w:b/>
                <w:szCs w:val="24"/>
              </w:rPr>
            </w:pPr>
          </w:p>
        </w:tc>
        <w:tc>
          <w:tcPr>
            <w:tcW w:w="283" w:type="pct"/>
          </w:tcPr>
          <w:p w14:paraId="6402E71E" w14:textId="77777777" w:rsidR="00267BE6" w:rsidRPr="00C0591E" w:rsidRDefault="00267BE6" w:rsidP="00E01DA9">
            <w:pPr>
              <w:spacing w:after="0"/>
              <w:rPr>
                <w:rFonts w:cs="Times New Roman"/>
                <w:b/>
                <w:szCs w:val="24"/>
              </w:rPr>
            </w:pPr>
          </w:p>
        </w:tc>
      </w:tr>
      <w:tr w:rsidR="00267BE6" w:rsidRPr="00C0591E" w14:paraId="384084D8" w14:textId="77777777" w:rsidTr="00727013">
        <w:trPr>
          <w:trHeight w:val="575"/>
        </w:trPr>
        <w:tc>
          <w:tcPr>
            <w:tcW w:w="288" w:type="pct"/>
          </w:tcPr>
          <w:p w14:paraId="0C1584C3" w14:textId="77777777" w:rsidR="00267BE6" w:rsidRPr="00C0591E" w:rsidRDefault="00A14A0E" w:rsidP="00727013">
            <w:pPr>
              <w:spacing w:after="0"/>
              <w:rPr>
                <w:rFonts w:cs="Times New Roman"/>
                <w:szCs w:val="24"/>
              </w:rPr>
            </w:pPr>
            <w:r w:rsidRPr="00C0591E">
              <w:rPr>
                <w:rFonts w:cs="Times New Roman"/>
                <w:szCs w:val="24"/>
              </w:rPr>
              <w:t>1</w:t>
            </w:r>
            <w:r w:rsidR="00BE6779" w:rsidRPr="00C0591E">
              <w:rPr>
                <w:rFonts w:cs="Times New Roman"/>
                <w:szCs w:val="24"/>
              </w:rPr>
              <w:t>9</w:t>
            </w:r>
            <w:r w:rsidR="00267BE6" w:rsidRPr="00C0591E">
              <w:rPr>
                <w:rFonts w:cs="Times New Roman"/>
                <w:szCs w:val="24"/>
              </w:rPr>
              <w:t>.</w:t>
            </w:r>
          </w:p>
        </w:tc>
        <w:tc>
          <w:tcPr>
            <w:tcW w:w="3321" w:type="pct"/>
          </w:tcPr>
          <w:p w14:paraId="3092D321" w14:textId="234F1B5C" w:rsidR="00267BE6" w:rsidRPr="00C0591E" w:rsidRDefault="00267BE6" w:rsidP="00727013">
            <w:pPr>
              <w:spacing w:after="0"/>
              <w:rPr>
                <w:rFonts w:cs="Times New Roman"/>
                <w:szCs w:val="24"/>
              </w:rPr>
            </w:pPr>
            <w:r w:rsidRPr="00C0591E">
              <w:rPr>
                <w:rFonts w:cs="Times New Roman"/>
                <w:szCs w:val="24"/>
              </w:rPr>
              <w:t xml:space="preserve">The fund’s AGM’s are </w:t>
            </w:r>
            <w:r w:rsidR="00A70314" w:rsidRPr="00C0591E">
              <w:rPr>
                <w:rFonts w:cs="Times New Roman"/>
                <w:szCs w:val="24"/>
              </w:rPr>
              <w:t>characterized</w:t>
            </w:r>
            <w:r w:rsidRPr="00C0591E">
              <w:rPr>
                <w:rFonts w:cs="Times New Roman"/>
                <w:szCs w:val="24"/>
              </w:rPr>
              <w:t xml:space="preserve"> with positive feedback from members regarding investment returns</w:t>
            </w:r>
          </w:p>
        </w:tc>
        <w:tc>
          <w:tcPr>
            <w:tcW w:w="277" w:type="pct"/>
          </w:tcPr>
          <w:p w14:paraId="0BBA6BDD" w14:textId="77777777" w:rsidR="00267BE6" w:rsidRPr="00C0591E" w:rsidRDefault="00267BE6" w:rsidP="00727013">
            <w:pPr>
              <w:spacing w:after="0"/>
              <w:rPr>
                <w:rFonts w:cs="Times New Roman"/>
                <w:b/>
                <w:szCs w:val="24"/>
              </w:rPr>
            </w:pPr>
          </w:p>
        </w:tc>
        <w:tc>
          <w:tcPr>
            <w:tcW w:w="277" w:type="pct"/>
          </w:tcPr>
          <w:p w14:paraId="09C8ACB8" w14:textId="77777777" w:rsidR="00267BE6" w:rsidRPr="00C0591E" w:rsidRDefault="00267BE6" w:rsidP="00727013">
            <w:pPr>
              <w:spacing w:after="0"/>
              <w:rPr>
                <w:rFonts w:cs="Times New Roman"/>
                <w:b/>
                <w:szCs w:val="24"/>
              </w:rPr>
            </w:pPr>
          </w:p>
        </w:tc>
        <w:tc>
          <w:tcPr>
            <w:tcW w:w="277" w:type="pct"/>
          </w:tcPr>
          <w:p w14:paraId="7296C17E" w14:textId="77777777" w:rsidR="00267BE6" w:rsidRPr="00C0591E" w:rsidRDefault="00267BE6" w:rsidP="00727013">
            <w:pPr>
              <w:spacing w:after="0"/>
              <w:rPr>
                <w:rFonts w:cs="Times New Roman"/>
                <w:b/>
                <w:szCs w:val="24"/>
              </w:rPr>
            </w:pPr>
          </w:p>
        </w:tc>
        <w:tc>
          <w:tcPr>
            <w:tcW w:w="277" w:type="pct"/>
          </w:tcPr>
          <w:p w14:paraId="1C89F6E3" w14:textId="77777777" w:rsidR="00267BE6" w:rsidRPr="00C0591E" w:rsidRDefault="00267BE6" w:rsidP="00727013">
            <w:pPr>
              <w:spacing w:after="0"/>
              <w:rPr>
                <w:rFonts w:cs="Times New Roman"/>
                <w:b/>
                <w:szCs w:val="24"/>
              </w:rPr>
            </w:pPr>
          </w:p>
        </w:tc>
        <w:tc>
          <w:tcPr>
            <w:tcW w:w="283" w:type="pct"/>
          </w:tcPr>
          <w:p w14:paraId="73D11C88" w14:textId="77777777" w:rsidR="00267BE6" w:rsidRPr="00C0591E" w:rsidRDefault="00267BE6" w:rsidP="00727013">
            <w:pPr>
              <w:spacing w:after="0"/>
              <w:rPr>
                <w:rFonts w:cs="Times New Roman"/>
                <w:b/>
                <w:szCs w:val="24"/>
              </w:rPr>
            </w:pPr>
          </w:p>
        </w:tc>
      </w:tr>
      <w:tr w:rsidR="00727013" w:rsidRPr="00C0591E" w14:paraId="5FA69E67" w14:textId="77777777" w:rsidTr="00727013">
        <w:tc>
          <w:tcPr>
            <w:tcW w:w="288" w:type="pct"/>
          </w:tcPr>
          <w:p w14:paraId="1E351AA1" w14:textId="77777777" w:rsidR="00727013" w:rsidRPr="00C0591E" w:rsidRDefault="00727013" w:rsidP="002C5E5B">
            <w:pPr>
              <w:spacing w:after="0"/>
              <w:rPr>
                <w:rFonts w:cs="Times New Roman"/>
                <w:szCs w:val="24"/>
              </w:rPr>
            </w:pPr>
            <w:r w:rsidRPr="00C0591E">
              <w:rPr>
                <w:rFonts w:cs="Times New Roman"/>
                <w:szCs w:val="24"/>
              </w:rPr>
              <w:t>20.</w:t>
            </w:r>
          </w:p>
        </w:tc>
        <w:tc>
          <w:tcPr>
            <w:tcW w:w="3321" w:type="pct"/>
          </w:tcPr>
          <w:p w14:paraId="764B42E4" w14:textId="77777777" w:rsidR="00727013" w:rsidRPr="00C0591E" w:rsidRDefault="00727013" w:rsidP="002C5E5B">
            <w:pPr>
              <w:spacing w:after="0"/>
              <w:rPr>
                <w:rFonts w:cs="Times New Roman"/>
                <w:b/>
                <w:szCs w:val="24"/>
              </w:rPr>
            </w:pPr>
            <w:r w:rsidRPr="00C0591E">
              <w:t>Rules and procedures for transactions are in place</w:t>
            </w:r>
          </w:p>
        </w:tc>
        <w:tc>
          <w:tcPr>
            <w:tcW w:w="277" w:type="pct"/>
          </w:tcPr>
          <w:p w14:paraId="40520BB4" w14:textId="77777777" w:rsidR="00727013" w:rsidRPr="00C0591E" w:rsidRDefault="00727013" w:rsidP="002C5E5B">
            <w:pPr>
              <w:spacing w:after="0"/>
              <w:rPr>
                <w:rFonts w:cs="Times New Roman"/>
                <w:szCs w:val="24"/>
              </w:rPr>
            </w:pPr>
          </w:p>
        </w:tc>
        <w:tc>
          <w:tcPr>
            <w:tcW w:w="277" w:type="pct"/>
          </w:tcPr>
          <w:p w14:paraId="2697E15E" w14:textId="77777777" w:rsidR="00727013" w:rsidRPr="00C0591E" w:rsidRDefault="00727013" w:rsidP="002C5E5B">
            <w:pPr>
              <w:spacing w:after="0"/>
              <w:rPr>
                <w:rFonts w:cs="Times New Roman"/>
                <w:szCs w:val="24"/>
              </w:rPr>
            </w:pPr>
          </w:p>
        </w:tc>
        <w:tc>
          <w:tcPr>
            <w:tcW w:w="277" w:type="pct"/>
          </w:tcPr>
          <w:p w14:paraId="2BAD98FC" w14:textId="77777777" w:rsidR="00727013" w:rsidRPr="00C0591E" w:rsidRDefault="00727013" w:rsidP="002C5E5B">
            <w:pPr>
              <w:spacing w:after="0"/>
              <w:rPr>
                <w:rFonts w:cs="Times New Roman"/>
                <w:szCs w:val="24"/>
              </w:rPr>
            </w:pPr>
          </w:p>
        </w:tc>
        <w:tc>
          <w:tcPr>
            <w:tcW w:w="277" w:type="pct"/>
          </w:tcPr>
          <w:p w14:paraId="3DD2BA1D" w14:textId="77777777" w:rsidR="00727013" w:rsidRPr="00C0591E" w:rsidRDefault="00727013" w:rsidP="002C5E5B">
            <w:pPr>
              <w:spacing w:after="0"/>
              <w:rPr>
                <w:rFonts w:cs="Times New Roman"/>
                <w:szCs w:val="24"/>
              </w:rPr>
            </w:pPr>
          </w:p>
        </w:tc>
        <w:tc>
          <w:tcPr>
            <w:tcW w:w="283" w:type="pct"/>
          </w:tcPr>
          <w:p w14:paraId="583AB7B6" w14:textId="77777777" w:rsidR="00727013" w:rsidRPr="00C0591E" w:rsidRDefault="00727013" w:rsidP="002C5E5B">
            <w:pPr>
              <w:spacing w:after="0"/>
              <w:rPr>
                <w:rFonts w:cs="Times New Roman"/>
                <w:szCs w:val="24"/>
              </w:rPr>
            </w:pPr>
          </w:p>
        </w:tc>
      </w:tr>
      <w:tr w:rsidR="00727013" w:rsidRPr="00C0591E" w14:paraId="136F3B36" w14:textId="77777777" w:rsidTr="00727013">
        <w:tc>
          <w:tcPr>
            <w:tcW w:w="288" w:type="pct"/>
          </w:tcPr>
          <w:p w14:paraId="1617B4BB" w14:textId="77777777" w:rsidR="00727013" w:rsidRPr="00C0591E" w:rsidRDefault="00727013" w:rsidP="002C5E5B">
            <w:pPr>
              <w:spacing w:after="0"/>
              <w:rPr>
                <w:rFonts w:cs="Times New Roman"/>
                <w:szCs w:val="24"/>
              </w:rPr>
            </w:pPr>
            <w:r w:rsidRPr="00C0591E">
              <w:rPr>
                <w:rFonts w:cs="Times New Roman"/>
                <w:szCs w:val="24"/>
              </w:rPr>
              <w:t>21.</w:t>
            </w:r>
          </w:p>
        </w:tc>
        <w:tc>
          <w:tcPr>
            <w:tcW w:w="3321" w:type="pct"/>
          </w:tcPr>
          <w:p w14:paraId="267D1F36" w14:textId="77777777" w:rsidR="00727013" w:rsidRPr="00C0591E" w:rsidRDefault="00727013" w:rsidP="002C5E5B">
            <w:pPr>
              <w:spacing w:after="0"/>
              <w:rPr>
                <w:rFonts w:cs="Times New Roman"/>
                <w:b/>
                <w:szCs w:val="24"/>
              </w:rPr>
            </w:pPr>
            <w:r w:rsidRPr="00C0591E">
              <w:t>Commercial laws, rules and regulations are in place</w:t>
            </w:r>
          </w:p>
        </w:tc>
        <w:tc>
          <w:tcPr>
            <w:tcW w:w="277" w:type="pct"/>
          </w:tcPr>
          <w:p w14:paraId="292313B7" w14:textId="77777777" w:rsidR="00727013" w:rsidRPr="00C0591E" w:rsidRDefault="00727013" w:rsidP="002C5E5B">
            <w:pPr>
              <w:spacing w:after="0"/>
              <w:rPr>
                <w:rFonts w:cs="Times New Roman"/>
                <w:szCs w:val="24"/>
              </w:rPr>
            </w:pPr>
          </w:p>
        </w:tc>
        <w:tc>
          <w:tcPr>
            <w:tcW w:w="277" w:type="pct"/>
          </w:tcPr>
          <w:p w14:paraId="41B816B1" w14:textId="77777777" w:rsidR="00727013" w:rsidRPr="00C0591E" w:rsidRDefault="00727013" w:rsidP="002C5E5B">
            <w:pPr>
              <w:spacing w:after="0"/>
              <w:rPr>
                <w:rFonts w:cs="Times New Roman"/>
                <w:szCs w:val="24"/>
              </w:rPr>
            </w:pPr>
          </w:p>
        </w:tc>
        <w:tc>
          <w:tcPr>
            <w:tcW w:w="277" w:type="pct"/>
          </w:tcPr>
          <w:p w14:paraId="4E4B5B84" w14:textId="77777777" w:rsidR="00727013" w:rsidRPr="00C0591E" w:rsidRDefault="00727013" w:rsidP="002C5E5B">
            <w:pPr>
              <w:spacing w:after="0"/>
              <w:rPr>
                <w:rFonts w:cs="Times New Roman"/>
                <w:szCs w:val="24"/>
              </w:rPr>
            </w:pPr>
          </w:p>
        </w:tc>
        <w:tc>
          <w:tcPr>
            <w:tcW w:w="277" w:type="pct"/>
          </w:tcPr>
          <w:p w14:paraId="3C02C147" w14:textId="77777777" w:rsidR="00727013" w:rsidRPr="00C0591E" w:rsidRDefault="00727013" w:rsidP="002C5E5B">
            <w:pPr>
              <w:spacing w:after="0"/>
              <w:rPr>
                <w:rFonts w:cs="Times New Roman"/>
                <w:szCs w:val="24"/>
              </w:rPr>
            </w:pPr>
          </w:p>
        </w:tc>
        <w:tc>
          <w:tcPr>
            <w:tcW w:w="283" w:type="pct"/>
          </w:tcPr>
          <w:p w14:paraId="50BD90F7" w14:textId="77777777" w:rsidR="00727013" w:rsidRPr="00C0591E" w:rsidRDefault="00727013" w:rsidP="002C5E5B">
            <w:pPr>
              <w:spacing w:after="0"/>
              <w:rPr>
                <w:rFonts w:cs="Times New Roman"/>
                <w:szCs w:val="24"/>
              </w:rPr>
            </w:pPr>
          </w:p>
        </w:tc>
      </w:tr>
      <w:tr w:rsidR="00727013" w:rsidRPr="00C0591E" w14:paraId="5A78AB30" w14:textId="77777777" w:rsidTr="00727013">
        <w:tc>
          <w:tcPr>
            <w:tcW w:w="288" w:type="pct"/>
          </w:tcPr>
          <w:p w14:paraId="2D3F342D" w14:textId="77777777" w:rsidR="00727013" w:rsidRPr="00C0591E" w:rsidRDefault="00727013" w:rsidP="002C5E5B">
            <w:pPr>
              <w:spacing w:after="0"/>
              <w:rPr>
                <w:rFonts w:cs="Times New Roman"/>
                <w:szCs w:val="24"/>
              </w:rPr>
            </w:pPr>
            <w:r w:rsidRPr="00C0591E">
              <w:rPr>
                <w:rFonts w:cs="Times New Roman"/>
                <w:szCs w:val="24"/>
              </w:rPr>
              <w:t>22.</w:t>
            </w:r>
          </w:p>
        </w:tc>
        <w:tc>
          <w:tcPr>
            <w:tcW w:w="3321" w:type="pct"/>
          </w:tcPr>
          <w:p w14:paraId="6CC1669B" w14:textId="77777777" w:rsidR="00727013" w:rsidRPr="00C0591E" w:rsidRDefault="00727013" w:rsidP="002C5E5B">
            <w:pPr>
              <w:spacing w:after="0"/>
              <w:rPr>
                <w:rFonts w:cs="Times New Roman"/>
                <w:b/>
                <w:szCs w:val="24"/>
              </w:rPr>
            </w:pPr>
            <w:r w:rsidRPr="00C0591E">
              <w:t>Laws and rules for appointing and removing auditors are in place</w:t>
            </w:r>
          </w:p>
        </w:tc>
        <w:tc>
          <w:tcPr>
            <w:tcW w:w="277" w:type="pct"/>
          </w:tcPr>
          <w:p w14:paraId="528A345B" w14:textId="77777777" w:rsidR="00727013" w:rsidRPr="00C0591E" w:rsidRDefault="00727013" w:rsidP="002C5E5B">
            <w:pPr>
              <w:spacing w:after="0"/>
              <w:rPr>
                <w:rFonts w:cs="Times New Roman"/>
                <w:szCs w:val="24"/>
              </w:rPr>
            </w:pPr>
          </w:p>
        </w:tc>
        <w:tc>
          <w:tcPr>
            <w:tcW w:w="277" w:type="pct"/>
          </w:tcPr>
          <w:p w14:paraId="1B075E34" w14:textId="77777777" w:rsidR="00727013" w:rsidRPr="00C0591E" w:rsidRDefault="00727013" w:rsidP="002C5E5B">
            <w:pPr>
              <w:spacing w:after="0"/>
              <w:rPr>
                <w:rFonts w:cs="Times New Roman"/>
                <w:szCs w:val="24"/>
              </w:rPr>
            </w:pPr>
          </w:p>
        </w:tc>
        <w:tc>
          <w:tcPr>
            <w:tcW w:w="277" w:type="pct"/>
          </w:tcPr>
          <w:p w14:paraId="04B5ADE3" w14:textId="77777777" w:rsidR="00727013" w:rsidRPr="00C0591E" w:rsidRDefault="00727013" w:rsidP="002C5E5B">
            <w:pPr>
              <w:spacing w:after="0"/>
              <w:rPr>
                <w:rFonts w:cs="Times New Roman"/>
                <w:szCs w:val="24"/>
              </w:rPr>
            </w:pPr>
          </w:p>
        </w:tc>
        <w:tc>
          <w:tcPr>
            <w:tcW w:w="277" w:type="pct"/>
          </w:tcPr>
          <w:p w14:paraId="48DC8B65" w14:textId="77777777" w:rsidR="00727013" w:rsidRPr="00C0591E" w:rsidRDefault="00727013" w:rsidP="002C5E5B">
            <w:pPr>
              <w:spacing w:after="0"/>
              <w:rPr>
                <w:rFonts w:cs="Times New Roman"/>
                <w:szCs w:val="24"/>
              </w:rPr>
            </w:pPr>
          </w:p>
        </w:tc>
        <w:tc>
          <w:tcPr>
            <w:tcW w:w="283" w:type="pct"/>
          </w:tcPr>
          <w:p w14:paraId="4FDC88CB" w14:textId="77777777" w:rsidR="00727013" w:rsidRPr="00C0591E" w:rsidRDefault="00727013" w:rsidP="002C5E5B">
            <w:pPr>
              <w:spacing w:after="0"/>
              <w:rPr>
                <w:rFonts w:cs="Times New Roman"/>
                <w:szCs w:val="24"/>
              </w:rPr>
            </w:pPr>
          </w:p>
        </w:tc>
      </w:tr>
      <w:tr w:rsidR="00727013" w:rsidRPr="00C0591E" w14:paraId="1DEFC63B" w14:textId="77777777" w:rsidTr="00727013">
        <w:tc>
          <w:tcPr>
            <w:tcW w:w="288" w:type="pct"/>
          </w:tcPr>
          <w:p w14:paraId="624C294D" w14:textId="77777777" w:rsidR="00727013" w:rsidRPr="00C0591E" w:rsidRDefault="00727013" w:rsidP="002C5E5B">
            <w:pPr>
              <w:spacing w:after="0"/>
              <w:rPr>
                <w:rFonts w:cs="Times New Roman"/>
                <w:szCs w:val="24"/>
              </w:rPr>
            </w:pPr>
            <w:r w:rsidRPr="00C0591E">
              <w:rPr>
                <w:rFonts w:cs="Times New Roman"/>
                <w:szCs w:val="24"/>
              </w:rPr>
              <w:t>23.</w:t>
            </w:r>
          </w:p>
        </w:tc>
        <w:tc>
          <w:tcPr>
            <w:tcW w:w="3321" w:type="pct"/>
          </w:tcPr>
          <w:p w14:paraId="1ED95926" w14:textId="77777777" w:rsidR="00727013" w:rsidRPr="00C0591E" w:rsidRDefault="00727013" w:rsidP="002C5E5B">
            <w:pPr>
              <w:spacing w:after="0"/>
              <w:rPr>
                <w:rFonts w:cs="Times New Roman"/>
                <w:b/>
                <w:szCs w:val="24"/>
              </w:rPr>
            </w:pPr>
            <w:r w:rsidRPr="00C0591E">
              <w:t>Government agencies responsible for enforcement of corporate laws are in place</w:t>
            </w:r>
          </w:p>
        </w:tc>
        <w:tc>
          <w:tcPr>
            <w:tcW w:w="277" w:type="pct"/>
          </w:tcPr>
          <w:p w14:paraId="133DC90B" w14:textId="77777777" w:rsidR="00727013" w:rsidRPr="00C0591E" w:rsidRDefault="00727013" w:rsidP="002C5E5B">
            <w:pPr>
              <w:spacing w:after="0"/>
              <w:rPr>
                <w:rFonts w:cs="Times New Roman"/>
                <w:szCs w:val="24"/>
              </w:rPr>
            </w:pPr>
          </w:p>
        </w:tc>
        <w:tc>
          <w:tcPr>
            <w:tcW w:w="277" w:type="pct"/>
          </w:tcPr>
          <w:p w14:paraId="4456745A" w14:textId="77777777" w:rsidR="00727013" w:rsidRPr="00C0591E" w:rsidRDefault="00727013" w:rsidP="002C5E5B">
            <w:pPr>
              <w:spacing w:after="0"/>
              <w:rPr>
                <w:rFonts w:cs="Times New Roman"/>
                <w:szCs w:val="24"/>
              </w:rPr>
            </w:pPr>
          </w:p>
        </w:tc>
        <w:tc>
          <w:tcPr>
            <w:tcW w:w="277" w:type="pct"/>
          </w:tcPr>
          <w:p w14:paraId="43BA73DE" w14:textId="77777777" w:rsidR="00727013" w:rsidRPr="00C0591E" w:rsidRDefault="00727013" w:rsidP="002C5E5B">
            <w:pPr>
              <w:spacing w:after="0"/>
              <w:rPr>
                <w:rFonts w:cs="Times New Roman"/>
                <w:szCs w:val="24"/>
              </w:rPr>
            </w:pPr>
          </w:p>
        </w:tc>
        <w:tc>
          <w:tcPr>
            <w:tcW w:w="277" w:type="pct"/>
          </w:tcPr>
          <w:p w14:paraId="62FBD6F3" w14:textId="77777777" w:rsidR="00727013" w:rsidRPr="00C0591E" w:rsidRDefault="00727013" w:rsidP="002C5E5B">
            <w:pPr>
              <w:spacing w:after="0"/>
              <w:rPr>
                <w:rFonts w:cs="Times New Roman"/>
                <w:szCs w:val="24"/>
              </w:rPr>
            </w:pPr>
          </w:p>
        </w:tc>
        <w:tc>
          <w:tcPr>
            <w:tcW w:w="283" w:type="pct"/>
          </w:tcPr>
          <w:p w14:paraId="7272172B" w14:textId="77777777" w:rsidR="00727013" w:rsidRPr="00C0591E" w:rsidRDefault="00727013" w:rsidP="002C5E5B">
            <w:pPr>
              <w:spacing w:after="0"/>
              <w:rPr>
                <w:rFonts w:cs="Times New Roman"/>
                <w:szCs w:val="24"/>
              </w:rPr>
            </w:pPr>
          </w:p>
        </w:tc>
      </w:tr>
      <w:tr w:rsidR="00727013" w:rsidRPr="00C0591E" w14:paraId="44284BEA" w14:textId="77777777" w:rsidTr="00727013">
        <w:tc>
          <w:tcPr>
            <w:tcW w:w="288" w:type="pct"/>
          </w:tcPr>
          <w:p w14:paraId="129497C8" w14:textId="77777777" w:rsidR="00727013" w:rsidRPr="00C0591E" w:rsidRDefault="00727013" w:rsidP="002C5E5B">
            <w:pPr>
              <w:spacing w:after="0"/>
              <w:rPr>
                <w:rFonts w:cs="Times New Roman"/>
                <w:szCs w:val="24"/>
              </w:rPr>
            </w:pPr>
            <w:r w:rsidRPr="00C0591E">
              <w:rPr>
                <w:rFonts w:cs="Times New Roman"/>
                <w:szCs w:val="24"/>
              </w:rPr>
              <w:t>24.</w:t>
            </w:r>
          </w:p>
        </w:tc>
        <w:tc>
          <w:tcPr>
            <w:tcW w:w="3321" w:type="pct"/>
          </w:tcPr>
          <w:p w14:paraId="698F9F08" w14:textId="77777777" w:rsidR="00727013" w:rsidRPr="00C0591E" w:rsidRDefault="00727013" w:rsidP="002C5E5B">
            <w:pPr>
              <w:spacing w:after="0"/>
              <w:rPr>
                <w:rFonts w:cs="Times New Roman"/>
                <w:b/>
                <w:szCs w:val="24"/>
              </w:rPr>
            </w:pPr>
            <w:r w:rsidRPr="00C0591E">
              <w:t>Inspectors investigate non-compliance with statutory requirements</w:t>
            </w:r>
          </w:p>
        </w:tc>
        <w:tc>
          <w:tcPr>
            <w:tcW w:w="277" w:type="pct"/>
          </w:tcPr>
          <w:p w14:paraId="45D4EBC5" w14:textId="77777777" w:rsidR="00727013" w:rsidRPr="00C0591E" w:rsidRDefault="00727013" w:rsidP="002C5E5B">
            <w:pPr>
              <w:spacing w:after="0"/>
              <w:rPr>
                <w:rFonts w:cs="Times New Roman"/>
                <w:szCs w:val="24"/>
              </w:rPr>
            </w:pPr>
          </w:p>
        </w:tc>
        <w:tc>
          <w:tcPr>
            <w:tcW w:w="277" w:type="pct"/>
          </w:tcPr>
          <w:p w14:paraId="1465B3B2" w14:textId="77777777" w:rsidR="00727013" w:rsidRPr="00C0591E" w:rsidRDefault="00727013" w:rsidP="002C5E5B">
            <w:pPr>
              <w:spacing w:after="0"/>
              <w:rPr>
                <w:rFonts w:cs="Times New Roman"/>
                <w:szCs w:val="24"/>
              </w:rPr>
            </w:pPr>
          </w:p>
        </w:tc>
        <w:tc>
          <w:tcPr>
            <w:tcW w:w="277" w:type="pct"/>
          </w:tcPr>
          <w:p w14:paraId="1CAB5FF3" w14:textId="77777777" w:rsidR="00727013" w:rsidRPr="00C0591E" w:rsidRDefault="00727013" w:rsidP="002C5E5B">
            <w:pPr>
              <w:spacing w:after="0"/>
              <w:rPr>
                <w:rFonts w:cs="Times New Roman"/>
                <w:szCs w:val="24"/>
              </w:rPr>
            </w:pPr>
          </w:p>
        </w:tc>
        <w:tc>
          <w:tcPr>
            <w:tcW w:w="277" w:type="pct"/>
          </w:tcPr>
          <w:p w14:paraId="758CAE2A" w14:textId="77777777" w:rsidR="00727013" w:rsidRPr="00C0591E" w:rsidRDefault="00727013" w:rsidP="002C5E5B">
            <w:pPr>
              <w:spacing w:after="0"/>
              <w:rPr>
                <w:rFonts w:cs="Times New Roman"/>
                <w:szCs w:val="24"/>
              </w:rPr>
            </w:pPr>
          </w:p>
        </w:tc>
        <w:tc>
          <w:tcPr>
            <w:tcW w:w="283" w:type="pct"/>
          </w:tcPr>
          <w:p w14:paraId="310266A3" w14:textId="77777777" w:rsidR="00727013" w:rsidRPr="00C0591E" w:rsidRDefault="00727013" w:rsidP="002C5E5B">
            <w:pPr>
              <w:spacing w:after="0"/>
              <w:rPr>
                <w:rFonts w:cs="Times New Roman"/>
                <w:szCs w:val="24"/>
              </w:rPr>
            </w:pPr>
          </w:p>
        </w:tc>
      </w:tr>
      <w:tr w:rsidR="00727013" w:rsidRPr="00C0591E" w14:paraId="7AC76EC3" w14:textId="77777777" w:rsidTr="00727013">
        <w:tc>
          <w:tcPr>
            <w:tcW w:w="288" w:type="pct"/>
          </w:tcPr>
          <w:p w14:paraId="58F51B89" w14:textId="77777777" w:rsidR="00727013" w:rsidRPr="00C0591E" w:rsidRDefault="00727013" w:rsidP="002C5E5B">
            <w:pPr>
              <w:spacing w:after="0"/>
              <w:rPr>
                <w:rFonts w:cs="Times New Roman"/>
                <w:szCs w:val="24"/>
              </w:rPr>
            </w:pPr>
            <w:r w:rsidRPr="00C0591E">
              <w:rPr>
                <w:rFonts w:cs="Times New Roman"/>
                <w:szCs w:val="24"/>
              </w:rPr>
              <w:t>25.</w:t>
            </w:r>
          </w:p>
        </w:tc>
        <w:tc>
          <w:tcPr>
            <w:tcW w:w="3321" w:type="pct"/>
          </w:tcPr>
          <w:p w14:paraId="4E2E3434" w14:textId="77777777" w:rsidR="00727013" w:rsidRPr="00C0591E" w:rsidRDefault="00727013" w:rsidP="002C5E5B">
            <w:pPr>
              <w:spacing w:after="0"/>
              <w:rPr>
                <w:rFonts w:cs="Times New Roman"/>
                <w:b/>
                <w:szCs w:val="24"/>
              </w:rPr>
            </w:pPr>
            <w:r w:rsidRPr="00C0591E">
              <w:t>Inspectors investigate complaints by stakeholders about mismanagement</w:t>
            </w:r>
          </w:p>
        </w:tc>
        <w:tc>
          <w:tcPr>
            <w:tcW w:w="277" w:type="pct"/>
          </w:tcPr>
          <w:p w14:paraId="5D959C22" w14:textId="77777777" w:rsidR="00727013" w:rsidRPr="00C0591E" w:rsidRDefault="00727013" w:rsidP="002C5E5B">
            <w:pPr>
              <w:spacing w:after="0"/>
              <w:rPr>
                <w:rFonts w:cs="Times New Roman"/>
                <w:szCs w:val="24"/>
              </w:rPr>
            </w:pPr>
          </w:p>
        </w:tc>
        <w:tc>
          <w:tcPr>
            <w:tcW w:w="277" w:type="pct"/>
          </w:tcPr>
          <w:p w14:paraId="4F93BE1C" w14:textId="77777777" w:rsidR="00727013" w:rsidRPr="00C0591E" w:rsidRDefault="00727013" w:rsidP="002C5E5B">
            <w:pPr>
              <w:spacing w:after="0"/>
              <w:rPr>
                <w:rFonts w:cs="Times New Roman"/>
                <w:szCs w:val="24"/>
              </w:rPr>
            </w:pPr>
          </w:p>
        </w:tc>
        <w:tc>
          <w:tcPr>
            <w:tcW w:w="277" w:type="pct"/>
          </w:tcPr>
          <w:p w14:paraId="71F11861" w14:textId="77777777" w:rsidR="00727013" w:rsidRPr="00C0591E" w:rsidRDefault="00727013" w:rsidP="002C5E5B">
            <w:pPr>
              <w:spacing w:after="0"/>
              <w:rPr>
                <w:rFonts w:cs="Times New Roman"/>
                <w:szCs w:val="24"/>
              </w:rPr>
            </w:pPr>
          </w:p>
        </w:tc>
        <w:tc>
          <w:tcPr>
            <w:tcW w:w="277" w:type="pct"/>
          </w:tcPr>
          <w:p w14:paraId="494123C5" w14:textId="77777777" w:rsidR="00727013" w:rsidRPr="00C0591E" w:rsidRDefault="00727013" w:rsidP="002C5E5B">
            <w:pPr>
              <w:spacing w:after="0"/>
              <w:rPr>
                <w:rFonts w:cs="Times New Roman"/>
                <w:szCs w:val="24"/>
              </w:rPr>
            </w:pPr>
          </w:p>
        </w:tc>
        <w:tc>
          <w:tcPr>
            <w:tcW w:w="283" w:type="pct"/>
          </w:tcPr>
          <w:p w14:paraId="63061102" w14:textId="77777777" w:rsidR="00727013" w:rsidRPr="00C0591E" w:rsidRDefault="00727013" w:rsidP="002C5E5B">
            <w:pPr>
              <w:spacing w:after="0"/>
              <w:rPr>
                <w:rFonts w:cs="Times New Roman"/>
                <w:szCs w:val="24"/>
              </w:rPr>
            </w:pPr>
          </w:p>
        </w:tc>
      </w:tr>
      <w:tr w:rsidR="00727013" w:rsidRPr="00C0591E" w14:paraId="77204361" w14:textId="77777777" w:rsidTr="00727013">
        <w:tc>
          <w:tcPr>
            <w:tcW w:w="288" w:type="pct"/>
          </w:tcPr>
          <w:p w14:paraId="4FF12467" w14:textId="77777777" w:rsidR="00727013" w:rsidRPr="00C0591E" w:rsidRDefault="00727013" w:rsidP="002C5E5B">
            <w:pPr>
              <w:spacing w:after="0"/>
              <w:rPr>
                <w:rFonts w:cs="Times New Roman"/>
                <w:szCs w:val="24"/>
              </w:rPr>
            </w:pPr>
            <w:r w:rsidRPr="00C0591E">
              <w:rPr>
                <w:rFonts w:cs="Times New Roman"/>
                <w:szCs w:val="24"/>
              </w:rPr>
              <w:t>26.</w:t>
            </w:r>
          </w:p>
        </w:tc>
        <w:tc>
          <w:tcPr>
            <w:tcW w:w="3321" w:type="pct"/>
          </w:tcPr>
          <w:p w14:paraId="710E5D1B" w14:textId="77777777" w:rsidR="00727013" w:rsidRPr="00C0591E" w:rsidRDefault="00727013" w:rsidP="002C5E5B">
            <w:pPr>
              <w:spacing w:after="0"/>
              <w:rPr>
                <w:rFonts w:cs="Times New Roman"/>
                <w:b/>
                <w:szCs w:val="24"/>
              </w:rPr>
            </w:pPr>
            <w:r w:rsidRPr="00C0591E">
              <w:t>Actions are taken against auditors’ failure to report improper financial records</w:t>
            </w:r>
          </w:p>
        </w:tc>
        <w:tc>
          <w:tcPr>
            <w:tcW w:w="277" w:type="pct"/>
          </w:tcPr>
          <w:p w14:paraId="4F16BEE8" w14:textId="77777777" w:rsidR="00727013" w:rsidRPr="00C0591E" w:rsidRDefault="00727013" w:rsidP="002C5E5B">
            <w:pPr>
              <w:spacing w:after="0"/>
              <w:rPr>
                <w:rFonts w:cs="Times New Roman"/>
                <w:szCs w:val="24"/>
              </w:rPr>
            </w:pPr>
          </w:p>
        </w:tc>
        <w:tc>
          <w:tcPr>
            <w:tcW w:w="277" w:type="pct"/>
          </w:tcPr>
          <w:p w14:paraId="36A6ABEA" w14:textId="77777777" w:rsidR="00727013" w:rsidRPr="00C0591E" w:rsidRDefault="00727013" w:rsidP="002C5E5B">
            <w:pPr>
              <w:spacing w:after="0"/>
              <w:rPr>
                <w:rFonts w:cs="Times New Roman"/>
                <w:szCs w:val="24"/>
              </w:rPr>
            </w:pPr>
          </w:p>
        </w:tc>
        <w:tc>
          <w:tcPr>
            <w:tcW w:w="277" w:type="pct"/>
          </w:tcPr>
          <w:p w14:paraId="331DFD7C" w14:textId="77777777" w:rsidR="00727013" w:rsidRPr="00C0591E" w:rsidRDefault="00727013" w:rsidP="002C5E5B">
            <w:pPr>
              <w:spacing w:after="0"/>
              <w:rPr>
                <w:rFonts w:cs="Times New Roman"/>
                <w:szCs w:val="24"/>
              </w:rPr>
            </w:pPr>
          </w:p>
        </w:tc>
        <w:tc>
          <w:tcPr>
            <w:tcW w:w="277" w:type="pct"/>
          </w:tcPr>
          <w:p w14:paraId="209250D8" w14:textId="77777777" w:rsidR="00727013" w:rsidRPr="00C0591E" w:rsidRDefault="00727013" w:rsidP="002C5E5B">
            <w:pPr>
              <w:spacing w:after="0"/>
              <w:rPr>
                <w:rFonts w:cs="Times New Roman"/>
                <w:szCs w:val="24"/>
              </w:rPr>
            </w:pPr>
          </w:p>
        </w:tc>
        <w:tc>
          <w:tcPr>
            <w:tcW w:w="283" w:type="pct"/>
          </w:tcPr>
          <w:p w14:paraId="28343D4C" w14:textId="77777777" w:rsidR="00727013" w:rsidRPr="00C0591E" w:rsidRDefault="00727013" w:rsidP="002C5E5B">
            <w:pPr>
              <w:spacing w:after="0"/>
              <w:rPr>
                <w:rFonts w:cs="Times New Roman"/>
                <w:szCs w:val="24"/>
              </w:rPr>
            </w:pPr>
          </w:p>
        </w:tc>
      </w:tr>
    </w:tbl>
    <w:p w14:paraId="390572E1" w14:textId="77777777" w:rsidR="00FD71D7" w:rsidRPr="00C0591E" w:rsidRDefault="00FD71D7">
      <w:pPr>
        <w:spacing w:after="160" w:line="259" w:lineRule="auto"/>
        <w:rPr>
          <w:rFonts w:cs="Times New Roman"/>
          <w:b/>
        </w:rPr>
      </w:pPr>
      <w:r w:rsidRPr="00C0591E">
        <w:rPr>
          <w:rFonts w:cs="Times New Roman"/>
          <w:b/>
        </w:rPr>
        <w:br w:type="page"/>
      </w:r>
    </w:p>
    <w:p w14:paraId="796352AC" w14:textId="079C1570" w:rsidR="00267BE6" w:rsidRPr="00C0591E" w:rsidRDefault="00267BE6" w:rsidP="00267BE6">
      <w:pPr>
        <w:rPr>
          <w:rFonts w:cs="Times New Roman"/>
          <w:b/>
        </w:rPr>
      </w:pPr>
      <w:r w:rsidRPr="00C0591E">
        <w:rPr>
          <w:rFonts w:cs="Times New Roman"/>
          <w:b/>
        </w:rPr>
        <w:t xml:space="preserve">SECTION D: </w:t>
      </w:r>
      <w:r w:rsidRPr="00C0591E">
        <w:rPr>
          <w:rFonts w:cs="Times New Roman"/>
          <w:b/>
          <w:color w:val="000000"/>
          <w:szCs w:val="24"/>
          <w:lang w:val="en-GB"/>
        </w:rPr>
        <w:t xml:space="preserve">GOVERNMENT </w:t>
      </w:r>
      <w:r w:rsidRPr="00C0591E">
        <w:rPr>
          <w:rFonts w:eastAsia="Times New Roman" w:cs="Times New Roman"/>
          <w:b/>
          <w:color w:val="222222"/>
          <w:szCs w:val="19"/>
        </w:rPr>
        <w:t>REGULATION</w:t>
      </w:r>
      <w:r w:rsidR="00ED35EB" w:rsidRPr="00C0591E">
        <w:rPr>
          <w:rFonts w:eastAsia="Times New Roman" w:cs="Times New Roman"/>
          <w:b/>
          <w:color w:val="222222"/>
          <w:szCs w:val="19"/>
        </w:rPr>
        <w:t>S</w:t>
      </w:r>
      <w:r w:rsidRPr="00C0591E">
        <w:rPr>
          <w:rFonts w:eastAsia="Times New Roman" w:cs="Times New Roman"/>
          <w:b/>
          <w:color w:val="222222"/>
          <w:szCs w:val="19"/>
        </w:rPr>
        <w:t xml:space="preserve"> IN PENSION FUND MANAGERS </w:t>
      </w:r>
    </w:p>
    <w:p w14:paraId="726791A8" w14:textId="2FF03C9A" w:rsidR="00527E5A" w:rsidRPr="00C0591E" w:rsidRDefault="002C3F7A" w:rsidP="000C6842">
      <w:r w:rsidRPr="00C0591E">
        <w:t>8</w:t>
      </w:r>
      <w:r w:rsidR="00267BE6" w:rsidRPr="00C0591E">
        <w:t xml:space="preserve">. </w:t>
      </w:r>
      <w:r w:rsidR="000C6842" w:rsidRPr="00C0591E">
        <w:t xml:space="preserve">Please indicate the extent to which you agree with each of the following statements using a scale of </w:t>
      </w:r>
      <w:r w:rsidR="000C6842" w:rsidRPr="00C0591E">
        <w:rPr>
          <w:bCs/>
          <w:sz w:val="22"/>
        </w:rPr>
        <w:t>1-</w:t>
      </w:r>
      <w:r w:rsidR="00900415" w:rsidRPr="00C0591E">
        <w:rPr>
          <w:bCs/>
          <w:sz w:val="22"/>
        </w:rPr>
        <w:t>5</w:t>
      </w:r>
      <w:r w:rsidR="000C6842" w:rsidRPr="00C0591E">
        <w:t xml:space="preserve"> in relation to your </w:t>
      </w:r>
      <w:r w:rsidR="000C6842" w:rsidRPr="00C0591E">
        <w:rPr>
          <w:bCs/>
          <w:sz w:val="22"/>
        </w:rPr>
        <w:t xml:space="preserve">firm’s </w:t>
      </w:r>
      <w:r w:rsidR="00900415" w:rsidRPr="00C0591E">
        <w:rPr>
          <w:bCs/>
          <w:sz w:val="22"/>
        </w:rPr>
        <w:t xml:space="preserve">financial </w:t>
      </w:r>
      <w:r w:rsidR="000C6842" w:rsidRPr="00C0591E">
        <w:rPr>
          <w:bCs/>
          <w:sz w:val="22"/>
        </w:rPr>
        <w:t>performance.</w:t>
      </w:r>
    </w:p>
    <w:p w14:paraId="71776054" w14:textId="02A8C00B" w:rsidR="00AB3303" w:rsidRPr="00C0591E" w:rsidRDefault="00AB3303" w:rsidP="00AB3303">
      <w:pPr>
        <w:widowControl w:val="0"/>
        <w:autoSpaceDE w:val="0"/>
        <w:autoSpaceDN w:val="0"/>
        <w:adjustRightInd w:val="0"/>
        <w:spacing w:after="0"/>
        <w:ind w:left="100"/>
        <w:rPr>
          <w:b/>
          <w:bCs/>
          <w:color w:val="000000"/>
          <w:szCs w:val="24"/>
        </w:rPr>
      </w:pPr>
      <w:r w:rsidRPr="00C0591E">
        <w:rPr>
          <w:b/>
          <w:bCs/>
          <w:color w:val="000000"/>
          <w:szCs w:val="24"/>
        </w:rPr>
        <w:t>(1=Strongly Agree, 2=Agree, 3=Neutral, 4 =Disagree, 5=Strongly Disagree)</w:t>
      </w:r>
    </w:p>
    <w:p w14:paraId="1EDC0552" w14:textId="77777777" w:rsidR="00AB3303" w:rsidRPr="00C0591E" w:rsidRDefault="00AB3303" w:rsidP="00AB3303">
      <w:pPr>
        <w:widowControl w:val="0"/>
        <w:autoSpaceDE w:val="0"/>
        <w:autoSpaceDN w:val="0"/>
        <w:adjustRightInd w:val="0"/>
        <w:spacing w:after="0"/>
        <w:ind w:left="100"/>
        <w:rPr>
          <w:sz w:val="14"/>
          <w:szCs w:val="14"/>
        </w:rPr>
      </w:pPr>
    </w:p>
    <w:tbl>
      <w:tblPr>
        <w:tblStyle w:val="TableGrid"/>
        <w:tblW w:w="0" w:type="auto"/>
        <w:tblLook w:val="04A0" w:firstRow="1" w:lastRow="0" w:firstColumn="1" w:lastColumn="0" w:noHBand="0" w:noVBand="1"/>
      </w:tblPr>
      <w:tblGrid>
        <w:gridCol w:w="625"/>
        <w:gridCol w:w="5760"/>
        <w:gridCol w:w="540"/>
        <w:gridCol w:w="540"/>
        <w:gridCol w:w="540"/>
        <w:gridCol w:w="540"/>
        <w:gridCol w:w="471"/>
      </w:tblGrid>
      <w:tr w:rsidR="00A14A0E" w:rsidRPr="00C0591E" w14:paraId="116189B8" w14:textId="77777777" w:rsidTr="00FD71D7">
        <w:trPr>
          <w:cantSplit/>
          <w:trHeight w:val="305"/>
        </w:trPr>
        <w:tc>
          <w:tcPr>
            <w:tcW w:w="625" w:type="dxa"/>
          </w:tcPr>
          <w:p w14:paraId="1BDA77B8" w14:textId="77777777" w:rsidR="00A14A0E" w:rsidRPr="00C0591E" w:rsidRDefault="00A14A0E" w:rsidP="00944E2C">
            <w:pPr>
              <w:jc w:val="center"/>
              <w:rPr>
                <w:b/>
              </w:rPr>
            </w:pPr>
          </w:p>
        </w:tc>
        <w:tc>
          <w:tcPr>
            <w:tcW w:w="5760" w:type="dxa"/>
          </w:tcPr>
          <w:p w14:paraId="272F818C" w14:textId="77777777" w:rsidR="00A14A0E" w:rsidRPr="00C0591E" w:rsidRDefault="00A14A0E" w:rsidP="00944E2C">
            <w:pPr>
              <w:jc w:val="center"/>
              <w:rPr>
                <w:b/>
              </w:rPr>
            </w:pPr>
            <w:r w:rsidRPr="00C0591E">
              <w:rPr>
                <w:b/>
              </w:rPr>
              <w:t>Statement</w:t>
            </w:r>
          </w:p>
        </w:tc>
        <w:tc>
          <w:tcPr>
            <w:tcW w:w="540" w:type="dxa"/>
          </w:tcPr>
          <w:p w14:paraId="64899812" w14:textId="6A2B3442" w:rsidR="00A14A0E" w:rsidRPr="00C0591E" w:rsidRDefault="00944E2C" w:rsidP="00944E2C">
            <w:pPr>
              <w:jc w:val="center"/>
              <w:rPr>
                <w:b/>
              </w:rPr>
            </w:pPr>
            <w:r w:rsidRPr="00C0591E">
              <w:rPr>
                <w:b/>
              </w:rPr>
              <w:t>1</w:t>
            </w:r>
          </w:p>
        </w:tc>
        <w:tc>
          <w:tcPr>
            <w:tcW w:w="540" w:type="dxa"/>
          </w:tcPr>
          <w:p w14:paraId="0D9BDDEF" w14:textId="779EEB63" w:rsidR="00A14A0E" w:rsidRPr="00C0591E" w:rsidRDefault="00944E2C" w:rsidP="00944E2C">
            <w:pPr>
              <w:pStyle w:val="NoSpacing"/>
              <w:spacing w:after="200" w:line="276" w:lineRule="auto"/>
              <w:jc w:val="center"/>
              <w:rPr>
                <w:b/>
              </w:rPr>
            </w:pPr>
            <w:r w:rsidRPr="00C0591E">
              <w:rPr>
                <w:b/>
              </w:rPr>
              <w:t>2</w:t>
            </w:r>
          </w:p>
        </w:tc>
        <w:tc>
          <w:tcPr>
            <w:tcW w:w="540" w:type="dxa"/>
          </w:tcPr>
          <w:p w14:paraId="2F9DC2D0" w14:textId="738D74B0" w:rsidR="00A14A0E" w:rsidRPr="00C0591E" w:rsidRDefault="00944E2C" w:rsidP="00944E2C">
            <w:pPr>
              <w:jc w:val="center"/>
              <w:rPr>
                <w:b/>
              </w:rPr>
            </w:pPr>
            <w:r w:rsidRPr="00C0591E">
              <w:rPr>
                <w:b/>
              </w:rPr>
              <w:t>3</w:t>
            </w:r>
          </w:p>
        </w:tc>
        <w:tc>
          <w:tcPr>
            <w:tcW w:w="540" w:type="dxa"/>
          </w:tcPr>
          <w:p w14:paraId="524766C0" w14:textId="6057F6C4" w:rsidR="00A14A0E" w:rsidRPr="00C0591E" w:rsidRDefault="00944E2C" w:rsidP="00944E2C">
            <w:pPr>
              <w:jc w:val="center"/>
              <w:rPr>
                <w:b/>
              </w:rPr>
            </w:pPr>
            <w:r w:rsidRPr="00C0591E">
              <w:rPr>
                <w:b/>
              </w:rPr>
              <w:t>4</w:t>
            </w:r>
          </w:p>
        </w:tc>
        <w:tc>
          <w:tcPr>
            <w:tcW w:w="471" w:type="dxa"/>
          </w:tcPr>
          <w:p w14:paraId="183DAEA4" w14:textId="4208EAAC" w:rsidR="00A14A0E" w:rsidRPr="00C0591E" w:rsidRDefault="00944E2C" w:rsidP="00944E2C">
            <w:pPr>
              <w:jc w:val="center"/>
              <w:rPr>
                <w:b/>
              </w:rPr>
            </w:pPr>
            <w:r w:rsidRPr="00C0591E">
              <w:rPr>
                <w:b/>
              </w:rPr>
              <w:t>5</w:t>
            </w:r>
          </w:p>
        </w:tc>
      </w:tr>
      <w:tr w:rsidR="00A14A0E" w:rsidRPr="00C0591E" w14:paraId="5F0FEE23" w14:textId="77777777" w:rsidTr="00596C97">
        <w:trPr>
          <w:cantSplit/>
          <w:trHeight w:val="602"/>
        </w:trPr>
        <w:tc>
          <w:tcPr>
            <w:tcW w:w="625" w:type="dxa"/>
          </w:tcPr>
          <w:p w14:paraId="65ED1DE6" w14:textId="77777777" w:rsidR="00A14A0E" w:rsidRPr="00C0591E" w:rsidRDefault="00A14A0E" w:rsidP="00AE63B4">
            <w:pPr>
              <w:spacing w:after="0"/>
            </w:pPr>
            <w:r w:rsidRPr="00C0591E">
              <w:t>1.</w:t>
            </w:r>
          </w:p>
        </w:tc>
        <w:tc>
          <w:tcPr>
            <w:tcW w:w="5760" w:type="dxa"/>
          </w:tcPr>
          <w:p w14:paraId="54A0FA63" w14:textId="77777777" w:rsidR="00A14A0E" w:rsidRPr="00C0591E" w:rsidRDefault="00A14A0E" w:rsidP="00AE63B4">
            <w:pPr>
              <w:spacing w:after="0"/>
            </w:pPr>
            <w:r w:rsidRPr="00C0591E">
              <w:t>Regulation affects compliance costs of the fund managers</w:t>
            </w:r>
          </w:p>
        </w:tc>
        <w:tc>
          <w:tcPr>
            <w:tcW w:w="540" w:type="dxa"/>
          </w:tcPr>
          <w:p w14:paraId="3EB28F24" w14:textId="77777777" w:rsidR="00A14A0E" w:rsidRPr="00C0591E" w:rsidRDefault="00A14A0E" w:rsidP="00596C97">
            <w:pPr>
              <w:spacing w:after="0"/>
            </w:pPr>
          </w:p>
        </w:tc>
        <w:tc>
          <w:tcPr>
            <w:tcW w:w="540" w:type="dxa"/>
          </w:tcPr>
          <w:p w14:paraId="632A367C" w14:textId="77777777" w:rsidR="00A14A0E" w:rsidRPr="00C0591E" w:rsidRDefault="00A14A0E" w:rsidP="00596C97">
            <w:pPr>
              <w:pStyle w:val="NoSpacing"/>
              <w:spacing w:line="276" w:lineRule="auto"/>
            </w:pPr>
          </w:p>
        </w:tc>
        <w:tc>
          <w:tcPr>
            <w:tcW w:w="540" w:type="dxa"/>
          </w:tcPr>
          <w:p w14:paraId="65792E27" w14:textId="77777777" w:rsidR="00A14A0E" w:rsidRPr="00C0591E" w:rsidRDefault="00A14A0E" w:rsidP="00596C97">
            <w:pPr>
              <w:spacing w:after="0"/>
            </w:pPr>
          </w:p>
        </w:tc>
        <w:tc>
          <w:tcPr>
            <w:tcW w:w="540" w:type="dxa"/>
          </w:tcPr>
          <w:p w14:paraId="74EC78B7" w14:textId="77777777" w:rsidR="00A14A0E" w:rsidRPr="00C0591E" w:rsidRDefault="00A14A0E" w:rsidP="00596C97">
            <w:pPr>
              <w:spacing w:after="0"/>
            </w:pPr>
          </w:p>
        </w:tc>
        <w:tc>
          <w:tcPr>
            <w:tcW w:w="471" w:type="dxa"/>
          </w:tcPr>
          <w:p w14:paraId="2EDFE98F" w14:textId="77777777" w:rsidR="00A14A0E" w:rsidRPr="00C0591E" w:rsidRDefault="00A14A0E" w:rsidP="00596C97">
            <w:pPr>
              <w:spacing w:after="0"/>
            </w:pPr>
          </w:p>
        </w:tc>
      </w:tr>
      <w:tr w:rsidR="00A14A0E" w:rsidRPr="00C0591E" w14:paraId="461364B8" w14:textId="77777777" w:rsidTr="00596C97">
        <w:trPr>
          <w:cantSplit/>
          <w:trHeight w:val="620"/>
        </w:trPr>
        <w:tc>
          <w:tcPr>
            <w:tcW w:w="625" w:type="dxa"/>
          </w:tcPr>
          <w:p w14:paraId="012F90BB" w14:textId="77777777" w:rsidR="00A14A0E" w:rsidRPr="00C0591E" w:rsidRDefault="00A14A0E" w:rsidP="00AE63B4">
            <w:pPr>
              <w:spacing w:after="0"/>
            </w:pPr>
            <w:r w:rsidRPr="00C0591E">
              <w:t>2.</w:t>
            </w:r>
          </w:p>
        </w:tc>
        <w:tc>
          <w:tcPr>
            <w:tcW w:w="5760" w:type="dxa"/>
          </w:tcPr>
          <w:p w14:paraId="18D00B83" w14:textId="77777777" w:rsidR="00A14A0E" w:rsidRPr="00C0591E" w:rsidRDefault="00A14A0E" w:rsidP="00AE63B4">
            <w:pPr>
              <w:spacing w:after="0"/>
            </w:pPr>
            <w:r w:rsidRPr="00C0591E">
              <w:t>The Government regulation limits the number of trustees to 10 (regardless of the size of the scheme)</w:t>
            </w:r>
          </w:p>
        </w:tc>
        <w:tc>
          <w:tcPr>
            <w:tcW w:w="540" w:type="dxa"/>
          </w:tcPr>
          <w:p w14:paraId="00564F33" w14:textId="77777777" w:rsidR="00A14A0E" w:rsidRPr="00C0591E" w:rsidRDefault="00A14A0E" w:rsidP="00596C97">
            <w:pPr>
              <w:spacing w:after="0"/>
            </w:pPr>
          </w:p>
        </w:tc>
        <w:tc>
          <w:tcPr>
            <w:tcW w:w="540" w:type="dxa"/>
          </w:tcPr>
          <w:p w14:paraId="0A2915C2" w14:textId="77777777" w:rsidR="00A14A0E" w:rsidRPr="00C0591E" w:rsidRDefault="00A14A0E" w:rsidP="00596C97">
            <w:pPr>
              <w:pStyle w:val="NoSpacing"/>
              <w:spacing w:line="276" w:lineRule="auto"/>
            </w:pPr>
          </w:p>
        </w:tc>
        <w:tc>
          <w:tcPr>
            <w:tcW w:w="540" w:type="dxa"/>
          </w:tcPr>
          <w:p w14:paraId="6534747A" w14:textId="77777777" w:rsidR="00A14A0E" w:rsidRPr="00C0591E" w:rsidRDefault="00A14A0E" w:rsidP="00596C97">
            <w:pPr>
              <w:spacing w:after="0"/>
            </w:pPr>
          </w:p>
        </w:tc>
        <w:tc>
          <w:tcPr>
            <w:tcW w:w="540" w:type="dxa"/>
          </w:tcPr>
          <w:p w14:paraId="28655759" w14:textId="77777777" w:rsidR="00A14A0E" w:rsidRPr="00C0591E" w:rsidRDefault="00A14A0E" w:rsidP="00596C97">
            <w:pPr>
              <w:spacing w:after="0"/>
            </w:pPr>
          </w:p>
        </w:tc>
        <w:tc>
          <w:tcPr>
            <w:tcW w:w="471" w:type="dxa"/>
          </w:tcPr>
          <w:p w14:paraId="52D4BAE9" w14:textId="77777777" w:rsidR="00A14A0E" w:rsidRPr="00C0591E" w:rsidRDefault="00A14A0E" w:rsidP="00596C97">
            <w:pPr>
              <w:spacing w:after="0"/>
            </w:pPr>
          </w:p>
        </w:tc>
      </w:tr>
      <w:tr w:rsidR="00A14A0E" w:rsidRPr="00C0591E" w14:paraId="4A427045" w14:textId="77777777" w:rsidTr="00596C97">
        <w:trPr>
          <w:cantSplit/>
          <w:trHeight w:val="845"/>
        </w:trPr>
        <w:tc>
          <w:tcPr>
            <w:tcW w:w="625" w:type="dxa"/>
          </w:tcPr>
          <w:p w14:paraId="710BCC25" w14:textId="77777777" w:rsidR="00A14A0E" w:rsidRPr="00C0591E" w:rsidRDefault="00A14A0E" w:rsidP="00AE63B4">
            <w:pPr>
              <w:spacing w:after="0"/>
            </w:pPr>
            <w:r w:rsidRPr="00C0591E">
              <w:t>3.</w:t>
            </w:r>
          </w:p>
        </w:tc>
        <w:tc>
          <w:tcPr>
            <w:tcW w:w="5760" w:type="dxa"/>
          </w:tcPr>
          <w:p w14:paraId="6CA39775" w14:textId="77777777" w:rsidR="00A14A0E" w:rsidRPr="00C0591E" w:rsidRDefault="00A14A0E" w:rsidP="00AE63B4">
            <w:pPr>
              <w:spacing w:after="0"/>
            </w:pPr>
            <w:r w:rsidRPr="00C0591E">
              <w:t>Tax on non-exempt incomes of pension fund members as imposed by the Kenyan Revenue Authority</w:t>
            </w:r>
          </w:p>
        </w:tc>
        <w:tc>
          <w:tcPr>
            <w:tcW w:w="540" w:type="dxa"/>
          </w:tcPr>
          <w:p w14:paraId="5AF6529F" w14:textId="77777777" w:rsidR="00A14A0E" w:rsidRPr="00C0591E" w:rsidRDefault="00A14A0E" w:rsidP="00596C97">
            <w:pPr>
              <w:spacing w:after="0"/>
            </w:pPr>
          </w:p>
        </w:tc>
        <w:tc>
          <w:tcPr>
            <w:tcW w:w="540" w:type="dxa"/>
          </w:tcPr>
          <w:p w14:paraId="36CC85FD" w14:textId="77777777" w:rsidR="00A14A0E" w:rsidRPr="00C0591E" w:rsidRDefault="00A14A0E" w:rsidP="00596C97">
            <w:pPr>
              <w:pStyle w:val="NoSpacing"/>
              <w:spacing w:line="276" w:lineRule="auto"/>
            </w:pPr>
          </w:p>
        </w:tc>
        <w:tc>
          <w:tcPr>
            <w:tcW w:w="540" w:type="dxa"/>
          </w:tcPr>
          <w:p w14:paraId="5F3D07C9" w14:textId="77777777" w:rsidR="00A14A0E" w:rsidRPr="00C0591E" w:rsidRDefault="00A14A0E" w:rsidP="00596C97">
            <w:pPr>
              <w:spacing w:after="0"/>
            </w:pPr>
          </w:p>
        </w:tc>
        <w:tc>
          <w:tcPr>
            <w:tcW w:w="540" w:type="dxa"/>
          </w:tcPr>
          <w:p w14:paraId="436091CC" w14:textId="77777777" w:rsidR="00A14A0E" w:rsidRPr="00C0591E" w:rsidRDefault="00A14A0E" w:rsidP="00596C97">
            <w:pPr>
              <w:spacing w:after="0"/>
            </w:pPr>
          </w:p>
        </w:tc>
        <w:tc>
          <w:tcPr>
            <w:tcW w:w="471" w:type="dxa"/>
          </w:tcPr>
          <w:p w14:paraId="6AC60889" w14:textId="77777777" w:rsidR="00A14A0E" w:rsidRPr="00C0591E" w:rsidRDefault="00A14A0E" w:rsidP="00596C97">
            <w:pPr>
              <w:spacing w:after="0"/>
            </w:pPr>
          </w:p>
        </w:tc>
      </w:tr>
      <w:tr w:rsidR="00A14A0E" w:rsidRPr="00C0591E" w14:paraId="70747BD6" w14:textId="77777777" w:rsidTr="00596C97">
        <w:trPr>
          <w:cantSplit/>
          <w:trHeight w:val="395"/>
        </w:trPr>
        <w:tc>
          <w:tcPr>
            <w:tcW w:w="625" w:type="dxa"/>
          </w:tcPr>
          <w:p w14:paraId="71D9F4AF" w14:textId="77777777" w:rsidR="00A14A0E" w:rsidRPr="00C0591E" w:rsidRDefault="002C3F7A" w:rsidP="00AE63B4">
            <w:pPr>
              <w:spacing w:after="0"/>
            </w:pPr>
            <w:r w:rsidRPr="00C0591E">
              <w:t>4.</w:t>
            </w:r>
          </w:p>
        </w:tc>
        <w:tc>
          <w:tcPr>
            <w:tcW w:w="5760" w:type="dxa"/>
          </w:tcPr>
          <w:p w14:paraId="518CD3CF" w14:textId="77777777" w:rsidR="00A14A0E" w:rsidRPr="00C0591E" w:rsidRDefault="00A14A0E" w:rsidP="00AE63B4">
            <w:pPr>
              <w:spacing w:after="0"/>
            </w:pPr>
            <w:r w:rsidRPr="00C0591E">
              <w:t>The government regulations controls fund managers compliance with RBA levies</w:t>
            </w:r>
          </w:p>
        </w:tc>
        <w:tc>
          <w:tcPr>
            <w:tcW w:w="540" w:type="dxa"/>
          </w:tcPr>
          <w:p w14:paraId="22A69E51" w14:textId="77777777" w:rsidR="00A14A0E" w:rsidRPr="00C0591E" w:rsidRDefault="00A14A0E" w:rsidP="00596C97">
            <w:pPr>
              <w:spacing w:after="0"/>
            </w:pPr>
          </w:p>
        </w:tc>
        <w:tc>
          <w:tcPr>
            <w:tcW w:w="540" w:type="dxa"/>
          </w:tcPr>
          <w:p w14:paraId="6D145567" w14:textId="77777777" w:rsidR="00A14A0E" w:rsidRPr="00C0591E" w:rsidRDefault="00A14A0E" w:rsidP="00596C97">
            <w:pPr>
              <w:pStyle w:val="NoSpacing"/>
              <w:spacing w:line="276" w:lineRule="auto"/>
            </w:pPr>
          </w:p>
        </w:tc>
        <w:tc>
          <w:tcPr>
            <w:tcW w:w="540" w:type="dxa"/>
          </w:tcPr>
          <w:p w14:paraId="401D314D" w14:textId="77777777" w:rsidR="00A14A0E" w:rsidRPr="00C0591E" w:rsidRDefault="00A14A0E" w:rsidP="00596C97">
            <w:pPr>
              <w:spacing w:after="0"/>
            </w:pPr>
          </w:p>
        </w:tc>
        <w:tc>
          <w:tcPr>
            <w:tcW w:w="540" w:type="dxa"/>
          </w:tcPr>
          <w:p w14:paraId="3AF92B91" w14:textId="77777777" w:rsidR="00A14A0E" w:rsidRPr="00C0591E" w:rsidRDefault="00A14A0E" w:rsidP="00596C97">
            <w:pPr>
              <w:spacing w:after="0"/>
            </w:pPr>
          </w:p>
        </w:tc>
        <w:tc>
          <w:tcPr>
            <w:tcW w:w="471" w:type="dxa"/>
          </w:tcPr>
          <w:p w14:paraId="0409364B" w14:textId="77777777" w:rsidR="00A14A0E" w:rsidRPr="00C0591E" w:rsidRDefault="00A14A0E" w:rsidP="00596C97">
            <w:pPr>
              <w:spacing w:after="0"/>
            </w:pPr>
          </w:p>
        </w:tc>
      </w:tr>
      <w:tr w:rsidR="00A14A0E" w:rsidRPr="00C0591E" w14:paraId="7FCCEA06" w14:textId="77777777" w:rsidTr="00596C97">
        <w:trPr>
          <w:cantSplit/>
          <w:trHeight w:val="728"/>
        </w:trPr>
        <w:tc>
          <w:tcPr>
            <w:tcW w:w="625" w:type="dxa"/>
          </w:tcPr>
          <w:p w14:paraId="3FBFC178" w14:textId="77777777" w:rsidR="00A14A0E" w:rsidRPr="00C0591E" w:rsidRDefault="002C3F7A" w:rsidP="00AE63B4">
            <w:pPr>
              <w:spacing w:after="0"/>
            </w:pPr>
            <w:r w:rsidRPr="00C0591E">
              <w:rPr>
                <w:rFonts w:cs="Times New Roman"/>
                <w:szCs w:val="24"/>
              </w:rPr>
              <w:t>5.</w:t>
            </w:r>
          </w:p>
        </w:tc>
        <w:tc>
          <w:tcPr>
            <w:tcW w:w="5760" w:type="dxa"/>
          </w:tcPr>
          <w:p w14:paraId="3A6DF4D5" w14:textId="77777777" w:rsidR="00A14A0E" w:rsidRPr="00C0591E" w:rsidRDefault="00A14A0E" w:rsidP="00AE63B4">
            <w:pPr>
              <w:spacing w:after="0"/>
            </w:pPr>
            <w:r w:rsidRPr="00C0591E">
              <w:t>The regulatory meetings (4 per year) with the service providers as stipulated by RBA</w:t>
            </w:r>
          </w:p>
        </w:tc>
        <w:tc>
          <w:tcPr>
            <w:tcW w:w="540" w:type="dxa"/>
          </w:tcPr>
          <w:p w14:paraId="275659DC" w14:textId="77777777" w:rsidR="00A14A0E" w:rsidRPr="00C0591E" w:rsidRDefault="00A14A0E" w:rsidP="00596C97">
            <w:pPr>
              <w:spacing w:after="0"/>
            </w:pPr>
          </w:p>
        </w:tc>
        <w:tc>
          <w:tcPr>
            <w:tcW w:w="540" w:type="dxa"/>
          </w:tcPr>
          <w:p w14:paraId="36C21587" w14:textId="77777777" w:rsidR="00A14A0E" w:rsidRPr="00C0591E" w:rsidRDefault="00A14A0E" w:rsidP="00596C97">
            <w:pPr>
              <w:pStyle w:val="NoSpacing"/>
              <w:spacing w:line="276" w:lineRule="auto"/>
            </w:pPr>
          </w:p>
        </w:tc>
        <w:tc>
          <w:tcPr>
            <w:tcW w:w="540" w:type="dxa"/>
          </w:tcPr>
          <w:p w14:paraId="4EC0B642" w14:textId="77777777" w:rsidR="00A14A0E" w:rsidRPr="00C0591E" w:rsidRDefault="00A14A0E" w:rsidP="00596C97">
            <w:pPr>
              <w:spacing w:after="0"/>
            </w:pPr>
          </w:p>
        </w:tc>
        <w:tc>
          <w:tcPr>
            <w:tcW w:w="540" w:type="dxa"/>
          </w:tcPr>
          <w:p w14:paraId="521CD020" w14:textId="77777777" w:rsidR="00A14A0E" w:rsidRPr="00C0591E" w:rsidRDefault="00A14A0E" w:rsidP="00596C97">
            <w:pPr>
              <w:spacing w:after="0"/>
            </w:pPr>
          </w:p>
        </w:tc>
        <w:tc>
          <w:tcPr>
            <w:tcW w:w="471" w:type="dxa"/>
          </w:tcPr>
          <w:p w14:paraId="366946C6" w14:textId="77777777" w:rsidR="00A14A0E" w:rsidRPr="00C0591E" w:rsidRDefault="00A14A0E" w:rsidP="00596C97">
            <w:pPr>
              <w:spacing w:after="0"/>
            </w:pPr>
          </w:p>
        </w:tc>
      </w:tr>
      <w:tr w:rsidR="00A14A0E" w:rsidRPr="00C0591E" w14:paraId="45ED7CEA" w14:textId="77777777" w:rsidTr="00596C97">
        <w:trPr>
          <w:cantSplit/>
          <w:trHeight w:val="602"/>
        </w:trPr>
        <w:tc>
          <w:tcPr>
            <w:tcW w:w="625" w:type="dxa"/>
          </w:tcPr>
          <w:p w14:paraId="733AEF0C" w14:textId="77777777" w:rsidR="00A14A0E" w:rsidRPr="00C0591E" w:rsidRDefault="002C3F7A" w:rsidP="00AE63B4">
            <w:pPr>
              <w:spacing w:after="0"/>
            </w:pPr>
            <w:r w:rsidRPr="00C0591E">
              <w:rPr>
                <w:rFonts w:cs="Times New Roman"/>
                <w:szCs w:val="24"/>
              </w:rPr>
              <w:t>6.</w:t>
            </w:r>
          </w:p>
        </w:tc>
        <w:tc>
          <w:tcPr>
            <w:tcW w:w="5760" w:type="dxa"/>
          </w:tcPr>
          <w:p w14:paraId="36F19DC4" w14:textId="77777777" w:rsidR="00A14A0E" w:rsidRPr="00C0591E" w:rsidRDefault="00A14A0E" w:rsidP="00AE63B4">
            <w:pPr>
              <w:spacing w:after="0"/>
            </w:pPr>
            <w:r w:rsidRPr="00C0591E">
              <w:t>The risk based approach adopted by RBA in the supervision of pension funds</w:t>
            </w:r>
          </w:p>
        </w:tc>
        <w:tc>
          <w:tcPr>
            <w:tcW w:w="540" w:type="dxa"/>
          </w:tcPr>
          <w:p w14:paraId="6E3E2C29" w14:textId="77777777" w:rsidR="00A14A0E" w:rsidRPr="00C0591E" w:rsidRDefault="00A14A0E" w:rsidP="00596C97">
            <w:pPr>
              <w:spacing w:after="0"/>
            </w:pPr>
          </w:p>
        </w:tc>
        <w:tc>
          <w:tcPr>
            <w:tcW w:w="540" w:type="dxa"/>
          </w:tcPr>
          <w:p w14:paraId="6231176E" w14:textId="77777777" w:rsidR="00A14A0E" w:rsidRPr="00C0591E" w:rsidRDefault="00A14A0E" w:rsidP="00596C97">
            <w:pPr>
              <w:pStyle w:val="NoSpacing"/>
              <w:spacing w:line="276" w:lineRule="auto"/>
            </w:pPr>
          </w:p>
        </w:tc>
        <w:tc>
          <w:tcPr>
            <w:tcW w:w="540" w:type="dxa"/>
          </w:tcPr>
          <w:p w14:paraId="105CBE97" w14:textId="77777777" w:rsidR="00A14A0E" w:rsidRPr="00C0591E" w:rsidRDefault="00A14A0E" w:rsidP="00596C97">
            <w:pPr>
              <w:spacing w:after="0"/>
            </w:pPr>
          </w:p>
        </w:tc>
        <w:tc>
          <w:tcPr>
            <w:tcW w:w="540" w:type="dxa"/>
          </w:tcPr>
          <w:p w14:paraId="51086259" w14:textId="77777777" w:rsidR="00A14A0E" w:rsidRPr="00C0591E" w:rsidRDefault="00A14A0E" w:rsidP="00596C97">
            <w:pPr>
              <w:spacing w:after="0"/>
            </w:pPr>
          </w:p>
        </w:tc>
        <w:tc>
          <w:tcPr>
            <w:tcW w:w="471" w:type="dxa"/>
          </w:tcPr>
          <w:p w14:paraId="49B1D2B6" w14:textId="77777777" w:rsidR="00A14A0E" w:rsidRPr="00C0591E" w:rsidRDefault="00A14A0E" w:rsidP="00596C97">
            <w:pPr>
              <w:spacing w:after="0"/>
            </w:pPr>
          </w:p>
        </w:tc>
      </w:tr>
      <w:tr w:rsidR="00A14A0E" w:rsidRPr="00C0591E" w14:paraId="3D03A440" w14:textId="77777777" w:rsidTr="00596C97">
        <w:trPr>
          <w:cantSplit/>
          <w:trHeight w:val="305"/>
        </w:trPr>
        <w:tc>
          <w:tcPr>
            <w:tcW w:w="625" w:type="dxa"/>
          </w:tcPr>
          <w:p w14:paraId="42DDECF5" w14:textId="77777777" w:rsidR="00A14A0E" w:rsidRPr="00C0591E" w:rsidRDefault="002C3F7A" w:rsidP="00AE63B4">
            <w:pPr>
              <w:spacing w:after="0"/>
            </w:pPr>
            <w:r w:rsidRPr="00C0591E">
              <w:rPr>
                <w:rFonts w:cs="Times New Roman"/>
                <w:szCs w:val="24"/>
              </w:rPr>
              <w:t>7.</w:t>
            </w:r>
          </w:p>
        </w:tc>
        <w:tc>
          <w:tcPr>
            <w:tcW w:w="5760" w:type="dxa"/>
          </w:tcPr>
          <w:p w14:paraId="56D84593" w14:textId="77777777" w:rsidR="00A14A0E" w:rsidRPr="00C0591E" w:rsidRDefault="00A14A0E" w:rsidP="00AE63B4">
            <w:pPr>
              <w:spacing w:after="0"/>
            </w:pPr>
            <w:r w:rsidRPr="00C0591E">
              <w:t>The Government controls risk tolerance limits imposed by the RBA</w:t>
            </w:r>
          </w:p>
        </w:tc>
        <w:tc>
          <w:tcPr>
            <w:tcW w:w="540" w:type="dxa"/>
          </w:tcPr>
          <w:p w14:paraId="41F1F8AF" w14:textId="77777777" w:rsidR="00A14A0E" w:rsidRPr="00C0591E" w:rsidRDefault="00A14A0E" w:rsidP="00596C97">
            <w:pPr>
              <w:spacing w:after="0"/>
            </w:pPr>
          </w:p>
        </w:tc>
        <w:tc>
          <w:tcPr>
            <w:tcW w:w="540" w:type="dxa"/>
          </w:tcPr>
          <w:p w14:paraId="7ADE3B12" w14:textId="77777777" w:rsidR="00A14A0E" w:rsidRPr="00C0591E" w:rsidRDefault="00A14A0E" w:rsidP="00596C97">
            <w:pPr>
              <w:pStyle w:val="NoSpacing"/>
              <w:spacing w:line="276" w:lineRule="auto"/>
            </w:pPr>
          </w:p>
        </w:tc>
        <w:tc>
          <w:tcPr>
            <w:tcW w:w="540" w:type="dxa"/>
          </w:tcPr>
          <w:p w14:paraId="3A8D1827" w14:textId="77777777" w:rsidR="00A14A0E" w:rsidRPr="00C0591E" w:rsidRDefault="00A14A0E" w:rsidP="00596C97">
            <w:pPr>
              <w:spacing w:after="0"/>
            </w:pPr>
          </w:p>
        </w:tc>
        <w:tc>
          <w:tcPr>
            <w:tcW w:w="540" w:type="dxa"/>
          </w:tcPr>
          <w:p w14:paraId="51E45853" w14:textId="77777777" w:rsidR="00A14A0E" w:rsidRPr="00C0591E" w:rsidRDefault="00A14A0E" w:rsidP="00596C97">
            <w:pPr>
              <w:spacing w:after="0"/>
            </w:pPr>
          </w:p>
        </w:tc>
        <w:tc>
          <w:tcPr>
            <w:tcW w:w="471" w:type="dxa"/>
          </w:tcPr>
          <w:p w14:paraId="401D3EEB" w14:textId="77777777" w:rsidR="00A14A0E" w:rsidRPr="00C0591E" w:rsidRDefault="00A14A0E" w:rsidP="00596C97">
            <w:pPr>
              <w:spacing w:after="0"/>
            </w:pPr>
          </w:p>
        </w:tc>
      </w:tr>
      <w:tr w:rsidR="00A14A0E" w:rsidRPr="00C0591E" w14:paraId="7FCC9E34" w14:textId="77777777" w:rsidTr="00596C97">
        <w:trPr>
          <w:cantSplit/>
          <w:trHeight w:val="593"/>
        </w:trPr>
        <w:tc>
          <w:tcPr>
            <w:tcW w:w="625" w:type="dxa"/>
          </w:tcPr>
          <w:p w14:paraId="4FC0EDC9" w14:textId="77777777" w:rsidR="00A14A0E" w:rsidRPr="00C0591E" w:rsidRDefault="002C3F7A" w:rsidP="00AE63B4">
            <w:pPr>
              <w:spacing w:after="0"/>
            </w:pPr>
            <w:r w:rsidRPr="00C0591E">
              <w:rPr>
                <w:rFonts w:cs="Times New Roman"/>
                <w:szCs w:val="24"/>
              </w:rPr>
              <w:t>8.</w:t>
            </w:r>
          </w:p>
        </w:tc>
        <w:tc>
          <w:tcPr>
            <w:tcW w:w="5760" w:type="dxa"/>
          </w:tcPr>
          <w:p w14:paraId="376F1D40" w14:textId="77777777" w:rsidR="00A14A0E" w:rsidRPr="00C0591E" w:rsidRDefault="00A14A0E" w:rsidP="00AE63B4">
            <w:pPr>
              <w:spacing w:after="0"/>
            </w:pPr>
            <w:r w:rsidRPr="00C0591E">
              <w:t>Government ensures adherence RBA financial reporting regulations to which pension funds should adhere to</w:t>
            </w:r>
          </w:p>
        </w:tc>
        <w:tc>
          <w:tcPr>
            <w:tcW w:w="540" w:type="dxa"/>
            <w:textDirection w:val="btLr"/>
          </w:tcPr>
          <w:p w14:paraId="3CC1E2F0" w14:textId="77777777" w:rsidR="00A14A0E" w:rsidRPr="00C0591E" w:rsidRDefault="00A14A0E" w:rsidP="00AE63B4">
            <w:pPr>
              <w:spacing w:after="0"/>
              <w:ind w:left="113" w:right="113"/>
            </w:pPr>
          </w:p>
        </w:tc>
        <w:tc>
          <w:tcPr>
            <w:tcW w:w="540" w:type="dxa"/>
            <w:textDirection w:val="btLr"/>
          </w:tcPr>
          <w:p w14:paraId="752BDDFC" w14:textId="77777777" w:rsidR="00A14A0E" w:rsidRPr="00C0591E" w:rsidRDefault="00A14A0E" w:rsidP="00AE63B4">
            <w:pPr>
              <w:pStyle w:val="NoSpacing"/>
              <w:spacing w:line="276" w:lineRule="auto"/>
              <w:ind w:left="113" w:right="113"/>
            </w:pPr>
          </w:p>
        </w:tc>
        <w:tc>
          <w:tcPr>
            <w:tcW w:w="540" w:type="dxa"/>
            <w:textDirection w:val="btLr"/>
          </w:tcPr>
          <w:p w14:paraId="2EF013B8" w14:textId="77777777" w:rsidR="00A14A0E" w:rsidRPr="00C0591E" w:rsidRDefault="00A14A0E" w:rsidP="00AE63B4">
            <w:pPr>
              <w:spacing w:after="0"/>
              <w:ind w:left="113" w:right="113"/>
            </w:pPr>
          </w:p>
        </w:tc>
        <w:tc>
          <w:tcPr>
            <w:tcW w:w="540" w:type="dxa"/>
            <w:textDirection w:val="btLr"/>
          </w:tcPr>
          <w:p w14:paraId="4B314765" w14:textId="77777777" w:rsidR="00A14A0E" w:rsidRPr="00C0591E" w:rsidRDefault="00A14A0E" w:rsidP="00AE63B4">
            <w:pPr>
              <w:spacing w:after="0"/>
              <w:ind w:left="113" w:right="113"/>
            </w:pPr>
          </w:p>
        </w:tc>
        <w:tc>
          <w:tcPr>
            <w:tcW w:w="471" w:type="dxa"/>
            <w:textDirection w:val="btLr"/>
          </w:tcPr>
          <w:p w14:paraId="3C8CC775" w14:textId="77777777" w:rsidR="00A14A0E" w:rsidRPr="00C0591E" w:rsidRDefault="00A14A0E" w:rsidP="00AE63B4">
            <w:pPr>
              <w:spacing w:after="0"/>
              <w:ind w:left="113" w:right="113"/>
            </w:pPr>
          </w:p>
        </w:tc>
      </w:tr>
      <w:tr w:rsidR="00A14A0E" w:rsidRPr="00C0591E" w14:paraId="3250B59C" w14:textId="77777777" w:rsidTr="00596C97">
        <w:trPr>
          <w:trHeight w:val="242"/>
        </w:trPr>
        <w:tc>
          <w:tcPr>
            <w:tcW w:w="625" w:type="dxa"/>
          </w:tcPr>
          <w:p w14:paraId="67DE34C3" w14:textId="77777777" w:rsidR="00A14A0E" w:rsidRPr="00C0591E" w:rsidRDefault="002C3F7A" w:rsidP="00AE63B4">
            <w:pPr>
              <w:spacing w:after="0"/>
            </w:pPr>
            <w:r w:rsidRPr="00C0591E">
              <w:rPr>
                <w:rFonts w:cs="Times New Roman"/>
                <w:szCs w:val="24"/>
              </w:rPr>
              <w:t>9.</w:t>
            </w:r>
          </w:p>
        </w:tc>
        <w:tc>
          <w:tcPr>
            <w:tcW w:w="5760" w:type="dxa"/>
          </w:tcPr>
          <w:p w14:paraId="529B110E" w14:textId="77777777" w:rsidR="00A14A0E" w:rsidRPr="00C0591E" w:rsidRDefault="00A14A0E" w:rsidP="00AE63B4">
            <w:pPr>
              <w:spacing w:after="0"/>
            </w:pPr>
            <w:r w:rsidRPr="00C0591E">
              <w:t>Government Regulations promotes solvency</w:t>
            </w:r>
          </w:p>
        </w:tc>
        <w:tc>
          <w:tcPr>
            <w:tcW w:w="540" w:type="dxa"/>
          </w:tcPr>
          <w:p w14:paraId="21EA155D" w14:textId="77777777" w:rsidR="00A14A0E" w:rsidRPr="00C0591E" w:rsidRDefault="00A14A0E" w:rsidP="00AE63B4">
            <w:pPr>
              <w:spacing w:after="0"/>
            </w:pPr>
          </w:p>
        </w:tc>
        <w:tc>
          <w:tcPr>
            <w:tcW w:w="540" w:type="dxa"/>
          </w:tcPr>
          <w:p w14:paraId="2C424B02" w14:textId="77777777" w:rsidR="00A14A0E" w:rsidRPr="00C0591E" w:rsidRDefault="00A14A0E" w:rsidP="00AE63B4">
            <w:pPr>
              <w:spacing w:after="0"/>
            </w:pPr>
          </w:p>
        </w:tc>
        <w:tc>
          <w:tcPr>
            <w:tcW w:w="540" w:type="dxa"/>
          </w:tcPr>
          <w:p w14:paraId="06444460" w14:textId="77777777" w:rsidR="00A14A0E" w:rsidRPr="00C0591E" w:rsidRDefault="00A14A0E" w:rsidP="00AE63B4">
            <w:pPr>
              <w:spacing w:after="0"/>
            </w:pPr>
          </w:p>
        </w:tc>
        <w:tc>
          <w:tcPr>
            <w:tcW w:w="540" w:type="dxa"/>
          </w:tcPr>
          <w:p w14:paraId="03FFD6A5" w14:textId="77777777" w:rsidR="00A14A0E" w:rsidRPr="00C0591E" w:rsidRDefault="00A14A0E" w:rsidP="00AE63B4">
            <w:pPr>
              <w:spacing w:after="0"/>
            </w:pPr>
          </w:p>
        </w:tc>
        <w:tc>
          <w:tcPr>
            <w:tcW w:w="471" w:type="dxa"/>
          </w:tcPr>
          <w:p w14:paraId="08DA1B29" w14:textId="77777777" w:rsidR="00A14A0E" w:rsidRPr="00C0591E" w:rsidRDefault="00A14A0E" w:rsidP="00AE63B4">
            <w:pPr>
              <w:spacing w:after="0"/>
            </w:pPr>
          </w:p>
        </w:tc>
      </w:tr>
      <w:tr w:rsidR="00A14A0E" w:rsidRPr="00C0591E" w14:paraId="73376B7E" w14:textId="77777777" w:rsidTr="00596C97">
        <w:tc>
          <w:tcPr>
            <w:tcW w:w="625" w:type="dxa"/>
          </w:tcPr>
          <w:p w14:paraId="5D53E09C" w14:textId="77777777" w:rsidR="00A14A0E" w:rsidRPr="00C0591E" w:rsidRDefault="002C3F7A" w:rsidP="00AE63B4">
            <w:pPr>
              <w:spacing w:after="0"/>
            </w:pPr>
            <w:r w:rsidRPr="00C0591E">
              <w:rPr>
                <w:rFonts w:cs="Times New Roman"/>
                <w:szCs w:val="24"/>
              </w:rPr>
              <w:t>10.</w:t>
            </w:r>
          </w:p>
        </w:tc>
        <w:tc>
          <w:tcPr>
            <w:tcW w:w="5760" w:type="dxa"/>
          </w:tcPr>
          <w:p w14:paraId="75DCB0B0" w14:textId="77777777" w:rsidR="00A14A0E" w:rsidRPr="00C0591E" w:rsidRDefault="00A14A0E" w:rsidP="00AE63B4">
            <w:pPr>
              <w:spacing w:after="0"/>
            </w:pPr>
            <w:r w:rsidRPr="00C0591E">
              <w:t>Government regulations limits competition hence making it hard for it to compete in the market.</w:t>
            </w:r>
          </w:p>
        </w:tc>
        <w:tc>
          <w:tcPr>
            <w:tcW w:w="540" w:type="dxa"/>
          </w:tcPr>
          <w:p w14:paraId="2E733EFC" w14:textId="77777777" w:rsidR="00A14A0E" w:rsidRPr="00C0591E" w:rsidRDefault="00A14A0E" w:rsidP="00AE63B4">
            <w:pPr>
              <w:spacing w:after="0"/>
            </w:pPr>
          </w:p>
        </w:tc>
        <w:tc>
          <w:tcPr>
            <w:tcW w:w="540" w:type="dxa"/>
          </w:tcPr>
          <w:p w14:paraId="16440485" w14:textId="77777777" w:rsidR="00A14A0E" w:rsidRPr="00C0591E" w:rsidRDefault="00A14A0E" w:rsidP="00AE63B4">
            <w:pPr>
              <w:spacing w:after="0"/>
            </w:pPr>
          </w:p>
        </w:tc>
        <w:tc>
          <w:tcPr>
            <w:tcW w:w="540" w:type="dxa"/>
          </w:tcPr>
          <w:p w14:paraId="4A6E13EB" w14:textId="77777777" w:rsidR="00A14A0E" w:rsidRPr="00C0591E" w:rsidRDefault="00A14A0E" w:rsidP="00AE63B4">
            <w:pPr>
              <w:spacing w:after="0"/>
            </w:pPr>
          </w:p>
        </w:tc>
        <w:tc>
          <w:tcPr>
            <w:tcW w:w="540" w:type="dxa"/>
          </w:tcPr>
          <w:p w14:paraId="7BFF01A6" w14:textId="77777777" w:rsidR="00A14A0E" w:rsidRPr="00C0591E" w:rsidRDefault="00A14A0E" w:rsidP="00AE63B4">
            <w:pPr>
              <w:spacing w:after="0"/>
            </w:pPr>
          </w:p>
        </w:tc>
        <w:tc>
          <w:tcPr>
            <w:tcW w:w="471" w:type="dxa"/>
          </w:tcPr>
          <w:p w14:paraId="00EF3100" w14:textId="77777777" w:rsidR="00A14A0E" w:rsidRPr="00C0591E" w:rsidRDefault="00A14A0E" w:rsidP="00AE63B4">
            <w:pPr>
              <w:spacing w:after="0"/>
            </w:pPr>
          </w:p>
        </w:tc>
      </w:tr>
      <w:tr w:rsidR="00A14A0E" w:rsidRPr="00C0591E" w14:paraId="10F011C0" w14:textId="77777777" w:rsidTr="00596C97">
        <w:tc>
          <w:tcPr>
            <w:tcW w:w="625" w:type="dxa"/>
          </w:tcPr>
          <w:p w14:paraId="3023BE35" w14:textId="77777777" w:rsidR="00A14A0E" w:rsidRPr="00C0591E" w:rsidRDefault="002C3F7A" w:rsidP="00AE63B4">
            <w:pPr>
              <w:spacing w:after="0"/>
            </w:pPr>
            <w:r w:rsidRPr="00C0591E">
              <w:t>11.</w:t>
            </w:r>
          </w:p>
        </w:tc>
        <w:tc>
          <w:tcPr>
            <w:tcW w:w="5760" w:type="dxa"/>
          </w:tcPr>
          <w:p w14:paraId="6644B8D0" w14:textId="77777777" w:rsidR="00A14A0E" w:rsidRPr="00C0591E" w:rsidRDefault="00A14A0E" w:rsidP="00AE63B4">
            <w:pPr>
              <w:spacing w:after="0"/>
            </w:pPr>
            <w:r w:rsidRPr="00C0591E">
              <w:t>The government regulations are conducive.</w:t>
            </w:r>
          </w:p>
        </w:tc>
        <w:tc>
          <w:tcPr>
            <w:tcW w:w="540" w:type="dxa"/>
          </w:tcPr>
          <w:p w14:paraId="7573014A" w14:textId="77777777" w:rsidR="00A14A0E" w:rsidRPr="00C0591E" w:rsidRDefault="00A14A0E" w:rsidP="00AE63B4">
            <w:pPr>
              <w:spacing w:after="0"/>
            </w:pPr>
          </w:p>
        </w:tc>
        <w:tc>
          <w:tcPr>
            <w:tcW w:w="540" w:type="dxa"/>
          </w:tcPr>
          <w:p w14:paraId="58056C24" w14:textId="77777777" w:rsidR="00A14A0E" w:rsidRPr="00C0591E" w:rsidRDefault="00A14A0E" w:rsidP="00AE63B4">
            <w:pPr>
              <w:spacing w:after="0"/>
            </w:pPr>
          </w:p>
        </w:tc>
        <w:tc>
          <w:tcPr>
            <w:tcW w:w="540" w:type="dxa"/>
          </w:tcPr>
          <w:p w14:paraId="63128F72" w14:textId="77777777" w:rsidR="00A14A0E" w:rsidRPr="00C0591E" w:rsidRDefault="00A14A0E" w:rsidP="00AE63B4">
            <w:pPr>
              <w:spacing w:after="0"/>
            </w:pPr>
          </w:p>
        </w:tc>
        <w:tc>
          <w:tcPr>
            <w:tcW w:w="540" w:type="dxa"/>
          </w:tcPr>
          <w:p w14:paraId="5A15F79B" w14:textId="77777777" w:rsidR="00A14A0E" w:rsidRPr="00C0591E" w:rsidRDefault="00A14A0E" w:rsidP="00AE63B4">
            <w:pPr>
              <w:spacing w:after="0"/>
            </w:pPr>
          </w:p>
        </w:tc>
        <w:tc>
          <w:tcPr>
            <w:tcW w:w="471" w:type="dxa"/>
          </w:tcPr>
          <w:p w14:paraId="17C8E46E" w14:textId="77777777" w:rsidR="00A14A0E" w:rsidRPr="00C0591E" w:rsidRDefault="00A14A0E" w:rsidP="00AE63B4">
            <w:pPr>
              <w:spacing w:after="0"/>
            </w:pPr>
          </w:p>
        </w:tc>
      </w:tr>
      <w:tr w:rsidR="00A14A0E" w:rsidRPr="00C0591E" w14:paraId="0722E140" w14:textId="77777777" w:rsidTr="00596C97">
        <w:tc>
          <w:tcPr>
            <w:tcW w:w="625" w:type="dxa"/>
          </w:tcPr>
          <w:p w14:paraId="64E5B8A8" w14:textId="77777777" w:rsidR="00A14A0E" w:rsidRPr="00C0591E" w:rsidRDefault="002C3F7A" w:rsidP="00AE63B4">
            <w:pPr>
              <w:spacing w:after="0"/>
            </w:pPr>
            <w:r w:rsidRPr="00C0591E">
              <w:t>12.</w:t>
            </w:r>
          </w:p>
        </w:tc>
        <w:tc>
          <w:tcPr>
            <w:tcW w:w="5760" w:type="dxa"/>
          </w:tcPr>
          <w:p w14:paraId="5BE9F0ED" w14:textId="77777777" w:rsidR="00A14A0E" w:rsidRPr="00C0591E" w:rsidRDefault="00A14A0E" w:rsidP="00AE63B4">
            <w:pPr>
              <w:spacing w:after="0"/>
            </w:pPr>
            <w:r w:rsidRPr="00C0591E">
              <w:t>Government regulations promote equity and similarity</w:t>
            </w:r>
          </w:p>
        </w:tc>
        <w:tc>
          <w:tcPr>
            <w:tcW w:w="540" w:type="dxa"/>
          </w:tcPr>
          <w:p w14:paraId="38CCA384" w14:textId="77777777" w:rsidR="00A14A0E" w:rsidRPr="00C0591E" w:rsidRDefault="00A14A0E" w:rsidP="00AE63B4">
            <w:pPr>
              <w:spacing w:after="0"/>
            </w:pPr>
          </w:p>
        </w:tc>
        <w:tc>
          <w:tcPr>
            <w:tcW w:w="540" w:type="dxa"/>
          </w:tcPr>
          <w:p w14:paraId="1DA9DC9E" w14:textId="77777777" w:rsidR="00A14A0E" w:rsidRPr="00C0591E" w:rsidRDefault="00A14A0E" w:rsidP="00AE63B4">
            <w:pPr>
              <w:spacing w:after="0"/>
            </w:pPr>
          </w:p>
        </w:tc>
        <w:tc>
          <w:tcPr>
            <w:tcW w:w="540" w:type="dxa"/>
          </w:tcPr>
          <w:p w14:paraId="18814ED3" w14:textId="77777777" w:rsidR="00A14A0E" w:rsidRPr="00C0591E" w:rsidRDefault="00A14A0E" w:rsidP="00AE63B4">
            <w:pPr>
              <w:spacing w:after="0"/>
            </w:pPr>
          </w:p>
        </w:tc>
        <w:tc>
          <w:tcPr>
            <w:tcW w:w="540" w:type="dxa"/>
          </w:tcPr>
          <w:p w14:paraId="33B9BBAF" w14:textId="77777777" w:rsidR="00A14A0E" w:rsidRPr="00C0591E" w:rsidRDefault="00A14A0E" w:rsidP="00AE63B4">
            <w:pPr>
              <w:spacing w:after="0"/>
            </w:pPr>
          </w:p>
        </w:tc>
        <w:tc>
          <w:tcPr>
            <w:tcW w:w="471" w:type="dxa"/>
          </w:tcPr>
          <w:p w14:paraId="776209E7" w14:textId="77777777" w:rsidR="00A14A0E" w:rsidRPr="00C0591E" w:rsidRDefault="00A14A0E" w:rsidP="00AE63B4">
            <w:pPr>
              <w:spacing w:after="0"/>
            </w:pPr>
          </w:p>
        </w:tc>
      </w:tr>
    </w:tbl>
    <w:p w14:paraId="60281151" w14:textId="77777777" w:rsidR="00527E5A" w:rsidRPr="00C0591E" w:rsidRDefault="00527E5A" w:rsidP="00267BE6"/>
    <w:p w14:paraId="7C2D2BAF" w14:textId="77777777" w:rsidR="00E01DA9" w:rsidRPr="00C0591E" w:rsidRDefault="00E01DA9">
      <w:pPr>
        <w:spacing w:after="160" w:line="259" w:lineRule="auto"/>
        <w:rPr>
          <w:rFonts w:cs="Times New Roman"/>
          <w:b/>
        </w:rPr>
      </w:pPr>
      <w:r w:rsidRPr="00C0591E">
        <w:rPr>
          <w:rFonts w:cs="Times New Roman"/>
          <w:b/>
        </w:rPr>
        <w:br w:type="page"/>
      </w:r>
    </w:p>
    <w:p w14:paraId="6BF1E1EA" w14:textId="77777777" w:rsidR="00267BE6" w:rsidRPr="00C0591E" w:rsidRDefault="00267BE6" w:rsidP="00267BE6">
      <w:pPr>
        <w:rPr>
          <w:rFonts w:cs="Times New Roman"/>
          <w:b/>
        </w:rPr>
      </w:pPr>
      <w:r w:rsidRPr="00C0591E">
        <w:rPr>
          <w:rFonts w:cs="Times New Roman"/>
          <w:b/>
        </w:rPr>
        <w:t xml:space="preserve">SECTION E: </w:t>
      </w:r>
      <w:r w:rsidRPr="00C0591E">
        <w:rPr>
          <w:rFonts w:eastAsia="Times New Roman" w:cs="Times New Roman"/>
          <w:b/>
          <w:color w:val="222222"/>
          <w:szCs w:val="19"/>
        </w:rPr>
        <w:t>PERFORMANCE OF PENSION FUND MANAGERS </w:t>
      </w:r>
    </w:p>
    <w:p w14:paraId="3974CC43" w14:textId="77777777" w:rsidR="00267BE6" w:rsidRPr="00C0591E" w:rsidRDefault="002C3F7A" w:rsidP="00267BE6">
      <w:bookmarkStart w:id="382" w:name="_Toc518287854"/>
      <w:bookmarkStart w:id="383" w:name="_Toc522360194"/>
      <w:r w:rsidRPr="00C0591E">
        <w:t xml:space="preserve">9. </w:t>
      </w:r>
      <w:r w:rsidR="00267BE6" w:rsidRPr="00C0591E">
        <w:t xml:space="preserve">Please indicate your response to the following questions by ticking the appropriate corresponding choice. </w:t>
      </w:r>
    </w:p>
    <w:p w14:paraId="2D6BFCAD" w14:textId="7D4E9772" w:rsidR="00AB3303" w:rsidRPr="00C0591E" w:rsidRDefault="00AB3303" w:rsidP="00AB3303">
      <w:pPr>
        <w:widowControl w:val="0"/>
        <w:autoSpaceDE w:val="0"/>
        <w:autoSpaceDN w:val="0"/>
        <w:adjustRightInd w:val="0"/>
        <w:spacing w:after="0"/>
        <w:ind w:left="100"/>
        <w:rPr>
          <w:b/>
          <w:bCs/>
          <w:color w:val="000000"/>
          <w:szCs w:val="24"/>
        </w:rPr>
      </w:pPr>
      <w:r w:rsidRPr="00C0591E">
        <w:rPr>
          <w:b/>
          <w:bCs/>
          <w:color w:val="000000"/>
          <w:szCs w:val="24"/>
        </w:rPr>
        <w:t>(1=Strongly Agree, 2=Agree, 3=Neutral, 4 =Disagree, 5=Strongly Disagree)</w:t>
      </w:r>
    </w:p>
    <w:p w14:paraId="4B14F7E2" w14:textId="77777777" w:rsidR="00AB3303" w:rsidRPr="00C0591E" w:rsidRDefault="00AB3303" w:rsidP="00AB3303">
      <w:pPr>
        <w:widowControl w:val="0"/>
        <w:autoSpaceDE w:val="0"/>
        <w:autoSpaceDN w:val="0"/>
        <w:adjustRightInd w:val="0"/>
        <w:spacing w:after="0"/>
        <w:ind w:left="100"/>
        <w:rPr>
          <w:sz w:val="14"/>
          <w:szCs w:val="14"/>
        </w:rPr>
      </w:pPr>
    </w:p>
    <w:tbl>
      <w:tblPr>
        <w:tblStyle w:val="TableGrid"/>
        <w:tblW w:w="0" w:type="auto"/>
        <w:tblLook w:val="04A0" w:firstRow="1" w:lastRow="0" w:firstColumn="1" w:lastColumn="0" w:noHBand="0" w:noVBand="1"/>
      </w:tblPr>
      <w:tblGrid>
        <w:gridCol w:w="554"/>
        <w:gridCol w:w="6280"/>
        <w:gridCol w:w="91"/>
        <w:gridCol w:w="359"/>
        <w:gridCol w:w="91"/>
        <w:gridCol w:w="359"/>
        <w:gridCol w:w="91"/>
        <w:gridCol w:w="359"/>
        <w:gridCol w:w="91"/>
        <w:gridCol w:w="360"/>
        <w:gridCol w:w="381"/>
      </w:tblGrid>
      <w:tr w:rsidR="00145AB3" w:rsidRPr="00C0591E" w14:paraId="1573367C" w14:textId="77777777" w:rsidTr="004B2404">
        <w:tc>
          <w:tcPr>
            <w:tcW w:w="554" w:type="dxa"/>
          </w:tcPr>
          <w:p w14:paraId="63EE71FC" w14:textId="77777777" w:rsidR="00145AB3" w:rsidRPr="00C0591E" w:rsidRDefault="00145AB3" w:rsidP="00FD71D7">
            <w:pPr>
              <w:spacing w:after="0"/>
              <w:jc w:val="center"/>
            </w:pPr>
          </w:p>
        </w:tc>
        <w:tc>
          <w:tcPr>
            <w:tcW w:w="6371" w:type="dxa"/>
            <w:gridSpan w:val="2"/>
          </w:tcPr>
          <w:p w14:paraId="4D97B746" w14:textId="5BDEBA37" w:rsidR="00145AB3" w:rsidRPr="00C0591E" w:rsidRDefault="00FD71D7" w:rsidP="00FD71D7">
            <w:pPr>
              <w:spacing w:after="0"/>
              <w:jc w:val="center"/>
            </w:pPr>
            <w:r w:rsidRPr="00C0591E">
              <w:rPr>
                <w:b/>
              </w:rPr>
              <w:t>Statement</w:t>
            </w:r>
          </w:p>
        </w:tc>
        <w:tc>
          <w:tcPr>
            <w:tcW w:w="450" w:type="dxa"/>
            <w:gridSpan w:val="2"/>
          </w:tcPr>
          <w:p w14:paraId="505ED364" w14:textId="77777777" w:rsidR="00145AB3" w:rsidRPr="00C0591E" w:rsidRDefault="00145AB3" w:rsidP="00FD71D7">
            <w:pPr>
              <w:spacing w:after="0"/>
              <w:jc w:val="center"/>
              <w:rPr>
                <w:rFonts w:eastAsiaTheme="majorEastAsia" w:cstheme="majorBidi"/>
                <w:b/>
                <w:bCs/>
                <w:szCs w:val="28"/>
              </w:rPr>
            </w:pPr>
            <w:r w:rsidRPr="00C0591E">
              <w:rPr>
                <w:rFonts w:eastAsiaTheme="majorEastAsia" w:cstheme="majorBidi"/>
                <w:b/>
                <w:bCs/>
                <w:szCs w:val="28"/>
              </w:rPr>
              <w:t>1</w:t>
            </w:r>
          </w:p>
        </w:tc>
        <w:tc>
          <w:tcPr>
            <w:tcW w:w="450" w:type="dxa"/>
            <w:gridSpan w:val="2"/>
          </w:tcPr>
          <w:p w14:paraId="60E090CC" w14:textId="77777777" w:rsidR="00145AB3" w:rsidRPr="00C0591E" w:rsidRDefault="00145AB3" w:rsidP="00FD71D7">
            <w:pPr>
              <w:spacing w:after="0"/>
              <w:jc w:val="center"/>
              <w:rPr>
                <w:rFonts w:eastAsiaTheme="majorEastAsia" w:cstheme="majorBidi"/>
                <w:b/>
                <w:bCs/>
                <w:szCs w:val="28"/>
              </w:rPr>
            </w:pPr>
            <w:r w:rsidRPr="00C0591E">
              <w:rPr>
                <w:rFonts w:eastAsiaTheme="majorEastAsia" w:cstheme="majorBidi"/>
                <w:b/>
                <w:bCs/>
                <w:szCs w:val="28"/>
              </w:rPr>
              <w:t>2</w:t>
            </w:r>
          </w:p>
        </w:tc>
        <w:tc>
          <w:tcPr>
            <w:tcW w:w="450" w:type="dxa"/>
            <w:gridSpan w:val="2"/>
          </w:tcPr>
          <w:p w14:paraId="221FCA69" w14:textId="77777777" w:rsidR="00145AB3" w:rsidRPr="00C0591E" w:rsidRDefault="00145AB3" w:rsidP="00FD71D7">
            <w:pPr>
              <w:spacing w:after="0"/>
              <w:jc w:val="center"/>
              <w:rPr>
                <w:rFonts w:eastAsiaTheme="majorEastAsia" w:cstheme="majorBidi"/>
                <w:b/>
                <w:bCs/>
                <w:szCs w:val="28"/>
              </w:rPr>
            </w:pPr>
            <w:r w:rsidRPr="00C0591E">
              <w:rPr>
                <w:rFonts w:eastAsiaTheme="majorEastAsia" w:cstheme="majorBidi"/>
                <w:b/>
                <w:bCs/>
                <w:szCs w:val="28"/>
              </w:rPr>
              <w:t>3</w:t>
            </w:r>
          </w:p>
        </w:tc>
        <w:tc>
          <w:tcPr>
            <w:tcW w:w="360" w:type="dxa"/>
          </w:tcPr>
          <w:p w14:paraId="38A4F1FD" w14:textId="77777777" w:rsidR="00145AB3" w:rsidRPr="00C0591E" w:rsidRDefault="00145AB3" w:rsidP="00FD71D7">
            <w:pPr>
              <w:spacing w:after="0"/>
              <w:jc w:val="center"/>
              <w:rPr>
                <w:rFonts w:eastAsiaTheme="majorEastAsia" w:cstheme="majorBidi"/>
                <w:b/>
                <w:bCs/>
                <w:szCs w:val="28"/>
              </w:rPr>
            </w:pPr>
            <w:r w:rsidRPr="00C0591E">
              <w:rPr>
                <w:rFonts w:eastAsiaTheme="majorEastAsia" w:cstheme="majorBidi"/>
                <w:b/>
                <w:bCs/>
                <w:szCs w:val="28"/>
              </w:rPr>
              <w:t>4</w:t>
            </w:r>
          </w:p>
        </w:tc>
        <w:tc>
          <w:tcPr>
            <w:tcW w:w="381" w:type="dxa"/>
          </w:tcPr>
          <w:p w14:paraId="2AE45A91" w14:textId="77777777" w:rsidR="00145AB3" w:rsidRPr="00C0591E" w:rsidRDefault="00145AB3" w:rsidP="00FD71D7">
            <w:pPr>
              <w:spacing w:after="0"/>
              <w:jc w:val="center"/>
              <w:rPr>
                <w:rFonts w:eastAsiaTheme="majorEastAsia" w:cstheme="majorBidi"/>
                <w:b/>
                <w:bCs/>
                <w:szCs w:val="28"/>
              </w:rPr>
            </w:pPr>
            <w:r w:rsidRPr="00C0591E">
              <w:rPr>
                <w:rFonts w:eastAsiaTheme="majorEastAsia" w:cstheme="majorBidi"/>
                <w:b/>
                <w:bCs/>
                <w:szCs w:val="28"/>
              </w:rPr>
              <w:t>5</w:t>
            </w:r>
          </w:p>
        </w:tc>
      </w:tr>
      <w:tr w:rsidR="00145AB3" w:rsidRPr="00C0591E" w14:paraId="07F21181" w14:textId="77777777" w:rsidTr="004B2404">
        <w:tc>
          <w:tcPr>
            <w:tcW w:w="554" w:type="dxa"/>
          </w:tcPr>
          <w:p w14:paraId="7FFDE34C" w14:textId="77777777" w:rsidR="00145AB3" w:rsidRPr="00C0591E" w:rsidRDefault="00145AB3" w:rsidP="00E01DA9">
            <w:pPr>
              <w:spacing w:after="0"/>
            </w:pPr>
            <w:r w:rsidRPr="00C0591E">
              <w:t>1.</w:t>
            </w:r>
          </w:p>
        </w:tc>
        <w:tc>
          <w:tcPr>
            <w:tcW w:w="6371" w:type="dxa"/>
            <w:gridSpan w:val="2"/>
          </w:tcPr>
          <w:p w14:paraId="4A05D9EA" w14:textId="631A5880" w:rsidR="00145AB3" w:rsidRPr="00C0591E" w:rsidRDefault="00145AB3" w:rsidP="00F01139">
            <w:pPr>
              <w:spacing w:after="0"/>
            </w:pPr>
            <w:r w:rsidRPr="00C0591E">
              <w:t>Our administration costs have decreased  over the years</w:t>
            </w:r>
          </w:p>
        </w:tc>
        <w:tc>
          <w:tcPr>
            <w:tcW w:w="450" w:type="dxa"/>
            <w:gridSpan w:val="2"/>
          </w:tcPr>
          <w:p w14:paraId="5D85B0DC" w14:textId="77777777" w:rsidR="00145AB3" w:rsidRPr="00C0591E" w:rsidRDefault="00145AB3" w:rsidP="00E01DA9">
            <w:pPr>
              <w:spacing w:after="0"/>
              <w:rPr>
                <w:rFonts w:eastAsiaTheme="majorEastAsia" w:cstheme="majorBidi"/>
                <w:b/>
                <w:bCs/>
                <w:szCs w:val="28"/>
              </w:rPr>
            </w:pPr>
          </w:p>
        </w:tc>
        <w:tc>
          <w:tcPr>
            <w:tcW w:w="450" w:type="dxa"/>
            <w:gridSpan w:val="2"/>
          </w:tcPr>
          <w:p w14:paraId="6CDED35E" w14:textId="77777777" w:rsidR="00145AB3" w:rsidRPr="00C0591E" w:rsidRDefault="00145AB3" w:rsidP="00E01DA9">
            <w:pPr>
              <w:spacing w:after="0"/>
              <w:rPr>
                <w:rFonts w:eastAsiaTheme="majorEastAsia" w:cstheme="majorBidi"/>
                <w:b/>
                <w:bCs/>
                <w:szCs w:val="28"/>
              </w:rPr>
            </w:pPr>
          </w:p>
        </w:tc>
        <w:tc>
          <w:tcPr>
            <w:tcW w:w="450" w:type="dxa"/>
            <w:gridSpan w:val="2"/>
          </w:tcPr>
          <w:p w14:paraId="3B5FA91F" w14:textId="77777777" w:rsidR="00145AB3" w:rsidRPr="00C0591E" w:rsidRDefault="00145AB3" w:rsidP="00E01DA9">
            <w:pPr>
              <w:spacing w:after="0"/>
              <w:rPr>
                <w:rFonts w:eastAsiaTheme="majorEastAsia" w:cstheme="majorBidi"/>
                <w:b/>
                <w:bCs/>
                <w:szCs w:val="28"/>
              </w:rPr>
            </w:pPr>
          </w:p>
        </w:tc>
        <w:tc>
          <w:tcPr>
            <w:tcW w:w="360" w:type="dxa"/>
          </w:tcPr>
          <w:p w14:paraId="5FE7DA5C" w14:textId="77777777" w:rsidR="00145AB3" w:rsidRPr="00C0591E" w:rsidRDefault="00145AB3" w:rsidP="00E01DA9">
            <w:pPr>
              <w:spacing w:after="0"/>
              <w:rPr>
                <w:rFonts w:eastAsiaTheme="majorEastAsia" w:cstheme="majorBidi"/>
                <w:b/>
                <w:bCs/>
                <w:szCs w:val="28"/>
              </w:rPr>
            </w:pPr>
          </w:p>
        </w:tc>
        <w:tc>
          <w:tcPr>
            <w:tcW w:w="381" w:type="dxa"/>
          </w:tcPr>
          <w:p w14:paraId="5CB0DBEE" w14:textId="77777777" w:rsidR="00145AB3" w:rsidRPr="00C0591E" w:rsidRDefault="00145AB3" w:rsidP="00E01DA9">
            <w:pPr>
              <w:spacing w:after="0"/>
              <w:rPr>
                <w:rFonts w:eastAsiaTheme="majorEastAsia" w:cstheme="majorBidi"/>
                <w:b/>
                <w:bCs/>
                <w:szCs w:val="28"/>
              </w:rPr>
            </w:pPr>
          </w:p>
        </w:tc>
      </w:tr>
      <w:tr w:rsidR="00482477" w:rsidRPr="00C0591E" w14:paraId="360797AF" w14:textId="77777777" w:rsidTr="004B2404">
        <w:tc>
          <w:tcPr>
            <w:tcW w:w="554" w:type="dxa"/>
          </w:tcPr>
          <w:p w14:paraId="6C9645BF" w14:textId="77777777" w:rsidR="00482477" w:rsidRPr="00C0591E" w:rsidRDefault="00482477" w:rsidP="00E01DA9">
            <w:pPr>
              <w:spacing w:after="0"/>
            </w:pPr>
            <w:r w:rsidRPr="00C0591E">
              <w:t>2.</w:t>
            </w:r>
          </w:p>
        </w:tc>
        <w:tc>
          <w:tcPr>
            <w:tcW w:w="6371" w:type="dxa"/>
            <w:gridSpan w:val="2"/>
          </w:tcPr>
          <w:p w14:paraId="5BFE9FF4" w14:textId="1F11D1F6" w:rsidR="00482477" w:rsidRPr="00C0591E" w:rsidRDefault="00482477" w:rsidP="00F01139">
            <w:pPr>
              <w:spacing w:after="0"/>
            </w:pPr>
            <w:r w:rsidRPr="00C0591E">
              <w:t xml:space="preserve">Benefits processing period has decreased  </w:t>
            </w:r>
          </w:p>
        </w:tc>
        <w:tc>
          <w:tcPr>
            <w:tcW w:w="450" w:type="dxa"/>
            <w:gridSpan w:val="2"/>
          </w:tcPr>
          <w:p w14:paraId="524B3F50" w14:textId="77777777" w:rsidR="00482477" w:rsidRPr="00C0591E" w:rsidRDefault="00482477" w:rsidP="00E01DA9">
            <w:pPr>
              <w:spacing w:after="0"/>
              <w:rPr>
                <w:rFonts w:eastAsiaTheme="majorEastAsia" w:cstheme="majorBidi"/>
                <w:b/>
                <w:bCs/>
                <w:szCs w:val="28"/>
              </w:rPr>
            </w:pPr>
          </w:p>
        </w:tc>
        <w:tc>
          <w:tcPr>
            <w:tcW w:w="450" w:type="dxa"/>
            <w:gridSpan w:val="2"/>
          </w:tcPr>
          <w:p w14:paraId="2BC8BA94" w14:textId="77777777" w:rsidR="00482477" w:rsidRPr="00C0591E" w:rsidRDefault="00482477" w:rsidP="00E01DA9">
            <w:pPr>
              <w:spacing w:after="0"/>
              <w:rPr>
                <w:rFonts w:eastAsiaTheme="majorEastAsia" w:cstheme="majorBidi"/>
                <w:b/>
                <w:bCs/>
                <w:szCs w:val="28"/>
              </w:rPr>
            </w:pPr>
          </w:p>
        </w:tc>
        <w:tc>
          <w:tcPr>
            <w:tcW w:w="450" w:type="dxa"/>
            <w:gridSpan w:val="2"/>
          </w:tcPr>
          <w:p w14:paraId="4EAA836D" w14:textId="77777777" w:rsidR="00482477" w:rsidRPr="00C0591E" w:rsidRDefault="00482477" w:rsidP="00E01DA9">
            <w:pPr>
              <w:spacing w:after="0"/>
              <w:rPr>
                <w:rFonts w:eastAsiaTheme="majorEastAsia" w:cstheme="majorBidi"/>
                <w:b/>
                <w:bCs/>
                <w:szCs w:val="28"/>
              </w:rPr>
            </w:pPr>
          </w:p>
        </w:tc>
        <w:tc>
          <w:tcPr>
            <w:tcW w:w="360" w:type="dxa"/>
          </w:tcPr>
          <w:p w14:paraId="7E80C742" w14:textId="77777777" w:rsidR="00482477" w:rsidRPr="00C0591E" w:rsidRDefault="00482477" w:rsidP="00E01DA9">
            <w:pPr>
              <w:spacing w:after="0"/>
              <w:rPr>
                <w:rFonts w:eastAsiaTheme="majorEastAsia" w:cstheme="majorBidi"/>
                <w:b/>
                <w:bCs/>
                <w:szCs w:val="28"/>
              </w:rPr>
            </w:pPr>
          </w:p>
        </w:tc>
        <w:tc>
          <w:tcPr>
            <w:tcW w:w="381" w:type="dxa"/>
          </w:tcPr>
          <w:p w14:paraId="2D6926F0" w14:textId="77777777" w:rsidR="00482477" w:rsidRPr="00C0591E" w:rsidRDefault="00482477" w:rsidP="00E01DA9">
            <w:pPr>
              <w:spacing w:after="0"/>
              <w:rPr>
                <w:rFonts w:eastAsiaTheme="majorEastAsia" w:cstheme="majorBidi"/>
                <w:b/>
                <w:bCs/>
                <w:szCs w:val="28"/>
              </w:rPr>
            </w:pPr>
          </w:p>
        </w:tc>
      </w:tr>
      <w:tr w:rsidR="00482477" w:rsidRPr="00C0591E" w14:paraId="3670B695" w14:textId="77777777" w:rsidTr="004B2404">
        <w:tc>
          <w:tcPr>
            <w:tcW w:w="554" w:type="dxa"/>
          </w:tcPr>
          <w:p w14:paraId="5C52EDE3" w14:textId="77777777" w:rsidR="00482477" w:rsidRPr="00C0591E" w:rsidRDefault="003012D6" w:rsidP="00E01DA9">
            <w:pPr>
              <w:spacing w:after="0"/>
            </w:pPr>
            <w:r w:rsidRPr="00C0591E">
              <w:t>3.</w:t>
            </w:r>
          </w:p>
        </w:tc>
        <w:tc>
          <w:tcPr>
            <w:tcW w:w="6371" w:type="dxa"/>
            <w:gridSpan w:val="2"/>
          </w:tcPr>
          <w:p w14:paraId="747D0B15" w14:textId="6CA26437" w:rsidR="00482477" w:rsidRPr="00C0591E" w:rsidRDefault="00482477" w:rsidP="00F01139">
            <w:pPr>
              <w:spacing w:after="0"/>
            </w:pPr>
            <w:r w:rsidRPr="00C0591E">
              <w:t xml:space="preserve">We have  improved our internal control system </w:t>
            </w:r>
          </w:p>
        </w:tc>
        <w:tc>
          <w:tcPr>
            <w:tcW w:w="450" w:type="dxa"/>
            <w:gridSpan w:val="2"/>
          </w:tcPr>
          <w:p w14:paraId="7C1F1ADD" w14:textId="77777777" w:rsidR="00482477" w:rsidRPr="00C0591E" w:rsidRDefault="00482477" w:rsidP="00E01DA9">
            <w:pPr>
              <w:spacing w:after="0"/>
              <w:rPr>
                <w:rFonts w:eastAsiaTheme="majorEastAsia" w:cstheme="majorBidi"/>
                <w:b/>
                <w:bCs/>
                <w:szCs w:val="28"/>
              </w:rPr>
            </w:pPr>
          </w:p>
        </w:tc>
        <w:tc>
          <w:tcPr>
            <w:tcW w:w="450" w:type="dxa"/>
            <w:gridSpan w:val="2"/>
          </w:tcPr>
          <w:p w14:paraId="50568266" w14:textId="77777777" w:rsidR="00482477" w:rsidRPr="00C0591E" w:rsidRDefault="00482477" w:rsidP="00E01DA9">
            <w:pPr>
              <w:spacing w:after="0"/>
              <w:rPr>
                <w:rFonts w:eastAsiaTheme="majorEastAsia" w:cstheme="majorBidi"/>
                <w:b/>
                <w:bCs/>
                <w:szCs w:val="28"/>
              </w:rPr>
            </w:pPr>
          </w:p>
        </w:tc>
        <w:tc>
          <w:tcPr>
            <w:tcW w:w="450" w:type="dxa"/>
            <w:gridSpan w:val="2"/>
          </w:tcPr>
          <w:p w14:paraId="21D57579" w14:textId="77777777" w:rsidR="00482477" w:rsidRPr="00C0591E" w:rsidRDefault="00482477" w:rsidP="00E01DA9">
            <w:pPr>
              <w:spacing w:after="0"/>
              <w:rPr>
                <w:rFonts w:eastAsiaTheme="majorEastAsia" w:cstheme="majorBidi"/>
                <w:b/>
                <w:bCs/>
                <w:szCs w:val="28"/>
              </w:rPr>
            </w:pPr>
          </w:p>
        </w:tc>
        <w:tc>
          <w:tcPr>
            <w:tcW w:w="360" w:type="dxa"/>
          </w:tcPr>
          <w:p w14:paraId="15086473" w14:textId="77777777" w:rsidR="00482477" w:rsidRPr="00C0591E" w:rsidRDefault="00482477" w:rsidP="00E01DA9">
            <w:pPr>
              <w:spacing w:after="0"/>
              <w:rPr>
                <w:rFonts w:eastAsiaTheme="majorEastAsia" w:cstheme="majorBidi"/>
                <w:b/>
                <w:bCs/>
                <w:szCs w:val="28"/>
              </w:rPr>
            </w:pPr>
          </w:p>
        </w:tc>
        <w:tc>
          <w:tcPr>
            <w:tcW w:w="381" w:type="dxa"/>
          </w:tcPr>
          <w:p w14:paraId="7E0239CF" w14:textId="77777777" w:rsidR="00482477" w:rsidRPr="00C0591E" w:rsidRDefault="00482477" w:rsidP="00E01DA9">
            <w:pPr>
              <w:spacing w:after="0"/>
              <w:rPr>
                <w:rFonts w:eastAsiaTheme="majorEastAsia" w:cstheme="majorBidi"/>
                <w:b/>
                <w:bCs/>
                <w:szCs w:val="28"/>
              </w:rPr>
            </w:pPr>
          </w:p>
        </w:tc>
      </w:tr>
      <w:tr w:rsidR="003012D6" w:rsidRPr="00C0591E" w14:paraId="3B27D6C1" w14:textId="77777777" w:rsidTr="004B2404">
        <w:tc>
          <w:tcPr>
            <w:tcW w:w="554" w:type="dxa"/>
          </w:tcPr>
          <w:p w14:paraId="1D1939B0" w14:textId="77777777" w:rsidR="003012D6" w:rsidRPr="00C0591E" w:rsidRDefault="003012D6" w:rsidP="00E01DA9">
            <w:pPr>
              <w:spacing w:after="0"/>
            </w:pPr>
            <w:r w:rsidRPr="00C0591E">
              <w:t>4.</w:t>
            </w:r>
          </w:p>
        </w:tc>
        <w:tc>
          <w:tcPr>
            <w:tcW w:w="6371" w:type="dxa"/>
            <w:gridSpan w:val="2"/>
          </w:tcPr>
          <w:p w14:paraId="6BC6DA52" w14:textId="69F9F938" w:rsidR="003012D6" w:rsidRPr="00C0591E" w:rsidRDefault="003012D6" w:rsidP="00F01139">
            <w:pPr>
              <w:spacing w:after="0"/>
            </w:pPr>
            <w:r w:rsidRPr="00C0591E">
              <w:t xml:space="preserve">The time we spend in trustee meetings has decreased  </w:t>
            </w:r>
          </w:p>
        </w:tc>
        <w:tc>
          <w:tcPr>
            <w:tcW w:w="450" w:type="dxa"/>
            <w:gridSpan w:val="2"/>
          </w:tcPr>
          <w:p w14:paraId="46B25D45" w14:textId="77777777" w:rsidR="003012D6" w:rsidRPr="00C0591E" w:rsidRDefault="003012D6" w:rsidP="00E01DA9">
            <w:pPr>
              <w:spacing w:after="0"/>
              <w:rPr>
                <w:rFonts w:eastAsiaTheme="majorEastAsia" w:cstheme="majorBidi"/>
                <w:b/>
                <w:bCs/>
                <w:szCs w:val="28"/>
              </w:rPr>
            </w:pPr>
          </w:p>
        </w:tc>
        <w:tc>
          <w:tcPr>
            <w:tcW w:w="450" w:type="dxa"/>
            <w:gridSpan w:val="2"/>
          </w:tcPr>
          <w:p w14:paraId="43B1060B" w14:textId="77777777" w:rsidR="003012D6" w:rsidRPr="00C0591E" w:rsidRDefault="003012D6" w:rsidP="00E01DA9">
            <w:pPr>
              <w:spacing w:after="0"/>
              <w:rPr>
                <w:rFonts w:eastAsiaTheme="majorEastAsia" w:cstheme="majorBidi"/>
                <w:b/>
                <w:bCs/>
                <w:szCs w:val="28"/>
              </w:rPr>
            </w:pPr>
          </w:p>
        </w:tc>
        <w:tc>
          <w:tcPr>
            <w:tcW w:w="450" w:type="dxa"/>
            <w:gridSpan w:val="2"/>
          </w:tcPr>
          <w:p w14:paraId="7941B600" w14:textId="77777777" w:rsidR="003012D6" w:rsidRPr="00C0591E" w:rsidRDefault="003012D6" w:rsidP="00E01DA9">
            <w:pPr>
              <w:spacing w:after="0"/>
              <w:rPr>
                <w:rFonts w:eastAsiaTheme="majorEastAsia" w:cstheme="majorBidi"/>
                <w:b/>
                <w:bCs/>
                <w:szCs w:val="28"/>
              </w:rPr>
            </w:pPr>
          </w:p>
        </w:tc>
        <w:tc>
          <w:tcPr>
            <w:tcW w:w="360" w:type="dxa"/>
          </w:tcPr>
          <w:p w14:paraId="68F00E51" w14:textId="77777777" w:rsidR="003012D6" w:rsidRPr="00C0591E" w:rsidRDefault="003012D6" w:rsidP="00E01DA9">
            <w:pPr>
              <w:spacing w:after="0"/>
              <w:rPr>
                <w:rFonts w:eastAsiaTheme="majorEastAsia" w:cstheme="majorBidi"/>
                <w:b/>
                <w:bCs/>
                <w:szCs w:val="28"/>
              </w:rPr>
            </w:pPr>
          </w:p>
        </w:tc>
        <w:tc>
          <w:tcPr>
            <w:tcW w:w="381" w:type="dxa"/>
          </w:tcPr>
          <w:p w14:paraId="5C621E0E" w14:textId="77777777" w:rsidR="003012D6" w:rsidRPr="00C0591E" w:rsidRDefault="003012D6" w:rsidP="00E01DA9">
            <w:pPr>
              <w:spacing w:after="0"/>
              <w:rPr>
                <w:rFonts w:eastAsiaTheme="majorEastAsia" w:cstheme="majorBidi"/>
                <w:b/>
                <w:bCs/>
                <w:szCs w:val="28"/>
              </w:rPr>
            </w:pPr>
          </w:p>
        </w:tc>
      </w:tr>
      <w:tr w:rsidR="003012D6" w:rsidRPr="00C0591E" w14:paraId="10EE9016" w14:textId="77777777" w:rsidTr="004B2404">
        <w:tc>
          <w:tcPr>
            <w:tcW w:w="554" w:type="dxa"/>
          </w:tcPr>
          <w:p w14:paraId="02667186" w14:textId="77777777" w:rsidR="003012D6" w:rsidRPr="00C0591E" w:rsidRDefault="006730DB" w:rsidP="00E01DA9">
            <w:pPr>
              <w:spacing w:after="0"/>
            </w:pPr>
            <w:r w:rsidRPr="00C0591E">
              <w:t>5.</w:t>
            </w:r>
          </w:p>
        </w:tc>
        <w:tc>
          <w:tcPr>
            <w:tcW w:w="6371" w:type="dxa"/>
            <w:gridSpan w:val="2"/>
          </w:tcPr>
          <w:p w14:paraId="2F1DD921" w14:textId="77777777" w:rsidR="003012D6" w:rsidRPr="00C0591E" w:rsidRDefault="006730DB" w:rsidP="00F01139">
            <w:pPr>
              <w:spacing w:after="0"/>
            </w:pPr>
            <w:r w:rsidRPr="00C0591E">
              <w:t>Our records processing system has improved</w:t>
            </w:r>
          </w:p>
        </w:tc>
        <w:tc>
          <w:tcPr>
            <w:tcW w:w="450" w:type="dxa"/>
            <w:gridSpan w:val="2"/>
          </w:tcPr>
          <w:p w14:paraId="271F8A5A" w14:textId="77777777" w:rsidR="003012D6" w:rsidRPr="00C0591E" w:rsidRDefault="003012D6" w:rsidP="00E01DA9">
            <w:pPr>
              <w:spacing w:after="0"/>
              <w:rPr>
                <w:rFonts w:eastAsiaTheme="majorEastAsia" w:cstheme="majorBidi"/>
                <w:b/>
                <w:bCs/>
                <w:szCs w:val="28"/>
              </w:rPr>
            </w:pPr>
          </w:p>
        </w:tc>
        <w:tc>
          <w:tcPr>
            <w:tcW w:w="450" w:type="dxa"/>
            <w:gridSpan w:val="2"/>
          </w:tcPr>
          <w:p w14:paraId="000B747E" w14:textId="77777777" w:rsidR="003012D6" w:rsidRPr="00C0591E" w:rsidRDefault="003012D6" w:rsidP="00E01DA9">
            <w:pPr>
              <w:spacing w:after="0"/>
              <w:rPr>
                <w:rFonts w:eastAsiaTheme="majorEastAsia" w:cstheme="majorBidi"/>
                <w:b/>
                <w:bCs/>
                <w:szCs w:val="28"/>
              </w:rPr>
            </w:pPr>
          </w:p>
        </w:tc>
        <w:tc>
          <w:tcPr>
            <w:tcW w:w="450" w:type="dxa"/>
            <w:gridSpan w:val="2"/>
          </w:tcPr>
          <w:p w14:paraId="5280B86D" w14:textId="77777777" w:rsidR="003012D6" w:rsidRPr="00C0591E" w:rsidRDefault="003012D6" w:rsidP="00E01DA9">
            <w:pPr>
              <w:spacing w:after="0"/>
              <w:rPr>
                <w:rFonts w:eastAsiaTheme="majorEastAsia" w:cstheme="majorBidi"/>
                <w:b/>
                <w:bCs/>
                <w:szCs w:val="28"/>
              </w:rPr>
            </w:pPr>
          </w:p>
        </w:tc>
        <w:tc>
          <w:tcPr>
            <w:tcW w:w="360" w:type="dxa"/>
          </w:tcPr>
          <w:p w14:paraId="2F2FFF59" w14:textId="77777777" w:rsidR="003012D6" w:rsidRPr="00C0591E" w:rsidRDefault="003012D6" w:rsidP="00E01DA9">
            <w:pPr>
              <w:spacing w:after="0"/>
              <w:rPr>
                <w:rFonts w:eastAsiaTheme="majorEastAsia" w:cstheme="majorBidi"/>
                <w:b/>
                <w:bCs/>
                <w:szCs w:val="28"/>
              </w:rPr>
            </w:pPr>
          </w:p>
        </w:tc>
        <w:tc>
          <w:tcPr>
            <w:tcW w:w="381" w:type="dxa"/>
          </w:tcPr>
          <w:p w14:paraId="5F63C0F6" w14:textId="77777777" w:rsidR="003012D6" w:rsidRPr="00C0591E" w:rsidRDefault="003012D6" w:rsidP="00E01DA9">
            <w:pPr>
              <w:spacing w:after="0"/>
              <w:rPr>
                <w:rFonts w:eastAsiaTheme="majorEastAsia" w:cstheme="majorBidi"/>
                <w:b/>
                <w:bCs/>
                <w:szCs w:val="28"/>
              </w:rPr>
            </w:pPr>
          </w:p>
        </w:tc>
      </w:tr>
      <w:tr w:rsidR="006730DB" w:rsidRPr="00C0591E" w14:paraId="2F1233BB" w14:textId="77777777" w:rsidTr="004B2404">
        <w:tc>
          <w:tcPr>
            <w:tcW w:w="554" w:type="dxa"/>
          </w:tcPr>
          <w:p w14:paraId="2B1A52FE" w14:textId="77777777" w:rsidR="006730DB" w:rsidRPr="00C0591E" w:rsidRDefault="006730DB" w:rsidP="00E01DA9">
            <w:pPr>
              <w:spacing w:after="0"/>
            </w:pPr>
            <w:r w:rsidRPr="00C0591E">
              <w:t>6.</w:t>
            </w:r>
          </w:p>
        </w:tc>
        <w:tc>
          <w:tcPr>
            <w:tcW w:w="6371" w:type="dxa"/>
            <w:gridSpan w:val="2"/>
          </w:tcPr>
          <w:p w14:paraId="2BEE9A30" w14:textId="4A79ACEC" w:rsidR="006730DB" w:rsidRPr="00C0591E" w:rsidRDefault="006730DB" w:rsidP="00F01139">
            <w:pPr>
              <w:spacing w:after="0"/>
            </w:pPr>
            <w:r w:rsidRPr="00C0591E">
              <w:t xml:space="preserve">Time taken reporting to members has decreased </w:t>
            </w:r>
          </w:p>
        </w:tc>
        <w:tc>
          <w:tcPr>
            <w:tcW w:w="450" w:type="dxa"/>
            <w:gridSpan w:val="2"/>
          </w:tcPr>
          <w:p w14:paraId="7B9DFAF3" w14:textId="77777777" w:rsidR="006730DB" w:rsidRPr="00C0591E" w:rsidRDefault="006730DB" w:rsidP="00E01DA9">
            <w:pPr>
              <w:spacing w:after="0"/>
              <w:rPr>
                <w:rFonts w:eastAsiaTheme="majorEastAsia" w:cstheme="majorBidi"/>
                <w:b/>
                <w:bCs/>
                <w:szCs w:val="28"/>
              </w:rPr>
            </w:pPr>
          </w:p>
        </w:tc>
        <w:tc>
          <w:tcPr>
            <w:tcW w:w="450" w:type="dxa"/>
            <w:gridSpan w:val="2"/>
          </w:tcPr>
          <w:p w14:paraId="76B14279" w14:textId="77777777" w:rsidR="006730DB" w:rsidRPr="00C0591E" w:rsidRDefault="006730DB" w:rsidP="00E01DA9">
            <w:pPr>
              <w:spacing w:after="0"/>
              <w:rPr>
                <w:rFonts w:eastAsiaTheme="majorEastAsia" w:cstheme="majorBidi"/>
                <w:b/>
                <w:bCs/>
                <w:szCs w:val="28"/>
              </w:rPr>
            </w:pPr>
          </w:p>
        </w:tc>
        <w:tc>
          <w:tcPr>
            <w:tcW w:w="450" w:type="dxa"/>
            <w:gridSpan w:val="2"/>
          </w:tcPr>
          <w:p w14:paraId="09500217" w14:textId="77777777" w:rsidR="006730DB" w:rsidRPr="00C0591E" w:rsidRDefault="006730DB" w:rsidP="00E01DA9">
            <w:pPr>
              <w:spacing w:after="0"/>
              <w:rPr>
                <w:rFonts w:eastAsiaTheme="majorEastAsia" w:cstheme="majorBidi"/>
                <w:b/>
                <w:bCs/>
                <w:szCs w:val="28"/>
              </w:rPr>
            </w:pPr>
          </w:p>
        </w:tc>
        <w:tc>
          <w:tcPr>
            <w:tcW w:w="360" w:type="dxa"/>
          </w:tcPr>
          <w:p w14:paraId="5D6CCFA5" w14:textId="77777777" w:rsidR="006730DB" w:rsidRPr="00C0591E" w:rsidRDefault="006730DB" w:rsidP="00E01DA9">
            <w:pPr>
              <w:spacing w:after="0"/>
              <w:rPr>
                <w:rFonts w:eastAsiaTheme="majorEastAsia" w:cstheme="majorBidi"/>
                <w:b/>
                <w:bCs/>
                <w:szCs w:val="28"/>
              </w:rPr>
            </w:pPr>
          </w:p>
        </w:tc>
        <w:tc>
          <w:tcPr>
            <w:tcW w:w="381" w:type="dxa"/>
          </w:tcPr>
          <w:p w14:paraId="3266DBFC" w14:textId="77777777" w:rsidR="006730DB" w:rsidRPr="00C0591E" w:rsidRDefault="006730DB" w:rsidP="00E01DA9">
            <w:pPr>
              <w:spacing w:after="0"/>
              <w:rPr>
                <w:rFonts w:eastAsiaTheme="majorEastAsia" w:cstheme="majorBidi"/>
                <w:b/>
                <w:bCs/>
                <w:szCs w:val="28"/>
              </w:rPr>
            </w:pPr>
          </w:p>
        </w:tc>
      </w:tr>
      <w:tr w:rsidR="006730DB" w:rsidRPr="00C0591E" w14:paraId="1BBB97DB" w14:textId="77777777" w:rsidTr="004B2404">
        <w:tc>
          <w:tcPr>
            <w:tcW w:w="554" w:type="dxa"/>
          </w:tcPr>
          <w:p w14:paraId="685756F6" w14:textId="77777777" w:rsidR="006730DB" w:rsidRPr="00C0591E" w:rsidRDefault="006730DB" w:rsidP="00E01DA9">
            <w:pPr>
              <w:spacing w:after="0"/>
            </w:pPr>
            <w:r w:rsidRPr="00C0591E">
              <w:t>7.</w:t>
            </w:r>
          </w:p>
        </w:tc>
        <w:tc>
          <w:tcPr>
            <w:tcW w:w="6371" w:type="dxa"/>
            <w:gridSpan w:val="2"/>
          </w:tcPr>
          <w:p w14:paraId="79B006E3" w14:textId="6E5B4EBF" w:rsidR="006730DB" w:rsidRPr="00C0591E" w:rsidRDefault="006730DB" w:rsidP="00F01139">
            <w:pPr>
              <w:spacing w:after="0"/>
            </w:pPr>
            <w:r w:rsidRPr="00C0591E">
              <w:t xml:space="preserve">Our compliance costs have decreased </w:t>
            </w:r>
          </w:p>
        </w:tc>
        <w:tc>
          <w:tcPr>
            <w:tcW w:w="450" w:type="dxa"/>
            <w:gridSpan w:val="2"/>
          </w:tcPr>
          <w:p w14:paraId="71052567" w14:textId="77777777" w:rsidR="006730DB" w:rsidRPr="00C0591E" w:rsidRDefault="006730DB" w:rsidP="00E01DA9">
            <w:pPr>
              <w:spacing w:after="0"/>
              <w:rPr>
                <w:rFonts w:eastAsiaTheme="majorEastAsia" w:cstheme="majorBidi"/>
                <w:b/>
                <w:bCs/>
                <w:szCs w:val="28"/>
              </w:rPr>
            </w:pPr>
          </w:p>
        </w:tc>
        <w:tc>
          <w:tcPr>
            <w:tcW w:w="450" w:type="dxa"/>
            <w:gridSpan w:val="2"/>
          </w:tcPr>
          <w:p w14:paraId="6D78D2D5" w14:textId="77777777" w:rsidR="006730DB" w:rsidRPr="00C0591E" w:rsidRDefault="006730DB" w:rsidP="00E01DA9">
            <w:pPr>
              <w:spacing w:after="0"/>
              <w:rPr>
                <w:rFonts w:eastAsiaTheme="majorEastAsia" w:cstheme="majorBidi"/>
                <w:b/>
                <w:bCs/>
                <w:szCs w:val="28"/>
              </w:rPr>
            </w:pPr>
          </w:p>
        </w:tc>
        <w:tc>
          <w:tcPr>
            <w:tcW w:w="450" w:type="dxa"/>
            <w:gridSpan w:val="2"/>
          </w:tcPr>
          <w:p w14:paraId="4F3D1D4E" w14:textId="77777777" w:rsidR="006730DB" w:rsidRPr="00C0591E" w:rsidRDefault="006730DB" w:rsidP="00E01DA9">
            <w:pPr>
              <w:spacing w:after="0"/>
              <w:rPr>
                <w:rFonts w:eastAsiaTheme="majorEastAsia" w:cstheme="majorBidi"/>
                <w:b/>
                <w:bCs/>
                <w:szCs w:val="28"/>
              </w:rPr>
            </w:pPr>
          </w:p>
        </w:tc>
        <w:tc>
          <w:tcPr>
            <w:tcW w:w="360" w:type="dxa"/>
          </w:tcPr>
          <w:p w14:paraId="769A10C6" w14:textId="77777777" w:rsidR="006730DB" w:rsidRPr="00C0591E" w:rsidRDefault="006730DB" w:rsidP="00E01DA9">
            <w:pPr>
              <w:spacing w:after="0"/>
              <w:rPr>
                <w:rFonts w:eastAsiaTheme="majorEastAsia" w:cstheme="majorBidi"/>
                <w:b/>
                <w:bCs/>
                <w:szCs w:val="28"/>
              </w:rPr>
            </w:pPr>
          </w:p>
        </w:tc>
        <w:tc>
          <w:tcPr>
            <w:tcW w:w="381" w:type="dxa"/>
          </w:tcPr>
          <w:p w14:paraId="0F827B29" w14:textId="77777777" w:rsidR="006730DB" w:rsidRPr="00C0591E" w:rsidRDefault="006730DB" w:rsidP="00E01DA9">
            <w:pPr>
              <w:spacing w:after="0"/>
              <w:rPr>
                <w:rFonts w:eastAsiaTheme="majorEastAsia" w:cstheme="majorBidi"/>
                <w:b/>
                <w:bCs/>
                <w:szCs w:val="28"/>
              </w:rPr>
            </w:pPr>
          </w:p>
        </w:tc>
      </w:tr>
      <w:tr w:rsidR="006730DB" w:rsidRPr="00C0591E" w14:paraId="769C5E79" w14:textId="77777777" w:rsidTr="004B2404">
        <w:tc>
          <w:tcPr>
            <w:tcW w:w="554" w:type="dxa"/>
          </w:tcPr>
          <w:p w14:paraId="06BD7CBC" w14:textId="77777777" w:rsidR="006730DB" w:rsidRPr="00C0591E" w:rsidRDefault="006730DB" w:rsidP="00E01DA9">
            <w:pPr>
              <w:spacing w:after="0"/>
            </w:pPr>
            <w:r w:rsidRPr="00C0591E">
              <w:t>8.</w:t>
            </w:r>
          </w:p>
        </w:tc>
        <w:tc>
          <w:tcPr>
            <w:tcW w:w="6371" w:type="dxa"/>
            <w:gridSpan w:val="2"/>
          </w:tcPr>
          <w:p w14:paraId="2E66F969" w14:textId="00264677" w:rsidR="006730DB" w:rsidRPr="00C0591E" w:rsidRDefault="006730DB" w:rsidP="004B2404">
            <w:pPr>
              <w:spacing w:after="0"/>
            </w:pPr>
            <w:r w:rsidRPr="00C0591E">
              <w:t>Our rate of investment</w:t>
            </w:r>
            <w:r w:rsidR="004B2404" w:rsidRPr="00C0591E">
              <w:t xml:space="preserve">s have </w:t>
            </w:r>
            <w:r w:rsidRPr="00C0591E">
              <w:t xml:space="preserve">increased </w:t>
            </w:r>
          </w:p>
        </w:tc>
        <w:tc>
          <w:tcPr>
            <w:tcW w:w="450" w:type="dxa"/>
            <w:gridSpan w:val="2"/>
          </w:tcPr>
          <w:p w14:paraId="3F7B0511" w14:textId="77777777" w:rsidR="006730DB" w:rsidRPr="00C0591E" w:rsidRDefault="006730DB" w:rsidP="00E01DA9">
            <w:pPr>
              <w:spacing w:after="0"/>
              <w:rPr>
                <w:rFonts w:eastAsiaTheme="majorEastAsia" w:cstheme="majorBidi"/>
                <w:b/>
                <w:bCs/>
                <w:szCs w:val="28"/>
              </w:rPr>
            </w:pPr>
          </w:p>
        </w:tc>
        <w:tc>
          <w:tcPr>
            <w:tcW w:w="450" w:type="dxa"/>
            <w:gridSpan w:val="2"/>
          </w:tcPr>
          <w:p w14:paraId="6D7E216F" w14:textId="77777777" w:rsidR="006730DB" w:rsidRPr="00C0591E" w:rsidRDefault="006730DB" w:rsidP="00E01DA9">
            <w:pPr>
              <w:spacing w:after="0"/>
              <w:rPr>
                <w:rFonts w:eastAsiaTheme="majorEastAsia" w:cstheme="majorBidi"/>
                <w:b/>
                <w:bCs/>
                <w:szCs w:val="28"/>
              </w:rPr>
            </w:pPr>
          </w:p>
        </w:tc>
        <w:tc>
          <w:tcPr>
            <w:tcW w:w="450" w:type="dxa"/>
            <w:gridSpan w:val="2"/>
          </w:tcPr>
          <w:p w14:paraId="1AD58B60" w14:textId="77777777" w:rsidR="006730DB" w:rsidRPr="00C0591E" w:rsidRDefault="006730DB" w:rsidP="00E01DA9">
            <w:pPr>
              <w:spacing w:after="0"/>
              <w:rPr>
                <w:rFonts w:eastAsiaTheme="majorEastAsia" w:cstheme="majorBidi"/>
                <w:b/>
                <w:bCs/>
                <w:szCs w:val="28"/>
              </w:rPr>
            </w:pPr>
          </w:p>
        </w:tc>
        <w:tc>
          <w:tcPr>
            <w:tcW w:w="360" w:type="dxa"/>
          </w:tcPr>
          <w:p w14:paraId="0D5092A8" w14:textId="77777777" w:rsidR="006730DB" w:rsidRPr="00C0591E" w:rsidRDefault="006730DB" w:rsidP="00E01DA9">
            <w:pPr>
              <w:spacing w:after="0"/>
              <w:rPr>
                <w:rFonts w:eastAsiaTheme="majorEastAsia" w:cstheme="majorBidi"/>
                <w:b/>
                <w:bCs/>
                <w:szCs w:val="28"/>
              </w:rPr>
            </w:pPr>
          </w:p>
        </w:tc>
        <w:tc>
          <w:tcPr>
            <w:tcW w:w="381" w:type="dxa"/>
          </w:tcPr>
          <w:p w14:paraId="6716F405" w14:textId="77777777" w:rsidR="006730DB" w:rsidRPr="00C0591E" w:rsidRDefault="006730DB" w:rsidP="00E01DA9">
            <w:pPr>
              <w:spacing w:after="0"/>
              <w:rPr>
                <w:rFonts w:eastAsiaTheme="majorEastAsia" w:cstheme="majorBidi"/>
                <w:b/>
                <w:bCs/>
                <w:szCs w:val="28"/>
              </w:rPr>
            </w:pPr>
          </w:p>
        </w:tc>
      </w:tr>
      <w:tr w:rsidR="006730DB" w:rsidRPr="00C0591E" w14:paraId="50AC7687" w14:textId="77777777" w:rsidTr="004B2404">
        <w:tc>
          <w:tcPr>
            <w:tcW w:w="554" w:type="dxa"/>
          </w:tcPr>
          <w:p w14:paraId="67E12F0E" w14:textId="77777777" w:rsidR="006730DB" w:rsidRPr="00C0591E" w:rsidRDefault="006730DB" w:rsidP="00E01DA9">
            <w:pPr>
              <w:spacing w:after="0"/>
            </w:pPr>
            <w:r w:rsidRPr="00C0591E">
              <w:t>9.</w:t>
            </w:r>
          </w:p>
        </w:tc>
        <w:tc>
          <w:tcPr>
            <w:tcW w:w="6371" w:type="dxa"/>
            <w:gridSpan w:val="2"/>
          </w:tcPr>
          <w:p w14:paraId="44D729E4" w14:textId="77777777" w:rsidR="006730DB" w:rsidRPr="00C0591E" w:rsidRDefault="006730DB" w:rsidP="00F01139">
            <w:pPr>
              <w:spacing w:after="0"/>
            </w:pPr>
            <w:r w:rsidRPr="00C0591E">
              <w:t>Member involvement in decision-making in our plan has increased</w:t>
            </w:r>
          </w:p>
        </w:tc>
        <w:tc>
          <w:tcPr>
            <w:tcW w:w="450" w:type="dxa"/>
            <w:gridSpan w:val="2"/>
          </w:tcPr>
          <w:p w14:paraId="0D6EE8B2" w14:textId="77777777" w:rsidR="006730DB" w:rsidRPr="00C0591E" w:rsidRDefault="006730DB" w:rsidP="00E01DA9">
            <w:pPr>
              <w:spacing w:after="0"/>
              <w:rPr>
                <w:rFonts w:eastAsiaTheme="majorEastAsia" w:cstheme="majorBidi"/>
                <w:b/>
                <w:bCs/>
                <w:szCs w:val="28"/>
              </w:rPr>
            </w:pPr>
          </w:p>
        </w:tc>
        <w:tc>
          <w:tcPr>
            <w:tcW w:w="450" w:type="dxa"/>
            <w:gridSpan w:val="2"/>
          </w:tcPr>
          <w:p w14:paraId="72E1B879" w14:textId="77777777" w:rsidR="006730DB" w:rsidRPr="00C0591E" w:rsidRDefault="006730DB" w:rsidP="00E01DA9">
            <w:pPr>
              <w:spacing w:after="0"/>
              <w:rPr>
                <w:rFonts w:eastAsiaTheme="majorEastAsia" w:cstheme="majorBidi"/>
                <w:b/>
                <w:bCs/>
                <w:szCs w:val="28"/>
              </w:rPr>
            </w:pPr>
          </w:p>
        </w:tc>
        <w:tc>
          <w:tcPr>
            <w:tcW w:w="450" w:type="dxa"/>
            <w:gridSpan w:val="2"/>
          </w:tcPr>
          <w:p w14:paraId="586EE28E" w14:textId="77777777" w:rsidR="006730DB" w:rsidRPr="00C0591E" w:rsidRDefault="006730DB" w:rsidP="00E01DA9">
            <w:pPr>
              <w:spacing w:after="0"/>
              <w:rPr>
                <w:rFonts w:eastAsiaTheme="majorEastAsia" w:cstheme="majorBidi"/>
                <w:b/>
                <w:bCs/>
                <w:szCs w:val="28"/>
              </w:rPr>
            </w:pPr>
          </w:p>
        </w:tc>
        <w:tc>
          <w:tcPr>
            <w:tcW w:w="360" w:type="dxa"/>
          </w:tcPr>
          <w:p w14:paraId="30F6514E" w14:textId="77777777" w:rsidR="006730DB" w:rsidRPr="00C0591E" w:rsidRDefault="006730DB" w:rsidP="00E01DA9">
            <w:pPr>
              <w:spacing w:after="0"/>
              <w:rPr>
                <w:rFonts w:eastAsiaTheme="majorEastAsia" w:cstheme="majorBidi"/>
                <w:b/>
                <w:bCs/>
                <w:szCs w:val="28"/>
              </w:rPr>
            </w:pPr>
          </w:p>
        </w:tc>
        <w:tc>
          <w:tcPr>
            <w:tcW w:w="381" w:type="dxa"/>
          </w:tcPr>
          <w:p w14:paraId="7499F081" w14:textId="77777777" w:rsidR="006730DB" w:rsidRPr="00C0591E" w:rsidRDefault="006730DB" w:rsidP="00E01DA9">
            <w:pPr>
              <w:spacing w:after="0"/>
              <w:rPr>
                <w:rFonts w:eastAsiaTheme="majorEastAsia" w:cstheme="majorBidi"/>
                <w:b/>
                <w:bCs/>
                <w:szCs w:val="28"/>
              </w:rPr>
            </w:pPr>
          </w:p>
        </w:tc>
      </w:tr>
      <w:tr w:rsidR="006730DB" w:rsidRPr="00C0591E" w14:paraId="54459A8A" w14:textId="77777777" w:rsidTr="004B2404">
        <w:tc>
          <w:tcPr>
            <w:tcW w:w="554" w:type="dxa"/>
          </w:tcPr>
          <w:p w14:paraId="034C0804" w14:textId="77777777" w:rsidR="006730DB" w:rsidRPr="00C0591E" w:rsidRDefault="002C3F7A" w:rsidP="00E01DA9">
            <w:pPr>
              <w:spacing w:after="0"/>
            </w:pPr>
            <w:r w:rsidRPr="00C0591E">
              <w:t>10</w:t>
            </w:r>
            <w:r w:rsidR="006730DB" w:rsidRPr="00C0591E">
              <w:t>.</w:t>
            </w:r>
          </w:p>
        </w:tc>
        <w:tc>
          <w:tcPr>
            <w:tcW w:w="6371" w:type="dxa"/>
            <w:gridSpan w:val="2"/>
          </w:tcPr>
          <w:p w14:paraId="16DC354E" w14:textId="77777777" w:rsidR="006730DB" w:rsidRPr="00C0591E" w:rsidRDefault="006730DB" w:rsidP="00F01139">
            <w:pPr>
              <w:spacing w:after="0"/>
            </w:pPr>
            <w:r w:rsidRPr="00C0591E">
              <w:t>Sponsor involvement in our pension plan has decreased significantly</w:t>
            </w:r>
          </w:p>
        </w:tc>
        <w:tc>
          <w:tcPr>
            <w:tcW w:w="450" w:type="dxa"/>
            <w:gridSpan w:val="2"/>
          </w:tcPr>
          <w:p w14:paraId="18F5BF7E" w14:textId="77777777" w:rsidR="006730DB" w:rsidRPr="00C0591E" w:rsidRDefault="006730DB" w:rsidP="00E01DA9">
            <w:pPr>
              <w:spacing w:after="0"/>
              <w:rPr>
                <w:rFonts w:eastAsiaTheme="majorEastAsia" w:cstheme="majorBidi"/>
                <w:b/>
                <w:bCs/>
                <w:szCs w:val="28"/>
              </w:rPr>
            </w:pPr>
          </w:p>
        </w:tc>
        <w:tc>
          <w:tcPr>
            <w:tcW w:w="450" w:type="dxa"/>
            <w:gridSpan w:val="2"/>
          </w:tcPr>
          <w:p w14:paraId="26BFFA33" w14:textId="77777777" w:rsidR="006730DB" w:rsidRPr="00C0591E" w:rsidRDefault="006730DB" w:rsidP="00E01DA9">
            <w:pPr>
              <w:spacing w:after="0"/>
              <w:rPr>
                <w:rFonts w:eastAsiaTheme="majorEastAsia" w:cstheme="majorBidi"/>
                <w:b/>
                <w:bCs/>
                <w:szCs w:val="28"/>
              </w:rPr>
            </w:pPr>
          </w:p>
        </w:tc>
        <w:tc>
          <w:tcPr>
            <w:tcW w:w="450" w:type="dxa"/>
            <w:gridSpan w:val="2"/>
          </w:tcPr>
          <w:p w14:paraId="2DEE3D90" w14:textId="77777777" w:rsidR="006730DB" w:rsidRPr="00C0591E" w:rsidRDefault="006730DB" w:rsidP="00E01DA9">
            <w:pPr>
              <w:spacing w:after="0"/>
              <w:rPr>
                <w:rFonts w:eastAsiaTheme="majorEastAsia" w:cstheme="majorBidi"/>
                <w:b/>
                <w:bCs/>
                <w:szCs w:val="28"/>
              </w:rPr>
            </w:pPr>
          </w:p>
        </w:tc>
        <w:tc>
          <w:tcPr>
            <w:tcW w:w="360" w:type="dxa"/>
          </w:tcPr>
          <w:p w14:paraId="27BC7848" w14:textId="77777777" w:rsidR="006730DB" w:rsidRPr="00C0591E" w:rsidRDefault="006730DB" w:rsidP="00E01DA9">
            <w:pPr>
              <w:spacing w:after="0"/>
              <w:rPr>
                <w:rFonts w:eastAsiaTheme="majorEastAsia" w:cstheme="majorBidi"/>
                <w:b/>
                <w:bCs/>
                <w:szCs w:val="28"/>
              </w:rPr>
            </w:pPr>
          </w:p>
        </w:tc>
        <w:tc>
          <w:tcPr>
            <w:tcW w:w="381" w:type="dxa"/>
          </w:tcPr>
          <w:p w14:paraId="045F3A20" w14:textId="77777777" w:rsidR="006730DB" w:rsidRPr="00C0591E" w:rsidRDefault="006730DB" w:rsidP="00E01DA9">
            <w:pPr>
              <w:spacing w:after="0"/>
              <w:rPr>
                <w:rFonts w:eastAsiaTheme="majorEastAsia" w:cstheme="majorBidi"/>
                <w:b/>
                <w:bCs/>
                <w:szCs w:val="28"/>
              </w:rPr>
            </w:pPr>
          </w:p>
        </w:tc>
      </w:tr>
      <w:tr w:rsidR="006730DB" w:rsidRPr="00C0591E" w14:paraId="35FC104E" w14:textId="77777777" w:rsidTr="004B2404">
        <w:tc>
          <w:tcPr>
            <w:tcW w:w="554" w:type="dxa"/>
          </w:tcPr>
          <w:p w14:paraId="0D4693D3" w14:textId="77777777" w:rsidR="006730DB" w:rsidRPr="00C0591E" w:rsidRDefault="002C3F7A" w:rsidP="00E01DA9">
            <w:pPr>
              <w:spacing w:after="0"/>
            </w:pPr>
            <w:r w:rsidRPr="00C0591E">
              <w:t>11</w:t>
            </w:r>
            <w:r w:rsidR="006730DB" w:rsidRPr="00C0591E">
              <w:t>.</w:t>
            </w:r>
          </w:p>
        </w:tc>
        <w:tc>
          <w:tcPr>
            <w:tcW w:w="6371" w:type="dxa"/>
            <w:gridSpan w:val="2"/>
          </w:tcPr>
          <w:p w14:paraId="67A1CA82" w14:textId="77777777" w:rsidR="006730DB" w:rsidRPr="00C0591E" w:rsidRDefault="006730DB" w:rsidP="00F01139">
            <w:pPr>
              <w:spacing w:after="0"/>
            </w:pPr>
            <w:r w:rsidRPr="00C0591E">
              <w:t>We have experience less under-funding (pension liabilities exceed pension assets) in our pension fund over the years</w:t>
            </w:r>
          </w:p>
        </w:tc>
        <w:tc>
          <w:tcPr>
            <w:tcW w:w="450" w:type="dxa"/>
            <w:gridSpan w:val="2"/>
          </w:tcPr>
          <w:p w14:paraId="44E2DAA8" w14:textId="77777777" w:rsidR="006730DB" w:rsidRPr="00C0591E" w:rsidRDefault="006730DB" w:rsidP="00E01DA9">
            <w:pPr>
              <w:spacing w:after="0"/>
              <w:rPr>
                <w:rFonts w:eastAsiaTheme="majorEastAsia" w:cstheme="majorBidi"/>
                <w:b/>
                <w:bCs/>
                <w:szCs w:val="28"/>
              </w:rPr>
            </w:pPr>
          </w:p>
        </w:tc>
        <w:tc>
          <w:tcPr>
            <w:tcW w:w="450" w:type="dxa"/>
            <w:gridSpan w:val="2"/>
          </w:tcPr>
          <w:p w14:paraId="4DEB3B6B" w14:textId="77777777" w:rsidR="006730DB" w:rsidRPr="00C0591E" w:rsidRDefault="006730DB" w:rsidP="00E01DA9">
            <w:pPr>
              <w:spacing w:after="0"/>
              <w:rPr>
                <w:rFonts w:eastAsiaTheme="majorEastAsia" w:cstheme="majorBidi"/>
                <w:b/>
                <w:bCs/>
                <w:szCs w:val="28"/>
              </w:rPr>
            </w:pPr>
          </w:p>
        </w:tc>
        <w:tc>
          <w:tcPr>
            <w:tcW w:w="450" w:type="dxa"/>
            <w:gridSpan w:val="2"/>
          </w:tcPr>
          <w:p w14:paraId="54535049" w14:textId="77777777" w:rsidR="006730DB" w:rsidRPr="00C0591E" w:rsidRDefault="006730DB" w:rsidP="00E01DA9">
            <w:pPr>
              <w:spacing w:after="0"/>
              <w:rPr>
                <w:rFonts w:eastAsiaTheme="majorEastAsia" w:cstheme="majorBidi"/>
                <w:b/>
                <w:bCs/>
                <w:szCs w:val="28"/>
              </w:rPr>
            </w:pPr>
          </w:p>
        </w:tc>
        <w:tc>
          <w:tcPr>
            <w:tcW w:w="360" w:type="dxa"/>
          </w:tcPr>
          <w:p w14:paraId="1B3BE740" w14:textId="77777777" w:rsidR="006730DB" w:rsidRPr="00C0591E" w:rsidRDefault="006730DB" w:rsidP="00E01DA9">
            <w:pPr>
              <w:spacing w:after="0"/>
              <w:rPr>
                <w:rFonts w:eastAsiaTheme="majorEastAsia" w:cstheme="majorBidi"/>
                <w:b/>
                <w:bCs/>
                <w:szCs w:val="28"/>
              </w:rPr>
            </w:pPr>
          </w:p>
        </w:tc>
        <w:tc>
          <w:tcPr>
            <w:tcW w:w="381" w:type="dxa"/>
          </w:tcPr>
          <w:p w14:paraId="642336D9" w14:textId="77777777" w:rsidR="006730DB" w:rsidRPr="00C0591E" w:rsidRDefault="006730DB" w:rsidP="00E01DA9">
            <w:pPr>
              <w:spacing w:after="0"/>
              <w:rPr>
                <w:rFonts w:eastAsiaTheme="majorEastAsia" w:cstheme="majorBidi"/>
                <w:b/>
                <w:bCs/>
                <w:szCs w:val="28"/>
              </w:rPr>
            </w:pPr>
          </w:p>
        </w:tc>
      </w:tr>
      <w:tr w:rsidR="006730DB" w:rsidRPr="00C0591E" w14:paraId="2A22FA92" w14:textId="77777777" w:rsidTr="004B2404">
        <w:tc>
          <w:tcPr>
            <w:tcW w:w="554" w:type="dxa"/>
          </w:tcPr>
          <w:p w14:paraId="220A4246" w14:textId="77777777" w:rsidR="006730DB" w:rsidRPr="00C0591E" w:rsidRDefault="002C3F7A" w:rsidP="00E01DA9">
            <w:pPr>
              <w:spacing w:after="0"/>
            </w:pPr>
            <w:r w:rsidRPr="00C0591E">
              <w:t>12</w:t>
            </w:r>
            <w:r w:rsidR="0065147B" w:rsidRPr="00C0591E">
              <w:t>.</w:t>
            </w:r>
          </w:p>
        </w:tc>
        <w:tc>
          <w:tcPr>
            <w:tcW w:w="6371" w:type="dxa"/>
            <w:gridSpan w:val="2"/>
          </w:tcPr>
          <w:p w14:paraId="7E9D4B45" w14:textId="77777777" w:rsidR="006730DB" w:rsidRPr="00C0591E" w:rsidRDefault="0065147B" w:rsidP="00F01139">
            <w:pPr>
              <w:spacing w:after="0"/>
            </w:pPr>
            <w:r w:rsidRPr="00C0591E">
              <w:t>We have been appointing service providers on competitive bidding over the years</w:t>
            </w:r>
          </w:p>
        </w:tc>
        <w:tc>
          <w:tcPr>
            <w:tcW w:w="450" w:type="dxa"/>
            <w:gridSpan w:val="2"/>
          </w:tcPr>
          <w:p w14:paraId="735DA015" w14:textId="77777777" w:rsidR="006730DB" w:rsidRPr="00C0591E" w:rsidRDefault="006730DB" w:rsidP="00E01DA9">
            <w:pPr>
              <w:spacing w:after="0"/>
              <w:rPr>
                <w:rFonts w:eastAsiaTheme="majorEastAsia" w:cstheme="majorBidi"/>
                <w:b/>
                <w:bCs/>
                <w:szCs w:val="28"/>
              </w:rPr>
            </w:pPr>
          </w:p>
        </w:tc>
        <w:tc>
          <w:tcPr>
            <w:tcW w:w="450" w:type="dxa"/>
            <w:gridSpan w:val="2"/>
          </w:tcPr>
          <w:p w14:paraId="69D335F2" w14:textId="77777777" w:rsidR="006730DB" w:rsidRPr="00C0591E" w:rsidRDefault="006730DB" w:rsidP="00E01DA9">
            <w:pPr>
              <w:spacing w:after="0"/>
              <w:rPr>
                <w:rFonts w:eastAsiaTheme="majorEastAsia" w:cstheme="majorBidi"/>
                <w:b/>
                <w:bCs/>
                <w:szCs w:val="28"/>
              </w:rPr>
            </w:pPr>
          </w:p>
        </w:tc>
        <w:tc>
          <w:tcPr>
            <w:tcW w:w="450" w:type="dxa"/>
            <w:gridSpan w:val="2"/>
          </w:tcPr>
          <w:p w14:paraId="66C9698A" w14:textId="77777777" w:rsidR="006730DB" w:rsidRPr="00C0591E" w:rsidRDefault="006730DB" w:rsidP="00E01DA9">
            <w:pPr>
              <w:spacing w:after="0"/>
              <w:rPr>
                <w:rFonts w:eastAsiaTheme="majorEastAsia" w:cstheme="majorBidi"/>
                <w:b/>
                <w:bCs/>
                <w:szCs w:val="28"/>
              </w:rPr>
            </w:pPr>
          </w:p>
        </w:tc>
        <w:tc>
          <w:tcPr>
            <w:tcW w:w="360" w:type="dxa"/>
          </w:tcPr>
          <w:p w14:paraId="57E2D129" w14:textId="77777777" w:rsidR="006730DB" w:rsidRPr="00C0591E" w:rsidRDefault="006730DB" w:rsidP="00E01DA9">
            <w:pPr>
              <w:spacing w:after="0"/>
              <w:rPr>
                <w:rFonts w:eastAsiaTheme="majorEastAsia" w:cstheme="majorBidi"/>
                <w:b/>
                <w:bCs/>
                <w:szCs w:val="28"/>
              </w:rPr>
            </w:pPr>
          </w:p>
        </w:tc>
        <w:tc>
          <w:tcPr>
            <w:tcW w:w="381" w:type="dxa"/>
          </w:tcPr>
          <w:p w14:paraId="337EFFAA" w14:textId="77777777" w:rsidR="006730DB" w:rsidRPr="00C0591E" w:rsidRDefault="006730DB" w:rsidP="00E01DA9">
            <w:pPr>
              <w:spacing w:after="0"/>
              <w:rPr>
                <w:rFonts w:eastAsiaTheme="majorEastAsia" w:cstheme="majorBidi"/>
                <w:b/>
                <w:bCs/>
                <w:szCs w:val="28"/>
              </w:rPr>
            </w:pPr>
          </w:p>
        </w:tc>
      </w:tr>
      <w:tr w:rsidR="006730DB" w:rsidRPr="00C0591E" w14:paraId="29CECFB2" w14:textId="77777777" w:rsidTr="004B2404">
        <w:tc>
          <w:tcPr>
            <w:tcW w:w="554" w:type="dxa"/>
          </w:tcPr>
          <w:p w14:paraId="1AF37667" w14:textId="77777777" w:rsidR="006730DB" w:rsidRPr="00C0591E" w:rsidRDefault="002C3F7A" w:rsidP="00E01DA9">
            <w:pPr>
              <w:spacing w:after="0"/>
            </w:pPr>
            <w:r w:rsidRPr="00C0591E">
              <w:t>13</w:t>
            </w:r>
            <w:r w:rsidR="0083110D" w:rsidRPr="00C0591E">
              <w:t>.</w:t>
            </w:r>
          </w:p>
        </w:tc>
        <w:tc>
          <w:tcPr>
            <w:tcW w:w="6371" w:type="dxa"/>
            <w:gridSpan w:val="2"/>
          </w:tcPr>
          <w:p w14:paraId="09120C36" w14:textId="77777777" w:rsidR="006730DB" w:rsidRPr="00C0591E" w:rsidRDefault="0083110D" w:rsidP="00F01139">
            <w:pPr>
              <w:spacing w:after="0"/>
            </w:pPr>
            <w:r w:rsidRPr="00C0591E">
              <w:t>We have been successfully complying to RBA regulations over the years</w:t>
            </w:r>
          </w:p>
        </w:tc>
        <w:tc>
          <w:tcPr>
            <w:tcW w:w="450" w:type="dxa"/>
            <w:gridSpan w:val="2"/>
          </w:tcPr>
          <w:p w14:paraId="146B2F57" w14:textId="77777777" w:rsidR="006730DB" w:rsidRPr="00C0591E" w:rsidRDefault="006730DB" w:rsidP="00E01DA9">
            <w:pPr>
              <w:spacing w:after="0"/>
              <w:rPr>
                <w:rFonts w:eastAsiaTheme="majorEastAsia" w:cstheme="majorBidi"/>
                <w:b/>
                <w:bCs/>
                <w:szCs w:val="28"/>
              </w:rPr>
            </w:pPr>
          </w:p>
        </w:tc>
        <w:tc>
          <w:tcPr>
            <w:tcW w:w="450" w:type="dxa"/>
            <w:gridSpan w:val="2"/>
          </w:tcPr>
          <w:p w14:paraId="6F03C72A" w14:textId="77777777" w:rsidR="006730DB" w:rsidRPr="00C0591E" w:rsidRDefault="006730DB" w:rsidP="00E01DA9">
            <w:pPr>
              <w:spacing w:after="0"/>
              <w:rPr>
                <w:rFonts w:eastAsiaTheme="majorEastAsia" w:cstheme="majorBidi"/>
                <w:b/>
                <w:bCs/>
                <w:szCs w:val="28"/>
              </w:rPr>
            </w:pPr>
          </w:p>
        </w:tc>
        <w:tc>
          <w:tcPr>
            <w:tcW w:w="450" w:type="dxa"/>
            <w:gridSpan w:val="2"/>
          </w:tcPr>
          <w:p w14:paraId="7EFC76B0" w14:textId="77777777" w:rsidR="006730DB" w:rsidRPr="00C0591E" w:rsidRDefault="006730DB" w:rsidP="00E01DA9">
            <w:pPr>
              <w:spacing w:after="0"/>
              <w:rPr>
                <w:rFonts w:eastAsiaTheme="majorEastAsia" w:cstheme="majorBidi"/>
                <w:b/>
                <w:bCs/>
                <w:szCs w:val="28"/>
              </w:rPr>
            </w:pPr>
          </w:p>
        </w:tc>
        <w:tc>
          <w:tcPr>
            <w:tcW w:w="360" w:type="dxa"/>
          </w:tcPr>
          <w:p w14:paraId="36623573" w14:textId="77777777" w:rsidR="006730DB" w:rsidRPr="00C0591E" w:rsidRDefault="006730DB" w:rsidP="00E01DA9">
            <w:pPr>
              <w:spacing w:after="0"/>
              <w:rPr>
                <w:rFonts w:eastAsiaTheme="majorEastAsia" w:cstheme="majorBidi"/>
                <w:b/>
                <w:bCs/>
                <w:szCs w:val="28"/>
              </w:rPr>
            </w:pPr>
          </w:p>
        </w:tc>
        <w:tc>
          <w:tcPr>
            <w:tcW w:w="381" w:type="dxa"/>
          </w:tcPr>
          <w:p w14:paraId="70A94BD3" w14:textId="77777777" w:rsidR="006730DB" w:rsidRPr="00C0591E" w:rsidRDefault="006730DB" w:rsidP="00E01DA9">
            <w:pPr>
              <w:spacing w:after="0"/>
              <w:rPr>
                <w:rFonts w:eastAsiaTheme="majorEastAsia" w:cstheme="majorBidi"/>
                <w:b/>
                <w:bCs/>
                <w:szCs w:val="28"/>
              </w:rPr>
            </w:pPr>
          </w:p>
        </w:tc>
      </w:tr>
      <w:tr w:rsidR="006730DB" w:rsidRPr="00C0591E" w14:paraId="14CE4B07" w14:textId="77777777" w:rsidTr="004B2404">
        <w:trPr>
          <w:trHeight w:val="350"/>
        </w:trPr>
        <w:tc>
          <w:tcPr>
            <w:tcW w:w="554" w:type="dxa"/>
          </w:tcPr>
          <w:p w14:paraId="7E02A4D2" w14:textId="77777777" w:rsidR="006730DB" w:rsidRPr="00C0591E" w:rsidRDefault="002C3F7A" w:rsidP="00E01DA9">
            <w:pPr>
              <w:spacing w:after="0"/>
            </w:pPr>
            <w:r w:rsidRPr="00C0591E">
              <w:t>14</w:t>
            </w:r>
            <w:r w:rsidR="00145AB3" w:rsidRPr="00C0591E">
              <w:t>.</w:t>
            </w:r>
          </w:p>
        </w:tc>
        <w:tc>
          <w:tcPr>
            <w:tcW w:w="6371" w:type="dxa"/>
            <w:gridSpan w:val="2"/>
          </w:tcPr>
          <w:p w14:paraId="4679FF3B" w14:textId="77777777" w:rsidR="006730DB" w:rsidRPr="00C0591E" w:rsidRDefault="00145AB3" w:rsidP="00F01139">
            <w:pPr>
              <w:spacing w:after="0"/>
            </w:pPr>
            <w:r w:rsidRPr="00C0591E">
              <w:t>Continuous finance education to trustees by the pension fund</w:t>
            </w:r>
          </w:p>
        </w:tc>
        <w:tc>
          <w:tcPr>
            <w:tcW w:w="450" w:type="dxa"/>
            <w:gridSpan w:val="2"/>
          </w:tcPr>
          <w:p w14:paraId="5141467C" w14:textId="77777777" w:rsidR="006730DB" w:rsidRPr="00C0591E" w:rsidRDefault="006730DB" w:rsidP="00E01DA9">
            <w:pPr>
              <w:spacing w:after="0"/>
              <w:rPr>
                <w:rFonts w:eastAsiaTheme="majorEastAsia" w:cstheme="majorBidi"/>
                <w:b/>
                <w:bCs/>
                <w:szCs w:val="28"/>
              </w:rPr>
            </w:pPr>
          </w:p>
        </w:tc>
        <w:tc>
          <w:tcPr>
            <w:tcW w:w="450" w:type="dxa"/>
            <w:gridSpan w:val="2"/>
          </w:tcPr>
          <w:p w14:paraId="5039EAE6" w14:textId="77777777" w:rsidR="006730DB" w:rsidRPr="00C0591E" w:rsidRDefault="006730DB" w:rsidP="00E01DA9">
            <w:pPr>
              <w:spacing w:after="0"/>
              <w:rPr>
                <w:rFonts w:eastAsiaTheme="majorEastAsia" w:cstheme="majorBidi"/>
                <w:b/>
                <w:bCs/>
                <w:szCs w:val="28"/>
              </w:rPr>
            </w:pPr>
          </w:p>
        </w:tc>
        <w:tc>
          <w:tcPr>
            <w:tcW w:w="450" w:type="dxa"/>
            <w:gridSpan w:val="2"/>
          </w:tcPr>
          <w:p w14:paraId="58F549F4" w14:textId="77777777" w:rsidR="006730DB" w:rsidRPr="00C0591E" w:rsidRDefault="006730DB" w:rsidP="00E01DA9">
            <w:pPr>
              <w:spacing w:after="0"/>
              <w:rPr>
                <w:rFonts w:eastAsiaTheme="majorEastAsia" w:cstheme="majorBidi"/>
                <w:b/>
                <w:bCs/>
                <w:szCs w:val="28"/>
              </w:rPr>
            </w:pPr>
          </w:p>
        </w:tc>
        <w:tc>
          <w:tcPr>
            <w:tcW w:w="360" w:type="dxa"/>
          </w:tcPr>
          <w:p w14:paraId="5522EBA8" w14:textId="77777777" w:rsidR="006730DB" w:rsidRPr="00C0591E" w:rsidRDefault="006730DB" w:rsidP="00E01DA9">
            <w:pPr>
              <w:spacing w:after="0"/>
              <w:rPr>
                <w:rFonts w:eastAsiaTheme="majorEastAsia" w:cstheme="majorBidi"/>
                <w:b/>
                <w:bCs/>
                <w:szCs w:val="28"/>
              </w:rPr>
            </w:pPr>
          </w:p>
        </w:tc>
        <w:tc>
          <w:tcPr>
            <w:tcW w:w="381" w:type="dxa"/>
          </w:tcPr>
          <w:p w14:paraId="37B779F4" w14:textId="77777777" w:rsidR="006730DB" w:rsidRPr="00C0591E" w:rsidRDefault="006730DB" w:rsidP="00E01DA9">
            <w:pPr>
              <w:spacing w:after="0"/>
              <w:rPr>
                <w:rFonts w:eastAsiaTheme="majorEastAsia" w:cstheme="majorBidi"/>
                <w:b/>
                <w:bCs/>
                <w:szCs w:val="28"/>
              </w:rPr>
            </w:pPr>
          </w:p>
        </w:tc>
      </w:tr>
      <w:tr w:rsidR="006730DB" w:rsidRPr="00C0591E" w14:paraId="46AF2A61" w14:textId="77777777" w:rsidTr="004B2404">
        <w:tc>
          <w:tcPr>
            <w:tcW w:w="554" w:type="dxa"/>
          </w:tcPr>
          <w:p w14:paraId="492106A9" w14:textId="77777777" w:rsidR="006730DB" w:rsidRPr="00C0591E" w:rsidRDefault="002C3F7A" w:rsidP="00E01DA9">
            <w:pPr>
              <w:spacing w:after="0"/>
            </w:pPr>
            <w:r w:rsidRPr="00C0591E">
              <w:t>15</w:t>
            </w:r>
            <w:r w:rsidR="00145AB3" w:rsidRPr="00C0591E">
              <w:t>.</w:t>
            </w:r>
          </w:p>
        </w:tc>
        <w:tc>
          <w:tcPr>
            <w:tcW w:w="6371" w:type="dxa"/>
            <w:gridSpan w:val="2"/>
          </w:tcPr>
          <w:p w14:paraId="1309674D" w14:textId="77777777" w:rsidR="006730DB" w:rsidRPr="00C0591E" w:rsidRDefault="00145AB3" w:rsidP="00F01139">
            <w:pPr>
              <w:spacing w:after="0"/>
            </w:pPr>
            <w:r w:rsidRPr="00C0591E">
              <w:t>The pension fund using an internal control system of documenting, monitoring and reporting its operations</w:t>
            </w:r>
          </w:p>
        </w:tc>
        <w:tc>
          <w:tcPr>
            <w:tcW w:w="450" w:type="dxa"/>
            <w:gridSpan w:val="2"/>
          </w:tcPr>
          <w:p w14:paraId="6ACCA9A5" w14:textId="77777777" w:rsidR="006730DB" w:rsidRPr="00C0591E" w:rsidRDefault="006730DB" w:rsidP="00E01DA9">
            <w:pPr>
              <w:spacing w:after="0"/>
              <w:rPr>
                <w:rFonts w:eastAsiaTheme="majorEastAsia" w:cstheme="majorBidi"/>
                <w:b/>
                <w:bCs/>
                <w:szCs w:val="28"/>
              </w:rPr>
            </w:pPr>
          </w:p>
        </w:tc>
        <w:tc>
          <w:tcPr>
            <w:tcW w:w="450" w:type="dxa"/>
            <w:gridSpan w:val="2"/>
          </w:tcPr>
          <w:p w14:paraId="48951361" w14:textId="77777777" w:rsidR="006730DB" w:rsidRPr="00C0591E" w:rsidRDefault="006730DB" w:rsidP="00E01DA9">
            <w:pPr>
              <w:spacing w:after="0"/>
              <w:rPr>
                <w:rFonts w:eastAsiaTheme="majorEastAsia" w:cstheme="majorBidi"/>
                <w:b/>
                <w:bCs/>
                <w:szCs w:val="28"/>
              </w:rPr>
            </w:pPr>
          </w:p>
        </w:tc>
        <w:tc>
          <w:tcPr>
            <w:tcW w:w="450" w:type="dxa"/>
            <w:gridSpan w:val="2"/>
          </w:tcPr>
          <w:p w14:paraId="1A155492" w14:textId="77777777" w:rsidR="006730DB" w:rsidRPr="00C0591E" w:rsidRDefault="006730DB" w:rsidP="00E01DA9">
            <w:pPr>
              <w:spacing w:after="0"/>
              <w:rPr>
                <w:rFonts w:eastAsiaTheme="majorEastAsia" w:cstheme="majorBidi"/>
                <w:b/>
                <w:bCs/>
                <w:szCs w:val="28"/>
              </w:rPr>
            </w:pPr>
          </w:p>
        </w:tc>
        <w:tc>
          <w:tcPr>
            <w:tcW w:w="360" w:type="dxa"/>
          </w:tcPr>
          <w:p w14:paraId="3F5A20D5" w14:textId="77777777" w:rsidR="006730DB" w:rsidRPr="00C0591E" w:rsidRDefault="006730DB" w:rsidP="00E01DA9">
            <w:pPr>
              <w:spacing w:after="0"/>
              <w:rPr>
                <w:rFonts w:eastAsiaTheme="majorEastAsia" w:cstheme="majorBidi"/>
                <w:b/>
                <w:bCs/>
                <w:szCs w:val="28"/>
              </w:rPr>
            </w:pPr>
          </w:p>
        </w:tc>
        <w:tc>
          <w:tcPr>
            <w:tcW w:w="381" w:type="dxa"/>
          </w:tcPr>
          <w:p w14:paraId="7FAA6344" w14:textId="77777777" w:rsidR="006730DB" w:rsidRPr="00C0591E" w:rsidRDefault="006730DB" w:rsidP="00E01DA9">
            <w:pPr>
              <w:spacing w:after="0"/>
              <w:rPr>
                <w:rFonts w:eastAsiaTheme="majorEastAsia" w:cstheme="majorBidi"/>
                <w:b/>
                <w:bCs/>
                <w:szCs w:val="28"/>
              </w:rPr>
            </w:pPr>
          </w:p>
        </w:tc>
      </w:tr>
      <w:tr w:rsidR="006730DB" w:rsidRPr="00C0591E" w14:paraId="47803CA9" w14:textId="77777777" w:rsidTr="004B2404">
        <w:tc>
          <w:tcPr>
            <w:tcW w:w="554" w:type="dxa"/>
          </w:tcPr>
          <w:p w14:paraId="48F99CAF" w14:textId="77777777" w:rsidR="006730DB" w:rsidRPr="00C0591E" w:rsidRDefault="002C3F7A" w:rsidP="00E01DA9">
            <w:pPr>
              <w:spacing w:after="0"/>
            </w:pPr>
            <w:r w:rsidRPr="00C0591E">
              <w:t>16</w:t>
            </w:r>
            <w:r w:rsidR="00145AB3" w:rsidRPr="00C0591E">
              <w:t>.</w:t>
            </w:r>
          </w:p>
        </w:tc>
        <w:tc>
          <w:tcPr>
            <w:tcW w:w="6371" w:type="dxa"/>
            <w:gridSpan w:val="2"/>
          </w:tcPr>
          <w:p w14:paraId="2AFCD06C" w14:textId="77777777" w:rsidR="006730DB" w:rsidRPr="00C0591E" w:rsidRDefault="00145AB3" w:rsidP="00F01139">
            <w:pPr>
              <w:spacing w:after="0"/>
            </w:pPr>
            <w:r w:rsidRPr="00C0591E">
              <w:t>Effective communication to members by the pension fund</w:t>
            </w:r>
          </w:p>
        </w:tc>
        <w:tc>
          <w:tcPr>
            <w:tcW w:w="450" w:type="dxa"/>
            <w:gridSpan w:val="2"/>
          </w:tcPr>
          <w:p w14:paraId="3FD499D3" w14:textId="77777777" w:rsidR="006730DB" w:rsidRPr="00C0591E" w:rsidRDefault="006730DB" w:rsidP="00E01DA9">
            <w:pPr>
              <w:spacing w:after="0"/>
              <w:rPr>
                <w:rFonts w:eastAsiaTheme="majorEastAsia" w:cstheme="majorBidi"/>
                <w:b/>
                <w:bCs/>
                <w:szCs w:val="28"/>
              </w:rPr>
            </w:pPr>
          </w:p>
        </w:tc>
        <w:tc>
          <w:tcPr>
            <w:tcW w:w="450" w:type="dxa"/>
            <w:gridSpan w:val="2"/>
          </w:tcPr>
          <w:p w14:paraId="5A1DFE48" w14:textId="77777777" w:rsidR="006730DB" w:rsidRPr="00C0591E" w:rsidRDefault="006730DB" w:rsidP="00E01DA9">
            <w:pPr>
              <w:spacing w:after="0"/>
              <w:rPr>
                <w:rFonts w:eastAsiaTheme="majorEastAsia" w:cstheme="majorBidi"/>
                <w:b/>
                <w:bCs/>
                <w:szCs w:val="28"/>
              </w:rPr>
            </w:pPr>
          </w:p>
        </w:tc>
        <w:tc>
          <w:tcPr>
            <w:tcW w:w="450" w:type="dxa"/>
            <w:gridSpan w:val="2"/>
          </w:tcPr>
          <w:p w14:paraId="4BB0E6B3" w14:textId="77777777" w:rsidR="006730DB" w:rsidRPr="00C0591E" w:rsidRDefault="006730DB" w:rsidP="00E01DA9">
            <w:pPr>
              <w:spacing w:after="0"/>
              <w:rPr>
                <w:rFonts w:eastAsiaTheme="majorEastAsia" w:cstheme="majorBidi"/>
                <w:b/>
                <w:bCs/>
                <w:szCs w:val="28"/>
              </w:rPr>
            </w:pPr>
          </w:p>
        </w:tc>
        <w:tc>
          <w:tcPr>
            <w:tcW w:w="360" w:type="dxa"/>
          </w:tcPr>
          <w:p w14:paraId="5C8F32FF" w14:textId="77777777" w:rsidR="006730DB" w:rsidRPr="00C0591E" w:rsidRDefault="006730DB" w:rsidP="00E01DA9">
            <w:pPr>
              <w:spacing w:after="0"/>
              <w:rPr>
                <w:rFonts w:eastAsiaTheme="majorEastAsia" w:cstheme="majorBidi"/>
                <w:b/>
                <w:bCs/>
                <w:szCs w:val="28"/>
              </w:rPr>
            </w:pPr>
          </w:p>
        </w:tc>
        <w:tc>
          <w:tcPr>
            <w:tcW w:w="381" w:type="dxa"/>
          </w:tcPr>
          <w:p w14:paraId="7CA455E5" w14:textId="77777777" w:rsidR="006730DB" w:rsidRPr="00C0591E" w:rsidRDefault="006730DB" w:rsidP="00E01DA9">
            <w:pPr>
              <w:spacing w:after="0"/>
              <w:rPr>
                <w:rFonts w:eastAsiaTheme="majorEastAsia" w:cstheme="majorBidi"/>
                <w:b/>
                <w:bCs/>
                <w:szCs w:val="28"/>
              </w:rPr>
            </w:pPr>
          </w:p>
        </w:tc>
      </w:tr>
      <w:tr w:rsidR="006730DB" w:rsidRPr="00C0591E" w14:paraId="5A03A83F" w14:textId="77777777" w:rsidTr="004B2404">
        <w:tc>
          <w:tcPr>
            <w:tcW w:w="554" w:type="dxa"/>
          </w:tcPr>
          <w:p w14:paraId="1DA3ECA6" w14:textId="77777777" w:rsidR="006730DB" w:rsidRPr="00C0591E" w:rsidRDefault="002C3F7A" w:rsidP="00E01DA9">
            <w:pPr>
              <w:spacing w:after="0"/>
            </w:pPr>
            <w:r w:rsidRPr="00C0591E">
              <w:t>17</w:t>
            </w:r>
            <w:r w:rsidR="00145AB3" w:rsidRPr="00C0591E">
              <w:t>.</w:t>
            </w:r>
          </w:p>
        </w:tc>
        <w:tc>
          <w:tcPr>
            <w:tcW w:w="6371" w:type="dxa"/>
            <w:gridSpan w:val="2"/>
          </w:tcPr>
          <w:p w14:paraId="34BA5A32" w14:textId="77777777" w:rsidR="006730DB" w:rsidRPr="00C0591E" w:rsidRDefault="00145AB3" w:rsidP="00F01139">
            <w:pPr>
              <w:spacing w:after="0"/>
            </w:pPr>
            <w:r w:rsidRPr="00C0591E">
              <w:t>The pension fund clearly defining the roles of trustees</w:t>
            </w:r>
          </w:p>
        </w:tc>
        <w:tc>
          <w:tcPr>
            <w:tcW w:w="450" w:type="dxa"/>
            <w:gridSpan w:val="2"/>
          </w:tcPr>
          <w:p w14:paraId="6C230B59" w14:textId="77777777" w:rsidR="006730DB" w:rsidRPr="00C0591E" w:rsidRDefault="006730DB" w:rsidP="00E01DA9">
            <w:pPr>
              <w:spacing w:after="0"/>
              <w:rPr>
                <w:rFonts w:eastAsiaTheme="majorEastAsia" w:cstheme="majorBidi"/>
                <w:b/>
                <w:bCs/>
                <w:szCs w:val="28"/>
              </w:rPr>
            </w:pPr>
          </w:p>
        </w:tc>
        <w:tc>
          <w:tcPr>
            <w:tcW w:w="450" w:type="dxa"/>
            <w:gridSpan w:val="2"/>
          </w:tcPr>
          <w:p w14:paraId="177757B6" w14:textId="77777777" w:rsidR="006730DB" w:rsidRPr="00C0591E" w:rsidRDefault="006730DB" w:rsidP="00E01DA9">
            <w:pPr>
              <w:spacing w:after="0"/>
              <w:rPr>
                <w:rFonts w:eastAsiaTheme="majorEastAsia" w:cstheme="majorBidi"/>
                <w:b/>
                <w:bCs/>
                <w:szCs w:val="28"/>
              </w:rPr>
            </w:pPr>
          </w:p>
        </w:tc>
        <w:tc>
          <w:tcPr>
            <w:tcW w:w="450" w:type="dxa"/>
            <w:gridSpan w:val="2"/>
          </w:tcPr>
          <w:p w14:paraId="586C96B1" w14:textId="77777777" w:rsidR="006730DB" w:rsidRPr="00C0591E" w:rsidRDefault="006730DB" w:rsidP="00E01DA9">
            <w:pPr>
              <w:spacing w:after="0"/>
              <w:rPr>
                <w:rFonts w:eastAsiaTheme="majorEastAsia" w:cstheme="majorBidi"/>
                <w:b/>
                <w:bCs/>
                <w:szCs w:val="28"/>
              </w:rPr>
            </w:pPr>
          </w:p>
        </w:tc>
        <w:tc>
          <w:tcPr>
            <w:tcW w:w="360" w:type="dxa"/>
          </w:tcPr>
          <w:p w14:paraId="58DDD945" w14:textId="77777777" w:rsidR="006730DB" w:rsidRPr="00C0591E" w:rsidRDefault="006730DB" w:rsidP="00E01DA9">
            <w:pPr>
              <w:spacing w:after="0"/>
              <w:rPr>
                <w:rFonts w:eastAsiaTheme="majorEastAsia" w:cstheme="majorBidi"/>
                <w:b/>
                <w:bCs/>
                <w:szCs w:val="28"/>
              </w:rPr>
            </w:pPr>
          </w:p>
        </w:tc>
        <w:tc>
          <w:tcPr>
            <w:tcW w:w="381" w:type="dxa"/>
          </w:tcPr>
          <w:p w14:paraId="51E50528" w14:textId="77777777" w:rsidR="006730DB" w:rsidRPr="00C0591E" w:rsidRDefault="006730DB" w:rsidP="00E01DA9">
            <w:pPr>
              <w:spacing w:after="0"/>
              <w:rPr>
                <w:rFonts w:eastAsiaTheme="majorEastAsia" w:cstheme="majorBidi"/>
                <w:b/>
                <w:bCs/>
                <w:szCs w:val="28"/>
              </w:rPr>
            </w:pPr>
          </w:p>
        </w:tc>
      </w:tr>
      <w:tr w:rsidR="00B97D58" w:rsidRPr="00C0591E" w14:paraId="05209453" w14:textId="77777777" w:rsidTr="004B2404">
        <w:tc>
          <w:tcPr>
            <w:tcW w:w="554" w:type="dxa"/>
          </w:tcPr>
          <w:p w14:paraId="766A2FCB" w14:textId="77777777" w:rsidR="00B97D58" w:rsidRPr="00C0591E" w:rsidRDefault="002C3F7A" w:rsidP="00145AB3">
            <w:pPr>
              <w:pStyle w:val="Header"/>
              <w:tabs>
                <w:tab w:val="clear" w:pos="4680"/>
                <w:tab w:val="clear" w:pos="9360"/>
              </w:tabs>
              <w:spacing w:line="360" w:lineRule="auto"/>
              <w:rPr>
                <w:rFonts w:eastAsiaTheme="majorEastAsia" w:cstheme="majorBidi"/>
                <w:bCs/>
                <w:szCs w:val="28"/>
              </w:rPr>
            </w:pPr>
            <w:r w:rsidRPr="00C0591E">
              <w:rPr>
                <w:rFonts w:eastAsiaTheme="majorEastAsia" w:cstheme="majorBidi"/>
                <w:bCs/>
                <w:szCs w:val="28"/>
              </w:rPr>
              <w:t>18</w:t>
            </w:r>
            <w:r w:rsidR="00145AB3" w:rsidRPr="00C0591E">
              <w:rPr>
                <w:rFonts w:eastAsiaTheme="majorEastAsia" w:cstheme="majorBidi"/>
                <w:bCs/>
                <w:szCs w:val="28"/>
              </w:rPr>
              <w:t>.</w:t>
            </w:r>
          </w:p>
        </w:tc>
        <w:tc>
          <w:tcPr>
            <w:tcW w:w="6280" w:type="dxa"/>
          </w:tcPr>
          <w:p w14:paraId="62B87A3A" w14:textId="77777777" w:rsidR="00B97D58" w:rsidRPr="00C0591E" w:rsidRDefault="00145AB3" w:rsidP="00A66528">
            <w:pPr>
              <w:spacing w:after="0"/>
              <w:rPr>
                <w:rFonts w:eastAsiaTheme="majorEastAsia" w:cstheme="majorBidi"/>
                <w:b/>
                <w:bCs/>
                <w:szCs w:val="28"/>
              </w:rPr>
            </w:pPr>
            <w:r w:rsidRPr="00C0591E">
              <w:t>Adhering to RBA’s regulation of fees charged by service operators</w:t>
            </w:r>
          </w:p>
        </w:tc>
        <w:tc>
          <w:tcPr>
            <w:tcW w:w="450" w:type="dxa"/>
            <w:gridSpan w:val="2"/>
          </w:tcPr>
          <w:p w14:paraId="5A35EA18" w14:textId="77777777" w:rsidR="00B97D58" w:rsidRPr="00C0591E" w:rsidRDefault="00B97D58" w:rsidP="00F01139">
            <w:pPr>
              <w:spacing w:after="0"/>
              <w:jc w:val="center"/>
              <w:rPr>
                <w:rFonts w:eastAsiaTheme="majorEastAsia" w:cstheme="majorBidi"/>
                <w:b/>
                <w:bCs/>
                <w:szCs w:val="28"/>
              </w:rPr>
            </w:pPr>
            <w:r w:rsidRPr="00C0591E">
              <w:rPr>
                <w:rFonts w:eastAsiaTheme="majorEastAsia" w:cstheme="majorBidi"/>
                <w:b/>
                <w:bCs/>
                <w:szCs w:val="28"/>
              </w:rPr>
              <w:t>1</w:t>
            </w:r>
          </w:p>
        </w:tc>
        <w:tc>
          <w:tcPr>
            <w:tcW w:w="450" w:type="dxa"/>
            <w:gridSpan w:val="2"/>
          </w:tcPr>
          <w:p w14:paraId="6162918E" w14:textId="77777777" w:rsidR="00B97D58" w:rsidRPr="00C0591E" w:rsidRDefault="00B97D58" w:rsidP="00F01139">
            <w:pPr>
              <w:spacing w:after="0"/>
              <w:jc w:val="center"/>
              <w:rPr>
                <w:rFonts w:eastAsiaTheme="majorEastAsia" w:cstheme="majorBidi"/>
                <w:b/>
                <w:bCs/>
                <w:szCs w:val="28"/>
              </w:rPr>
            </w:pPr>
            <w:r w:rsidRPr="00C0591E">
              <w:rPr>
                <w:rFonts w:eastAsiaTheme="majorEastAsia" w:cstheme="majorBidi"/>
                <w:b/>
                <w:bCs/>
                <w:szCs w:val="28"/>
              </w:rPr>
              <w:t>2</w:t>
            </w:r>
          </w:p>
        </w:tc>
        <w:tc>
          <w:tcPr>
            <w:tcW w:w="450" w:type="dxa"/>
            <w:gridSpan w:val="2"/>
          </w:tcPr>
          <w:p w14:paraId="1D76D193" w14:textId="77777777" w:rsidR="00B97D58" w:rsidRPr="00C0591E" w:rsidRDefault="00B97D58" w:rsidP="00F01139">
            <w:pPr>
              <w:spacing w:after="0"/>
              <w:jc w:val="center"/>
              <w:rPr>
                <w:rFonts w:eastAsiaTheme="majorEastAsia" w:cstheme="majorBidi"/>
                <w:b/>
                <w:bCs/>
                <w:szCs w:val="28"/>
              </w:rPr>
            </w:pPr>
            <w:r w:rsidRPr="00C0591E">
              <w:rPr>
                <w:rFonts w:eastAsiaTheme="majorEastAsia" w:cstheme="majorBidi"/>
                <w:b/>
                <w:bCs/>
                <w:szCs w:val="28"/>
              </w:rPr>
              <w:t>3</w:t>
            </w:r>
          </w:p>
        </w:tc>
        <w:tc>
          <w:tcPr>
            <w:tcW w:w="451" w:type="dxa"/>
            <w:gridSpan w:val="2"/>
          </w:tcPr>
          <w:p w14:paraId="7252B7D6" w14:textId="77777777" w:rsidR="00B97D58" w:rsidRPr="00C0591E" w:rsidRDefault="00B97D58" w:rsidP="00F01139">
            <w:pPr>
              <w:spacing w:after="0"/>
              <w:jc w:val="center"/>
              <w:rPr>
                <w:rFonts w:eastAsiaTheme="majorEastAsia" w:cstheme="majorBidi"/>
                <w:b/>
                <w:bCs/>
                <w:szCs w:val="28"/>
              </w:rPr>
            </w:pPr>
            <w:r w:rsidRPr="00C0591E">
              <w:rPr>
                <w:rFonts w:eastAsiaTheme="majorEastAsia" w:cstheme="majorBidi"/>
                <w:b/>
                <w:bCs/>
                <w:szCs w:val="28"/>
              </w:rPr>
              <w:t>4</w:t>
            </w:r>
          </w:p>
        </w:tc>
        <w:tc>
          <w:tcPr>
            <w:tcW w:w="381" w:type="dxa"/>
          </w:tcPr>
          <w:p w14:paraId="6A6378DD" w14:textId="77777777" w:rsidR="00B97D58" w:rsidRPr="00C0591E" w:rsidRDefault="00B97D58" w:rsidP="00F01139">
            <w:pPr>
              <w:spacing w:after="0"/>
              <w:jc w:val="center"/>
              <w:rPr>
                <w:rFonts w:eastAsiaTheme="majorEastAsia" w:cstheme="majorBidi"/>
                <w:b/>
                <w:bCs/>
                <w:szCs w:val="28"/>
              </w:rPr>
            </w:pPr>
            <w:r w:rsidRPr="00C0591E">
              <w:rPr>
                <w:rFonts w:eastAsiaTheme="majorEastAsia" w:cstheme="majorBidi"/>
                <w:b/>
                <w:bCs/>
                <w:szCs w:val="28"/>
              </w:rPr>
              <w:t>5</w:t>
            </w:r>
          </w:p>
        </w:tc>
      </w:tr>
      <w:tr w:rsidR="00145AB3" w:rsidRPr="00C0591E" w14:paraId="4D2260F4" w14:textId="77777777" w:rsidTr="004B2404">
        <w:tc>
          <w:tcPr>
            <w:tcW w:w="554" w:type="dxa"/>
          </w:tcPr>
          <w:p w14:paraId="4DE6E60E" w14:textId="77777777" w:rsidR="00145AB3" w:rsidRPr="00C0591E" w:rsidRDefault="002C3F7A" w:rsidP="00A66528">
            <w:pPr>
              <w:spacing w:after="0"/>
              <w:rPr>
                <w:rFonts w:eastAsiaTheme="majorEastAsia" w:cstheme="majorBidi"/>
                <w:bCs/>
                <w:szCs w:val="28"/>
              </w:rPr>
            </w:pPr>
            <w:r w:rsidRPr="00C0591E">
              <w:rPr>
                <w:rFonts w:eastAsiaTheme="majorEastAsia" w:cstheme="majorBidi"/>
                <w:bCs/>
                <w:szCs w:val="28"/>
              </w:rPr>
              <w:t>19</w:t>
            </w:r>
            <w:r w:rsidR="00145AB3" w:rsidRPr="00C0591E">
              <w:rPr>
                <w:rFonts w:eastAsiaTheme="majorEastAsia" w:cstheme="majorBidi"/>
                <w:bCs/>
                <w:szCs w:val="28"/>
              </w:rPr>
              <w:t>.</w:t>
            </w:r>
          </w:p>
        </w:tc>
        <w:tc>
          <w:tcPr>
            <w:tcW w:w="6280" w:type="dxa"/>
          </w:tcPr>
          <w:p w14:paraId="2E147FE1" w14:textId="77777777" w:rsidR="00145AB3" w:rsidRPr="00C0591E" w:rsidRDefault="00145AB3" w:rsidP="00A66528">
            <w:pPr>
              <w:spacing w:after="0"/>
              <w:rPr>
                <w:rFonts w:eastAsiaTheme="majorEastAsia" w:cstheme="majorBidi"/>
                <w:b/>
                <w:bCs/>
                <w:szCs w:val="28"/>
              </w:rPr>
            </w:pPr>
            <w:r w:rsidRPr="00C0591E">
              <w:t>Our pension fund faces bankruptcy if our employers cease to exist</w:t>
            </w:r>
          </w:p>
        </w:tc>
        <w:tc>
          <w:tcPr>
            <w:tcW w:w="450" w:type="dxa"/>
            <w:gridSpan w:val="2"/>
          </w:tcPr>
          <w:p w14:paraId="637A9794" w14:textId="77777777" w:rsidR="00145AB3" w:rsidRPr="00C0591E" w:rsidRDefault="00145AB3" w:rsidP="00A66528">
            <w:pPr>
              <w:spacing w:after="0"/>
              <w:rPr>
                <w:rFonts w:eastAsiaTheme="majorEastAsia" w:cstheme="majorBidi"/>
                <w:b/>
                <w:bCs/>
                <w:szCs w:val="28"/>
              </w:rPr>
            </w:pPr>
          </w:p>
        </w:tc>
        <w:tc>
          <w:tcPr>
            <w:tcW w:w="450" w:type="dxa"/>
            <w:gridSpan w:val="2"/>
          </w:tcPr>
          <w:p w14:paraId="7115F57C" w14:textId="77777777" w:rsidR="00145AB3" w:rsidRPr="00C0591E" w:rsidRDefault="00145AB3" w:rsidP="00A66528">
            <w:pPr>
              <w:spacing w:after="0"/>
              <w:rPr>
                <w:rFonts w:eastAsiaTheme="majorEastAsia" w:cstheme="majorBidi"/>
                <w:b/>
                <w:bCs/>
                <w:szCs w:val="28"/>
              </w:rPr>
            </w:pPr>
          </w:p>
        </w:tc>
        <w:tc>
          <w:tcPr>
            <w:tcW w:w="450" w:type="dxa"/>
            <w:gridSpan w:val="2"/>
          </w:tcPr>
          <w:p w14:paraId="72778563" w14:textId="77777777" w:rsidR="00145AB3" w:rsidRPr="00C0591E" w:rsidRDefault="00145AB3" w:rsidP="00A66528">
            <w:pPr>
              <w:spacing w:after="0"/>
              <w:rPr>
                <w:rFonts w:eastAsiaTheme="majorEastAsia" w:cstheme="majorBidi"/>
                <w:b/>
                <w:bCs/>
                <w:szCs w:val="28"/>
              </w:rPr>
            </w:pPr>
          </w:p>
        </w:tc>
        <w:tc>
          <w:tcPr>
            <w:tcW w:w="451" w:type="dxa"/>
            <w:gridSpan w:val="2"/>
          </w:tcPr>
          <w:p w14:paraId="6E45242B" w14:textId="77777777" w:rsidR="00145AB3" w:rsidRPr="00C0591E" w:rsidRDefault="00145AB3" w:rsidP="00A66528">
            <w:pPr>
              <w:spacing w:after="0"/>
              <w:rPr>
                <w:rFonts w:eastAsiaTheme="majorEastAsia" w:cstheme="majorBidi"/>
                <w:b/>
                <w:bCs/>
                <w:szCs w:val="28"/>
              </w:rPr>
            </w:pPr>
          </w:p>
        </w:tc>
        <w:tc>
          <w:tcPr>
            <w:tcW w:w="381" w:type="dxa"/>
          </w:tcPr>
          <w:p w14:paraId="6D89738A" w14:textId="77777777" w:rsidR="00145AB3" w:rsidRPr="00C0591E" w:rsidRDefault="00145AB3" w:rsidP="00A66528">
            <w:pPr>
              <w:spacing w:after="0"/>
              <w:rPr>
                <w:rFonts w:eastAsiaTheme="majorEastAsia" w:cstheme="majorBidi"/>
                <w:b/>
                <w:bCs/>
                <w:szCs w:val="28"/>
              </w:rPr>
            </w:pPr>
          </w:p>
        </w:tc>
      </w:tr>
      <w:tr w:rsidR="00145AB3" w:rsidRPr="00C0591E" w14:paraId="20F8A36D" w14:textId="77777777" w:rsidTr="004B2404">
        <w:tc>
          <w:tcPr>
            <w:tcW w:w="554" w:type="dxa"/>
          </w:tcPr>
          <w:p w14:paraId="3AEE592B" w14:textId="77777777" w:rsidR="00145AB3" w:rsidRPr="00C0591E" w:rsidRDefault="002C3F7A" w:rsidP="00A66528">
            <w:pPr>
              <w:spacing w:after="0"/>
              <w:rPr>
                <w:rFonts w:eastAsiaTheme="majorEastAsia" w:cstheme="majorBidi"/>
                <w:bCs/>
                <w:szCs w:val="28"/>
              </w:rPr>
            </w:pPr>
            <w:r w:rsidRPr="00C0591E">
              <w:rPr>
                <w:rFonts w:eastAsiaTheme="majorEastAsia" w:cstheme="majorBidi"/>
                <w:bCs/>
                <w:szCs w:val="28"/>
              </w:rPr>
              <w:t>20</w:t>
            </w:r>
            <w:r w:rsidR="00145AB3" w:rsidRPr="00C0591E">
              <w:rPr>
                <w:rFonts w:eastAsiaTheme="majorEastAsia" w:cstheme="majorBidi"/>
                <w:bCs/>
                <w:szCs w:val="28"/>
              </w:rPr>
              <w:t>.</w:t>
            </w:r>
          </w:p>
        </w:tc>
        <w:tc>
          <w:tcPr>
            <w:tcW w:w="6280" w:type="dxa"/>
          </w:tcPr>
          <w:p w14:paraId="64DF8901" w14:textId="77777777" w:rsidR="00145AB3" w:rsidRPr="00C0591E" w:rsidRDefault="00145AB3" w:rsidP="00A66528">
            <w:pPr>
              <w:spacing w:after="0"/>
              <w:rPr>
                <w:rFonts w:eastAsiaTheme="majorEastAsia" w:cstheme="majorBidi"/>
                <w:b/>
                <w:bCs/>
                <w:szCs w:val="28"/>
              </w:rPr>
            </w:pPr>
            <w:r w:rsidRPr="00C0591E">
              <w:t>Our investment strategies are based on findings of market research conducted by fund managers</w:t>
            </w:r>
          </w:p>
        </w:tc>
        <w:tc>
          <w:tcPr>
            <w:tcW w:w="450" w:type="dxa"/>
            <w:gridSpan w:val="2"/>
          </w:tcPr>
          <w:p w14:paraId="6E97E904" w14:textId="77777777" w:rsidR="00145AB3" w:rsidRPr="00C0591E" w:rsidRDefault="00145AB3" w:rsidP="00A66528">
            <w:pPr>
              <w:spacing w:after="0"/>
              <w:rPr>
                <w:rFonts w:eastAsiaTheme="majorEastAsia" w:cstheme="majorBidi"/>
                <w:b/>
                <w:bCs/>
                <w:szCs w:val="28"/>
              </w:rPr>
            </w:pPr>
          </w:p>
        </w:tc>
        <w:tc>
          <w:tcPr>
            <w:tcW w:w="450" w:type="dxa"/>
            <w:gridSpan w:val="2"/>
          </w:tcPr>
          <w:p w14:paraId="54D32FBE" w14:textId="77777777" w:rsidR="00145AB3" w:rsidRPr="00C0591E" w:rsidRDefault="00145AB3" w:rsidP="00A66528">
            <w:pPr>
              <w:spacing w:after="0"/>
              <w:rPr>
                <w:rFonts w:eastAsiaTheme="majorEastAsia" w:cstheme="majorBidi"/>
                <w:b/>
                <w:bCs/>
                <w:szCs w:val="28"/>
              </w:rPr>
            </w:pPr>
          </w:p>
        </w:tc>
        <w:tc>
          <w:tcPr>
            <w:tcW w:w="450" w:type="dxa"/>
            <w:gridSpan w:val="2"/>
          </w:tcPr>
          <w:p w14:paraId="44DB7E70" w14:textId="77777777" w:rsidR="00145AB3" w:rsidRPr="00C0591E" w:rsidRDefault="00145AB3" w:rsidP="00A66528">
            <w:pPr>
              <w:spacing w:after="0"/>
              <w:rPr>
                <w:rFonts w:eastAsiaTheme="majorEastAsia" w:cstheme="majorBidi"/>
                <w:b/>
                <w:bCs/>
                <w:szCs w:val="28"/>
              </w:rPr>
            </w:pPr>
          </w:p>
        </w:tc>
        <w:tc>
          <w:tcPr>
            <w:tcW w:w="451" w:type="dxa"/>
            <w:gridSpan w:val="2"/>
          </w:tcPr>
          <w:p w14:paraId="338E768A" w14:textId="77777777" w:rsidR="00145AB3" w:rsidRPr="00C0591E" w:rsidRDefault="00145AB3" w:rsidP="00A66528">
            <w:pPr>
              <w:spacing w:after="0"/>
              <w:rPr>
                <w:rFonts w:eastAsiaTheme="majorEastAsia" w:cstheme="majorBidi"/>
                <w:b/>
                <w:bCs/>
                <w:szCs w:val="28"/>
              </w:rPr>
            </w:pPr>
          </w:p>
        </w:tc>
        <w:tc>
          <w:tcPr>
            <w:tcW w:w="381" w:type="dxa"/>
          </w:tcPr>
          <w:p w14:paraId="7B665C87" w14:textId="77777777" w:rsidR="00145AB3" w:rsidRPr="00C0591E" w:rsidRDefault="00145AB3" w:rsidP="00A66528">
            <w:pPr>
              <w:spacing w:after="0"/>
              <w:rPr>
                <w:rFonts w:eastAsiaTheme="majorEastAsia" w:cstheme="majorBidi"/>
                <w:b/>
                <w:bCs/>
                <w:szCs w:val="28"/>
              </w:rPr>
            </w:pPr>
          </w:p>
        </w:tc>
      </w:tr>
    </w:tbl>
    <w:p w14:paraId="533328DF" w14:textId="5D10EA2E" w:rsidR="000219C9" w:rsidRPr="00C0591E" w:rsidRDefault="000219C9" w:rsidP="00267BE6"/>
    <w:p w14:paraId="6CF4C079" w14:textId="4512E48F" w:rsidR="00A70314" w:rsidRPr="00C0591E" w:rsidRDefault="00A70314" w:rsidP="00267BE6"/>
    <w:p w14:paraId="00D7089C" w14:textId="6C5B45F3" w:rsidR="00A70314" w:rsidRPr="00C0591E" w:rsidRDefault="00A70314" w:rsidP="00267BE6"/>
    <w:p w14:paraId="0497593E" w14:textId="443941FC" w:rsidR="00A70314" w:rsidRDefault="00A70314" w:rsidP="00267BE6"/>
    <w:p w14:paraId="63A5495F" w14:textId="4090BBB2" w:rsidR="002D6043" w:rsidRDefault="002D6043" w:rsidP="00267BE6"/>
    <w:p w14:paraId="0B7D7FFF" w14:textId="6AFCDC30" w:rsidR="002D6043" w:rsidRDefault="002D6043" w:rsidP="00267BE6"/>
    <w:p w14:paraId="019819BF" w14:textId="7C01F671" w:rsidR="002D6043" w:rsidRDefault="002D6043" w:rsidP="00267BE6"/>
    <w:p w14:paraId="7258435C" w14:textId="778BD2BA" w:rsidR="002D6043" w:rsidRDefault="002D6043" w:rsidP="00267BE6"/>
    <w:p w14:paraId="4A2033BD" w14:textId="365C717F" w:rsidR="002D6043" w:rsidRDefault="002D6043" w:rsidP="00267BE6"/>
    <w:p w14:paraId="137AD85A" w14:textId="077326AE" w:rsidR="002D6043" w:rsidRDefault="002D6043" w:rsidP="00267BE6"/>
    <w:p w14:paraId="679F9AAE" w14:textId="1A6F5B79" w:rsidR="002D6043" w:rsidRDefault="002D6043" w:rsidP="00267BE6"/>
    <w:p w14:paraId="3D14FE82" w14:textId="02C2BC52" w:rsidR="002D6043" w:rsidRDefault="002D6043" w:rsidP="00267BE6"/>
    <w:p w14:paraId="03BF57A8" w14:textId="20CEA17F" w:rsidR="002D6043" w:rsidRDefault="002D6043" w:rsidP="00267BE6"/>
    <w:p w14:paraId="321648A6" w14:textId="4DDA817E" w:rsidR="002D6043" w:rsidRDefault="002D6043" w:rsidP="00267BE6"/>
    <w:p w14:paraId="52A69670" w14:textId="5374EB60" w:rsidR="002D6043" w:rsidRDefault="002D6043" w:rsidP="00267BE6"/>
    <w:p w14:paraId="4776A7B4" w14:textId="77777777" w:rsidR="002D6043" w:rsidRPr="00C0591E" w:rsidRDefault="002D6043" w:rsidP="00267BE6"/>
    <w:p w14:paraId="051DB408" w14:textId="57319C95" w:rsidR="00267BE6" w:rsidRPr="00C0591E" w:rsidRDefault="00007C0B" w:rsidP="00347D67">
      <w:pPr>
        <w:pStyle w:val="Heading2"/>
        <w:rPr>
          <w:szCs w:val="24"/>
        </w:rPr>
      </w:pPr>
      <w:bookmarkStart w:id="384" w:name="_Toc113125134"/>
      <w:bookmarkEnd w:id="382"/>
      <w:bookmarkEnd w:id="383"/>
      <w:r w:rsidRPr="00C0591E">
        <w:t xml:space="preserve">Appendix </w:t>
      </w:r>
      <w:r w:rsidR="000A2B00" w:rsidRPr="00C0591E">
        <w:t>III</w:t>
      </w:r>
      <w:r w:rsidRPr="00C0591E">
        <w:t xml:space="preserve">: List of Pension Fund Managers </w:t>
      </w:r>
      <w:r w:rsidR="00A70314" w:rsidRPr="00C0591E">
        <w:t>in</w:t>
      </w:r>
      <w:r w:rsidRPr="00C0591E">
        <w:t xml:space="preserve"> Kenya</w:t>
      </w:r>
      <w:bookmarkEnd w:id="384"/>
    </w:p>
    <w:tbl>
      <w:tblPr>
        <w:tblStyle w:val="TableGrid"/>
        <w:tblW w:w="0" w:type="auto"/>
        <w:tblLook w:val="04A0" w:firstRow="1" w:lastRow="0" w:firstColumn="1" w:lastColumn="0" w:noHBand="0" w:noVBand="1"/>
      </w:tblPr>
      <w:tblGrid>
        <w:gridCol w:w="535"/>
        <w:gridCol w:w="2864"/>
        <w:gridCol w:w="1546"/>
        <w:gridCol w:w="1981"/>
        <w:gridCol w:w="2090"/>
      </w:tblGrid>
      <w:tr w:rsidR="001E5E3E" w:rsidRPr="00C0591E" w14:paraId="5642D761" w14:textId="77777777" w:rsidTr="00C118F3">
        <w:trPr>
          <w:trHeight w:val="503"/>
        </w:trPr>
        <w:tc>
          <w:tcPr>
            <w:tcW w:w="535" w:type="dxa"/>
            <w:noWrap/>
            <w:hideMark/>
          </w:tcPr>
          <w:p w14:paraId="165A20CE" w14:textId="43DD85A7" w:rsidR="001E5E3E" w:rsidRPr="00C0591E" w:rsidRDefault="001E5E3E" w:rsidP="001E5E3E">
            <w:pPr>
              <w:spacing w:after="0"/>
              <w:rPr>
                <w:rFonts w:cs="Times New Roman"/>
                <w:b/>
                <w:sz w:val="20"/>
                <w:szCs w:val="20"/>
              </w:rPr>
            </w:pPr>
            <w:r w:rsidRPr="00C0591E">
              <w:rPr>
                <w:rFonts w:cs="Times New Roman"/>
                <w:b/>
                <w:sz w:val="20"/>
                <w:szCs w:val="20"/>
              </w:rPr>
              <w:t>S/N</w:t>
            </w:r>
          </w:p>
        </w:tc>
        <w:tc>
          <w:tcPr>
            <w:tcW w:w="2864" w:type="dxa"/>
            <w:hideMark/>
          </w:tcPr>
          <w:p w14:paraId="1AA9366F" w14:textId="77777777" w:rsidR="001E5E3E" w:rsidRPr="00C0591E" w:rsidRDefault="001E5E3E" w:rsidP="00C118F3">
            <w:pPr>
              <w:spacing w:after="0"/>
              <w:jc w:val="center"/>
              <w:rPr>
                <w:rFonts w:cs="Times New Roman"/>
                <w:b/>
                <w:sz w:val="20"/>
                <w:szCs w:val="20"/>
              </w:rPr>
            </w:pPr>
            <w:r w:rsidRPr="00C0591E">
              <w:rPr>
                <w:rFonts w:cs="Times New Roman"/>
                <w:b/>
                <w:sz w:val="20"/>
                <w:szCs w:val="20"/>
              </w:rPr>
              <w:t>REGISTERED FUND MANAGERS - 2019</w:t>
            </w:r>
          </w:p>
        </w:tc>
        <w:tc>
          <w:tcPr>
            <w:tcW w:w="1546" w:type="dxa"/>
            <w:noWrap/>
            <w:hideMark/>
          </w:tcPr>
          <w:p w14:paraId="689A119F" w14:textId="77777777" w:rsidR="001E5E3E" w:rsidRPr="00C0591E" w:rsidRDefault="001E5E3E" w:rsidP="00C118F3">
            <w:pPr>
              <w:spacing w:after="0"/>
              <w:jc w:val="center"/>
              <w:rPr>
                <w:rFonts w:cs="Times New Roman"/>
                <w:b/>
                <w:sz w:val="20"/>
                <w:szCs w:val="20"/>
              </w:rPr>
            </w:pPr>
            <w:r w:rsidRPr="00C0591E">
              <w:rPr>
                <w:rFonts w:cs="Times New Roman"/>
                <w:b/>
                <w:sz w:val="20"/>
                <w:szCs w:val="20"/>
              </w:rPr>
              <w:t>TELEPHONE</w:t>
            </w:r>
          </w:p>
        </w:tc>
        <w:tc>
          <w:tcPr>
            <w:tcW w:w="1981" w:type="dxa"/>
            <w:noWrap/>
            <w:hideMark/>
          </w:tcPr>
          <w:p w14:paraId="79A2DDAB" w14:textId="77777777" w:rsidR="001E5E3E" w:rsidRPr="00C0591E" w:rsidRDefault="001E5E3E" w:rsidP="00C118F3">
            <w:pPr>
              <w:spacing w:after="0"/>
              <w:jc w:val="center"/>
              <w:rPr>
                <w:rFonts w:cs="Times New Roman"/>
                <w:b/>
                <w:sz w:val="20"/>
                <w:szCs w:val="20"/>
              </w:rPr>
            </w:pPr>
            <w:r w:rsidRPr="00C0591E">
              <w:rPr>
                <w:rFonts w:cs="Times New Roman"/>
                <w:b/>
                <w:sz w:val="20"/>
                <w:szCs w:val="20"/>
              </w:rPr>
              <w:t>POSTAL ADDRESS</w:t>
            </w:r>
          </w:p>
        </w:tc>
        <w:tc>
          <w:tcPr>
            <w:tcW w:w="2090" w:type="dxa"/>
            <w:noWrap/>
            <w:hideMark/>
          </w:tcPr>
          <w:p w14:paraId="781EF250" w14:textId="77777777" w:rsidR="001E5E3E" w:rsidRPr="00C0591E" w:rsidRDefault="001E5E3E" w:rsidP="00C118F3">
            <w:pPr>
              <w:spacing w:after="0"/>
              <w:jc w:val="center"/>
              <w:rPr>
                <w:rFonts w:cs="Times New Roman"/>
                <w:b/>
                <w:sz w:val="20"/>
                <w:szCs w:val="20"/>
              </w:rPr>
            </w:pPr>
            <w:r w:rsidRPr="00C0591E">
              <w:rPr>
                <w:rFonts w:cs="Times New Roman"/>
                <w:b/>
                <w:sz w:val="20"/>
                <w:szCs w:val="20"/>
              </w:rPr>
              <w:t>PHYSICAL LOCATION</w:t>
            </w:r>
          </w:p>
        </w:tc>
      </w:tr>
      <w:tr w:rsidR="001E5E3E" w:rsidRPr="00C0591E" w14:paraId="29407859" w14:textId="77777777" w:rsidTr="00C118F3">
        <w:trPr>
          <w:trHeight w:val="530"/>
        </w:trPr>
        <w:tc>
          <w:tcPr>
            <w:tcW w:w="535" w:type="dxa"/>
            <w:noWrap/>
            <w:hideMark/>
          </w:tcPr>
          <w:p w14:paraId="5D4D88DE" w14:textId="77777777" w:rsidR="001E5E3E" w:rsidRPr="00C0591E" w:rsidRDefault="001E5E3E" w:rsidP="001E5E3E">
            <w:pPr>
              <w:spacing w:after="0"/>
              <w:rPr>
                <w:rFonts w:cs="Times New Roman"/>
                <w:sz w:val="20"/>
                <w:szCs w:val="20"/>
              </w:rPr>
            </w:pPr>
            <w:r w:rsidRPr="00C0591E">
              <w:rPr>
                <w:rFonts w:cs="Times New Roman"/>
                <w:sz w:val="20"/>
                <w:szCs w:val="20"/>
              </w:rPr>
              <w:t>1</w:t>
            </w:r>
          </w:p>
        </w:tc>
        <w:tc>
          <w:tcPr>
            <w:tcW w:w="2864" w:type="dxa"/>
            <w:hideMark/>
          </w:tcPr>
          <w:p w14:paraId="02888452" w14:textId="77777777" w:rsidR="001E5E3E" w:rsidRPr="00C0591E" w:rsidRDefault="001E5E3E" w:rsidP="001E5E3E">
            <w:pPr>
              <w:spacing w:after="0"/>
              <w:rPr>
                <w:rFonts w:cs="Times New Roman"/>
                <w:sz w:val="20"/>
                <w:szCs w:val="20"/>
              </w:rPr>
            </w:pPr>
            <w:r w:rsidRPr="00C0591E">
              <w:rPr>
                <w:rFonts w:cs="Times New Roman"/>
                <w:sz w:val="20"/>
                <w:szCs w:val="20"/>
              </w:rPr>
              <w:t>African Alliance Kenya Investment Bank Limited</w:t>
            </w:r>
          </w:p>
        </w:tc>
        <w:tc>
          <w:tcPr>
            <w:tcW w:w="1546" w:type="dxa"/>
            <w:noWrap/>
            <w:hideMark/>
          </w:tcPr>
          <w:p w14:paraId="4A48DED5" w14:textId="77777777" w:rsidR="001E5E3E" w:rsidRPr="00C0591E" w:rsidRDefault="001E5E3E" w:rsidP="001E5E3E">
            <w:pPr>
              <w:spacing w:after="0"/>
              <w:rPr>
                <w:rFonts w:cs="Times New Roman"/>
                <w:sz w:val="20"/>
                <w:szCs w:val="20"/>
              </w:rPr>
            </w:pPr>
            <w:r w:rsidRPr="00C0591E">
              <w:rPr>
                <w:rFonts w:cs="Times New Roman"/>
                <w:sz w:val="20"/>
                <w:szCs w:val="20"/>
              </w:rPr>
              <w:t>2762000</w:t>
            </w:r>
          </w:p>
        </w:tc>
        <w:tc>
          <w:tcPr>
            <w:tcW w:w="1981" w:type="dxa"/>
            <w:noWrap/>
            <w:hideMark/>
          </w:tcPr>
          <w:p w14:paraId="68996F30" w14:textId="77777777" w:rsidR="001E5E3E" w:rsidRPr="00C0591E" w:rsidRDefault="001E5E3E" w:rsidP="001E5E3E">
            <w:pPr>
              <w:spacing w:after="0"/>
              <w:rPr>
                <w:rFonts w:cs="Times New Roman"/>
                <w:sz w:val="20"/>
                <w:szCs w:val="20"/>
              </w:rPr>
            </w:pPr>
            <w:r w:rsidRPr="00C0591E">
              <w:rPr>
                <w:rFonts w:cs="Times New Roman"/>
                <w:sz w:val="20"/>
                <w:szCs w:val="20"/>
              </w:rPr>
              <w:t>27639-00506, NAIROBI</w:t>
            </w:r>
          </w:p>
        </w:tc>
        <w:tc>
          <w:tcPr>
            <w:tcW w:w="2090" w:type="dxa"/>
            <w:hideMark/>
          </w:tcPr>
          <w:p w14:paraId="614B852A" w14:textId="77777777" w:rsidR="001E5E3E" w:rsidRPr="00C0591E" w:rsidRDefault="001E5E3E" w:rsidP="001E5E3E">
            <w:pPr>
              <w:spacing w:after="0"/>
              <w:rPr>
                <w:rFonts w:cs="Times New Roman"/>
                <w:sz w:val="20"/>
                <w:szCs w:val="20"/>
              </w:rPr>
            </w:pPr>
            <w:r w:rsidRPr="00C0591E">
              <w:rPr>
                <w:rFonts w:cs="Times New Roman"/>
                <w:sz w:val="20"/>
                <w:szCs w:val="20"/>
              </w:rPr>
              <w:t>4th Floor, Kenya Re Towers, Upper Hill</w:t>
            </w:r>
          </w:p>
        </w:tc>
      </w:tr>
      <w:tr w:rsidR="001E5E3E" w:rsidRPr="00C0591E" w14:paraId="467E6552" w14:textId="77777777" w:rsidTr="00C118F3">
        <w:trPr>
          <w:trHeight w:val="530"/>
        </w:trPr>
        <w:tc>
          <w:tcPr>
            <w:tcW w:w="535" w:type="dxa"/>
            <w:noWrap/>
            <w:hideMark/>
          </w:tcPr>
          <w:p w14:paraId="2955AAE0" w14:textId="77777777" w:rsidR="001E5E3E" w:rsidRPr="00C0591E" w:rsidRDefault="001E5E3E" w:rsidP="001E5E3E">
            <w:pPr>
              <w:spacing w:after="0"/>
              <w:rPr>
                <w:rFonts w:cs="Times New Roman"/>
                <w:sz w:val="20"/>
                <w:szCs w:val="20"/>
              </w:rPr>
            </w:pPr>
            <w:r w:rsidRPr="00C0591E">
              <w:rPr>
                <w:rFonts w:cs="Times New Roman"/>
                <w:sz w:val="20"/>
                <w:szCs w:val="20"/>
              </w:rPr>
              <w:t>2</w:t>
            </w:r>
          </w:p>
        </w:tc>
        <w:tc>
          <w:tcPr>
            <w:tcW w:w="2864" w:type="dxa"/>
            <w:noWrap/>
            <w:hideMark/>
          </w:tcPr>
          <w:p w14:paraId="56892439" w14:textId="77777777" w:rsidR="001E5E3E" w:rsidRPr="00C0591E" w:rsidRDefault="001E5E3E" w:rsidP="001E5E3E">
            <w:pPr>
              <w:spacing w:after="0"/>
              <w:rPr>
                <w:rFonts w:cs="Times New Roman"/>
                <w:sz w:val="20"/>
                <w:szCs w:val="20"/>
              </w:rPr>
            </w:pPr>
            <w:r w:rsidRPr="00C0591E">
              <w:rPr>
                <w:rFonts w:cs="Times New Roman"/>
                <w:sz w:val="20"/>
                <w:szCs w:val="20"/>
              </w:rPr>
              <w:t>Allan Gray Kenya Limited</w:t>
            </w:r>
          </w:p>
        </w:tc>
        <w:tc>
          <w:tcPr>
            <w:tcW w:w="1546" w:type="dxa"/>
            <w:noWrap/>
            <w:hideMark/>
          </w:tcPr>
          <w:p w14:paraId="663F782B" w14:textId="77777777" w:rsidR="001E5E3E" w:rsidRPr="00C0591E" w:rsidRDefault="001E5E3E" w:rsidP="001E5E3E">
            <w:pPr>
              <w:spacing w:after="0"/>
              <w:rPr>
                <w:rFonts w:cs="Times New Roman"/>
                <w:sz w:val="20"/>
                <w:szCs w:val="20"/>
              </w:rPr>
            </w:pPr>
            <w:r w:rsidRPr="00C0591E">
              <w:rPr>
                <w:rFonts w:cs="Times New Roman"/>
                <w:sz w:val="20"/>
                <w:szCs w:val="20"/>
              </w:rPr>
              <w:t>20 5147016</w:t>
            </w:r>
          </w:p>
        </w:tc>
        <w:tc>
          <w:tcPr>
            <w:tcW w:w="1981" w:type="dxa"/>
            <w:noWrap/>
            <w:hideMark/>
          </w:tcPr>
          <w:p w14:paraId="2BF2052E" w14:textId="77777777" w:rsidR="001E5E3E" w:rsidRPr="00C0591E" w:rsidRDefault="001E5E3E" w:rsidP="001E5E3E">
            <w:pPr>
              <w:spacing w:after="0"/>
              <w:rPr>
                <w:rFonts w:cs="Times New Roman"/>
                <w:sz w:val="20"/>
                <w:szCs w:val="20"/>
              </w:rPr>
            </w:pPr>
            <w:r w:rsidRPr="00C0591E">
              <w:rPr>
                <w:rFonts w:cs="Times New Roman"/>
                <w:sz w:val="20"/>
                <w:szCs w:val="20"/>
              </w:rPr>
              <w:t>3946-00619, NAIROBI</w:t>
            </w:r>
          </w:p>
        </w:tc>
        <w:tc>
          <w:tcPr>
            <w:tcW w:w="2090" w:type="dxa"/>
            <w:hideMark/>
          </w:tcPr>
          <w:p w14:paraId="7EBD7D57" w14:textId="653E2EE0" w:rsidR="001E5E3E" w:rsidRPr="00C0591E" w:rsidRDefault="001E5E3E" w:rsidP="001E5E3E">
            <w:pPr>
              <w:spacing w:after="0"/>
              <w:rPr>
                <w:rFonts w:cs="Times New Roman"/>
                <w:sz w:val="20"/>
                <w:szCs w:val="20"/>
              </w:rPr>
            </w:pPr>
            <w:r w:rsidRPr="00C0591E">
              <w:rPr>
                <w:rFonts w:cs="Times New Roman"/>
                <w:sz w:val="20"/>
                <w:szCs w:val="20"/>
              </w:rPr>
              <w:t>2nd Floor, Eaton Place, United Nations Crescent</w:t>
            </w:r>
          </w:p>
        </w:tc>
      </w:tr>
      <w:tr w:rsidR="001E5E3E" w:rsidRPr="00C0591E" w14:paraId="296CF5B7" w14:textId="77777777" w:rsidTr="00C118F3">
        <w:trPr>
          <w:trHeight w:val="710"/>
        </w:trPr>
        <w:tc>
          <w:tcPr>
            <w:tcW w:w="535" w:type="dxa"/>
            <w:noWrap/>
            <w:hideMark/>
          </w:tcPr>
          <w:p w14:paraId="7A01D839" w14:textId="77777777" w:rsidR="001E5E3E" w:rsidRPr="00C0591E" w:rsidRDefault="001E5E3E" w:rsidP="001E5E3E">
            <w:pPr>
              <w:spacing w:after="0"/>
              <w:rPr>
                <w:rFonts w:cs="Times New Roman"/>
                <w:sz w:val="20"/>
                <w:szCs w:val="20"/>
              </w:rPr>
            </w:pPr>
            <w:r w:rsidRPr="00C0591E">
              <w:rPr>
                <w:rFonts w:cs="Times New Roman"/>
                <w:sz w:val="20"/>
                <w:szCs w:val="20"/>
              </w:rPr>
              <w:t>3</w:t>
            </w:r>
          </w:p>
        </w:tc>
        <w:tc>
          <w:tcPr>
            <w:tcW w:w="2864" w:type="dxa"/>
            <w:hideMark/>
          </w:tcPr>
          <w:p w14:paraId="33D0EFF4" w14:textId="77777777" w:rsidR="001E5E3E" w:rsidRPr="00C0591E" w:rsidRDefault="001E5E3E" w:rsidP="001E5E3E">
            <w:pPr>
              <w:spacing w:after="0"/>
              <w:rPr>
                <w:rFonts w:cs="Times New Roman"/>
                <w:sz w:val="20"/>
                <w:szCs w:val="20"/>
              </w:rPr>
            </w:pPr>
            <w:r w:rsidRPr="00C0591E">
              <w:rPr>
                <w:rFonts w:cs="Times New Roman"/>
                <w:sz w:val="20"/>
                <w:szCs w:val="20"/>
              </w:rPr>
              <w:t>Alpha Africa Asset Managers Limited</w:t>
            </w:r>
          </w:p>
        </w:tc>
        <w:tc>
          <w:tcPr>
            <w:tcW w:w="1546" w:type="dxa"/>
            <w:noWrap/>
            <w:hideMark/>
          </w:tcPr>
          <w:p w14:paraId="7192372F" w14:textId="77777777" w:rsidR="001E5E3E" w:rsidRPr="00C0591E" w:rsidRDefault="001E5E3E" w:rsidP="001E5E3E">
            <w:pPr>
              <w:spacing w:after="0"/>
              <w:rPr>
                <w:rFonts w:cs="Times New Roman"/>
                <w:sz w:val="20"/>
                <w:szCs w:val="20"/>
              </w:rPr>
            </w:pPr>
            <w:r w:rsidRPr="00C0591E">
              <w:rPr>
                <w:rFonts w:cs="Times New Roman"/>
                <w:sz w:val="20"/>
                <w:szCs w:val="20"/>
              </w:rPr>
              <w:t>2595448</w:t>
            </w:r>
          </w:p>
        </w:tc>
        <w:tc>
          <w:tcPr>
            <w:tcW w:w="1981" w:type="dxa"/>
            <w:noWrap/>
            <w:hideMark/>
          </w:tcPr>
          <w:p w14:paraId="115BF439" w14:textId="77777777" w:rsidR="001E5E3E" w:rsidRPr="00C0591E" w:rsidRDefault="001E5E3E" w:rsidP="001E5E3E">
            <w:pPr>
              <w:spacing w:after="0"/>
              <w:rPr>
                <w:rFonts w:cs="Times New Roman"/>
                <w:sz w:val="20"/>
                <w:szCs w:val="20"/>
              </w:rPr>
            </w:pPr>
            <w:r w:rsidRPr="00C0591E">
              <w:rPr>
                <w:rFonts w:cs="Times New Roman"/>
                <w:sz w:val="20"/>
                <w:szCs w:val="20"/>
              </w:rPr>
              <w:t>34530-00100, NAIROBI</w:t>
            </w:r>
          </w:p>
        </w:tc>
        <w:tc>
          <w:tcPr>
            <w:tcW w:w="2090" w:type="dxa"/>
            <w:hideMark/>
          </w:tcPr>
          <w:p w14:paraId="0FB4E2C9" w14:textId="77777777" w:rsidR="001E5E3E" w:rsidRPr="00C0591E" w:rsidRDefault="001E5E3E" w:rsidP="001E5E3E">
            <w:pPr>
              <w:spacing w:after="0"/>
              <w:rPr>
                <w:rFonts w:cs="Times New Roman"/>
                <w:sz w:val="20"/>
                <w:szCs w:val="20"/>
              </w:rPr>
            </w:pPr>
            <w:r w:rsidRPr="00C0591E">
              <w:rPr>
                <w:rFonts w:cs="Times New Roman"/>
                <w:sz w:val="20"/>
                <w:szCs w:val="20"/>
              </w:rPr>
              <w:t>Crawford Business Park, 4th Floor Suite 26, State House Road</w:t>
            </w:r>
          </w:p>
        </w:tc>
      </w:tr>
      <w:tr w:rsidR="001E5E3E" w:rsidRPr="00C0591E" w14:paraId="6C90A3A5" w14:textId="77777777" w:rsidTr="00C118F3">
        <w:trPr>
          <w:trHeight w:val="660"/>
        </w:trPr>
        <w:tc>
          <w:tcPr>
            <w:tcW w:w="535" w:type="dxa"/>
            <w:noWrap/>
            <w:hideMark/>
          </w:tcPr>
          <w:p w14:paraId="541B25E7" w14:textId="77777777" w:rsidR="001E5E3E" w:rsidRPr="00C0591E" w:rsidRDefault="001E5E3E" w:rsidP="001E5E3E">
            <w:pPr>
              <w:spacing w:after="0"/>
              <w:rPr>
                <w:rFonts w:cs="Times New Roman"/>
                <w:sz w:val="20"/>
                <w:szCs w:val="20"/>
              </w:rPr>
            </w:pPr>
            <w:r w:rsidRPr="00C0591E">
              <w:rPr>
                <w:rFonts w:cs="Times New Roman"/>
                <w:sz w:val="20"/>
                <w:szCs w:val="20"/>
              </w:rPr>
              <w:t>4</w:t>
            </w:r>
          </w:p>
        </w:tc>
        <w:tc>
          <w:tcPr>
            <w:tcW w:w="2864" w:type="dxa"/>
            <w:noWrap/>
            <w:hideMark/>
          </w:tcPr>
          <w:p w14:paraId="3089E024" w14:textId="77777777" w:rsidR="001E5E3E" w:rsidRPr="00C0591E" w:rsidRDefault="001E5E3E" w:rsidP="001E5E3E">
            <w:pPr>
              <w:spacing w:after="0"/>
              <w:rPr>
                <w:rFonts w:cs="Times New Roman"/>
                <w:sz w:val="20"/>
                <w:szCs w:val="20"/>
              </w:rPr>
            </w:pPr>
            <w:r w:rsidRPr="00C0591E">
              <w:rPr>
                <w:rFonts w:cs="Times New Roman"/>
                <w:sz w:val="20"/>
                <w:szCs w:val="20"/>
              </w:rPr>
              <w:t>Altree Capital Kenya Limited</w:t>
            </w:r>
          </w:p>
        </w:tc>
        <w:tc>
          <w:tcPr>
            <w:tcW w:w="1546" w:type="dxa"/>
            <w:noWrap/>
            <w:hideMark/>
          </w:tcPr>
          <w:p w14:paraId="34689B06" w14:textId="77777777" w:rsidR="001E5E3E" w:rsidRPr="00C0591E" w:rsidRDefault="001E5E3E" w:rsidP="001E5E3E">
            <w:pPr>
              <w:spacing w:after="0"/>
              <w:rPr>
                <w:rFonts w:cs="Times New Roman"/>
                <w:sz w:val="20"/>
                <w:szCs w:val="20"/>
              </w:rPr>
            </w:pPr>
            <w:r w:rsidRPr="00C0591E">
              <w:rPr>
                <w:rFonts w:cs="Times New Roman"/>
                <w:sz w:val="20"/>
                <w:szCs w:val="20"/>
              </w:rPr>
              <w:t>20 7605650</w:t>
            </w:r>
          </w:p>
        </w:tc>
        <w:tc>
          <w:tcPr>
            <w:tcW w:w="1981" w:type="dxa"/>
            <w:hideMark/>
          </w:tcPr>
          <w:p w14:paraId="2C0FF5C5" w14:textId="77777777" w:rsidR="001E5E3E" w:rsidRPr="00C0591E" w:rsidRDefault="001E5E3E" w:rsidP="001E5E3E">
            <w:pPr>
              <w:spacing w:after="0"/>
              <w:rPr>
                <w:rFonts w:cs="Times New Roman"/>
                <w:sz w:val="20"/>
                <w:szCs w:val="20"/>
              </w:rPr>
            </w:pPr>
            <w:r w:rsidRPr="00C0591E">
              <w:rPr>
                <w:rFonts w:cs="Times New Roman"/>
                <w:sz w:val="20"/>
                <w:szCs w:val="20"/>
              </w:rPr>
              <w:t>13442-Westlands, NAIROBI</w:t>
            </w:r>
          </w:p>
        </w:tc>
        <w:tc>
          <w:tcPr>
            <w:tcW w:w="2090" w:type="dxa"/>
            <w:hideMark/>
          </w:tcPr>
          <w:p w14:paraId="7B545011" w14:textId="77777777" w:rsidR="001E5E3E" w:rsidRPr="00C0591E" w:rsidRDefault="001E5E3E" w:rsidP="001E5E3E">
            <w:pPr>
              <w:spacing w:after="0"/>
              <w:rPr>
                <w:rFonts w:cs="Times New Roman"/>
                <w:sz w:val="20"/>
                <w:szCs w:val="20"/>
              </w:rPr>
            </w:pPr>
            <w:r w:rsidRPr="00C0591E">
              <w:rPr>
                <w:rFonts w:cs="Times New Roman"/>
                <w:sz w:val="20"/>
                <w:szCs w:val="20"/>
              </w:rPr>
              <w:t>4th Floor, Cavendish Block, 14 Riverside Business Park</w:t>
            </w:r>
          </w:p>
        </w:tc>
      </w:tr>
      <w:tr w:rsidR="001E5E3E" w:rsidRPr="00C0591E" w14:paraId="78E3C411" w14:textId="77777777" w:rsidTr="00C118F3">
        <w:trPr>
          <w:trHeight w:val="660"/>
        </w:trPr>
        <w:tc>
          <w:tcPr>
            <w:tcW w:w="535" w:type="dxa"/>
            <w:noWrap/>
            <w:hideMark/>
          </w:tcPr>
          <w:p w14:paraId="03E2DA5F" w14:textId="77777777" w:rsidR="001E5E3E" w:rsidRPr="00C0591E" w:rsidRDefault="001E5E3E" w:rsidP="001E5E3E">
            <w:pPr>
              <w:spacing w:after="0"/>
              <w:rPr>
                <w:rFonts w:cs="Times New Roman"/>
                <w:sz w:val="20"/>
                <w:szCs w:val="20"/>
              </w:rPr>
            </w:pPr>
            <w:r w:rsidRPr="00C0591E">
              <w:rPr>
                <w:rFonts w:cs="Times New Roman"/>
                <w:sz w:val="20"/>
                <w:szCs w:val="20"/>
              </w:rPr>
              <w:t>5</w:t>
            </w:r>
          </w:p>
        </w:tc>
        <w:tc>
          <w:tcPr>
            <w:tcW w:w="2864" w:type="dxa"/>
            <w:noWrap/>
            <w:hideMark/>
          </w:tcPr>
          <w:p w14:paraId="30E01181" w14:textId="77777777" w:rsidR="001E5E3E" w:rsidRPr="00C0591E" w:rsidRDefault="001E5E3E" w:rsidP="001E5E3E">
            <w:pPr>
              <w:spacing w:after="0"/>
              <w:rPr>
                <w:rFonts w:cs="Times New Roman"/>
                <w:sz w:val="20"/>
                <w:szCs w:val="20"/>
              </w:rPr>
            </w:pPr>
            <w:r w:rsidRPr="00C0591E">
              <w:rPr>
                <w:rFonts w:cs="Times New Roman"/>
                <w:sz w:val="20"/>
                <w:szCs w:val="20"/>
              </w:rPr>
              <w:t>Amana Capital Limited</w:t>
            </w:r>
          </w:p>
        </w:tc>
        <w:tc>
          <w:tcPr>
            <w:tcW w:w="1546" w:type="dxa"/>
            <w:noWrap/>
            <w:hideMark/>
          </w:tcPr>
          <w:p w14:paraId="1F0C5509" w14:textId="77777777" w:rsidR="001E5E3E" w:rsidRPr="00C0591E" w:rsidRDefault="001E5E3E" w:rsidP="001E5E3E">
            <w:pPr>
              <w:spacing w:after="0"/>
              <w:rPr>
                <w:rFonts w:cs="Times New Roman"/>
                <w:sz w:val="20"/>
                <w:szCs w:val="20"/>
              </w:rPr>
            </w:pPr>
            <w:r w:rsidRPr="00C0591E">
              <w:rPr>
                <w:rFonts w:cs="Times New Roman"/>
                <w:sz w:val="20"/>
                <w:szCs w:val="20"/>
              </w:rPr>
              <w:t>2351738</w:t>
            </w:r>
          </w:p>
        </w:tc>
        <w:tc>
          <w:tcPr>
            <w:tcW w:w="1981" w:type="dxa"/>
            <w:noWrap/>
            <w:hideMark/>
          </w:tcPr>
          <w:p w14:paraId="7DAF5FBD" w14:textId="77777777" w:rsidR="00C118F3" w:rsidRPr="00C0591E" w:rsidRDefault="001E5E3E" w:rsidP="00C118F3">
            <w:pPr>
              <w:spacing w:after="0"/>
              <w:rPr>
                <w:rFonts w:cs="Times New Roman"/>
                <w:sz w:val="20"/>
                <w:szCs w:val="20"/>
              </w:rPr>
            </w:pPr>
            <w:r w:rsidRPr="00C0591E">
              <w:rPr>
                <w:rFonts w:cs="Times New Roman"/>
                <w:sz w:val="20"/>
                <w:szCs w:val="20"/>
              </w:rPr>
              <w:t>9480-0100,</w:t>
            </w:r>
          </w:p>
          <w:p w14:paraId="37270593" w14:textId="70A82564" w:rsidR="001E5E3E" w:rsidRPr="00C0591E" w:rsidRDefault="001E5E3E" w:rsidP="00C118F3">
            <w:pPr>
              <w:spacing w:after="0"/>
              <w:rPr>
                <w:rFonts w:cs="Times New Roman"/>
                <w:sz w:val="20"/>
                <w:szCs w:val="20"/>
              </w:rPr>
            </w:pPr>
            <w:r w:rsidRPr="00C0591E">
              <w:rPr>
                <w:rFonts w:cs="Times New Roman"/>
                <w:sz w:val="20"/>
                <w:szCs w:val="20"/>
              </w:rPr>
              <w:t>NAIROBI</w:t>
            </w:r>
          </w:p>
        </w:tc>
        <w:tc>
          <w:tcPr>
            <w:tcW w:w="2090" w:type="dxa"/>
            <w:hideMark/>
          </w:tcPr>
          <w:p w14:paraId="6F0DA0EE" w14:textId="77777777" w:rsidR="001E5E3E" w:rsidRPr="00C0591E" w:rsidRDefault="001E5E3E" w:rsidP="001E5E3E">
            <w:pPr>
              <w:spacing w:after="0"/>
              <w:rPr>
                <w:rFonts w:cs="Times New Roman"/>
                <w:sz w:val="20"/>
                <w:szCs w:val="20"/>
              </w:rPr>
            </w:pPr>
            <w:r w:rsidRPr="00C0591E">
              <w:rPr>
                <w:rFonts w:cs="Times New Roman"/>
                <w:sz w:val="20"/>
                <w:szCs w:val="20"/>
              </w:rPr>
              <w:t>Block C, Suite C5, Saachi Plaza, Argwings Kodhek Rd</w:t>
            </w:r>
          </w:p>
        </w:tc>
      </w:tr>
      <w:tr w:rsidR="001E5E3E" w:rsidRPr="00C0591E" w14:paraId="50F5DF66" w14:textId="77777777" w:rsidTr="00C118F3">
        <w:trPr>
          <w:trHeight w:val="503"/>
        </w:trPr>
        <w:tc>
          <w:tcPr>
            <w:tcW w:w="535" w:type="dxa"/>
            <w:noWrap/>
            <w:hideMark/>
          </w:tcPr>
          <w:p w14:paraId="54E5B8E2" w14:textId="77777777" w:rsidR="001E5E3E" w:rsidRPr="00C0591E" w:rsidRDefault="001E5E3E" w:rsidP="001E5E3E">
            <w:pPr>
              <w:spacing w:after="0"/>
              <w:rPr>
                <w:rFonts w:cs="Times New Roman"/>
                <w:sz w:val="20"/>
                <w:szCs w:val="20"/>
              </w:rPr>
            </w:pPr>
            <w:r w:rsidRPr="00C0591E">
              <w:rPr>
                <w:rFonts w:cs="Times New Roman"/>
                <w:sz w:val="20"/>
                <w:szCs w:val="20"/>
              </w:rPr>
              <w:t>6</w:t>
            </w:r>
          </w:p>
        </w:tc>
        <w:tc>
          <w:tcPr>
            <w:tcW w:w="2864" w:type="dxa"/>
            <w:hideMark/>
          </w:tcPr>
          <w:p w14:paraId="0BF2A7EC" w14:textId="77777777" w:rsidR="001E5E3E" w:rsidRPr="00C0591E" w:rsidRDefault="001E5E3E" w:rsidP="001E5E3E">
            <w:pPr>
              <w:spacing w:after="0"/>
              <w:rPr>
                <w:rFonts w:cs="Times New Roman"/>
                <w:sz w:val="20"/>
                <w:szCs w:val="20"/>
              </w:rPr>
            </w:pPr>
            <w:r w:rsidRPr="00C0591E">
              <w:rPr>
                <w:rFonts w:cs="Times New Roman"/>
                <w:sz w:val="20"/>
                <w:szCs w:val="20"/>
              </w:rPr>
              <w:t>Apollo Asset Management Company Limited</w:t>
            </w:r>
          </w:p>
        </w:tc>
        <w:tc>
          <w:tcPr>
            <w:tcW w:w="1546" w:type="dxa"/>
            <w:noWrap/>
            <w:hideMark/>
          </w:tcPr>
          <w:p w14:paraId="7720B8D6" w14:textId="77777777" w:rsidR="001E5E3E" w:rsidRPr="00C0591E" w:rsidRDefault="001E5E3E" w:rsidP="001E5E3E">
            <w:pPr>
              <w:spacing w:after="0"/>
              <w:rPr>
                <w:rFonts w:cs="Times New Roman"/>
                <w:sz w:val="20"/>
                <w:szCs w:val="20"/>
              </w:rPr>
            </w:pPr>
            <w:r w:rsidRPr="00C0591E">
              <w:rPr>
                <w:rFonts w:cs="Times New Roman"/>
                <w:sz w:val="20"/>
                <w:szCs w:val="20"/>
              </w:rPr>
              <w:t>3641000</w:t>
            </w:r>
          </w:p>
        </w:tc>
        <w:tc>
          <w:tcPr>
            <w:tcW w:w="1981" w:type="dxa"/>
            <w:noWrap/>
            <w:hideMark/>
          </w:tcPr>
          <w:p w14:paraId="3D5FDB1C" w14:textId="77777777" w:rsidR="001E5E3E" w:rsidRPr="00C0591E" w:rsidRDefault="001E5E3E" w:rsidP="001E5E3E">
            <w:pPr>
              <w:spacing w:after="0"/>
              <w:rPr>
                <w:rFonts w:cs="Times New Roman"/>
                <w:sz w:val="20"/>
                <w:szCs w:val="20"/>
              </w:rPr>
            </w:pPr>
            <w:r w:rsidRPr="00C0591E">
              <w:rPr>
                <w:rFonts w:cs="Times New Roman"/>
                <w:sz w:val="20"/>
                <w:szCs w:val="20"/>
              </w:rPr>
              <w:t>30389-00100, NAIROBI</w:t>
            </w:r>
          </w:p>
        </w:tc>
        <w:tc>
          <w:tcPr>
            <w:tcW w:w="2090" w:type="dxa"/>
            <w:hideMark/>
          </w:tcPr>
          <w:p w14:paraId="21659445" w14:textId="77777777" w:rsidR="001E5E3E" w:rsidRPr="00C0591E" w:rsidRDefault="001E5E3E" w:rsidP="001E5E3E">
            <w:pPr>
              <w:spacing w:after="0"/>
              <w:rPr>
                <w:rFonts w:cs="Times New Roman"/>
                <w:sz w:val="20"/>
                <w:szCs w:val="20"/>
              </w:rPr>
            </w:pPr>
            <w:r w:rsidRPr="00C0591E">
              <w:rPr>
                <w:rFonts w:cs="Times New Roman"/>
                <w:sz w:val="20"/>
                <w:szCs w:val="20"/>
              </w:rPr>
              <w:t>Apollo Centre, Ringroad, Westlands</w:t>
            </w:r>
          </w:p>
        </w:tc>
      </w:tr>
      <w:tr w:rsidR="001E5E3E" w:rsidRPr="00C0591E" w14:paraId="0B190694" w14:textId="77777777" w:rsidTr="00C118F3">
        <w:trPr>
          <w:trHeight w:val="512"/>
        </w:trPr>
        <w:tc>
          <w:tcPr>
            <w:tcW w:w="535" w:type="dxa"/>
            <w:noWrap/>
            <w:hideMark/>
          </w:tcPr>
          <w:p w14:paraId="03883F13" w14:textId="77777777" w:rsidR="001E5E3E" w:rsidRPr="00C0591E" w:rsidRDefault="001E5E3E" w:rsidP="001E5E3E">
            <w:pPr>
              <w:spacing w:after="0"/>
              <w:rPr>
                <w:rFonts w:cs="Times New Roman"/>
                <w:sz w:val="20"/>
                <w:szCs w:val="20"/>
              </w:rPr>
            </w:pPr>
            <w:r w:rsidRPr="00C0591E">
              <w:rPr>
                <w:rFonts w:cs="Times New Roman"/>
                <w:sz w:val="20"/>
                <w:szCs w:val="20"/>
              </w:rPr>
              <w:t>7</w:t>
            </w:r>
          </w:p>
        </w:tc>
        <w:tc>
          <w:tcPr>
            <w:tcW w:w="2864" w:type="dxa"/>
            <w:noWrap/>
            <w:hideMark/>
          </w:tcPr>
          <w:p w14:paraId="1CE8686A" w14:textId="77777777" w:rsidR="001E5E3E" w:rsidRPr="00C0591E" w:rsidRDefault="001E5E3E" w:rsidP="001E5E3E">
            <w:pPr>
              <w:spacing w:after="0"/>
              <w:rPr>
                <w:rFonts w:cs="Times New Roman"/>
                <w:sz w:val="20"/>
                <w:szCs w:val="20"/>
              </w:rPr>
            </w:pPr>
            <w:r w:rsidRPr="00C0591E">
              <w:rPr>
                <w:rFonts w:cs="Times New Roman"/>
                <w:sz w:val="20"/>
                <w:szCs w:val="20"/>
              </w:rPr>
              <w:t>Britam Asset Managers Kenya Limited</w:t>
            </w:r>
          </w:p>
        </w:tc>
        <w:tc>
          <w:tcPr>
            <w:tcW w:w="1546" w:type="dxa"/>
            <w:noWrap/>
            <w:hideMark/>
          </w:tcPr>
          <w:p w14:paraId="1AFA59F1" w14:textId="77777777" w:rsidR="001E5E3E" w:rsidRPr="00C0591E" w:rsidRDefault="001E5E3E" w:rsidP="001E5E3E">
            <w:pPr>
              <w:spacing w:after="0"/>
              <w:rPr>
                <w:rFonts w:cs="Times New Roman"/>
                <w:sz w:val="20"/>
                <w:szCs w:val="20"/>
              </w:rPr>
            </w:pPr>
            <w:r w:rsidRPr="00C0591E">
              <w:rPr>
                <w:rFonts w:cs="Times New Roman"/>
                <w:sz w:val="20"/>
                <w:szCs w:val="20"/>
              </w:rPr>
              <w:t>2833000</w:t>
            </w:r>
          </w:p>
        </w:tc>
        <w:tc>
          <w:tcPr>
            <w:tcW w:w="1981" w:type="dxa"/>
            <w:noWrap/>
            <w:hideMark/>
          </w:tcPr>
          <w:p w14:paraId="11592535" w14:textId="77777777" w:rsidR="001E5E3E" w:rsidRPr="00C0591E" w:rsidRDefault="001E5E3E" w:rsidP="001E5E3E">
            <w:pPr>
              <w:spacing w:after="0"/>
              <w:rPr>
                <w:rFonts w:cs="Times New Roman"/>
                <w:sz w:val="20"/>
                <w:szCs w:val="20"/>
              </w:rPr>
            </w:pPr>
            <w:r w:rsidRPr="00C0591E">
              <w:rPr>
                <w:rFonts w:cs="Times New Roman"/>
                <w:sz w:val="20"/>
                <w:szCs w:val="20"/>
              </w:rPr>
              <w:t>30375-00100, NAIROBI</w:t>
            </w:r>
          </w:p>
        </w:tc>
        <w:tc>
          <w:tcPr>
            <w:tcW w:w="2090" w:type="dxa"/>
            <w:noWrap/>
            <w:hideMark/>
          </w:tcPr>
          <w:p w14:paraId="23F50DA4" w14:textId="77777777" w:rsidR="001E5E3E" w:rsidRPr="00C0591E" w:rsidRDefault="001E5E3E" w:rsidP="001E5E3E">
            <w:pPr>
              <w:spacing w:after="0"/>
              <w:rPr>
                <w:rFonts w:cs="Times New Roman"/>
                <w:sz w:val="20"/>
                <w:szCs w:val="20"/>
              </w:rPr>
            </w:pPr>
            <w:r w:rsidRPr="00C0591E">
              <w:rPr>
                <w:rFonts w:cs="Times New Roman"/>
                <w:sz w:val="20"/>
                <w:szCs w:val="20"/>
              </w:rPr>
              <w:t>Britam Centre, Upper Hill</w:t>
            </w:r>
          </w:p>
        </w:tc>
      </w:tr>
      <w:tr w:rsidR="001E5E3E" w:rsidRPr="00C0591E" w14:paraId="14A2B70E" w14:textId="77777777" w:rsidTr="00C118F3">
        <w:trPr>
          <w:trHeight w:val="278"/>
        </w:trPr>
        <w:tc>
          <w:tcPr>
            <w:tcW w:w="535" w:type="dxa"/>
            <w:noWrap/>
            <w:hideMark/>
          </w:tcPr>
          <w:p w14:paraId="5A1DFF81" w14:textId="77777777" w:rsidR="001E5E3E" w:rsidRPr="00C0591E" w:rsidRDefault="001E5E3E" w:rsidP="001E5E3E">
            <w:pPr>
              <w:spacing w:after="0"/>
              <w:rPr>
                <w:rFonts w:cs="Times New Roman"/>
                <w:sz w:val="20"/>
                <w:szCs w:val="20"/>
              </w:rPr>
            </w:pPr>
            <w:r w:rsidRPr="00C0591E">
              <w:rPr>
                <w:rFonts w:cs="Times New Roman"/>
                <w:sz w:val="20"/>
                <w:szCs w:val="20"/>
              </w:rPr>
              <w:t>8</w:t>
            </w:r>
          </w:p>
        </w:tc>
        <w:tc>
          <w:tcPr>
            <w:tcW w:w="2864" w:type="dxa"/>
            <w:noWrap/>
            <w:hideMark/>
          </w:tcPr>
          <w:p w14:paraId="4BDFEA5A" w14:textId="77777777" w:rsidR="001E5E3E" w:rsidRPr="00C0591E" w:rsidRDefault="001E5E3E" w:rsidP="001E5E3E">
            <w:pPr>
              <w:spacing w:after="0"/>
              <w:rPr>
                <w:rFonts w:cs="Times New Roman"/>
                <w:sz w:val="20"/>
                <w:szCs w:val="20"/>
              </w:rPr>
            </w:pPr>
            <w:r w:rsidRPr="00C0591E">
              <w:rPr>
                <w:rFonts w:cs="Times New Roman"/>
                <w:sz w:val="20"/>
                <w:szCs w:val="20"/>
              </w:rPr>
              <w:t>CBA Capital Limited</w:t>
            </w:r>
          </w:p>
        </w:tc>
        <w:tc>
          <w:tcPr>
            <w:tcW w:w="1546" w:type="dxa"/>
            <w:noWrap/>
            <w:hideMark/>
          </w:tcPr>
          <w:p w14:paraId="682E6D83" w14:textId="77777777" w:rsidR="001E5E3E" w:rsidRPr="00C0591E" w:rsidRDefault="001E5E3E" w:rsidP="001E5E3E">
            <w:pPr>
              <w:spacing w:after="0"/>
              <w:rPr>
                <w:rFonts w:cs="Times New Roman"/>
                <w:sz w:val="20"/>
                <w:szCs w:val="20"/>
              </w:rPr>
            </w:pPr>
            <w:r w:rsidRPr="00C0591E">
              <w:rPr>
                <w:rFonts w:cs="Times New Roman"/>
                <w:sz w:val="20"/>
                <w:szCs w:val="20"/>
              </w:rPr>
              <w:t>2884444</w:t>
            </w:r>
          </w:p>
        </w:tc>
        <w:tc>
          <w:tcPr>
            <w:tcW w:w="1981" w:type="dxa"/>
            <w:noWrap/>
            <w:hideMark/>
          </w:tcPr>
          <w:p w14:paraId="582C2D3B" w14:textId="77777777" w:rsidR="001E5E3E" w:rsidRPr="00C0591E" w:rsidRDefault="001E5E3E" w:rsidP="001E5E3E">
            <w:pPr>
              <w:spacing w:after="0"/>
              <w:rPr>
                <w:rFonts w:cs="Times New Roman"/>
                <w:sz w:val="20"/>
                <w:szCs w:val="20"/>
              </w:rPr>
            </w:pPr>
            <w:r w:rsidRPr="00C0591E">
              <w:rPr>
                <w:rFonts w:cs="Times New Roman"/>
                <w:sz w:val="20"/>
                <w:szCs w:val="20"/>
              </w:rPr>
              <w:t>30437-00100, NAIROBI</w:t>
            </w:r>
          </w:p>
        </w:tc>
        <w:tc>
          <w:tcPr>
            <w:tcW w:w="2090" w:type="dxa"/>
            <w:hideMark/>
          </w:tcPr>
          <w:p w14:paraId="31D006D4" w14:textId="77777777" w:rsidR="001E5E3E" w:rsidRPr="00C0591E" w:rsidRDefault="001E5E3E" w:rsidP="001E5E3E">
            <w:pPr>
              <w:spacing w:after="0"/>
              <w:rPr>
                <w:rFonts w:cs="Times New Roman"/>
                <w:sz w:val="20"/>
                <w:szCs w:val="20"/>
              </w:rPr>
            </w:pPr>
            <w:r w:rsidRPr="00C0591E">
              <w:rPr>
                <w:rFonts w:cs="Times New Roman"/>
                <w:sz w:val="20"/>
                <w:szCs w:val="20"/>
              </w:rPr>
              <w:t>CBA Centre, Mara &amp; Ragati Roads</w:t>
            </w:r>
          </w:p>
        </w:tc>
      </w:tr>
      <w:tr w:rsidR="001E5E3E" w:rsidRPr="00C0591E" w14:paraId="6DA1F693" w14:textId="77777777" w:rsidTr="00C118F3">
        <w:trPr>
          <w:trHeight w:val="413"/>
        </w:trPr>
        <w:tc>
          <w:tcPr>
            <w:tcW w:w="535" w:type="dxa"/>
            <w:noWrap/>
            <w:hideMark/>
          </w:tcPr>
          <w:p w14:paraId="415544DD" w14:textId="77777777" w:rsidR="001E5E3E" w:rsidRPr="00C0591E" w:rsidRDefault="001E5E3E" w:rsidP="001E5E3E">
            <w:pPr>
              <w:spacing w:after="0"/>
              <w:rPr>
                <w:rFonts w:cs="Times New Roman"/>
                <w:sz w:val="20"/>
                <w:szCs w:val="20"/>
              </w:rPr>
            </w:pPr>
            <w:r w:rsidRPr="00C0591E">
              <w:rPr>
                <w:rFonts w:cs="Times New Roman"/>
                <w:sz w:val="20"/>
                <w:szCs w:val="20"/>
              </w:rPr>
              <w:t>9</w:t>
            </w:r>
          </w:p>
        </w:tc>
        <w:tc>
          <w:tcPr>
            <w:tcW w:w="2864" w:type="dxa"/>
            <w:hideMark/>
          </w:tcPr>
          <w:p w14:paraId="7F3FB5A3" w14:textId="77777777" w:rsidR="001E5E3E" w:rsidRPr="00C0591E" w:rsidRDefault="001E5E3E" w:rsidP="001E5E3E">
            <w:pPr>
              <w:spacing w:after="0"/>
              <w:rPr>
                <w:rFonts w:cs="Times New Roman"/>
                <w:sz w:val="20"/>
                <w:szCs w:val="20"/>
              </w:rPr>
            </w:pPr>
            <w:r w:rsidRPr="00C0591E">
              <w:rPr>
                <w:rFonts w:cs="Times New Roman"/>
                <w:sz w:val="20"/>
                <w:szCs w:val="20"/>
              </w:rPr>
              <w:t>CIC Asset Management Limited</w:t>
            </w:r>
          </w:p>
        </w:tc>
        <w:tc>
          <w:tcPr>
            <w:tcW w:w="1546" w:type="dxa"/>
            <w:noWrap/>
            <w:hideMark/>
          </w:tcPr>
          <w:p w14:paraId="4A2828DF" w14:textId="77777777" w:rsidR="001E5E3E" w:rsidRPr="00C0591E" w:rsidRDefault="001E5E3E" w:rsidP="001E5E3E">
            <w:pPr>
              <w:spacing w:after="0"/>
              <w:rPr>
                <w:rFonts w:cs="Times New Roman"/>
                <w:sz w:val="20"/>
                <w:szCs w:val="20"/>
              </w:rPr>
            </w:pPr>
            <w:r w:rsidRPr="00C0591E">
              <w:rPr>
                <w:rFonts w:cs="Times New Roman"/>
                <w:sz w:val="20"/>
                <w:szCs w:val="20"/>
              </w:rPr>
              <w:t>2823000</w:t>
            </w:r>
          </w:p>
        </w:tc>
        <w:tc>
          <w:tcPr>
            <w:tcW w:w="1981" w:type="dxa"/>
            <w:noWrap/>
            <w:hideMark/>
          </w:tcPr>
          <w:p w14:paraId="01B4DA31" w14:textId="77777777" w:rsidR="001E5E3E" w:rsidRPr="00C0591E" w:rsidRDefault="001E5E3E" w:rsidP="001E5E3E">
            <w:pPr>
              <w:spacing w:after="0"/>
              <w:rPr>
                <w:rFonts w:cs="Times New Roman"/>
                <w:sz w:val="20"/>
                <w:szCs w:val="20"/>
              </w:rPr>
            </w:pPr>
            <w:r w:rsidRPr="00C0591E">
              <w:rPr>
                <w:rFonts w:cs="Times New Roman"/>
                <w:sz w:val="20"/>
                <w:szCs w:val="20"/>
              </w:rPr>
              <w:t>59485-00200, NAIROBI</w:t>
            </w:r>
          </w:p>
        </w:tc>
        <w:tc>
          <w:tcPr>
            <w:tcW w:w="2090" w:type="dxa"/>
            <w:hideMark/>
          </w:tcPr>
          <w:p w14:paraId="122341DA" w14:textId="77777777" w:rsidR="001E5E3E" w:rsidRPr="00C0591E" w:rsidRDefault="001E5E3E" w:rsidP="001E5E3E">
            <w:pPr>
              <w:spacing w:after="0"/>
              <w:rPr>
                <w:rFonts w:cs="Times New Roman"/>
                <w:sz w:val="20"/>
                <w:szCs w:val="20"/>
              </w:rPr>
            </w:pPr>
            <w:r w:rsidRPr="00C0591E">
              <w:rPr>
                <w:rFonts w:cs="Times New Roman"/>
                <w:sz w:val="20"/>
                <w:szCs w:val="20"/>
              </w:rPr>
              <w:t>8th Floor, CIC Plaza II , Mara Road</w:t>
            </w:r>
          </w:p>
        </w:tc>
      </w:tr>
      <w:tr w:rsidR="001E5E3E" w:rsidRPr="00C0591E" w14:paraId="7888B563" w14:textId="77777777" w:rsidTr="00C118F3">
        <w:trPr>
          <w:trHeight w:val="660"/>
        </w:trPr>
        <w:tc>
          <w:tcPr>
            <w:tcW w:w="535" w:type="dxa"/>
            <w:noWrap/>
            <w:hideMark/>
          </w:tcPr>
          <w:p w14:paraId="797D66F3" w14:textId="77777777" w:rsidR="001E5E3E" w:rsidRPr="00C0591E" w:rsidRDefault="001E5E3E" w:rsidP="001E5E3E">
            <w:pPr>
              <w:spacing w:after="0"/>
              <w:rPr>
                <w:rFonts w:cs="Times New Roman"/>
                <w:sz w:val="20"/>
                <w:szCs w:val="20"/>
              </w:rPr>
            </w:pPr>
            <w:r w:rsidRPr="00C0591E">
              <w:rPr>
                <w:rFonts w:cs="Times New Roman"/>
                <w:sz w:val="20"/>
                <w:szCs w:val="20"/>
              </w:rPr>
              <w:t>10</w:t>
            </w:r>
          </w:p>
        </w:tc>
        <w:tc>
          <w:tcPr>
            <w:tcW w:w="2864" w:type="dxa"/>
            <w:hideMark/>
          </w:tcPr>
          <w:p w14:paraId="5AE37ABA" w14:textId="77777777" w:rsidR="001E5E3E" w:rsidRPr="00C0591E" w:rsidRDefault="001E5E3E" w:rsidP="001E5E3E">
            <w:pPr>
              <w:spacing w:after="0"/>
              <w:rPr>
                <w:rFonts w:cs="Times New Roman"/>
                <w:sz w:val="20"/>
                <w:szCs w:val="20"/>
              </w:rPr>
            </w:pPr>
            <w:r w:rsidRPr="00C0591E">
              <w:rPr>
                <w:rFonts w:cs="Times New Roman"/>
                <w:sz w:val="20"/>
                <w:szCs w:val="20"/>
              </w:rPr>
              <w:t>Co-op Trust Investment Services Limited</w:t>
            </w:r>
          </w:p>
        </w:tc>
        <w:tc>
          <w:tcPr>
            <w:tcW w:w="1546" w:type="dxa"/>
            <w:noWrap/>
            <w:hideMark/>
          </w:tcPr>
          <w:p w14:paraId="63E8148C" w14:textId="77777777" w:rsidR="001E5E3E" w:rsidRPr="00C0591E" w:rsidRDefault="001E5E3E" w:rsidP="001E5E3E">
            <w:pPr>
              <w:spacing w:after="0"/>
              <w:rPr>
                <w:rFonts w:cs="Times New Roman"/>
                <w:sz w:val="20"/>
                <w:szCs w:val="20"/>
              </w:rPr>
            </w:pPr>
            <w:r w:rsidRPr="00C0591E">
              <w:rPr>
                <w:rFonts w:cs="Times New Roman"/>
                <w:sz w:val="20"/>
                <w:szCs w:val="20"/>
              </w:rPr>
              <w:t>3276000</w:t>
            </w:r>
          </w:p>
        </w:tc>
        <w:tc>
          <w:tcPr>
            <w:tcW w:w="1981" w:type="dxa"/>
            <w:noWrap/>
            <w:hideMark/>
          </w:tcPr>
          <w:p w14:paraId="59693D0A" w14:textId="77777777" w:rsidR="001E5E3E" w:rsidRPr="00C0591E" w:rsidRDefault="001E5E3E" w:rsidP="001E5E3E">
            <w:pPr>
              <w:spacing w:after="0"/>
              <w:rPr>
                <w:rFonts w:cs="Times New Roman"/>
                <w:sz w:val="20"/>
                <w:szCs w:val="20"/>
              </w:rPr>
            </w:pPr>
            <w:r w:rsidRPr="00C0591E">
              <w:rPr>
                <w:rFonts w:cs="Times New Roman"/>
                <w:sz w:val="20"/>
                <w:szCs w:val="20"/>
              </w:rPr>
              <w:t>48231-00100, NAIROBI</w:t>
            </w:r>
          </w:p>
        </w:tc>
        <w:tc>
          <w:tcPr>
            <w:tcW w:w="2090" w:type="dxa"/>
            <w:hideMark/>
          </w:tcPr>
          <w:p w14:paraId="35577DFA" w14:textId="77777777" w:rsidR="001E5E3E" w:rsidRPr="00C0591E" w:rsidRDefault="001E5E3E" w:rsidP="001E5E3E">
            <w:pPr>
              <w:spacing w:after="0"/>
              <w:rPr>
                <w:rFonts w:cs="Times New Roman"/>
                <w:sz w:val="20"/>
                <w:szCs w:val="20"/>
              </w:rPr>
            </w:pPr>
            <w:r w:rsidRPr="00C0591E">
              <w:rPr>
                <w:rFonts w:cs="Times New Roman"/>
                <w:sz w:val="20"/>
                <w:szCs w:val="20"/>
              </w:rPr>
              <w:t>Co-operative Bank House, Haile Selassie Avenue</w:t>
            </w:r>
          </w:p>
        </w:tc>
      </w:tr>
      <w:tr w:rsidR="001E5E3E" w:rsidRPr="00C0591E" w14:paraId="47D58850" w14:textId="77777777" w:rsidTr="00C118F3">
        <w:trPr>
          <w:trHeight w:val="530"/>
        </w:trPr>
        <w:tc>
          <w:tcPr>
            <w:tcW w:w="535" w:type="dxa"/>
            <w:noWrap/>
            <w:hideMark/>
          </w:tcPr>
          <w:p w14:paraId="2FA38170" w14:textId="77777777" w:rsidR="001E5E3E" w:rsidRPr="00C0591E" w:rsidRDefault="001E5E3E" w:rsidP="001E5E3E">
            <w:pPr>
              <w:spacing w:after="0"/>
              <w:rPr>
                <w:rFonts w:cs="Times New Roman"/>
                <w:sz w:val="20"/>
                <w:szCs w:val="20"/>
              </w:rPr>
            </w:pPr>
            <w:r w:rsidRPr="00C0591E">
              <w:rPr>
                <w:rFonts w:cs="Times New Roman"/>
                <w:sz w:val="20"/>
                <w:szCs w:val="20"/>
              </w:rPr>
              <w:t>11</w:t>
            </w:r>
          </w:p>
        </w:tc>
        <w:tc>
          <w:tcPr>
            <w:tcW w:w="2864" w:type="dxa"/>
            <w:hideMark/>
          </w:tcPr>
          <w:p w14:paraId="2EA983E0" w14:textId="77777777" w:rsidR="001E5E3E" w:rsidRPr="00C0591E" w:rsidRDefault="001E5E3E" w:rsidP="001E5E3E">
            <w:pPr>
              <w:spacing w:after="0"/>
              <w:rPr>
                <w:rFonts w:cs="Times New Roman"/>
                <w:sz w:val="20"/>
                <w:szCs w:val="20"/>
              </w:rPr>
            </w:pPr>
            <w:r w:rsidRPr="00C0591E">
              <w:rPr>
                <w:rFonts w:cs="Times New Roman"/>
                <w:sz w:val="20"/>
                <w:szCs w:val="20"/>
              </w:rPr>
              <w:t>Cytonn Asset Managers Limited</w:t>
            </w:r>
          </w:p>
        </w:tc>
        <w:tc>
          <w:tcPr>
            <w:tcW w:w="1546" w:type="dxa"/>
            <w:noWrap/>
            <w:hideMark/>
          </w:tcPr>
          <w:p w14:paraId="3834E837" w14:textId="77777777" w:rsidR="001E5E3E" w:rsidRPr="00C0591E" w:rsidRDefault="001E5E3E" w:rsidP="001E5E3E">
            <w:pPr>
              <w:spacing w:after="0"/>
              <w:rPr>
                <w:rFonts w:cs="Times New Roman"/>
                <w:sz w:val="20"/>
                <w:szCs w:val="20"/>
              </w:rPr>
            </w:pPr>
            <w:r w:rsidRPr="00C0591E">
              <w:rPr>
                <w:rFonts w:cs="Times New Roman"/>
                <w:sz w:val="20"/>
                <w:szCs w:val="20"/>
              </w:rPr>
              <w:t>20 3929000</w:t>
            </w:r>
          </w:p>
        </w:tc>
        <w:tc>
          <w:tcPr>
            <w:tcW w:w="1981" w:type="dxa"/>
            <w:noWrap/>
            <w:hideMark/>
          </w:tcPr>
          <w:p w14:paraId="60BD5687" w14:textId="77777777" w:rsidR="001E5E3E" w:rsidRPr="00C0591E" w:rsidRDefault="001E5E3E" w:rsidP="001E5E3E">
            <w:pPr>
              <w:spacing w:after="0"/>
              <w:rPr>
                <w:rFonts w:cs="Times New Roman"/>
                <w:sz w:val="20"/>
                <w:szCs w:val="20"/>
              </w:rPr>
            </w:pPr>
            <w:r w:rsidRPr="00C0591E">
              <w:rPr>
                <w:rFonts w:cs="Times New Roman"/>
                <w:sz w:val="20"/>
                <w:szCs w:val="20"/>
              </w:rPr>
              <w:t>20695-00200, NAIROBI</w:t>
            </w:r>
          </w:p>
        </w:tc>
        <w:tc>
          <w:tcPr>
            <w:tcW w:w="2090" w:type="dxa"/>
            <w:hideMark/>
          </w:tcPr>
          <w:p w14:paraId="5AAD5CFF" w14:textId="77777777" w:rsidR="001E5E3E" w:rsidRPr="00C0591E" w:rsidRDefault="001E5E3E" w:rsidP="001E5E3E">
            <w:pPr>
              <w:spacing w:after="0"/>
              <w:rPr>
                <w:rFonts w:cs="Times New Roman"/>
                <w:sz w:val="20"/>
                <w:szCs w:val="20"/>
              </w:rPr>
            </w:pPr>
            <w:r w:rsidRPr="00C0591E">
              <w:rPr>
                <w:rFonts w:cs="Times New Roman"/>
                <w:sz w:val="20"/>
                <w:szCs w:val="20"/>
              </w:rPr>
              <w:t>4th Floor, Mebank Tower, Milimani Road</w:t>
            </w:r>
          </w:p>
        </w:tc>
      </w:tr>
      <w:tr w:rsidR="001E5E3E" w:rsidRPr="00C0591E" w14:paraId="7EFFE88F" w14:textId="77777777" w:rsidTr="00C118F3">
        <w:trPr>
          <w:trHeight w:val="710"/>
        </w:trPr>
        <w:tc>
          <w:tcPr>
            <w:tcW w:w="535" w:type="dxa"/>
            <w:noWrap/>
            <w:hideMark/>
          </w:tcPr>
          <w:p w14:paraId="65DB518F" w14:textId="77777777" w:rsidR="001E5E3E" w:rsidRPr="00C0591E" w:rsidRDefault="001E5E3E" w:rsidP="001E5E3E">
            <w:pPr>
              <w:spacing w:after="0"/>
              <w:rPr>
                <w:rFonts w:cs="Times New Roman"/>
                <w:sz w:val="20"/>
                <w:szCs w:val="20"/>
              </w:rPr>
            </w:pPr>
            <w:r w:rsidRPr="00C0591E">
              <w:rPr>
                <w:rFonts w:cs="Times New Roman"/>
                <w:sz w:val="20"/>
                <w:szCs w:val="20"/>
              </w:rPr>
              <w:t>12</w:t>
            </w:r>
          </w:p>
        </w:tc>
        <w:tc>
          <w:tcPr>
            <w:tcW w:w="2864" w:type="dxa"/>
            <w:noWrap/>
            <w:hideMark/>
          </w:tcPr>
          <w:p w14:paraId="29D4B564" w14:textId="77777777" w:rsidR="001E5E3E" w:rsidRPr="00C0591E" w:rsidRDefault="001E5E3E" w:rsidP="001E5E3E">
            <w:pPr>
              <w:spacing w:after="0"/>
              <w:rPr>
                <w:rFonts w:cs="Times New Roman"/>
                <w:sz w:val="20"/>
                <w:szCs w:val="20"/>
              </w:rPr>
            </w:pPr>
            <w:r w:rsidRPr="00C0591E">
              <w:rPr>
                <w:rFonts w:cs="Times New Roman"/>
                <w:sz w:val="20"/>
                <w:szCs w:val="20"/>
              </w:rPr>
              <w:t>Dry Associates Limited</w:t>
            </w:r>
          </w:p>
        </w:tc>
        <w:tc>
          <w:tcPr>
            <w:tcW w:w="1546" w:type="dxa"/>
            <w:noWrap/>
            <w:hideMark/>
          </w:tcPr>
          <w:p w14:paraId="603F7A05" w14:textId="77777777" w:rsidR="001E5E3E" w:rsidRPr="00C0591E" w:rsidRDefault="001E5E3E" w:rsidP="001E5E3E">
            <w:pPr>
              <w:spacing w:after="0"/>
              <w:rPr>
                <w:rFonts w:cs="Times New Roman"/>
                <w:sz w:val="20"/>
                <w:szCs w:val="20"/>
              </w:rPr>
            </w:pPr>
            <w:r w:rsidRPr="00C0591E">
              <w:rPr>
                <w:rFonts w:cs="Times New Roman"/>
                <w:sz w:val="20"/>
                <w:szCs w:val="20"/>
              </w:rPr>
              <w:t>4450520</w:t>
            </w:r>
          </w:p>
        </w:tc>
        <w:tc>
          <w:tcPr>
            <w:tcW w:w="1981" w:type="dxa"/>
            <w:noWrap/>
            <w:hideMark/>
          </w:tcPr>
          <w:p w14:paraId="7E38F099" w14:textId="77777777" w:rsidR="001E5E3E" w:rsidRPr="00C0591E" w:rsidRDefault="001E5E3E" w:rsidP="001E5E3E">
            <w:pPr>
              <w:spacing w:after="0"/>
              <w:rPr>
                <w:rFonts w:cs="Times New Roman"/>
                <w:sz w:val="20"/>
                <w:szCs w:val="20"/>
              </w:rPr>
            </w:pPr>
            <w:r w:rsidRPr="00C0591E">
              <w:rPr>
                <w:rFonts w:cs="Times New Roman"/>
                <w:sz w:val="20"/>
                <w:szCs w:val="20"/>
              </w:rPr>
              <w:t>684-00606, NAIROBI</w:t>
            </w:r>
          </w:p>
        </w:tc>
        <w:tc>
          <w:tcPr>
            <w:tcW w:w="2090" w:type="dxa"/>
            <w:hideMark/>
          </w:tcPr>
          <w:p w14:paraId="6973152A" w14:textId="77777777" w:rsidR="001E5E3E" w:rsidRPr="00C0591E" w:rsidRDefault="001E5E3E" w:rsidP="001E5E3E">
            <w:pPr>
              <w:spacing w:after="0"/>
              <w:rPr>
                <w:rFonts w:cs="Times New Roman"/>
                <w:sz w:val="20"/>
                <w:szCs w:val="20"/>
              </w:rPr>
            </w:pPr>
            <w:r w:rsidRPr="00C0591E">
              <w:rPr>
                <w:rFonts w:cs="Times New Roman"/>
                <w:sz w:val="20"/>
                <w:szCs w:val="20"/>
              </w:rPr>
              <w:t>Dry Associates House, Brookeside Groove, Waiyaki Way</w:t>
            </w:r>
          </w:p>
        </w:tc>
      </w:tr>
      <w:tr w:rsidR="001E5E3E" w:rsidRPr="00C0591E" w14:paraId="7149A679" w14:textId="77777777" w:rsidTr="00C118F3">
        <w:trPr>
          <w:trHeight w:val="530"/>
        </w:trPr>
        <w:tc>
          <w:tcPr>
            <w:tcW w:w="535" w:type="dxa"/>
            <w:noWrap/>
            <w:hideMark/>
          </w:tcPr>
          <w:p w14:paraId="3A89C344" w14:textId="77777777" w:rsidR="001E5E3E" w:rsidRPr="00C0591E" w:rsidRDefault="001E5E3E" w:rsidP="001E5E3E">
            <w:pPr>
              <w:spacing w:after="0"/>
              <w:rPr>
                <w:rFonts w:cs="Times New Roman"/>
                <w:sz w:val="20"/>
                <w:szCs w:val="20"/>
              </w:rPr>
            </w:pPr>
            <w:r w:rsidRPr="00C0591E">
              <w:rPr>
                <w:rFonts w:cs="Times New Roman"/>
                <w:sz w:val="20"/>
                <w:szCs w:val="20"/>
              </w:rPr>
              <w:t>13</w:t>
            </w:r>
          </w:p>
        </w:tc>
        <w:tc>
          <w:tcPr>
            <w:tcW w:w="2864" w:type="dxa"/>
            <w:hideMark/>
          </w:tcPr>
          <w:p w14:paraId="5214D15B" w14:textId="77777777" w:rsidR="001E5E3E" w:rsidRPr="00C0591E" w:rsidRDefault="001E5E3E" w:rsidP="001E5E3E">
            <w:pPr>
              <w:spacing w:after="0"/>
              <w:rPr>
                <w:rFonts w:cs="Times New Roman"/>
                <w:sz w:val="20"/>
                <w:szCs w:val="20"/>
              </w:rPr>
            </w:pPr>
            <w:r w:rsidRPr="00C0591E">
              <w:rPr>
                <w:rFonts w:cs="Times New Roman"/>
                <w:sz w:val="20"/>
                <w:szCs w:val="20"/>
              </w:rPr>
              <w:t>Fusion Investment Management Limited</w:t>
            </w:r>
          </w:p>
        </w:tc>
        <w:tc>
          <w:tcPr>
            <w:tcW w:w="1546" w:type="dxa"/>
            <w:noWrap/>
            <w:hideMark/>
          </w:tcPr>
          <w:p w14:paraId="03B07F1B" w14:textId="77777777" w:rsidR="001E5E3E" w:rsidRPr="00C0591E" w:rsidRDefault="001E5E3E" w:rsidP="001E5E3E">
            <w:pPr>
              <w:spacing w:after="0"/>
              <w:rPr>
                <w:rFonts w:cs="Times New Roman"/>
                <w:sz w:val="20"/>
                <w:szCs w:val="20"/>
              </w:rPr>
            </w:pPr>
            <w:r w:rsidRPr="00C0591E">
              <w:rPr>
                <w:rFonts w:cs="Times New Roman"/>
                <w:sz w:val="20"/>
                <w:szCs w:val="20"/>
              </w:rPr>
              <w:t>2738460</w:t>
            </w:r>
          </w:p>
        </w:tc>
        <w:tc>
          <w:tcPr>
            <w:tcW w:w="1981" w:type="dxa"/>
            <w:noWrap/>
            <w:hideMark/>
          </w:tcPr>
          <w:p w14:paraId="2508E9A1" w14:textId="77777777" w:rsidR="001E5E3E" w:rsidRPr="00C0591E" w:rsidRDefault="001E5E3E" w:rsidP="001E5E3E">
            <w:pPr>
              <w:spacing w:after="0"/>
              <w:rPr>
                <w:rFonts w:cs="Times New Roman"/>
                <w:sz w:val="20"/>
                <w:szCs w:val="20"/>
              </w:rPr>
            </w:pPr>
            <w:r w:rsidRPr="00C0591E">
              <w:rPr>
                <w:rFonts w:cs="Times New Roman"/>
                <w:sz w:val="20"/>
                <w:szCs w:val="20"/>
              </w:rPr>
              <w:t>47538-00100, NAIROBI</w:t>
            </w:r>
          </w:p>
        </w:tc>
        <w:tc>
          <w:tcPr>
            <w:tcW w:w="2090" w:type="dxa"/>
            <w:hideMark/>
          </w:tcPr>
          <w:p w14:paraId="61F78F84" w14:textId="77777777" w:rsidR="001E5E3E" w:rsidRPr="00C0591E" w:rsidRDefault="001E5E3E" w:rsidP="001E5E3E">
            <w:pPr>
              <w:spacing w:after="0"/>
              <w:rPr>
                <w:rFonts w:cs="Times New Roman"/>
                <w:sz w:val="20"/>
                <w:szCs w:val="20"/>
              </w:rPr>
            </w:pPr>
            <w:r w:rsidRPr="00C0591E">
              <w:rPr>
                <w:rFonts w:cs="Times New Roman"/>
                <w:sz w:val="20"/>
                <w:szCs w:val="20"/>
              </w:rPr>
              <w:t>1st Floor, ACK Garden House, 1st Ngong Avenue</w:t>
            </w:r>
          </w:p>
        </w:tc>
      </w:tr>
      <w:tr w:rsidR="001E5E3E" w:rsidRPr="00C0591E" w14:paraId="1AC15343" w14:textId="77777777" w:rsidTr="00C118F3">
        <w:trPr>
          <w:trHeight w:val="660"/>
        </w:trPr>
        <w:tc>
          <w:tcPr>
            <w:tcW w:w="535" w:type="dxa"/>
            <w:noWrap/>
            <w:hideMark/>
          </w:tcPr>
          <w:p w14:paraId="318462E6" w14:textId="77777777" w:rsidR="001E5E3E" w:rsidRPr="00C0591E" w:rsidRDefault="001E5E3E" w:rsidP="001E5E3E">
            <w:pPr>
              <w:spacing w:after="0"/>
              <w:rPr>
                <w:rFonts w:cs="Times New Roman"/>
                <w:sz w:val="20"/>
                <w:szCs w:val="20"/>
              </w:rPr>
            </w:pPr>
            <w:r w:rsidRPr="00C0591E">
              <w:rPr>
                <w:rFonts w:cs="Times New Roman"/>
                <w:sz w:val="20"/>
                <w:szCs w:val="20"/>
              </w:rPr>
              <w:t>14</w:t>
            </w:r>
          </w:p>
        </w:tc>
        <w:tc>
          <w:tcPr>
            <w:tcW w:w="2864" w:type="dxa"/>
            <w:hideMark/>
          </w:tcPr>
          <w:p w14:paraId="3ED2DD9B" w14:textId="77777777" w:rsidR="001E5E3E" w:rsidRPr="00C0591E" w:rsidRDefault="001E5E3E" w:rsidP="001E5E3E">
            <w:pPr>
              <w:spacing w:after="0"/>
              <w:rPr>
                <w:rFonts w:cs="Times New Roman"/>
                <w:sz w:val="20"/>
                <w:szCs w:val="20"/>
              </w:rPr>
            </w:pPr>
            <w:r w:rsidRPr="00C0591E">
              <w:rPr>
                <w:rFonts w:cs="Times New Roman"/>
                <w:sz w:val="20"/>
                <w:szCs w:val="20"/>
              </w:rPr>
              <w:t>Genafrica Asset Managers Limited</w:t>
            </w:r>
          </w:p>
        </w:tc>
        <w:tc>
          <w:tcPr>
            <w:tcW w:w="1546" w:type="dxa"/>
            <w:noWrap/>
            <w:hideMark/>
          </w:tcPr>
          <w:p w14:paraId="3A8C6B29" w14:textId="77777777" w:rsidR="001E5E3E" w:rsidRPr="00C0591E" w:rsidRDefault="001E5E3E" w:rsidP="001E5E3E">
            <w:pPr>
              <w:spacing w:after="0"/>
              <w:rPr>
                <w:rFonts w:cs="Times New Roman"/>
                <w:sz w:val="20"/>
                <w:szCs w:val="20"/>
              </w:rPr>
            </w:pPr>
            <w:r w:rsidRPr="00C0591E">
              <w:rPr>
                <w:rFonts w:cs="Times New Roman"/>
                <w:sz w:val="20"/>
                <w:szCs w:val="20"/>
              </w:rPr>
              <w:t>2323343</w:t>
            </w:r>
          </w:p>
        </w:tc>
        <w:tc>
          <w:tcPr>
            <w:tcW w:w="1981" w:type="dxa"/>
            <w:noWrap/>
            <w:hideMark/>
          </w:tcPr>
          <w:p w14:paraId="37F7D44B" w14:textId="77777777" w:rsidR="001E5E3E" w:rsidRPr="00C0591E" w:rsidRDefault="001E5E3E" w:rsidP="001E5E3E">
            <w:pPr>
              <w:spacing w:after="0"/>
              <w:rPr>
                <w:rFonts w:cs="Times New Roman"/>
                <w:sz w:val="20"/>
                <w:szCs w:val="20"/>
              </w:rPr>
            </w:pPr>
            <w:r w:rsidRPr="00C0591E">
              <w:rPr>
                <w:rFonts w:cs="Times New Roman"/>
                <w:sz w:val="20"/>
                <w:szCs w:val="20"/>
              </w:rPr>
              <w:t>79217-00200, NAIROBI</w:t>
            </w:r>
          </w:p>
        </w:tc>
        <w:tc>
          <w:tcPr>
            <w:tcW w:w="2090" w:type="dxa"/>
            <w:hideMark/>
          </w:tcPr>
          <w:p w14:paraId="39981744" w14:textId="77777777" w:rsidR="001E5E3E" w:rsidRPr="00C0591E" w:rsidRDefault="001E5E3E" w:rsidP="001E5E3E">
            <w:pPr>
              <w:spacing w:after="0"/>
              <w:rPr>
                <w:rFonts w:cs="Times New Roman"/>
                <w:sz w:val="20"/>
                <w:szCs w:val="20"/>
              </w:rPr>
            </w:pPr>
            <w:r w:rsidRPr="00C0591E">
              <w:rPr>
                <w:rFonts w:cs="Times New Roman"/>
                <w:sz w:val="20"/>
                <w:szCs w:val="20"/>
              </w:rPr>
              <w:t>1st Floor, Arlington Block, 14 Riverside Drive, Westlands</w:t>
            </w:r>
          </w:p>
        </w:tc>
      </w:tr>
      <w:tr w:rsidR="001E5E3E" w:rsidRPr="00C0591E" w14:paraId="20A6BD49" w14:textId="77777777" w:rsidTr="00C118F3">
        <w:trPr>
          <w:trHeight w:val="660"/>
        </w:trPr>
        <w:tc>
          <w:tcPr>
            <w:tcW w:w="535" w:type="dxa"/>
            <w:noWrap/>
            <w:hideMark/>
          </w:tcPr>
          <w:p w14:paraId="05A3F6BA" w14:textId="77777777" w:rsidR="001E5E3E" w:rsidRPr="00C0591E" w:rsidRDefault="001E5E3E" w:rsidP="001E5E3E">
            <w:pPr>
              <w:spacing w:after="0"/>
              <w:rPr>
                <w:rFonts w:cs="Times New Roman"/>
                <w:sz w:val="20"/>
                <w:szCs w:val="20"/>
              </w:rPr>
            </w:pPr>
            <w:r w:rsidRPr="00C0591E">
              <w:rPr>
                <w:rFonts w:cs="Times New Roman"/>
                <w:sz w:val="20"/>
                <w:szCs w:val="20"/>
              </w:rPr>
              <w:t>15</w:t>
            </w:r>
          </w:p>
        </w:tc>
        <w:tc>
          <w:tcPr>
            <w:tcW w:w="2864" w:type="dxa"/>
            <w:noWrap/>
            <w:hideMark/>
          </w:tcPr>
          <w:p w14:paraId="7E3CF8AF" w14:textId="77777777" w:rsidR="001E5E3E" w:rsidRPr="00C0591E" w:rsidRDefault="001E5E3E" w:rsidP="001E5E3E">
            <w:pPr>
              <w:spacing w:after="0"/>
              <w:rPr>
                <w:rFonts w:cs="Times New Roman"/>
                <w:sz w:val="20"/>
                <w:szCs w:val="20"/>
              </w:rPr>
            </w:pPr>
            <w:r w:rsidRPr="00C0591E">
              <w:rPr>
                <w:rFonts w:cs="Times New Roman"/>
                <w:sz w:val="20"/>
                <w:szCs w:val="20"/>
              </w:rPr>
              <w:t>Genghis Capital Limited</w:t>
            </w:r>
          </w:p>
        </w:tc>
        <w:tc>
          <w:tcPr>
            <w:tcW w:w="1546" w:type="dxa"/>
            <w:noWrap/>
            <w:hideMark/>
          </w:tcPr>
          <w:p w14:paraId="041D5DD8" w14:textId="77777777" w:rsidR="001E5E3E" w:rsidRPr="00C0591E" w:rsidRDefault="001E5E3E" w:rsidP="001E5E3E">
            <w:pPr>
              <w:spacing w:after="0"/>
              <w:rPr>
                <w:rFonts w:cs="Times New Roman"/>
                <w:sz w:val="20"/>
                <w:szCs w:val="20"/>
              </w:rPr>
            </w:pPr>
            <w:r w:rsidRPr="00C0591E">
              <w:rPr>
                <w:rFonts w:cs="Times New Roman"/>
                <w:sz w:val="20"/>
                <w:szCs w:val="20"/>
              </w:rPr>
              <w:t>709185000</w:t>
            </w:r>
          </w:p>
        </w:tc>
        <w:tc>
          <w:tcPr>
            <w:tcW w:w="1981" w:type="dxa"/>
            <w:noWrap/>
            <w:hideMark/>
          </w:tcPr>
          <w:p w14:paraId="75A5DC24" w14:textId="77777777" w:rsidR="001E5E3E" w:rsidRPr="00C0591E" w:rsidRDefault="001E5E3E" w:rsidP="001E5E3E">
            <w:pPr>
              <w:spacing w:after="0"/>
              <w:rPr>
                <w:rFonts w:cs="Times New Roman"/>
                <w:sz w:val="20"/>
                <w:szCs w:val="20"/>
              </w:rPr>
            </w:pPr>
            <w:r w:rsidRPr="00C0591E">
              <w:rPr>
                <w:rFonts w:cs="Times New Roman"/>
                <w:sz w:val="20"/>
                <w:szCs w:val="20"/>
              </w:rPr>
              <w:t>9959-00100, NAIROBI</w:t>
            </w:r>
          </w:p>
        </w:tc>
        <w:tc>
          <w:tcPr>
            <w:tcW w:w="2090" w:type="dxa"/>
            <w:hideMark/>
          </w:tcPr>
          <w:p w14:paraId="76FB4584" w14:textId="77777777" w:rsidR="001E5E3E" w:rsidRPr="00C0591E" w:rsidRDefault="001E5E3E" w:rsidP="001E5E3E">
            <w:pPr>
              <w:spacing w:after="0"/>
              <w:rPr>
                <w:rFonts w:cs="Times New Roman"/>
                <w:sz w:val="20"/>
                <w:szCs w:val="20"/>
              </w:rPr>
            </w:pPr>
            <w:r w:rsidRPr="00C0591E">
              <w:rPr>
                <w:rFonts w:cs="Times New Roman"/>
                <w:sz w:val="20"/>
                <w:szCs w:val="20"/>
              </w:rPr>
              <w:t>1st Floor, Purshottam Place, Westlands Road</w:t>
            </w:r>
          </w:p>
        </w:tc>
      </w:tr>
      <w:tr w:rsidR="001E5E3E" w:rsidRPr="00C0591E" w14:paraId="0C95C69B" w14:textId="77777777" w:rsidTr="00C118F3">
        <w:trPr>
          <w:trHeight w:val="660"/>
        </w:trPr>
        <w:tc>
          <w:tcPr>
            <w:tcW w:w="535" w:type="dxa"/>
            <w:noWrap/>
            <w:hideMark/>
          </w:tcPr>
          <w:p w14:paraId="37B85563" w14:textId="77777777" w:rsidR="001E5E3E" w:rsidRPr="00C0591E" w:rsidRDefault="001E5E3E" w:rsidP="001E5E3E">
            <w:pPr>
              <w:spacing w:after="0"/>
              <w:rPr>
                <w:rFonts w:cs="Times New Roman"/>
                <w:sz w:val="20"/>
                <w:szCs w:val="20"/>
              </w:rPr>
            </w:pPr>
            <w:r w:rsidRPr="00C0591E">
              <w:rPr>
                <w:rFonts w:cs="Times New Roman"/>
                <w:sz w:val="20"/>
                <w:szCs w:val="20"/>
              </w:rPr>
              <w:t>16</w:t>
            </w:r>
          </w:p>
        </w:tc>
        <w:tc>
          <w:tcPr>
            <w:tcW w:w="2864" w:type="dxa"/>
            <w:hideMark/>
          </w:tcPr>
          <w:p w14:paraId="35B095D3" w14:textId="77777777" w:rsidR="001E5E3E" w:rsidRPr="00C0591E" w:rsidRDefault="001E5E3E" w:rsidP="001E5E3E">
            <w:pPr>
              <w:spacing w:after="0"/>
              <w:rPr>
                <w:rFonts w:cs="Times New Roman"/>
                <w:sz w:val="20"/>
                <w:szCs w:val="20"/>
              </w:rPr>
            </w:pPr>
            <w:r w:rsidRPr="00C0591E">
              <w:rPr>
                <w:rFonts w:cs="Times New Roman"/>
                <w:sz w:val="20"/>
                <w:szCs w:val="20"/>
              </w:rPr>
              <w:t>ICEA Lion Asset Management Limited</w:t>
            </w:r>
          </w:p>
        </w:tc>
        <w:tc>
          <w:tcPr>
            <w:tcW w:w="1546" w:type="dxa"/>
            <w:noWrap/>
            <w:hideMark/>
          </w:tcPr>
          <w:p w14:paraId="527097D8" w14:textId="77777777" w:rsidR="001E5E3E" w:rsidRPr="00C0591E" w:rsidRDefault="001E5E3E" w:rsidP="001E5E3E">
            <w:pPr>
              <w:spacing w:after="0"/>
              <w:rPr>
                <w:rFonts w:cs="Times New Roman"/>
                <w:sz w:val="20"/>
                <w:szCs w:val="20"/>
              </w:rPr>
            </w:pPr>
            <w:r w:rsidRPr="00C0591E">
              <w:rPr>
                <w:rFonts w:cs="Times New Roman"/>
                <w:sz w:val="20"/>
                <w:szCs w:val="20"/>
              </w:rPr>
              <w:t>2221652</w:t>
            </w:r>
          </w:p>
        </w:tc>
        <w:tc>
          <w:tcPr>
            <w:tcW w:w="1981" w:type="dxa"/>
            <w:noWrap/>
            <w:hideMark/>
          </w:tcPr>
          <w:p w14:paraId="447E0B4A" w14:textId="77777777" w:rsidR="001E5E3E" w:rsidRPr="00C0591E" w:rsidRDefault="001E5E3E" w:rsidP="001E5E3E">
            <w:pPr>
              <w:spacing w:after="0"/>
              <w:rPr>
                <w:rFonts w:cs="Times New Roman"/>
                <w:sz w:val="20"/>
                <w:szCs w:val="20"/>
              </w:rPr>
            </w:pPr>
            <w:r w:rsidRPr="00C0591E">
              <w:rPr>
                <w:rFonts w:cs="Times New Roman"/>
                <w:sz w:val="20"/>
                <w:szCs w:val="20"/>
              </w:rPr>
              <w:t>46143-00100, NAIROBI</w:t>
            </w:r>
          </w:p>
        </w:tc>
        <w:tc>
          <w:tcPr>
            <w:tcW w:w="2090" w:type="dxa"/>
            <w:hideMark/>
          </w:tcPr>
          <w:p w14:paraId="3283FD36" w14:textId="77777777" w:rsidR="001E5E3E" w:rsidRPr="00C0591E" w:rsidRDefault="001E5E3E" w:rsidP="001E5E3E">
            <w:pPr>
              <w:spacing w:after="0"/>
              <w:rPr>
                <w:rFonts w:cs="Times New Roman"/>
                <w:sz w:val="20"/>
                <w:szCs w:val="20"/>
              </w:rPr>
            </w:pPr>
            <w:r w:rsidRPr="00C0591E">
              <w:rPr>
                <w:rFonts w:cs="Times New Roman"/>
                <w:sz w:val="20"/>
                <w:szCs w:val="20"/>
              </w:rPr>
              <w:t>ICEA Lion Centre, 4th Floor, Riverside Park, Chiromo Road</w:t>
            </w:r>
          </w:p>
        </w:tc>
      </w:tr>
      <w:tr w:rsidR="001E5E3E" w:rsidRPr="00C0591E" w14:paraId="6888EEA1" w14:textId="77777777" w:rsidTr="00C118F3">
        <w:trPr>
          <w:trHeight w:val="467"/>
        </w:trPr>
        <w:tc>
          <w:tcPr>
            <w:tcW w:w="535" w:type="dxa"/>
            <w:noWrap/>
            <w:hideMark/>
          </w:tcPr>
          <w:p w14:paraId="68F0CE72" w14:textId="77777777" w:rsidR="001E5E3E" w:rsidRPr="00C0591E" w:rsidRDefault="001E5E3E" w:rsidP="001E5E3E">
            <w:pPr>
              <w:spacing w:after="0"/>
              <w:rPr>
                <w:rFonts w:cs="Times New Roman"/>
                <w:sz w:val="20"/>
                <w:szCs w:val="20"/>
              </w:rPr>
            </w:pPr>
            <w:r w:rsidRPr="00C0591E">
              <w:rPr>
                <w:rFonts w:cs="Times New Roman"/>
                <w:sz w:val="20"/>
                <w:szCs w:val="20"/>
              </w:rPr>
              <w:t>17</w:t>
            </w:r>
          </w:p>
        </w:tc>
        <w:tc>
          <w:tcPr>
            <w:tcW w:w="2864" w:type="dxa"/>
            <w:hideMark/>
          </w:tcPr>
          <w:p w14:paraId="792CD6B5" w14:textId="77777777" w:rsidR="001E5E3E" w:rsidRPr="00C0591E" w:rsidRDefault="001E5E3E" w:rsidP="001E5E3E">
            <w:pPr>
              <w:spacing w:after="0"/>
              <w:rPr>
                <w:rFonts w:cs="Times New Roman"/>
                <w:sz w:val="20"/>
                <w:szCs w:val="20"/>
              </w:rPr>
            </w:pPr>
            <w:r w:rsidRPr="00C0591E">
              <w:rPr>
                <w:rFonts w:cs="Times New Roman"/>
                <w:sz w:val="20"/>
                <w:szCs w:val="20"/>
              </w:rPr>
              <w:t>Kenindia Asset Management Company Limited</w:t>
            </w:r>
          </w:p>
        </w:tc>
        <w:tc>
          <w:tcPr>
            <w:tcW w:w="1546" w:type="dxa"/>
            <w:noWrap/>
            <w:hideMark/>
          </w:tcPr>
          <w:p w14:paraId="4835E227" w14:textId="77777777" w:rsidR="001E5E3E" w:rsidRPr="00C0591E" w:rsidRDefault="001E5E3E" w:rsidP="001E5E3E">
            <w:pPr>
              <w:spacing w:after="0"/>
              <w:rPr>
                <w:rFonts w:cs="Times New Roman"/>
                <w:sz w:val="20"/>
                <w:szCs w:val="20"/>
              </w:rPr>
            </w:pPr>
            <w:r w:rsidRPr="00C0591E">
              <w:rPr>
                <w:rFonts w:cs="Times New Roman"/>
                <w:sz w:val="20"/>
                <w:szCs w:val="20"/>
              </w:rPr>
              <w:t>316099</w:t>
            </w:r>
          </w:p>
        </w:tc>
        <w:tc>
          <w:tcPr>
            <w:tcW w:w="1981" w:type="dxa"/>
            <w:noWrap/>
            <w:hideMark/>
          </w:tcPr>
          <w:p w14:paraId="5631CA82" w14:textId="77777777" w:rsidR="001E5E3E" w:rsidRPr="00C0591E" w:rsidRDefault="001E5E3E" w:rsidP="001E5E3E">
            <w:pPr>
              <w:spacing w:after="0"/>
              <w:rPr>
                <w:rFonts w:cs="Times New Roman"/>
                <w:sz w:val="20"/>
                <w:szCs w:val="20"/>
              </w:rPr>
            </w:pPr>
            <w:r w:rsidRPr="00C0591E">
              <w:rPr>
                <w:rFonts w:cs="Times New Roman"/>
                <w:sz w:val="20"/>
                <w:szCs w:val="20"/>
              </w:rPr>
              <w:t>44372-00100, NAIROBI</w:t>
            </w:r>
          </w:p>
        </w:tc>
        <w:tc>
          <w:tcPr>
            <w:tcW w:w="2090" w:type="dxa"/>
            <w:noWrap/>
            <w:hideMark/>
          </w:tcPr>
          <w:p w14:paraId="4F32BCFC" w14:textId="77777777" w:rsidR="001E5E3E" w:rsidRPr="00C0591E" w:rsidRDefault="001E5E3E" w:rsidP="001E5E3E">
            <w:pPr>
              <w:spacing w:after="0"/>
              <w:rPr>
                <w:rFonts w:cs="Times New Roman"/>
                <w:sz w:val="20"/>
                <w:szCs w:val="20"/>
              </w:rPr>
            </w:pPr>
            <w:r w:rsidRPr="00C0591E">
              <w:rPr>
                <w:rFonts w:cs="Times New Roman"/>
                <w:sz w:val="20"/>
                <w:szCs w:val="20"/>
              </w:rPr>
              <w:t>Kenindia House, Loita Street</w:t>
            </w:r>
          </w:p>
        </w:tc>
      </w:tr>
      <w:tr w:rsidR="001E5E3E" w:rsidRPr="00C0591E" w14:paraId="6AEDCDB9" w14:textId="77777777" w:rsidTr="00C118F3">
        <w:trPr>
          <w:trHeight w:val="512"/>
        </w:trPr>
        <w:tc>
          <w:tcPr>
            <w:tcW w:w="535" w:type="dxa"/>
            <w:noWrap/>
            <w:hideMark/>
          </w:tcPr>
          <w:p w14:paraId="68378395" w14:textId="77777777" w:rsidR="001E5E3E" w:rsidRPr="00C0591E" w:rsidRDefault="001E5E3E" w:rsidP="001E5E3E">
            <w:pPr>
              <w:spacing w:after="0"/>
              <w:rPr>
                <w:rFonts w:cs="Times New Roman"/>
                <w:sz w:val="20"/>
                <w:szCs w:val="20"/>
              </w:rPr>
            </w:pPr>
            <w:r w:rsidRPr="00C0591E">
              <w:rPr>
                <w:rFonts w:cs="Times New Roman"/>
                <w:sz w:val="20"/>
                <w:szCs w:val="20"/>
              </w:rPr>
              <w:t>18</w:t>
            </w:r>
          </w:p>
        </w:tc>
        <w:tc>
          <w:tcPr>
            <w:tcW w:w="2864" w:type="dxa"/>
            <w:hideMark/>
          </w:tcPr>
          <w:p w14:paraId="34BFD6F4" w14:textId="77777777" w:rsidR="001E5E3E" w:rsidRPr="00C0591E" w:rsidRDefault="001E5E3E" w:rsidP="001E5E3E">
            <w:pPr>
              <w:spacing w:after="0"/>
              <w:rPr>
                <w:rFonts w:cs="Times New Roman"/>
                <w:sz w:val="20"/>
                <w:szCs w:val="20"/>
              </w:rPr>
            </w:pPr>
            <w:r w:rsidRPr="00C0591E">
              <w:rPr>
                <w:rFonts w:cs="Times New Roman"/>
                <w:sz w:val="20"/>
                <w:szCs w:val="20"/>
              </w:rPr>
              <w:t>Madison Asset Management Services Limited</w:t>
            </w:r>
          </w:p>
        </w:tc>
        <w:tc>
          <w:tcPr>
            <w:tcW w:w="1546" w:type="dxa"/>
            <w:noWrap/>
            <w:hideMark/>
          </w:tcPr>
          <w:p w14:paraId="3EA610BA" w14:textId="77777777" w:rsidR="001E5E3E" w:rsidRPr="00C0591E" w:rsidRDefault="001E5E3E" w:rsidP="001E5E3E">
            <w:pPr>
              <w:spacing w:after="0"/>
              <w:rPr>
                <w:rFonts w:cs="Times New Roman"/>
                <w:sz w:val="20"/>
                <w:szCs w:val="20"/>
              </w:rPr>
            </w:pPr>
            <w:r w:rsidRPr="00C0591E">
              <w:rPr>
                <w:rFonts w:cs="Times New Roman"/>
                <w:sz w:val="20"/>
                <w:szCs w:val="20"/>
              </w:rPr>
              <w:t>2864502</w:t>
            </w:r>
          </w:p>
        </w:tc>
        <w:tc>
          <w:tcPr>
            <w:tcW w:w="1981" w:type="dxa"/>
            <w:noWrap/>
            <w:hideMark/>
          </w:tcPr>
          <w:p w14:paraId="03DC915B" w14:textId="77777777" w:rsidR="001E5E3E" w:rsidRPr="00C0591E" w:rsidRDefault="001E5E3E" w:rsidP="001E5E3E">
            <w:pPr>
              <w:spacing w:after="0"/>
              <w:rPr>
                <w:rFonts w:cs="Times New Roman"/>
                <w:sz w:val="20"/>
                <w:szCs w:val="20"/>
              </w:rPr>
            </w:pPr>
            <w:r w:rsidRPr="00C0591E">
              <w:rPr>
                <w:rFonts w:cs="Times New Roman"/>
                <w:sz w:val="20"/>
                <w:szCs w:val="20"/>
              </w:rPr>
              <w:t>20092-00100, NAIROBI</w:t>
            </w:r>
          </w:p>
        </w:tc>
        <w:tc>
          <w:tcPr>
            <w:tcW w:w="2090" w:type="dxa"/>
            <w:hideMark/>
          </w:tcPr>
          <w:p w14:paraId="3FC1051C" w14:textId="77777777" w:rsidR="001E5E3E" w:rsidRPr="00C0591E" w:rsidRDefault="001E5E3E" w:rsidP="001E5E3E">
            <w:pPr>
              <w:spacing w:after="0"/>
              <w:rPr>
                <w:rFonts w:cs="Times New Roman"/>
                <w:sz w:val="20"/>
                <w:szCs w:val="20"/>
              </w:rPr>
            </w:pPr>
            <w:r w:rsidRPr="00C0591E">
              <w:rPr>
                <w:rFonts w:cs="Times New Roman"/>
                <w:sz w:val="20"/>
                <w:szCs w:val="20"/>
              </w:rPr>
              <w:t>Madison Insurance House, Upper Hill Road</w:t>
            </w:r>
          </w:p>
        </w:tc>
      </w:tr>
      <w:tr w:rsidR="001E5E3E" w:rsidRPr="00C0591E" w14:paraId="6C77506B" w14:textId="77777777" w:rsidTr="00C118F3">
        <w:trPr>
          <w:trHeight w:val="660"/>
        </w:trPr>
        <w:tc>
          <w:tcPr>
            <w:tcW w:w="535" w:type="dxa"/>
            <w:noWrap/>
            <w:hideMark/>
          </w:tcPr>
          <w:p w14:paraId="3FFA2825" w14:textId="77777777" w:rsidR="001E5E3E" w:rsidRPr="00C0591E" w:rsidRDefault="001E5E3E" w:rsidP="001E5E3E">
            <w:pPr>
              <w:spacing w:after="0"/>
              <w:rPr>
                <w:rFonts w:cs="Times New Roman"/>
                <w:sz w:val="20"/>
                <w:szCs w:val="20"/>
              </w:rPr>
            </w:pPr>
            <w:r w:rsidRPr="00C0591E">
              <w:rPr>
                <w:rFonts w:cs="Times New Roman"/>
                <w:sz w:val="20"/>
                <w:szCs w:val="20"/>
              </w:rPr>
              <w:t>19</w:t>
            </w:r>
          </w:p>
        </w:tc>
        <w:tc>
          <w:tcPr>
            <w:tcW w:w="2864" w:type="dxa"/>
            <w:noWrap/>
            <w:hideMark/>
          </w:tcPr>
          <w:p w14:paraId="7AE2E9AE" w14:textId="77777777" w:rsidR="001E5E3E" w:rsidRPr="00C0591E" w:rsidRDefault="001E5E3E" w:rsidP="001E5E3E">
            <w:pPr>
              <w:spacing w:after="0"/>
              <w:rPr>
                <w:rFonts w:cs="Times New Roman"/>
                <w:sz w:val="20"/>
                <w:szCs w:val="20"/>
              </w:rPr>
            </w:pPr>
            <w:r w:rsidRPr="00C0591E">
              <w:rPr>
                <w:rFonts w:cs="Times New Roman"/>
                <w:sz w:val="20"/>
                <w:szCs w:val="20"/>
              </w:rPr>
              <w:t>Nabo Capital Limited</w:t>
            </w:r>
          </w:p>
        </w:tc>
        <w:tc>
          <w:tcPr>
            <w:tcW w:w="1546" w:type="dxa"/>
            <w:noWrap/>
            <w:hideMark/>
          </w:tcPr>
          <w:p w14:paraId="6E2BBB09" w14:textId="77777777" w:rsidR="001E5E3E" w:rsidRPr="00C0591E" w:rsidRDefault="001E5E3E" w:rsidP="001E5E3E">
            <w:pPr>
              <w:spacing w:after="0"/>
              <w:rPr>
                <w:rFonts w:cs="Times New Roman"/>
                <w:sz w:val="20"/>
                <w:szCs w:val="20"/>
              </w:rPr>
            </w:pPr>
            <w:r w:rsidRPr="00C0591E">
              <w:rPr>
                <w:rFonts w:cs="Times New Roman"/>
                <w:sz w:val="20"/>
                <w:szCs w:val="20"/>
              </w:rPr>
              <w:t>2286000</w:t>
            </w:r>
          </w:p>
        </w:tc>
        <w:tc>
          <w:tcPr>
            <w:tcW w:w="1981" w:type="dxa"/>
            <w:noWrap/>
            <w:hideMark/>
          </w:tcPr>
          <w:p w14:paraId="1EB327CE" w14:textId="77777777" w:rsidR="001E5E3E" w:rsidRPr="00C0591E" w:rsidRDefault="001E5E3E" w:rsidP="001E5E3E">
            <w:pPr>
              <w:spacing w:after="0"/>
              <w:rPr>
                <w:rFonts w:cs="Times New Roman"/>
                <w:sz w:val="20"/>
                <w:szCs w:val="20"/>
              </w:rPr>
            </w:pPr>
            <w:r w:rsidRPr="00C0591E">
              <w:rPr>
                <w:rFonts w:cs="Times New Roman"/>
                <w:sz w:val="20"/>
                <w:szCs w:val="20"/>
              </w:rPr>
              <w:t>10518-00100, NAIROBI</w:t>
            </w:r>
          </w:p>
        </w:tc>
        <w:tc>
          <w:tcPr>
            <w:tcW w:w="2090" w:type="dxa"/>
            <w:hideMark/>
          </w:tcPr>
          <w:p w14:paraId="5A0AD417" w14:textId="77777777" w:rsidR="001E5E3E" w:rsidRPr="00C0591E" w:rsidRDefault="001E5E3E" w:rsidP="001E5E3E">
            <w:pPr>
              <w:spacing w:after="0"/>
              <w:rPr>
                <w:rFonts w:cs="Times New Roman"/>
                <w:sz w:val="20"/>
                <w:szCs w:val="20"/>
              </w:rPr>
            </w:pPr>
            <w:r w:rsidRPr="00C0591E">
              <w:rPr>
                <w:rFonts w:cs="Times New Roman"/>
                <w:sz w:val="20"/>
                <w:szCs w:val="20"/>
              </w:rPr>
              <w:t>7th Floor, International House, Mama Ngina Street</w:t>
            </w:r>
          </w:p>
        </w:tc>
      </w:tr>
      <w:tr w:rsidR="001E5E3E" w:rsidRPr="00C0591E" w14:paraId="2E7B94F7" w14:textId="77777777" w:rsidTr="00C118F3">
        <w:trPr>
          <w:trHeight w:val="660"/>
        </w:trPr>
        <w:tc>
          <w:tcPr>
            <w:tcW w:w="535" w:type="dxa"/>
            <w:noWrap/>
            <w:hideMark/>
          </w:tcPr>
          <w:p w14:paraId="3854FF73" w14:textId="77777777" w:rsidR="001E5E3E" w:rsidRPr="00C0591E" w:rsidRDefault="001E5E3E" w:rsidP="001E5E3E">
            <w:pPr>
              <w:spacing w:after="0"/>
              <w:rPr>
                <w:rFonts w:cs="Times New Roman"/>
                <w:sz w:val="20"/>
                <w:szCs w:val="20"/>
              </w:rPr>
            </w:pPr>
            <w:r w:rsidRPr="00C0591E">
              <w:rPr>
                <w:rFonts w:cs="Times New Roman"/>
                <w:sz w:val="20"/>
                <w:szCs w:val="20"/>
              </w:rPr>
              <w:t>20</w:t>
            </w:r>
          </w:p>
        </w:tc>
        <w:tc>
          <w:tcPr>
            <w:tcW w:w="2864" w:type="dxa"/>
            <w:hideMark/>
          </w:tcPr>
          <w:p w14:paraId="2FD8ABE1" w14:textId="77777777" w:rsidR="001E5E3E" w:rsidRPr="00C0591E" w:rsidRDefault="001E5E3E" w:rsidP="001E5E3E">
            <w:pPr>
              <w:spacing w:after="0"/>
              <w:rPr>
                <w:rFonts w:cs="Times New Roman"/>
                <w:sz w:val="20"/>
                <w:szCs w:val="20"/>
              </w:rPr>
            </w:pPr>
            <w:r w:rsidRPr="00C0591E">
              <w:rPr>
                <w:rFonts w:cs="Times New Roman"/>
                <w:sz w:val="20"/>
                <w:szCs w:val="20"/>
              </w:rPr>
              <w:t>Natbank Trustees and Investment Services Ltd</w:t>
            </w:r>
          </w:p>
        </w:tc>
        <w:tc>
          <w:tcPr>
            <w:tcW w:w="1546" w:type="dxa"/>
            <w:noWrap/>
            <w:hideMark/>
          </w:tcPr>
          <w:p w14:paraId="2646AD0F" w14:textId="77777777" w:rsidR="001E5E3E" w:rsidRPr="00C0591E" w:rsidRDefault="001E5E3E" w:rsidP="001E5E3E">
            <w:pPr>
              <w:spacing w:after="0"/>
              <w:rPr>
                <w:rFonts w:cs="Times New Roman"/>
                <w:sz w:val="20"/>
                <w:szCs w:val="20"/>
              </w:rPr>
            </w:pPr>
            <w:r w:rsidRPr="00C0591E">
              <w:rPr>
                <w:rFonts w:cs="Times New Roman"/>
                <w:sz w:val="20"/>
                <w:szCs w:val="20"/>
              </w:rPr>
              <w:t>2828356</w:t>
            </w:r>
          </w:p>
        </w:tc>
        <w:tc>
          <w:tcPr>
            <w:tcW w:w="1981" w:type="dxa"/>
            <w:noWrap/>
            <w:hideMark/>
          </w:tcPr>
          <w:p w14:paraId="0069D585" w14:textId="77777777" w:rsidR="001E5E3E" w:rsidRPr="00C0591E" w:rsidRDefault="001E5E3E" w:rsidP="001E5E3E">
            <w:pPr>
              <w:spacing w:after="0"/>
              <w:rPr>
                <w:rFonts w:cs="Times New Roman"/>
                <w:sz w:val="20"/>
                <w:szCs w:val="20"/>
              </w:rPr>
            </w:pPr>
            <w:r w:rsidRPr="00C0591E">
              <w:rPr>
                <w:rFonts w:cs="Times New Roman"/>
                <w:sz w:val="20"/>
                <w:szCs w:val="20"/>
              </w:rPr>
              <w:t>72866-00200, NAIROBI</w:t>
            </w:r>
          </w:p>
        </w:tc>
        <w:tc>
          <w:tcPr>
            <w:tcW w:w="2090" w:type="dxa"/>
            <w:hideMark/>
          </w:tcPr>
          <w:p w14:paraId="77310436" w14:textId="77777777" w:rsidR="001E5E3E" w:rsidRPr="00C0591E" w:rsidRDefault="001E5E3E" w:rsidP="001E5E3E">
            <w:pPr>
              <w:spacing w:after="0"/>
              <w:rPr>
                <w:rFonts w:cs="Times New Roman"/>
                <w:sz w:val="20"/>
                <w:szCs w:val="20"/>
              </w:rPr>
            </w:pPr>
            <w:r w:rsidRPr="00C0591E">
              <w:rPr>
                <w:rFonts w:cs="Times New Roman"/>
                <w:sz w:val="20"/>
                <w:szCs w:val="20"/>
              </w:rPr>
              <w:t>13th Floor, National Bank Building, Harambee Avenue</w:t>
            </w:r>
          </w:p>
        </w:tc>
      </w:tr>
      <w:tr w:rsidR="001E5E3E" w:rsidRPr="00C0591E" w14:paraId="5094538A" w14:textId="77777777" w:rsidTr="00C118F3">
        <w:trPr>
          <w:trHeight w:val="660"/>
        </w:trPr>
        <w:tc>
          <w:tcPr>
            <w:tcW w:w="535" w:type="dxa"/>
            <w:noWrap/>
            <w:hideMark/>
          </w:tcPr>
          <w:p w14:paraId="560E87A5" w14:textId="77777777" w:rsidR="001E5E3E" w:rsidRPr="00C0591E" w:rsidRDefault="001E5E3E" w:rsidP="001E5E3E">
            <w:pPr>
              <w:spacing w:after="0"/>
              <w:rPr>
                <w:rFonts w:cs="Times New Roman"/>
                <w:sz w:val="20"/>
                <w:szCs w:val="20"/>
              </w:rPr>
            </w:pPr>
            <w:r w:rsidRPr="00C0591E">
              <w:rPr>
                <w:rFonts w:cs="Times New Roman"/>
                <w:sz w:val="20"/>
                <w:szCs w:val="20"/>
              </w:rPr>
              <w:t>21</w:t>
            </w:r>
          </w:p>
        </w:tc>
        <w:tc>
          <w:tcPr>
            <w:tcW w:w="2864" w:type="dxa"/>
            <w:hideMark/>
          </w:tcPr>
          <w:p w14:paraId="06769C76" w14:textId="77777777" w:rsidR="001E5E3E" w:rsidRPr="00C0591E" w:rsidRDefault="001E5E3E" w:rsidP="001E5E3E">
            <w:pPr>
              <w:spacing w:after="0"/>
              <w:rPr>
                <w:rFonts w:cs="Times New Roman"/>
                <w:sz w:val="20"/>
                <w:szCs w:val="20"/>
              </w:rPr>
            </w:pPr>
            <w:r w:rsidRPr="00C0591E">
              <w:rPr>
                <w:rFonts w:cs="Times New Roman"/>
                <w:sz w:val="20"/>
                <w:szCs w:val="20"/>
              </w:rPr>
              <w:t>Old Mutual Investment Group Limited</w:t>
            </w:r>
          </w:p>
        </w:tc>
        <w:tc>
          <w:tcPr>
            <w:tcW w:w="1546" w:type="dxa"/>
            <w:noWrap/>
            <w:hideMark/>
          </w:tcPr>
          <w:p w14:paraId="0F5D1457" w14:textId="77777777" w:rsidR="001E5E3E" w:rsidRPr="00C0591E" w:rsidRDefault="001E5E3E" w:rsidP="001E5E3E">
            <w:pPr>
              <w:spacing w:after="0"/>
              <w:rPr>
                <w:rFonts w:cs="Times New Roman"/>
                <w:sz w:val="20"/>
                <w:szCs w:val="20"/>
              </w:rPr>
            </w:pPr>
            <w:r w:rsidRPr="00C0591E">
              <w:rPr>
                <w:rFonts w:cs="Times New Roman"/>
                <w:sz w:val="20"/>
                <w:szCs w:val="20"/>
              </w:rPr>
              <w:t>2829000</w:t>
            </w:r>
          </w:p>
        </w:tc>
        <w:tc>
          <w:tcPr>
            <w:tcW w:w="1981" w:type="dxa"/>
            <w:noWrap/>
            <w:hideMark/>
          </w:tcPr>
          <w:p w14:paraId="00E20D4C" w14:textId="77777777" w:rsidR="001E5E3E" w:rsidRPr="00C0591E" w:rsidRDefault="001E5E3E" w:rsidP="001E5E3E">
            <w:pPr>
              <w:spacing w:after="0"/>
              <w:rPr>
                <w:rFonts w:cs="Times New Roman"/>
                <w:sz w:val="20"/>
                <w:szCs w:val="20"/>
              </w:rPr>
            </w:pPr>
            <w:r w:rsidRPr="00C0591E">
              <w:rPr>
                <w:rFonts w:cs="Times New Roman"/>
                <w:sz w:val="20"/>
                <w:szCs w:val="20"/>
              </w:rPr>
              <w:t>11589-00400, NAIROBI</w:t>
            </w:r>
          </w:p>
        </w:tc>
        <w:tc>
          <w:tcPr>
            <w:tcW w:w="2090" w:type="dxa"/>
            <w:hideMark/>
          </w:tcPr>
          <w:p w14:paraId="7B24DF38" w14:textId="77777777" w:rsidR="001E5E3E" w:rsidRPr="00C0591E" w:rsidRDefault="001E5E3E" w:rsidP="001E5E3E">
            <w:pPr>
              <w:spacing w:after="0"/>
              <w:rPr>
                <w:rFonts w:cs="Times New Roman"/>
                <w:sz w:val="20"/>
                <w:szCs w:val="20"/>
              </w:rPr>
            </w:pPr>
            <w:r w:rsidRPr="00C0591E">
              <w:rPr>
                <w:rFonts w:cs="Times New Roman"/>
                <w:sz w:val="20"/>
                <w:szCs w:val="20"/>
              </w:rPr>
              <w:t>Old Mutual Building, Corner, Mara/Hospital Road</w:t>
            </w:r>
          </w:p>
        </w:tc>
      </w:tr>
      <w:tr w:rsidR="001E5E3E" w:rsidRPr="00C0591E" w14:paraId="290EBB45" w14:textId="77777777" w:rsidTr="00C118F3">
        <w:trPr>
          <w:trHeight w:val="422"/>
        </w:trPr>
        <w:tc>
          <w:tcPr>
            <w:tcW w:w="535" w:type="dxa"/>
            <w:noWrap/>
            <w:hideMark/>
          </w:tcPr>
          <w:p w14:paraId="6555C599" w14:textId="77777777" w:rsidR="001E5E3E" w:rsidRPr="00C0591E" w:rsidRDefault="001E5E3E" w:rsidP="001E5E3E">
            <w:pPr>
              <w:spacing w:after="0"/>
              <w:rPr>
                <w:rFonts w:cs="Times New Roman"/>
                <w:sz w:val="20"/>
                <w:szCs w:val="20"/>
              </w:rPr>
            </w:pPr>
            <w:r w:rsidRPr="00C0591E">
              <w:rPr>
                <w:rFonts w:cs="Times New Roman"/>
                <w:sz w:val="20"/>
                <w:szCs w:val="20"/>
              </w:rPr>
              <w:t>22</w:t>
            </w:r>
          </w:p>
        </w:tc>
        <w:tc>
          <w:tcPr>
            <w:tcW w:w="2864" w:type="dxa"/>
            <w:hideMark/>
          </w:tcPr>
          <w:p w14:paraId="268A7113" w14:textId="77777777" w:rsidR="001E5E3E" w:rsidRPr="00C0591E" w:rsidRDefault="001E5E3E" w:rsidP="001E5E3E">
            <w:pPr>
              <w:spacing w:after="0"/>
              <w:rPr>
                <w:rFonts w:cs="Times New Roman"/>
                <w:sz w:val="20"/>
                <w:szCs w:val="20"/>
              </w:rPr>
            </w:pPr>
            <w:r w:rsidRPr="00C0591E">
              <w:rPr>
                <w:rFonts w:cs="Times New Roman"/>
                <w:sz w:val="20"/>
                <w:szCs w:val="20"/>
              </w:rPr>
              <w:t>Sanlam Investments East Africa Limited</w:t>
            </w:r>
          </w:p>
        </w:tc>
        <w:tc>
          <w:tcPr>
            <w:tcW w:w="1546" w:type="dxa"/>
            <w:noWrap/>
            <w:hideMark/>
          </w:tcPr>
          <w:p w14:paraId="2820AE5C" w14:textId="77777777" w:rsidR="001E5E3E" w:rsidRPr="00C0591E" w:rsidRDefault="001E5E3E" w:rsidP="001E5E3E">
            <w:pPr>
              <w:spacing w:after="0"/>
              <w:rPr>
                <w:rFonts w:cs="Times New Roman"/>
                <w:sz w:val="20"/>
                <w:szCs w:val="20"/>
              </w:rPr>
            </w:pPr>
            <w:r w:rsidRPr="00C0591E">
              <w:rPr>
                <w:rFonts w:cs="Times New Roman"/>
                <w:sz w:val="20"/>
                <w:szCs w:val="20"/>
              </w:rPr>
              <w:t>4967000</w:t>
            </w:r>
          </w:p>
        </w:tc>
        <w:tc>
          <w:tcPr>
            <w:tcW w:w="1981" w:type="dxa"/>
            <w:noWrap/>
            <w:hideMark/>
          </w:tcPr>
          <w:p w14:paraId="08CDCBB4" w14:textId="77777777" w:rsidR="001E5E3E" w:rsidRPr="00C0591E" w:rsidRDefault="001E5E3E" w:rsidP="001E5E3E">
            <w:pPr>
              <w:spacing w:after="0"/>
              <w:rPr>
                <w:rFonts w:cs="Times New Roman"/>
                <w:sz w:val="20"/>
                <w:szCs w:val="20"/>
              </w:rPr>
            </w:pPr>
            <w:r w:rsidRPr="00C0591E">
              <w:rPr>
                <w:rFonts w:cs="Times New Roman"/>
                <w:sz w:val="20"/>
                <w:szCs w:val="20"/>
              </w:rPr>
              <w:t>67262-00200, NAIROBI</w:t>
            </w:r>
          </w:p>
        </w:tc>
        <w:tc>
          <w:tcPr>
            <w:tcW w:w="2090" w:type="dxa"/>
            <w:hideMark/>
          </w:tcPr>
          <w:p w14:paraId="5A0C686B" w14:textId="77777777" w:rsidR="001E5E3E" w:rsidRPr="00C0591E" w:rsidRDefault="001E5E3E" w:rsidP="001E5E3E">
            <w:pPr>
              <w:spacing w:after="0"/>
              <w:rPr>
                <w:rFonts w:cs="Times New Roman"/>
                <w:sz w:val="20"/>
                <w:szCs w:val="20"/>
              </w:rPr>
            </w:pPr>
            <w:r w:rsidRPr="00C0591E">
              <w:rPr>
                <w:rFonts w:cs="Times New Roman"/>
                <w:sz w:val="20"/>
                <w:szCs w:val="20"/>
              </w:rPr>
              <w:t>Africa Re Centre, Hospital Road, Upper Hill</w:t>
            </w:r>
          </w:p>
        </w:tc>
      </w:tr>
      <w:tr w:rsidR="001E5E3E" w:rsidRPr="00C0591E" w14:paraId="126D7628" w14:textId="77777777" w:rsidTr="00C118F3">
        <w:trPr>
          <w:trHeight w:val="485"/>
        </w:trPr>
        <w:tc>
          <w:tcPr>
            <w:tcW w:w="535" w:type="dxa"/>
            <w:noWrap/>
            <w:hideMark/>
          </w:tcPr>
          <w:p w14:paraId="35331D36" w14:textId="77777777" w:rsidR="001E5E3E" w:rsidRPr="00C0591E" w:rsidRDefault="001E5E3E" w:rsidP="001E5E3E">
            <w:pPr>
              <w:spacing w:after="0"/>
              <w:rPr>
                <w:rFonts w:cs="Times New Roman"/>
                <w:sz w:val="20"/>
                <w:szCs w:val="20"/>
              </w:rPr>
            </w:pPr>
            <w:r w:rsidRPr="00C0591E">
              <w:rPr>
                <w:rFonts w:cs="Times New Roman"/>
                <w:sz w:val="20"/>
                <w:szCs w:val="20"/>
              </w:rPr>
              <w:t>23</w:t>
            </w:r>
          </w:p>
        </w:tc>
        <w:tc>
          <w:tcPr>
            <w:tcW w:w="2864" w:type="dxa"/>
            <w:noWrap/>
            <w:hideMark/>
          </w:tcPr>
          <w:p w14:paraId="04F45D9D" w14:textId="77777777" w:rsidR="001E5E3E" w:rsidRPr="00C0591E" w:rsidRDefault="001E5E3E" w:rsidP="001E5E3E">
            <w:pPr>
              <w:spacing w:after="0"/>
              <w:rPr>
                <w:rFonts w:cs="Times New Roman"/>
                <w:sz w:val="20"/>
                <w:szCs w:val="20"/>
              </w:rPr>
            </w:pPr>
            <w:r w:rsidRPr="00C0591E">
              <w:rPr>
                <w:rFonts w:cs="Times New Roman"/>
                <w:sz w:val="20"/>
                <w:szCs w:val="20"/>
              </w:rPr>
              <w:t>Stanlib Kenya Limited</w:t>
            </w:r>
          </w:p>
        </w:tc>
        <w:tc>
          <w:tcPr>
            <w:tcW w:w="1546" w:type="dxa"/>
            <w:noWrap/>
            <w:hideMark/>
          </w:tcPr>
          <w:p w14:paraId="2DB7FDF8" w14:textId="77777777" w:rsidR="001E5E3E" w:rsidRPr="00C0591E" w:rsidRDefault="001E5E3E" w:rsidP="001E5E3E">
            <w:pPr>
              <w:spacing w:after="0"/>
              <w:rPr>
                <w:rFonts w:cs="Times New Roman"/>
                <w:sz w:val="20"/>
                <w:szCs w:val="20"/>
              </w:rPr>
            </w:pPr>
            <w:r w:rsidRPr="00C0591E">
              <w:rPr>
                <w:rFonts w:cs="Times New Roman"/>
                <w:sz w:val="20"/>
                <w:szCs w:val="20"/>
              </w:rPr>
              <w:t>3268508</w:t>
            </w:r>
          </w:p>
        </w:tc>
        <w:tc>
          <w:tcPr>
            <w:tcW w:w="1981" w:type="dxa"/>
            <w:noWrap/>
            <w:hideMark/>
          </w:tcPr>
          <w:p w14:paraId="0696D3D6" w14:textId="77777777" w:rsidR="001E5E3E" w:rsidRPr="00C0591E" w:rsidRDefault="001E5E3E" w:rsidP="001E5E3E">
            <w:pPr>
              <w:spacing w:after="0"/>
              <w:rPr>
                <w:rFonts w:cs="Times New Roman"/>
                <w:sz w:val="20"/>
                <w:szCs w:val="20"/>
              </w:rPr>
            </w:pPr>
            <w:r w:rsidRPr="00C0591E">
              <w:rPr>
                <w:rFonts w:cs="Times New Roman"/>
                <w:sz w:val="20"/>
                <w:szCs w:val="20"/>
              </w:rPr>
              <w:t>30550-00100, NAIROBI</w:t>
            </w:r>
          </w:p>
        </w:tc>
        <w:tc>
          <w:tcPr>
            <w:tcW w:w="2090" w:type="dxa"/>
            <w:noWrap/>
            <w:hideMark/>
          </w:tcPr>
          <w:p w14:paraId="634969D2" w14:textId="77777777" w:rsidR="001E5E3E" w:rsidRPr="00C0591E" w:rsidRDefault="001E5E3E" w:rsidP="001E5E3E">
            <w:pPr>
              <w:spacing w:after="0"/>
              <w:rPr>
                <w:rFonts w:cs="Times New Roman"/>
                <w:sz w:val="20"/>
                <w:szCs w:val="20"/>
              </w:rPr>
            </w:pPr>
            <w:r w:rsidRPr="00C0591E">
              <w:rPr>
                <w:rFonts w:cs="Times New Roman"/>
                <w:sz w:val="20"/>
                <w:szCs w:val="20"/>
              </w:rPr>
              <w:t>Liberty House, Mamlaka Road</w:t>
            </w:r>
          </w:p>
        </w:tc>
      </w:tr>
      <w:tr w:rsidR="001E5E3E" w:rsidRPr="00C0591E" w14:paraId="5965B889" w14:textId="77777777" w:rsidTr="00C118F3">
        <w:trPr>
          <w:trHeight w:val="530"/>
        </w:trPr>
        <w:tc>
          <w:tcPr>
            <w:tcW w:w="535" w:type="dxa"/>
            <w:noWrap/>
            <w:hideMark/>
          </w:tcPr>
          <w:p w14:paraId="0C5AA058" w14:textId="77777777" w:rsidR="001E5E3E" w:rsidRPr="00C0591E" w:rsidRDefault="001E5E3E" w:rsidP="001E5E3E">
            <w:pPr>
              <w:spacing w:after="0"/>
              <w:rPr>
                <w:rFonts w:cs="Times New Roman"/>
                <w:sz w:val="20"/>
                <w:szCs w:val="20"/>
              </w:rPr>
            </w:pPr>
            <w:r w:rsidRPr="00C0591E">
              <w:rPr>
                <w:rFonts w:cs="Times New Roman"/>
                <w:sz w:val="20"/>
                <w:szCs w:val="20"/>
              </w:rPr>
              <w:t>24</w:t>
            </w:r>
          </w:p>
        </w:tc>
        <w:tc>
          <w:tcPr>
            <w:tcW w:w="2864" w:type="dxa"/>
            <w:hideMark/>
          </w:tcPr>
          <w:p w14:paraId="0BC61235" w14:textId="77777777" w:rsidR="001E5E3E" w:rsidRPr="00C0591E" w:rsidRDefault="001E5E3E" w:rsidP="001E5E3E">
            <w:pPr>
              <w:spacing w:after="0"/>
              <w:rPr>
                <w:rFonts w:cs="Times New Roman"/>
                <w:sz w:val="20"/>
                <w:szCs w:val="20"/>
              </w:rPr>
            </w:pPr>
            <w:r w:rsidRPr="00C0591E">
              <w:rPr>
                <w:rFonts w:cs="Times New Roman"/>
                <w:sz w:val="20"/>
                <w:szCs w:val="20"/>
              </w:rPr>
              <w:t>Zimele Asset Management Company Limited</w:t>
            </w:r>
          </w:p>
        </w:tc>
        <w:tc>
          <w:tcPr>
            <w:tcW w:w="1546" w:type="dxa"/>
            <w:noWrap/>
            <w:hideMark/>
          </w:tcPr>
          <w:p w14:paraId="48B5449C" w14:textId="77777777" w:rsidR="001E5E3E" w:rsidRPr="00C0591E" w:rsidRDefault="001E5E3E" w:rsidP="001E5E3E">
            <w:pPr>
              <w:spacing w:after="0"/>
              <w:rPr>
                <w:rFonts w:cs="Times New Roman"/>
                <w:sz w:val="20"/>
                <w:szCs w:val="20"/>
              </w:rPr>
            </w:pPr>
            <w:r w:rsidRPr="00C0591E">
              <w:rPr>
                <w:rFonts w:cs="Times New Roman"/>
                <w:sz w:val="20"/>
                <w:szCs w:val="20"/>
              </w:rPr>
              <w:t>2246273</w:t>
            </w:r>
          </w:p>
        </w:tc>
        <w:tc>
          <w:tcPr>
            <w:tcW w:w="1981" w:type="dxa"/>
            <w:noWrap/>
            <w:hideMark/>
          </w:tcPr>
          <w:p w14:paraId="6D15E7D7" w14:textId="77777777" w:rsidR="001E5E3E" w:rsidRPr="00C0591E" w:rsidRDefault="001E5E3E" w:rsidP="001E5E3E">
            <w:pPr>
              <w:spacing w:after="0"/>
              <w:rPr>
                <w:rFonts w:cs="Times New Roman"/>
                <w:sz w:val="20"/>
                <w:szCs w:val="20"/>
              </w:rPr>
            </w:pPr>
            <w:r w:rsidRPr="00C0591E">
              <w:rPr>
                <w:rFonts w:cs="Times New Roman"/>
                <w:sz w:val="20"/>
                <w:szCs w:val="20"/>
              </w:rPr>
              <w:t>76528-00508, NAIROBI</w:t>
            </w:r>
          </w:p>
        </w:tc>
        <w:tc>
          <w:tcPr>
            <w:tcW w:w="2090" w:type="dxa"/>
            <w:hideMark/>
          </w:tcPr>
          <w:p w14:paraId="7C6C14C5" w14:textId="77777777" w:rsidR="001E5E3E" w:rsidRPr="00C0591E" w:rsidRDefault="001E5E3E" w:rsidP="001E5E3E">
            <w:pPr>
              <w:spacing w:after="0"/>
              <w:rPr>
                <w:rFonts w:cs="Times New Roman"/>
                <w:sz w:val="20"/>
                <w:szCs w:val="20"/>
              </w:rPr>
            </w:pPr>
            <w:r w:rsidRPr="00C0591E">
              <w:rPr>
                <w:rFonts w:cs="Times New Roman"/>
                <w:sz w:val="20"/>
                <w:szCs w:val="20"/>
              </w:rPr>
              <w:t>Fedha Towers, Muindi Mbingu Street</w:t>
            </w:r>
          </w:p>
        </w:tc>
      </w:tr>
      <w:tr w:rsidR="001E5E3E" w:rsidRPr="00C0591E" w14:paraId="0C14D5C2" w14:textId="77777777" w:rsidTr="00C118F3">
        <w:trPr>
          <w:trHeight w:val="440"/>
        </w:trPr>
        <w:tc>
          <w:tcPr>
            <w:tcW w:w="535" w:type="dxa"/>
            <w:noWrap/>
            <w:hideMark/>
          </w:tcPr>
          <w:p w14:paraId="2E653A0F" w14:textId="77777777" w:rsidR="001E5E3E" w:rsidRPr="00C0591E" w:rsidRDefault="001E5E3E" w:rsidP="001E5E3E">
            <w:pPr>
              <w:spacing w:after="0"/>
              <w:rPr>
                <w:rFonts w:cs="Times New Roman"/>
                <w:sz w:val="20"/>
                <w:szCs w:val="20"/>
              </w:rPr>
            </w:pPr>
            <w:r w:rsidRPr="00C0591E">
              <w:rPr>
                <w:rFonts w:cs="Times New Roman"/>
                <w:sz w:val="20"/>
                <w:szCs w:val="20"/>
              </w:rPr>
              <w:t>25</w:t>
            </w:r>
          </w:p>
        </w:tc>
        <w:tc>
          <w:tcPr>
            <w:tcW w:w="2864" w:type="dxa"/>
            <w:noWrap/>
            <w:hideMark/>
          </w:tcPr>
          <w:p w14:paraId="7C712690" w14:textId="77777777" w:rsidR="001E5E3E" w:rsidRPr="00C0591E" w:rsidRDefault="001E5E3E" w:rsidP="001E5E3E">
            <w:pPr>
              <w:spacing w:after="0"/>
              <w:rPr>
                <w:rFonts w:cs="Times New Roman"/>
                <w:sz w:val="20"/>
                <w:szCs w:val="20"/>
              </w:rPr>
            </w:pPr>
            <w:r w:rsidRPr="00C0591E">
              <w:rPr>
                <w:rFonts w:cs="Times New Roman"/>
                <w:sz w:val="20"/>
                <w:szCs w:val="20"/>
              </w:rPr>
              <w:t>Abraaj Kenya Advisers Limited</w:t>
            </w:r>
          </w:p>
        </w:tc>
        <w:tc>
          <w:tcPr>
            <w:tcW w:w="1546" w:type="dxa"/>
            <w:noWrap/>
            <w:hideMark/>
          </w:tcPr>
          <w:p w14:paraId="1BE16FB4" w14:textId="77777777" w:rsidR="001E5E3E" w:rsidRPr="00C0591E" w:rsidRDefault="001E5E3E" w:rsidP="001E5E3E">
            <w:pPr>
              <w:spacing w:after="0"/>
              <w:rPr>
                <w:rFonts w:cs="Times New Roman"/>
                <w:sz w:val="20"/>
                <w:szCs w:val="20"/>
              </w:rPr>
            </w:pPr>
            <w:r w:rsidRPr="00C0591E">
              <w:rPr>
                <w:rFonts w:cs="Times New Roman"/>
                <w:sz w:val="20"/>
                <w:szCs w:val="20"/>
              </w:rPr>
              <w:t>2228870</w:t>
            </w:r>
          </w:p>
        </w:tc>
        <w:tc>
          <w:tcPr>
            <w:tcW w:w="1981" w:type="dxa"/>
            <w:noWrap/>
            <w:hideMark/>
          </w:tcPr>
          <w:p w14:paraId="32871CF1" w14:textId="77777777" w:rsidR="001E5E3E" w:rsidRPr="00C0591E" w:rsidRDefault="001E5E3E" w:rsidP="001E5E3E">
            <w:pPr>
              <w:spacing w:after="0"/>
              <w:rPr>
                <w:rFonts w:cs="Times New Roman"/>
                <w:sz w:val="20"/>
                <w:szCs w:val="20"/>
              </w:rPr>
            </w:pPr>
            <w:r w:rsidRPr="00C0591E">
              <w:rPr>
                <w:rFonts w:cs="Times New Roman"/>
                <w:sz w:val="20"/>
                <w:szCs w:val="20"/>
              </w:rPr>
              <w:t>19556-00100, NAIROBI</w:t>
            </w:r>
          </w:p>
        </w:tc>
        <w:tc>
          <w:tcPr>
            <w:tcW w:w="2090" w:type="dxa"/>
            <w:noWrap/>
            <w:hideMark/>
          </w:tcPr>
          <w:p w14:paraId="046E0725" w14:textId="77777777" w:rsidR="001E5E3E" w:rsidRPr="00C0591E" w:rsidRDefault="001E5E3E" w:rsidP="001E5E3E">
            <w:pPr>
              <w:spacing w:after="0"/>
              <w:rPr>
                <w:rFonts w:cs="Times New Roman"/>
                <w:sz w:val="20"/>
                <w:szCs w:val="20"/>
              </w:rPr>
            </w:pPr>
            <w:r w:rsidRPr="00C0591E">
              <w:rPr>
                <w:rFonts w:cs="Times New Roman"/>
                <w:sz w:val="20"/>
                <w:szCs w:val="20"/>
              </w:rPr>
              <w:t>Norfolk Towers, Kijabe Street</w:t>
            </w:r>
          </w:p>
        </w:tc>
      </w:tr>
      <w:tr w:rsidR="001E5E3E" w:rsidRPr="00C0591E" w14:paraId="3C5C1C62" w14:textId="77777777" w:rsidTr="00C118F3">
        <w:trPr>
          <w:trHeight w:val="395"/>
        </w:trPr>
        <w:tc>
          <w:tcPr>
            <w:tcW w:w="535" w:type="dxa"/>
            <w:noWrap/>
            <w:hideMark/>
          </w:tcPr>
          <w:p w14:paraId="1659399D" w14:textId="77777777" w:rsidR="001E5E3E" w:rsidRPr="00C0591E" w:rsidRDefault="001E5E3E" w:rsidP="001E5E3E">
            <w:pPr>
              <w:spacing w:after="0"/>
              <w:rPr>
                <w:rFonts w:cs="Times New Roman"/>
                <w:sz w:val="20"/>
                <w:szCs w:val="20"/>
              </w:rPr>
            </w:pPr>
            <w:r w:rsidRPr="00C0591E">
              <w:rPr>
                <w:rFonts w:cs="Times New Roman"/>
                <w:sz w:val="20"/>
                <w:szCs w:val="20"/>
              </w:rPr>
              <w:t>26</w:t>
            </w:r>
          </w:p>
        </w:tc>
        <w:tc>
          <w:tcPr>
            <w:tcW w:w="2864" w:type="dxa"/>
            <w:noWrap/>
            <w:hideMark/>
          </w:tcPr>
          <w:p w14:paraId="7803F01B" w14:textId="77777777" w:rsidR="001E5E3E" w:rsidRPr="00C0591E" w:rsidRDefault="001E5E3E" w:rsidP="001E5E3E">
            <w:pPr>
              <w:spacing w:after="0"/>
              <w:rPr>
                <w:rFonts w:cs="Times New Roman"/>
                <w:sz w:val="20"/>
                <w:szCs w:val="20"/>
              </w:rPr>
            </w:pPr>
            <w:r w:rsidRPr="00C0591E">
              <w:rPr>
                <w:rFonts w:cs="Times New Roman"/>
                <w:sz w:val="20"/>
                <w:szCs w:val="20"/>
              </w:rPr>
              <w:t>Canon Asset Manager Limited</w:t>
            </w:r>
          </w:p>
        </w:tc>
        <w:tc>
          <w:tcPr>
            <w:tcW w:w="1546" w:type="dxa"/>
            <w:noWrap/>
            <w:hideMark/>
          </w:tcPr>
          <w:p w14:paraId="4A1F453A" w14:textId="77777777" w:rsidR="001E5E3E" w:rsidRPr="00C0591E" w:rsidRDefault="001E5E3E" w:rsidP="001E5E3E">
            <w:pPr>
              <w:spacing w:after="0"/>
              <w:rPr>
                <w:rFonts w:cs="Times New Roman"/>
                <w:sz w:val="20"/>
                <w:szCs w:val="20"/>
              </w:rPr>
            </w:pPr>
            <w:r w:rsidRPr="00C0591E">
              <w:rPr>
                <w:rFonts w:cs="Times New Roman"/>
                <w:sz w:val="20"/>
                <w:szCs w:val="20"/>
              </w:rPr>
              <w:t>2362545</w:t>
            </w:r>
          </w:p>
        </w:tc>
        <w:tc>
          <w:tcPr>
            <w:tcW w:w="1981" w:type="dxa"/>
            <w:noWrap/>
            <w:hideMark/>
          </w:tcPr>
          <w:p w14:paraId="2CAFA102" w14:textId="77777777" w:rsidR="001E5E3E" w:rsidRPr="00C0591E" w:rsidRDefault="001E5E3E" w:rsidP="001E5E3E">
            <w:pPr>
              <w:spacing w:after="0"/>
              <w:rPr>
                <w:rFonts w:cs="Times New Roman"/>
                <w:sz w:val="20"/>
                <w:szCs w:val="20"/>
              </w:rPr>
            </w:pPr>
            <w:r w:rsidRPr="00C0591E">
              <w:rPr>
                <w:rFonts w:cs="Times New Roman"/>
                <w:sz w:val="20"/>
                <w:szCs w:val="20"/>
              </w:rPr>
              <w:t>30216-00100, NAIROBI</w:t>
            </w:r>
          </w:p>
        </w:tc>
        <w:tc>
          <w:tcPr>
            <w:tcW w:w="2090" w:type="dxa"/>
            <w:noWrap/>
            <w:hideMark/>
          </w:tcPr>
          <w:p w14:paraId="68C08285" w14:textId="77777777" w:rsidR="001E5E3E" w:rsidRPr="00C0591E" w:rsidRDefault="001E5E3E" w:rsidP="001E5E3E">
            <w:pPr>
              <w:spacing w:after="0"/>
              <w:rPr>
                <w:rFonts w:cs="Times New Roman"/>
                <w:sz w:val="20"/>
                <w:szCs w:val="20"/>
              </w:rPr>
            </w:pPr>
            <w:r w:rsidRPr="00C0591E">
              <w:rPr>
                <w:rFonts w:cs="Times New Roman"/>
                <w:sz w:val="20"/>
                <w:szCs w:val="20"/>
              </w:rPr>
              <w:t>Gateway Park, Mombasa Road</w:t>
            </w:r>
          </w:p>
        </w:tc>
      </w:tr>
      <w:tr w:rsidR="001E5E3E" w:rsidRPr="00C0591E" w14:paraId="17B67437" w14:textId="77777777" w:rsidTr="00C118F3">
        <w:trPr>
          <w:trHeight w:val="440"/>
        </w:trPr>
        <w:tc>
          <w:tcPr>
            <w:tcW w:w="535" w:type="dxa"/>
            <w:noWrap/>
            <w:hideMark/>
          </w:tcPr>
          <w:p w14:paraId="34B99CF1" w14:textId="77777777" w:rsidR="001E5E3E" w:rsidRPr="00C0591E" w:rsidRDefault="001E5E3E" w:rsidP="001E5E3E">
            <w:pPr>
              <w:spacing w:after="0"/>
              <w:rPr>
                <w:rFonts w:cs="Times New Roman"/>
                <w:sz w:val="20"/>
                <w:szCs w:val="20"/>
              </w:rPr>
            </w:pPr>
            <w:r w:rsidRPr="00C0591E">
              <w:rPr>
                <w:rFonts w:cs="Times New Roman"/>
                <w:sz w:val="20"/>
                <w:szCs w:val="20"/>
              </w:rPr>
              <w:t>27</w:t>
            </w:r>
          </w:p>
        </w:tc>
        <w:tc>
          <w:tcPr>
            <w:tcW w:w="2864" w:type="dxa"/>
            <w:noWrap/>
            <w:hideMark/>
          </w:tcPr>
          <w:p w14:paraId="4FC68C03" w14:textId="77777777" w:rsidR="001E5E3E" w:rsidRPr="00C0591E" w:rsidRDefault="001E5E3E" w:rsidP="001E5E3E">
            <w:pPr>
              <w:spacing w:after="0"/>
              <w:rPr>
                <w:rFonts w:cs="Times New Roman"/>
                <w:sz w:val="20"/>
                <w:szCs w:val="20"/>
              </w:rPr>
            </w:pPr>
            <w:r w:rsidRPr="00C0591E">
              <w:rPr>
                <w:rFonts w:cs="Times New Roman"/>
                <w:sz w:val="20"/>
                <w:szCs w:val="20"/>
              </w:rPr>
              <w:t>FCB Capital Limited</w:t>
            </w:r>
          </w:p>
        </w:tc>
        <w:tc>
          <w:tcPr>
            <w:tcW w:w="1546" w:type="dxa"/>
            <w:noWrap/>
            <w:hideMark/>
          </w:tcPr>
          <w:p w14:paraId="0EF62D5A" w14:textId="77777777" w:rsidR="001E5E3E" w:rsidRPr="00C0591E" w:rsidRDefault="001E5E3E" w:rsidP="001E5E3E">
            <w:pPr>
              <w:spacing w:after="0"/>
              <w:rPr>
                <w:rFonts w:cs="Times New Roman"/>
                <w:sz w:val="20"/>
                <w:szCs w:val="20"/>
              </w:rPr>
            </w:pPr>
            <w:r w:rsidRPr="00C0591E">
              <w:rPr>
                <w:rFonts w:cs="Times New Roman"/>
                <w:sz w:val="20"/>
                <w:szCs w:val="20"/>
              </w:rPr>
              <w:t>2843000</w:t>
            </w:r>
          </w:p>
        </w:tc>
        <w:tc>
          <w:tcPr>
            <w:tcW w:w="1981" w:type="dxa"/>
            <w:noWrap/>
            <w:hideMark/>
          </w:tcPr>
          <w:p w14:paraId="15369C81" w14:textId="77777777" w:rsidR="001E5E3E" w:rsidRPr="00C0591E" w:rsidRDefault="001E5E3E" w:rsidP="001E5E3E">
            <w:pPr>
              <w:spacing w:after="0"/>
              <w:rPr>
                <w:rFonts w:cs="Times New Roman"/>
                <w:sz w:val="20"/>
                <w:szCs w:val="20"/>
              </w:rPr>
            </w:pPr>
            <w:r w:rsidRPr="00C0591E">
              <w:rPr>
                <w:rFonts w:cs="Times New Roman"/>
                <w:sz w:val="20"/>
                <w:szCs w:val="20"/>
              </w:rPr>
              <w:t>26219-00100, NAIROBI</w:t>
            </w:r>
          </w:p>
        </w:tc>
        <w:tc>
          <w:tcPr>
            <w:tcW w:w="2090" w:type="dxa"/>
            <w:noWrap/>
            <w:hideMark/>
          </w:tcPr>
          <w:p w14:paraId="6B1ECD4A" w14:textId="77777777" w:rsidR="001E5E3E" w:rsidRPr="00C0591E" w:rsidRDefault="001E5E3E" w:rsidP="001E5E3E">
            <w:pPr>
              <w:spacing w:after="0"/>
              <w:rPr>
                <w:rFonts w:cs="Times New Roman"/>
                <w:sz w:val="20"/>
                <w:szCs w:val="20"/>
              </w:rPr>
            </w:pPr>
            <w:r w:rsidRPr="00C0591E">
              <w:rPr>
                <w:rFonts w:cs="Times New Roman"/>
                <w:sz w:val="20"/>
                <w:szCs w:val="20"/>
              </w:rPr>
              <w:t>Prudential Assurance Building Kaunda Street</w:t>
            </w:r>
          </w:p>
        </w:tc>
      </w:tr>
      <w:tr w:rsidR="001E5E3E" w:rsidRPr="00C0591E" w14:paraId="11AC6DBC" w14:textId="77777777" w:rsidTr="00C118F3">
        <w:trPr>
          <w:trHeight w:val="395"/>
        </w:trPr>
        <w:tc>
          <w:tcPr>
            <w:tcW w:w="535" w:type="dxa"/>
            <w:noWrap/>
            <w:hideMark/>
          </w:tcPr>
          <w:p w14:paraId="4D951DD9" w14:textId="77777777" w:rsidR="001E5E3E" w:rsidRPr="00C0591E" w:rsidRDefault="001E5E3E" w:rsidP="001E5E3E">
            <w:pPr>
              <w:spacing w:after="0"/>
              <w:rPr>
                <w:rFonts w:cs="Times New Roman"/>
                <w:sz w:val="20"/>
                <w:szCs w:val="20"/>
              </w:rPr>
            </w:pPr>
            <w:r w:rsidRPr="00C0591E">
              <w:rPr>
                <w:rFonts w:cs="Times New Roman"/>
                <w:sz w:val="20"/>
                <w:szCs w:val="20"/>
              </w:rPr>
              <w:t>28</w:t>
            </w:r>
          </w:p>
        </w:tc>
        <w:tc>
          <w:tcPr>
            <w:tcW w:w="2864" w:type="dxa"/>
            <w:hideMark/>
          </w:tcPr>
          <w:p w14:paraId="6CA6ECB0" w14:textId="77777777" w:rsidR="001E5E3E" w:rsidRPr="00C0591E" w:rsidRDefault="001E5E3E" w:rsidP="001E5E3E">
            <w:pPr>
              <w:spacing w:after="0"/>
              <w:rPr>
                <w:rFonts w:cs="Times New Roman"/>
                <w:sz w:val="20"/>
                <w:szCs w:val="20"/>
              </w:rPr>
            </w:pPr>
            <w:r w:rsidRPr="00C0591E">
              <w:rPr>
                <w:rFonts w:cs="Times New Roman"/>
                <w:sz w:val="20"/>
                <w:szCs w:val="20"/>
              </w:rPr>
              <w:t>Old Mutual Investment Services (K) Limited</w:t>
            </w:r>
          </w:p>
        </w:tc>
        <w:tc>
          <w:tcPr>
            <w:tcW w:w="1546" w:type="dxa"/>
            <w:noWrap/>
            <w:hideMark/>
          </w:tcPr>
          <w:p w14:paraId="5AD31A7D" w14:textId="77777777" w:rsidR="001E5E3E" w:rsidRPr="00C0591E" w:rsidRDefault="001E5E3E" w:rsidP="001E5E3E">
            <w:pPr>
              <w:spacing w:after="0"/>
              <w:rPr>
                <w:rFonts w:cs="Times New Roman"/>
                <w:sz w:val="20"/>
                <w:szCs w:val="20"/>
              </w:rPr>
            </w:pPr>
            <w:r w:rsidRPr="00C0591E">
              <w:rPr>
                <w:rFonts w:cs="Times New Roman"/>
                <w:sz w:val="20"/>
                <w:szCs w:val="20"/>
              </w:rPr>
              <w:t> </w:t>
            </w:r>
          </w:p>
        </w:tc>
        <w:tc>
          <w:tcPr>
            <w:tcW w:w="1981" w:type="dxa"/>
            <w:noWrap/>
            <w:hideMark/>
          </w:tcPr>
          <w:p w14:paraId="6FAC25AB" w14:textId="77777777" w:rsidR="001E5E3E" w:rsidRPr="00C0591E" w:rsidRDefault="001E5E3E" w:rsidP="001E5E3E">
            <w:pPr>
              <w:spacing w:after="0"/>
              <w:rPr>
                <w:rFonts w:cs="Times New Roman"/>
                <w:sz w:val="20"/>
                <w:szCs w:val="20"/>
              </w:rPr>
            </w:pPr>
            <w:r w:rsidRPr="00C0591E">
              <w:rPr>
                <w:rFonts w:cs="Times New Roman"/>
                <w:sz w:val="20"/>
                <w:szCs w:val="20"/>
              </w:rPr>
              <w:t>30059-00100, NAIROBI</w:t>
            </w:r>
          </w:p>
        </w:tc>
        <w:tc>
          <w:tcPr>
            <w:tcW w:w="2090" w:type="dxa"/>
            <w:noWrap/>
            <w:hideMark/>
          </w:tcPr>
          <w:p w14:paraId="3A2DFF6B" w14:textId="77777777" w:rsidR="001E5E3E" w:rsidRPr="00C0591E" w:rsidRDefault="001E5E3E" w:rsidP="001E5E3E">
            <w:pPr>
              <w:spacing w:after="0"/>
              <w:rPr>
                <w:rFonts w:cs="Times New Roman"/>
                <w:sz w:val="20"/>
                <w:szCs w:val="20"/>
              </w:rPr>
            </w:pPr>
            <w:r w:rsidRPr="00C0591E">
              <w:rPr>
                <w:rFonts w:cs="Times New Roman"/>
                <w:sz w:val="20"/>
                <w:szCs w:val="20"/>
              </w:rPr>
              <w:t>Old Mutual Building, Mara Rd/ Hospital Rd</w:t>
            </w:r>
          </w:p>
        </w:tc>
      </w:tr>
      <w:tr w:rsidR="001E5E3E" w:rsidRPr="00C0591E" w14:paraId="37EDC598" w14:textId="77777777" w:rsidTr="00C118F3">
        <w:trPr>
          <w:trHeight w:val="660"/>
        </w:trPr>
        <w:tc>
          <w:tcPr>
            <w:tcW w:w="535" w:type="dxa"/>
            <w:noWrap/>
            <w:hideMark/>
          </w:tcPr>
          <w:p w14:paraId="1EFA922D" w14:textId="77777777" w:rsidR="001E5E3E" w:rsidRPr="00C0591E" w:rsidRDefault="001E5E3E" w:rsidP="001E5E3E">
            <w:pPr>
              <w:spacing w:after="0"/>
              <w:rPr>
                <w:rFonts w:cs="Times New Roman"/>
                <w:sz w:val="20"/>
                <w:szCs w:val="20"/>
              </w:rPr>
            </w:pPr>
            <w:r w:rsidRPr="00C0591E">
              <w:rPr>
                <w:rFonts w:cs="Times New Roman"/>
                <w:sz w:val="20"/>
                <w:szCs w:val="20"/>
              </w:rPr>
              <w:t>29</w:t>
            </w:r>
          </w:p>
        </w:tc>
        <w:tc>
          <w:tcPr>
            <w:tcW w:w="2864" w:type="dxa"/>
            <w:hideMark/>
          </w:tcPr>
          <w:p w14:paraId="0DC689C3" w14:textId="77777777" w:rsidR="001E5E3E" w:rsidRPr="00C0591E" w:rsidRDefault="001E5E3E" w:rsidP="001E5E3E">
            <w:pPr>
              <w:spacing w:after="0"/>
              <w:rPr>
                <w:rFonts w:cs="Times New Roman"/>
                <w:sz w:val="20"/>
                <w:szCs w:val="20"/>
              </w:rPr>
            </w:pPr>
            <w:r w:rsidRPr="00C0591E">
              <w:rPr>
                <w:rFonts w:cs="Times New Roman"/>
                <w:sz w:val="20"/>
                <w:szCs w:val="20"/>
              </w:rPr>
              <w:t>Standard Chartered Investment Services Limited</w:t>
            </w:r>
          </w:p>
        </w:tc>
        <w:tc>
          <w:tcPr>
            <w:tcW w:w="1546" w:type="dxa"/>
            <w:noWrap/>
            <w:hideMark/>
          </w:tcPr>
          <w:p w14:paraId="149FC746" w14:textId="77777777" w:rsidR="001E5E3E" w:rsidRPr="00C0591E" w:rsidRDefault="001E5E3E" w:rsidP="001E5E3E">
            <w:pPr>
              <w:spacing w:after="0"/>
              <w:rPr>
                <w:rFonts w:cs="Times New Roman"/>
                <w:sz w:val="20"/>
                <w:szCs w:val="20"/>
              </w:rPr>
            </w:pPr>
            <w:r w:rsidRPr="00C0591E">
              <w:rPr>
                <w:rFonts w:cs="Times New Roman"/>
                <w:sz w:val="20"/>
                <w:szCs w:val="20"/>
              </w:rPr>
              <w:t>3293900</w:t>
            </w:r>
          </w:p>
        </w:tc>
        <w:tc>
          <w:tcPr>
            <w:tcW w:w="1981" w:type="dxa"/>
            <w:noWrap/>
            <w:hideMark/>
          </w:tcPr>
          <w:p w14:paraId="50AC7C34" w14:textId="77777777" w:rsidR="001E5E3E" w:rsidRPr="00C0591E" w:rsidRDefault="001E5E3E" w:rsidP="001E5E3E">
            <w:pPr>
              <w:spacing w:after="0"/>
              <w:rPr>
                <w:rFonts w:cs="Times New Roman"/>
                <w:sz w:val="20"/>
                <w:szCs w:val="20"/>
              </w:rPr>
            </w:pPr>
            <w:r w:rsidRPr="00C0591E">
              <w:rPr>
                <w:rFonts w:cs="Times New Roman"/>
                <w:sz w:val="20"/>
                <w:szCs w:val="20"/>
              </w:rPr>
              <w:t>30003-00100, NAIROBI</w:t>
            </w:r>
          </w:p>
        </w:tc>
        <w:tc>
          <w:tcPr>
            <w:tcW w:w="2090" w:type="dxa"/>
            <w:noWrap/>
            <w:hideMark/>
          </w:tcPr>
          <w:p w14:paraId="0425C471" w14:textId="77777777" w:rsidR="001E5E3E" w:rsidRPr="00C0591E" w:rsidRDefault="001E5E3E" w:rsidP="001E5E3E">
            <w:pPr>
              <w:spacing w:after="0"/>
              <w:rPr>
                <w:rFonts w:cs="Times New Roman"/>
                <w:sz w:val="20"/>
                <w:szCs w:val="20"/>
              </w:rPr>
            </w:pPr>
            <w:r w:rsidRPr="00C0591E">
              <w:rPr>
                <w:rFonts w:cs="Times New Roman"/>
                <w:sz w:val="20"/>
                <w:szCs w:val="20"/>
              </w:rPr>
              <w:t>48 Westlands Road, Nairobi</w:t>
            </w:r>
          </w:p>
        </w:tc>
      </w:tr>
      <w:tr w:rsidR="001E5E3E" w:rsidRPr="00C0591E" w14:paraId="402EE865" w14:textId="77777777" w:rsidTr="00C118F3">
        <w:trPr>
          <w:trHeight w:val="350"/>
        </w:trPr>
        <w:tc>
          <w:tcPr>
            <w:tcW w:w="535" w:type="dxa"/>
            <w:noWrap/>
            <w:hideMark/>
          </w:tcPr>
          <w:p w14:paraId="37C227F1" w14:textId="77777777" w:rsidR="001E5E3E" w:rsidRPr="00C0591E" w:rsidRDefault="001E5E3E" w:rsidP="001E5E3E">
            <w:pPr>
              <w:spacing w:after="0"/>
              <w:rPr>
                <w:rFonts w:cs="Times New Roman"/>
                <w:sz w:val="20"/>
                <w:szCs w:val="20"/>
              </w:rPr>
            </w:pPr>
            <w:r w:rsidRPr="00C0591E">
              <w:rPr>
                <w:rFonts w:cs="Times New Roman"/>
                <w:sz w:val="20"/>
                <w:szCs w:val="20"/>
              </w:rPr>
              <w:t>30</w:t>
            </w:r>
          </w:p>
        </w:tc>
        <w:tc>
          <w:tcPr>
            <w:tcW w:w="2864" w:type="dxa"/>
            <w:noWrap/>
            <w:hideMark/>
          </w:tcPr>
          <w:p w14:paraId="2E832C95" w14:textId="77777777" w:rsidR="001E5E3E" w:rsidRPr="00C0591E" w:rsidRDefault="001E5E3E" w:rsidP="001E5E3E">
            <w:pPr>
              <w:spacing w:after="0"/>
              <w:rPr>
                <w:rFonts w:cs="Times New Roman"/>
                <w:sz w:val="20"/>
                <w:szCs w:val="20"/>
              </w:rPr>
            </w:pPr>
            <w:r w:rsidRPr="00C0591E">
              <w:rPr>
                <w:rFonts w:cs="Times New Roman"/>
                <w:sz w:val="20"/>
                <w:szCs w:val="20"/>
              </w:rPr>
              <w:t>Seriani Asset Managers Limited</w:t>
            </w:r>
          </w:p>
        </w:tc>
        <w:tc>
          <w:tcPr>
            <w:tcW w:w="1546" w:type="dxa"/>
            <w:noWrap/>
            <w:hideMark/>
          </w:tcPr>
          <w:p w14:paraId="79521669" w14:textId="77777777" w:rsidR="001E5E3E" w:rsidRPr="00C0591E" w:rsidRDefault="001E5E3E" w:rsidP="001E5E3E">
            <w:pPr>
              <w:spacing w:after="0"/>
              <w:rPr>
                <w:rFonts w:cs="Times New Roman"/>
                <w:sz w:val="20"/>
                <w:szCs w:val="20"/>
              </w:rPr>
            </w:pPr>
            <w:r w:rsidRPr="00C0591E">
              <w:rPr>
                <w:rFonts w:cs="Times New Roman"/>
                <w:sz w:val="20"/>
                <w:szCs w:val="20"/>
              </w:rPr>
              <w:t> 0708758978</w:t>
            </w:r>
          </w:p>
        </w:tc>
        <w:tc>
          <w:tcPr>
            <w:tcW w:w="1981" w:type="dxa"/>
            <w:noWrap/>
            <w:hideMark/>
          </w:tcPr>
          <w:p w14:paraId="5D32A285" w14:textId="77777777" w:rsidR="001E5E3E" w:rsidRPr="00C0591E" w:rsidRDefault="001E5E3E" w:rsidP="001E5E3E">
            <w:pPr>
              <w:spacing w:after="0"/>
              <w:rPr>
                <w:rFonts w:cs="Times New Roman"/>
                <w:sz w:val="20"/>
                <w:szCs w:val="20"/>
              </w:rPr>
            </w:pPr>
            <w:r w:rsidRPr="00C0591E">
              <w:rPr>
                <w:rFonts w:cs="Times New Roman"/>
                <w:sz w:val="20"/>
                <w:szCs w:val="20"/>
              </w:rPr>
              <w:t>21986-00200, NAIROBI</w:t>
            </w:r>
          </w:p>
        </w:tc>
        <w:tc>
          <w:tcPr>
            <w:tcW w:w="2090" w:type="dxa"/>
            <w:noWrap/>
            <w:hideMark/>
          </w:tcPr>
          <w:p w14:paraId="7A91A334" w14:textId="77777777" w:rsidR="001E5E3E" w:rsidRPr="00C0591E" w:rsidRDefault="001E5E3E" w:rsidP="001E5E3E">
            <w:pPr>
              <w:spacing w:after="0"/>
              <w:rPr>
                <w:rFonts w:cs="Times New Roman"/>
                <w:sz w:val="20"/>
                <w:szCs w:val="20"/>
              </w:rPr>
            </w:pPr>
            <w:r w:rsidRPr="00C0591E">
              <w:rPr>
                <w:rFonts w:cs="Times New Roman"/>
                <w:sz w:val="20"/>
                <w:szCs w:val="20"/>
              </w:rPr>
              <w:t>Marsabit Plaza, Ngong Road</w:t>
            </w:r>
          </w:p>
        </w:tc>
      </w:tr>
      <w:tr w:rsidR="001E5E3E" w:rsidRPr="00C0591E" w14:paraId="6FC8479C" w14:textId="77777777" w:rsidTr="00C118F3">
        <w:trPr>
          <w:trHeight w:val="395"/>
        </w:trPr>
        <w:tc>
          <w:tcPr>
            <w:tcW w:w="535" w:type="dxa"/>
            <w:noWrap/>
            <w:hideMark/>
          </w:tcPr>
          <w:p w14:paraId="629630BF" w14:textId="77777777" w:rsidR="001E5E3E" w:rsidRPr="00C0591E" w:rsidRDefault="001E5E3E" w:rsidP="001E5E3E">
            <w:pPr>
              <w:spacing w:after="0"/>
              <w:rPr>
                <w:rFonts w:cs="Times New Roman"/>
                <w:sz w:val="20"/>
                <w:szCs w:val="20"/>
              </w:rPr>
            </w:pPr>
            <w:r w:rsidRPr="00C0591E">
              <w:rPr>
                <w:rFonts w:cs="Times New Roman"/>
                <w:sz w:val="20"/>
                <w:szCs w:val="20"/>
              </w:rPr>
              <w:t>31</w:t>
            </w:r>
          </w:p>
        </w:tc>
        <w:tc>
          <w:tcPr>
            <w:tcW w:w="2864" w:type="dxa"/>
            <w:noWrap/>
            <w:hideMark/>
          </w:tcPr>
          <w:p w14:paraId="36D90939" w14:textId="77777777" w:rsidR="001E5E3E" w:rsidRPr="00C0591E" w:rsidRDefault="001E5E3E" w:rsidP="001E5E3E">
            <w:pPr>
              <w:spacing w:after="0"/>
              <w:rPr>
                <w:rFonts w:cs="Times New Roman"/>
                <w:sz w:val="20"/>
                <w:szCs w:val="20"/>
              </w:rPr>
            </w:pPr>
            <w:r w:rsidRPr="00C0591E">
              <w:rPr>
                <w:rFonts w:cs="Times New Roman"/>
                <w:sz w:val="20"/>
                <w:szCs w:val="20"/>
              </w:rPr>
              <w:t>Watu Capital Limited</w:t>
            </w:r>
          </w:p>
        </w:tc>
        <w:tc>
          <w:tcPr>
            <w:tcW w:w="1546" w:type="dxa"/>
            <w:noWrap/>
            <w:hideMark/>
          </w:tcPr>
          <w:p w14:paraId="3F439085" w14:textId="77777777" w:rsidR="001E5E3E" w:rsidRPr="00C0591E" w:rsidRDefault="001E5E3E" w:rsidP="001E5E3E">
            <w:pPr>
              <w:spacing w:after="0"/>
              <w:rPr>
                <w:rFonts w:cs="Times New Roman"/>
                <w:sz w:val="20"/>
                <w:szCs w:val="20"/>
              </w:rPr>
            </w:pPr>
            <w:r w:rsidRPr="00C0591E">
              <w:rPr>
                <w:rFonts w:cs="Times New Roman"/>
                <w:sz w:val="20"/>
                <w:szCs w:val="20"/>
              </w:rPr>
              <w:t> 0790000999</w:t>
            </w:r>
          </w:p>
        </w:tc>
        <w:tc>
          <w:tcPr>
            <w:tcW w:w="1981" w:type="dxa"/>
            <w:noWrap/>
            <w:hideMark/>
          </w:tcPr>
          <w:p w14:paraId="1E0C1CBA" w14:textId="77777777" w:rsidR="001E5E3E" w:rsidRPr="00C0591E" w:rsidRDefault="001E5E3E" w:rsidP="001E5E3E">
            <w:pPr>
              <w:spacing w:after="0"/>
              <w:rPr>
                <w:rFonts w:cs="Times New Roman"/>
                <w:sz w:val="20"/>
                <w:szCs w:val="20"/>
              </w:rPr>
            </w:pPr>
            <w:r w:rsidRPr="00C0591E">
              <w:rPr>
                <w:rFonts w:cs="Times New Roman"/>
                <w:sz w:val="20"/>
                <w:szCs w:val="20"/>
              </w:rPr>
              <w:t>13606-00800, NAIROBI</w:t>
            </w:r>
          </w:p>
        </w:tc>
        <w:tc>
          <w:tcPr>
            <w:tcW w:w="2090" w:type="dxa"/>
            <w:noWrap/>
            <w:hideMark/>
          </w:tcPr>
          <w:p w14:paraId="51B6E050" w14:textId="77777777" w:rsidR="001E5E3E" w:rsidRPr="00C0591E" w:rsidRDefault="001E5E3E" w:rsidP="001E5E3E">
            <w:pPr>
              <w:spacing w:after="0"/>
              <w:rPr>
                <w:rFonts w:cs="Times New Roman"/>
                <w:sz w:val="20"/>
                <w:szCs w:val="20"/>
              </w:rPr>
            </w:pPr>
            <w:r w:rsidRPr="00C0591E">
              <w:rPr>
                <w:rFonts w:cs="Times New Roman"/>
                <w:sz w:val="20"/>
                <w:szCs w:val="20"/>
              </w:rPr>
              <w:t>Avenue Plaza, Nyali Mombasa</w:t>
            </w:r>
          </w:p>
        </w:tc>
      </w:tr>
    </w:tbl>
    <w:p w14:paraId="194020D6" w14:textId="53D96A53" w:rsidR="00BC0CDA" w:rsidRPr="00BC0CDA" w:rsidRDefault="00BC0CDA" w:rsidP="00BC0CDA">
      <w:pPr>
        <w:rPr>
          <w:rFonts w:cs="Times New Roman"/>
          <w:szCs w:val="24"/>
        </w:rPr>
      </w:pPr>
      <w:r w:rsidRPr="00C0591E">
        <w:rPr>
          <w:rFonts w:cs="Times New Roman"/>
          <w:szCs w:val="24"/>
        </w:rPr>
        <w:t>Source: RBA (2019)</w:t>
      </w:r>
    </w:p>
    <w:p w14:paraId="3EBFB6B6" w14:textId="77777777" w:rsidR="00267BE6" w:rsidRDefault="00267BE6" w:rsidP="00267BE6">
      <w:pPr>
        <w:ind w:left="720"/>
        <w:rPr>
          <w:rFonts w:cs="Times New Roman"/>
        </w:rPr>
      </w:pPr>
    </w:p>
    <w:p w14:paraId="5BD1423A" w14:textId="6928F5FF" w:rsidR="00E26482" w:rsidRDefault="00E26482"/>
    <w:p w14:paraId="6372391C" w14:textId="28E8BDBE" w:rsidR="005C447D" w:rsidRDefault="005C447D"/>
    <w:p w14:paraId="03C3F5DF" w14:textId="6411AABB" w:rsidR="005C447D" w:rsidRDefault="005C447D"/>
    <w:p w14:paraId="14CFC6DD" w14:textId="62ADB281" w:rsidR="005C447D" w:rsidRDefault="005C447D"/>
    <w:p w14:paraId="3CA5F720" w14:textId="77A91205" w:rsidR="005C447D" w:rsidRDefault="005C447D"/>
    <w:p w14:paraId="2C254A52" w14:textId="5272ED71" w:rsidR="005C447D" w:rsidRDefault="005C447D"/>
    <w:p w14:paraId="1E0BE783" w14:textId="626C54B9" w:rsidR="005C447D" w:rsidRDefault="005C447D"/>
    <w:p w14:paraId="70FB33BE" w14:textId="4263B713" w:rsidR="005C447D" w:rsidRDefault="005C447D"/>
    <w:p w14:paraId="067333E4" w14:textId="717A443B" w:rsidR="005C447D" w:rsidRDefault="005C447D"/>
    <w:p w14:paraId="7A986C76" w14:textId="12AB5D67" w:rsidR="005C447D" w:rsidRDefault="005C447D"/>
    <w:p w14:paraId="532AF52F" w14:textId="6D53C26F" w:rsidR="005C447D" w:rsidRDefault="005C447D"/>
    <w:p w14:paraId="415718C8" w14:textId="615E4808" w:rsidR="005C447D" w:rsidRDefault="005C447D"/>
    <w:p w14:paraId="78FE3C9C" w14:textId="1D7ECF36" w:rsidR="005C447D" w:rsidRDefault="005C447D"/>
    <w:p w14:paraId="24E0067D" w14:textId="786116BE" w:rsidR="005C447D" w:rsidRDefault="005C447D"/>
    <w:p w14:paraId="3FB269E4" w14:textId="268F717B" w:rsidR="005C447D" w:rsidRDefault="005C447D"/>
    <w:p w14:paraId="68014929" w14:textId="045C9E21" w:rsidR="005C447D" w:rsidRDefault="005C447D" w:rsidP="005C447D">
      <w:pPr>
        <w:pStyle w:val="Heading2"/>
      </w:pPr>
      <w:bookmarkStart w:id="385" w:name="_Toc113125135"/>
      <w:r w:rsidRPr="00C0591E">
        <w:t xml:space="preserve">Appendix </w:t>
      </w:r>
      <w:r>
        <w:t>IV</w:t>
      </w:r>
      <w:r w:rsidRPr="00C0591E">
        <w:t xml:space="preserve">: </w:t>
      </w:r>
      <w:r w:rsidRPr="005C447D">
        <w:t>Plagiarism Index</w:t>
      </w:r>
      <w:bookmarkEnd w:id="385"/>
    </w:p>
    <w:p w14:paraId="702B199F" w14:textId="4DA35BA2" w:rsidR="005C447D" w:rsidRPr="005C447D" w:rsidRDefault="005C447D" w:rsidP="005C447D">
      <w:r w:rsidRPr="005C447D">
        <w:rPr>
          <w:noProof/>
        </w:rPr>
        <w:drawing>
          <wp:inline distT="0" distB="0" distL="0" distR="0" wp14:anchorId="04949705" wp14:editId="076B61C8">
            <wp:extent cx="5913120" cy="770349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15237" cy="7706251"/>
                    </a:xfrm>
                    <a:prstGeom prst="rect">
                      <a:avLst/>
                    </a:prstGeom>
                    <a:noFill/>
                    <a:ln>
                      <a:noFill/>
                    </a:ln>
                  </pic:spPr>
                </pic:pic>
              </a:graphicData>
            </a:graphic>
          </wp:inline>
        </w:drawing>
      </w:r>
    </w:p>
    <w:sectPr w:rsidR="005C447D" w:rsidRPr="005C447D" w:rsidSect="0047105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9ADF83" w14:textId="77777777" w:rsidR="002B5444" w:rsidRDefault="002B5444">
      <w:pPr>
        <w:spacing w:after="0" w:line="240" w:lineRule="auto"/>
      </w:pPr>
      <w:r>
        <w:separator/>
      </w:r>
    </w:p>
    <w:p w14:paraId="5D7D8638" w14:textId="77777777" w:rsidR="002B5444" w:rsidRDefault="002B5444"/>
  </w:endnote>
  <w:endnote w:type="continuationSeparator" w:id="0">
    <w:p w14:paraId="2A63EBBE" w14:textId="77777777" w:rsidR="002B5444" w:rsidRDefault="002B5444">
      <w:pPr>
        <w:spacing w:after="0" w:line="240" w:lineRule="auto"/>
      </w:pPr>
      <w:r>
        <w:continuationSeparator/>
      </w:r>
    </w:p>
    <w:p w14:paraId="5657A2BA" w14:textId="77777777" w:rsidR="002B5444" w:rsidRDefault="002B54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NewRomanPSMT">
    <w:altName w:val="Yu Gothic"/>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776866"/>
      <w:docPartObj>
        <w:docPartGallery w:val="Page Numbers (Bottom of Page)"/>
        <w:docPartUnique/>
      </w:docPartObj>
    </w:sdtPr>
    <w:sdtEndPr>
      <w:rPr>
        <w:noProof/>
      </w:rPr>
    </w:sdtEndPr>
    <w:sdtContent>
      <w:p w14:paraId="5CC1BB1B" w14:textId="4658565B" w:rsidR="003A104A" w:rsidRDefault="003A104A">
        <w:pPr>
          <w:pStyle w:val="Footer"/>
          <w:jc w:val="center"/>
        </w:pPr>
        <w:r>
          <w:fldChar w:fldCharType="begin"/>
        </w:r>
        <w:r>
          <w:instrText xml:space="preserve"> PAGE   \* MERGEFORMAT </w:instrText>
        </w:r>
        <w:r>
          <w:fldChar w:fldCharType="separate"/>
        </w:r>
        <w:r w:rsidR="00F937E0">
          <w:rPr>
            <w:noProof/>
          </w:rPr>
          <w:t>ii</w:t>
        </w:r>
        <w:r>
          <w:rPr>
            <w:noProof/>
          </w:rPr>
          <w:fldChar w:fldCharType="end"/>
        </w:r>
      </w:p>
    </w:sdtContent>
  </w:sdt>
  <w:p w14:paraId="0F33D16E" w14:textId="77777777" w:rsidR="003A104A" w:rsidRDefault="003A104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2587CD" w14:textId="77777777" w:rsidR="002B5444" w:rsidRDefault="002B5444">
      <w:pPr>
        <w:spacing w:after="0" w:line="240" w:lineRule="auto"/>
      </w:pPr>
      <w:r>
        <w:separator/>
      </w:r>
    </w:p>
    <w:p w14:paraId="16D76F4F" w14:textId="77777777" w:rsidR="002B5444" w:rsidRDefault="002B5444"/>
  </w:footnote>
  <w:footnote w:type="continuationSeparator" w:id="0">
    <w:p w14:paraId="661127D1" w14:textId="77777777" w:rsidR="002B5444" w:rsidRDefault="002B5444">
      <w:pPr>
        <w:spacing w:after="0" w:line="240" w:lineRule="auto"/>
      </w:pPr>
      <w:r>
        <w:continuationSeparator/>
      </w:r>
    </w:p>
    <w:p w14:paraId="3B3171AA" w14:textId="77777777" w:rsidR="002B5444" w:rsidRDefault="002B5444"/>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6B1025"/>
    <w:multiLevelType w:val="hybridMultilevel"/>
    <w:tmpl w:val="F870944E"/>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 w15:restartNumberingAfterBreak="0">
    <w:nsid w:val="0B0570FC"/>
    <w:multiLevelType w:val="hybridMultilevel"/>
    <w:tmpl w:val="AB50AAE6"/>
    <w:lvl w:ilvl="0" w:tplc="F44E108E">
      <w:numFmt w:val="bullet"/>
      <w:lvlText w:val="-"/>
      <w:lvlJc w:val="left"/>
      <w:pPr>
        <w:ind w:left="1170" w:hanging="360"/>
      </w:pPr>
      <w:rPr>
        <w:rFonts w:ascii="Times New Roman" w:eastAsiaTheme="minorEastAsia" w:hAnsi="Times New Roman" w:cs="Times New Roman"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 w15:restartNumberingAfterBreak="0">
    <w:nsid w:val="1A641FD5"/>
    <w:multiLevelType w:val="hybridMultilevel"/>
    <w:tmpl w:val="37D6860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303923"/>
    <w:multiLevelType w:val="hybridMultilevel"/>
    <w:tmpl w:val="658AF24E"/>
    <w:lvl w:ilvl="0" w:tplc="A060F6D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57663AF"/>
    <w:multiLevelType w:val="hybridMultilevel"/>
    <w:tmpl w:val="37D6860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992932"/>
    <w:multiLevelType w:val="hybridMultilevel"/>
    <w:tmpl w:val="E97CEB22"/>
    <w:lvl w:ilvl="0" w:tplc="875A25FA">
      <w:start w:val="1"/>
      <w:numFmt w:val="decimal"/>
      <w:lvlText w:val="%1."/>
      <w:lvlJc w:val="left"/>
      <w:pPr>
        <w:ind w:left="1080" w:hanging="360"/>
      </w:pPr>
      <w:rPr>
        <w:rFonts w:ascii="Times New Roman" w:hAnsi="Times New Roman" w:cs="Times New Roman"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264B5741"/>
    <w:multiLevelType w:val="hybridMultilevel"/>
    <w:tmpl w:val="6562E3A2"/>
    <w:lvl w:ilvl="0" w:tplc="B950B364">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021337"/>
    <w:multiLevelType w:val="hybridMultilevel"/>
    <w:tmpl w:val="B0F88BB0"/>
    <w:lvl w:ilvl="0" w:tplc="03ECC2A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E354EE"/>
    <w:multiLevelType w:val="hybridMultilevel"/>
    <w:tmpl w:val="37D6860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0160B22"/>
    <w:multiLevelType w:val="hybridMultilevel"/>
    <w:tmpl w:val="D602C7DE"/>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35EC5146"/>
    <w:multiLevelType w:val="hybridMultilevel"/>
    <w:tmpl w:val="6010AED2"/>
    <w:lvl w:ilvl="0" w:tplc="03ECC2A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8084F8C"/>
    <w:multiLevelType w:val="hybridMultilevel"/>
    <w:tmpl w:val="37D6860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F171391"/>
    <w:multiLevelType w:val="hybridMultilevel"/>
    <w:tmpl w:val="BE00B9AE"/>
    <w:lvl w:ilvl="0" w:tplc="F44E108E">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3251FA4"/>
    <w:multiLevelType w:val="hybridMultilevel"/>
    <w:tmpl w:val="92E01216"/>
    <w:lvl w:ilvl="0" w:tplc="A8D0A6F4">
      <w:start w:val="2"/>
      <w:numFmt w:val="bullet"/>
      <w:lvlText w:val="-"/>
      <w:lvlJc w:val="left"/>
      <w:pPr>
        <w:ind w:left="720" w:hanging="360"/>
      </w:pPr>
      <w:rPr>
        <w:rFonts w:ascii="Times New Roman" w:eastAsiaTheme="minorEastAsia" w:hAnsi="Times New Roman" w:cs="Times New Roman" w:hint="default"/>
        <w:b/>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6B43421"/>
    <w:multiLevelType w:val="hybridMultilevel"/>
    <w:tmpl w:val="4D820CF6"/>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8D026F2"/>
    <w:multiLevelType w:val="hybridMultilevel"/>
    <w:tmpl w:val="37D6860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A2A6C3C"/>
    <w:multiLevelType w:val="hybridMultilevel"/>
    <w:tmpl w:val="37D6860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EB3FE4"/>
    <w:multiLevelType w:val="hybridMultilevel"/>
    <w:tmpl w:val="9B84C124"/>
    <w:lvl w:ilvl="0" w:tplc="F44E108E">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C0A52F6"/>
    <w:multiLevelType w:val="hybridMultilevel"/>
    <w:tmpl w:val="45AAE50E"/>
    <w:lvl w:ilvl="0" w:tplc="D1D69D8A">
      <w:start w:val="1"/>
      <w:numFmt w:val="decimal"/>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50C97733"/>
    <w:multiLevelType w:val="hybridMultilevel"/>
    <w:tmpl w:val="7B029F5C"/>
    <w:lvl w:ilvl="0" w:tplc="F44E108E">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60B23BD"/>
    <w:multiLevelType w:val="hybridMultilevel"/>
    <w:tmpl w:val="83B4F55E"/>
    <w:lvl w:ilvl="0" w:tplc="F44E108E">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64B55AD"/>
    <w:multiLevelType w:val="hybridMultilevel"/>
    <w:tmpl w:val="4106DCB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13C14B9"/>
    <w:multiLevelType w:val="hybridMultilevel"/>
    <w:tmpl w:val="45D673E2"/>
    <w:lvl w:ilvl="0" w:tplc="F44E108E">
      <w:numFmt w:val="bullet"/>
      <w:lvlText w:val="-"/>
      <w:lvlJc w:val="left"/>
      <w:pPr>
        <w:ind w:left="1080" w:hanging="360"/>
      </w:pPr>
      <w:rPr>
        <w:rFonts w:ascii="Times New Roman" w:eastAsiaTheme="minorEastAsia"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622C0708"/>
    <w:multiLevelType w:val="hybridMultilevel"/>
    <w:tmpl w:val="F3CC8E0A"/>
    <w:lvl w:ilvl="0" w:tplc="F44E108E">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7D77E06"/>
    <w:multiLevelType w:val="hybridMultilevel"/>
    <w:tmpl w:val="37D6860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BAC04C5"/>
    <w:multiLevelType w:val="hybridMultilevel"/>
    <w:tmpl w:val="37D6860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D8A1DA5"/>
    <w:multiLevelType w:val="hybridMultilevel"/>
    <w:tmpl w:val="0C961244"/>
    <w:lvl w:ilvl="0" w:tplc="F44E108E">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D8E3F21"/>
    <w:multiLevelType w:val="hybridMultilevel"/>
    <w:tmpl w:val="2E8E7E82"/>
    <w:lvl w:ilvl="0" w:tplc="03ECC2A8">
      <w:start w:val="1"/>
      <w:numFmt w:val="bullet"/>
      <w:lvlText w:val=""/>
      <w:lvlJc w:val="left"/>
      <w:pPr>
        <w:ind w:left="45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72B3008D"/>
    <w:multiLevelType w:val="hybridMultilevel"/>
    <w:tmpl w:val="02024FC2"/>
    <w:lvl w:ilvl="0" w:tplc="90B25F8C">
      <w:start w:val="18"/>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15:restartNumberingAfterBreak="0">
    <w:nsid w:val="7531240A"/>
    <w:multiLevelType w:val="hybridMultilevel"/>
    <w:tmpl w:val="37D6860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677135A"/>
    <w:multiLevelType w:val="hybridMultilevel"/>
    <w:tmpl w:val="37D6860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98532E2"/>
    <w:multiLevelType w:val="hybridMultilevel"/>
    <w:tmpl w:val="37D6860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FE426E2"/>
    <w:multiLevelType w:val="hybridMultilevel"/>
    <w:tmpl w:val="37D6860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2"/>
  </w:num>
  <w:num w:numId="3">
    <w:abstractNumId w:val="24"/>
  </w:num>
  <w:num w:numId="4">
    <w:abstractNumId w:val="15"/>
  </w:num>
  <w:num w:numId="5">
    <w:abstractNumId w:val="11"/>
  </w:num>
  <w:num w:numId="6">
    <w:abstractNumId w:val="31"/>
  </w:num>
  <w:num w:numId="7">
    <w:abstractNumId w:val="8"/>
  </w:num>
  <w:num w:numId="8">
    <w:abstractNumId w:val="4"/>
  </w:num>
  <w:num w:numId="9">
    <w:abstractNumId w:val="16"/>
  </w:num>
  <w:num w:numId="10">
    <w:abstractNumId w:val="29"/>
  </w:num>
  <w:num w:numId="11">
    <w:abstractNumId w:val="32"/>
  </w:num>
  <w:num w:numId="12">
    <w:abstractNumId w:val="25"/>
  </w:num>
  <w:num w:numId="13">
    <w:abstractNumId w:val="13"/>
  </w:num>
  <w:num w:numId="14">
    <w:abstractNumId w:val="9"/>
  </w:num>
  <w:num w:numId="15">
    <w:abstractNumId w:val="18"/>
  </w:num>
  <w:num w:numId="16">
    <w:abstractNumId w:val="3"/>
  </w:num>
  <w:num w:numId="17">
    <w:abstractNumId w:val="28"/>
  </w:num>
  <w:num w:numId="18">
    <w:abstractNumId w:val="14"/>
  </w:num>
  <w:num w:numId="19">
    <w:abstractNumId w:val="5"/>
  </w:num>
  <w:num w:numId="20">
    <w:abstractNumId w:val="21"/>
  </w:num>
  <w:num w:numId="21">
    <w:abstractNumId w:val="6"/>
  </w:num>
  <w:num w:numId="22">
    <w:abstractNumId w:val="10"/>
  </w:num>
  <w:num w:numId="23">
    <w:abstractNumId w:val="7"/>
  </w:num>
  <w:num w:numId="24">
    <w:abstractNumId w:val="20"/>
  </w:num>
  <w:num w:numId="25">
    <w:abstractNumId w:val="23"/>
  </w:num>
  <w:num w:numId="26">
    <w:abstractNumId w:val="12"/>
  </w:num>
  <w:num w:numId="27">
    <w:abstractNumId w:val="1"/>
  </w:num>
  <w:num w:numId="28">
    <w:abstractNumId w:val="26"/>
  </w:num>
  <w:num w:numId="29">
    <w:abstractNumId w:val="19"/>
  </w:num>
  <w:num w:numId="30">
    <w:abstractNumId w:val="17"/>
  </w:num>
  <w:num w:numId="31">
    <w:abstractNumId w:val="22"/>
  </w:num>
  <w:num w:numId="32">
    <w:abstractNumId w:val="27"/>
  </w:num>
  <w:num w:numId="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7BE6"/>
    <w:rsid w:val="00001383"/>
    <w:rsid w:val="000018E9"/>
    <w:rsid w:val="000038EE"/>
    <w:rsid w:val="00005BBF"/>
    <w:rsid w:val="00007C0B"/>
    <w:rsid w:val="00011443"/>
    <w:rsid w:val="00013C50"/>
    <w:rsid w:val="000151BA"/>
    <w:rsid w:val="00016E26"/>
    <w:rsid w:val="000219C9"/>
    <w:rsid w:val="000229C8"/>
    <w:rsid w:val="00022A73"/>
    <w:rsid w:val="000245F4"/>
    <w:rsid w:val="000256D1"/>
    <w:rsid w:val="0002590E"/>
    <w:rsid w:val="0002790F"/>
    <w:rsid w:val="00027F4D"/>
    <w:rsid w:val="00030697"/>
    <w:rsid w:val="00031AA1"/>
    <w:rsid w:val="00031C47"/>
    <w:rsid w:val="00034DBB"/>
    <w:rsid w:val="00034E61"/>
    <w:rsid w:val="00034EE0"/>
    <w:rsid w:val="000363C4"/>
    <w:rsid w:val="000363EE"/>
    <w:rsid w:val="000376FF"/>
    <w:rsid w:val="00037FC9"/>
    <w:rsid w:val="00041FC3"/>
    <w:rsid w:val="00042244"/>
    <w:rsid w:val="00045DE0"/>
    <w:rsid w:val="000518AC"/>
    <w:rsid w:val="000524F5"/>
    <w:rsid w:val="0005265B"/>
    <w:rsid w:val="0005351B"/>
    <w:rsid w:val="00057F5B"/>
    <w:rsid w:val="00060776"/>
    <w:rsid w:val="000618BB"/>
    <w:rsid w:val="0006536E"/>
    <w:rsid w:val="000712A8"/>
    <w:rsid w:val="00071829"/>
    <w:rsid w:val="00071F2D"/>
    <w:rsid w:val="000732F9"/>
    <w:rsid w:val="00073799"/>
    <w:rsid w:val="00074ED1"/>
    <w:rsid w:val="00077998"/>
    <w:rsid w:val="00080852"/>
    <w:rsid w:val="00081DA4"/>
    <w:rsid w:val="00082FF8"/>
    <w:rsid w:val="000833C7"/>
    <w:rsid w:val="000840E2"/>
    <w:rsid w:val="000858D3"/>
    <w:rsid w:val="00087210"/>
    <w:rsid w:val="000878FA"/>
    <w:rsid w:val="00090524"/>
    <w:rsid w:val="000958AE"/>
    <w:rsid w:val="000962C5"/>
    <w:rsid w:val="000A09BD"/>
    <w:rsid w:val="000A2738"/>
    <w:rsid w:val="000A2B00"/>
    <w:rsid w:val="000A2DD4"/>
    <w:rsid w:val="000A3089"/>
    <w:rsid w:val="000A30E7"/>
    <w:rsid w:val="000A3242"/>
    <w:rsid w:val="000A3625"/>
    <w:rsid w:val="000A39F9"/>
    <w:rsid w:val="000A3DA9"/>
    <w:rsid w:val="000A4183"/>
    <w:rsid w:val="000A75E0"/>
    <w:rsid w:val="000A7BB0"/>
    <w:rsid w:val="000B19F2"/>
    <w:rsid w:val="000B5287"/>
    <w:rsid w:val="000B5BA2"/>
    <w:rsid w:val="000B6147"/>
    <w:rsid w:val="000B750D"/>
    <w:rsid w:val="000B7D69"/>
    <w:rsid w:val="000C28D5"/>
    <w:rsid w:val="000C2EA9"/>
    <w:rsid w:val="000C3E27"/>
    <w:rsid w:val="000C518B"/>
    <w:rsid w:val="000C6842"/>
    <w:rsid w:val="000C689A"/>
    <w:rsid w:val="000C75F7"/>
    <w:rsid w:val="000D121C"/>
    <w:rsid w:val="000D2D4D"/>
    <w:rsid w:val="000D52A4"/>
    <w:rsid w:val="000D55B5"/>
    <w:rsid w:val="000D56F8"/>
    <w:rsid w:val="000D6DA1"/>
    <w:rsid w:val="000E054B"/>
    <w:rsid w:val="000E0DDC"/>
    <w:rsid w:val="000E1A95"/>
    <w:rsid w:val="000E415D"/>
    <w:rsid w:val="000E5A68"/>
    <w:rsid w:val="000E70F4"/>
    <w:rsid w:val="000E79A6"/>
    <w:rsid w:val="000E7AD3"/>
    <w:rsid w:val="000F0FB7"/>
    <w:rsid w:val="000F1CB2"/>
    <w:rsid w:val="000F3515"/>
    <w:rsid w:val="000F382A"/>
    <w:rsid w:val="000F590B"/>
    <w:rsid w:val="000F7CE0"/>
    <w:rsid w:val="00100E48"/>
    <w:rsid w:val="001011DA"/>
    <w:rsid w:val="00103E8A"/>
    <w:rsid w:val="001040A4"/>
    <w:rsid w:val="00104284"/>
    <w:rsid w:val="00104672"/>
    <w:rsid w:val="0010584E"/>
    <w:rsid w:val="00106EAC"/>
    <w:rsid w:val="001074C0"/>
    <w:rsid w:val="0011280F"/>
    <w:rsid w:val="001171BA"/>
    <w:rsid w:val="00122DC0"/>
    <w:rsid w:val="00122EC8"/>
    <w:rsid w:val="0012501C"/>
    <w:rsid w:val="001250A1"/>
    <w:rsid w:val="00125895"/>
    <w:rsid w:val="001279AD"/>
    <w:rsid w:val="001317A8"/>
    <w:rsid w:val="00131D09"/>
    <w:rsid w:val="001325BC"/>
    <w:rsid w:val="00133D2A"/>
    <w:rsid w:val="0013468E"/>
    <w:rsid w:val="0013488F"/>
    <w:rsid w:val="00140CFE"/>
    <w:rsid w:val="00140E21"/>
    <w:rsid w:val="00143506"/>
    <w:rsid w:val="00144AFB"/>
    <w:rsid w:val="00145AB3"/>
    <w:rsid w:val="00145EF2"/>
    <w:rsid w:val="00147588"/>
    <w:rsid w:val="0015128E"/>
    <w:rsid w:val="0015383C"/>
    <w:rsid w:val="00157612"/>
    <w:rsid w:val="001633DA"/>
    <w:rsid w:val="00166844"/>
    <w:rsid w:val="00167CC6"/>
    <w:rsid w:val="00170E5C"/>
    <w:rsid w:val="0017283F"/>
    <w:rsid w:val="001729C2"/>
    <w:rsid w:val="00173C67"/>
    <w:rsid w:val="001753F5"/>
    <w:rsid w:val="00177A77"/>
    <w:rsid w:val="00180964"/>
    <w:rsid w:val="0018131B"/>
    <w:rsid w:val="00181434"/>
    <w:rsid w:val="00184381"/>
    <w:rsid w:val="0018557F"/>
    <w:rsid w:val="00190611"/>
    <w:rsid w:val="00191F36"/>
    <w:rsid w:val="00193AC5"/>
    <w:rsid w:val="00195859"/>
    <w:rsid w:val="001A052F"/>
    <w:rsid w:val="001A2E7E"/>
    <w:rsid w:val="001A460E"/>
    <w:rsid w:val="001A4852"/>
    <w:rsid w:val="001A4CB5"/>
    <w:rsid w:val="001A63E3"/>
    <w:rsid w:val="001B05F1"/>
    <w:rsid w:val="001B2565"/>
    <w:rsid w:val="001B3E85"/>
    <w:rsid w:val="001B3F4E"/>
    <w:rsid w:val="001C1AEA"/>
    <w:rsid w:val="001C428E"/>
    <w:rsid w:val="001C48C0"/>
    <w:rsid w:val="001C4E43"/>
    <w:rsid w:val="001C4F78"/>
    <w:rsid w:val="001C6222"/>
    <w:rsid w:val="001D1660"/>
    <w:rsid w:val="001D4F79"/>
    <w:rsid w:val="001D622A"/>
    <w:rsid w:val="001D65F2"/>
    <w:rsid w:val="001E0D7D"/>
    <w:rsid w:val="001E1518"/>
    <w:rsid w:val="001E2D77"/>
    <w:rsid w:val="001E5420"/>
    <w:rsid w:val="001E5E3E"/>
    <w:rsid w:val="001E64A2"/>
    <w:rsid w:val="001E6C73"/>
    <w:rsid w:val="001E7501"/>
    <w:rsid w:val="001F1BD7"/>
    <w:rsid w:val="001F680E"/>
    <w:rsid w:val="00202842"/>
    <w:rsid w:val="002028D1"/>
    <w:rsid w:val="00204097"/>
    <w:rsid w:val="0020415F"/>
    <w:rsid w:val="00207343"/>
    <w:rsid w:val="002106D9"/>
    <w:rsid w:val="002117B0"/>
    <w:rsid w:val="00212CF7"/>
    <w:rsid w:val="002132F5"/>
    <w:rsid w:val="00220574"/>
    <w:rsid w:val="00224346"/>
    <w:rsid w:val="00225649"/>
    <w:rsid w:val="00225E6E"/>
    <w:rsid w:val="0022604B"/>
    <w:rsid w:val="00231C79"/>
    <w:rsid w:val="00231E11"/>
    <w:rsid w:val="002333C6"/>
    <w:rsid w:val="00236498"/>
    <w:rsid w:val="002404AC"/>
    <w:rsid w:val="00243421"/>
    <w:rsid w:val="002435B0"/>
    <w:rsid w:val="00247076"/>
    <w:rsid w:val="0025037A"/>
    <w:rsid w:val="00250459"/>
    <w:rsid w:val="00254770"/>
    <w:rsid w:val="00261D30"/>
    <w:rsid w:val="00262C1A"/>
    <w:rsid w:val="00262DDF"/>
    <w:rsid w:val="00263980"/>
    <w:rsid w:val="002654DA"/>
    <w:rsid w:val="00267666"/>
    <w:rsid w:val="00267BE6"/>
    <w:rsid w:val="00273ACF"/>
    <w:rsid w:val="0027404A"/>
    <w:rsid w:val="00274094"/>
    <w:rsid w:val="002769CC"/>
    <w:rsid w:val="002859B4"/>
    <w:rsid w:val="002878AD"/>
    <w:rsid w:val="0029087F"/>
    <w:rsid w:val="00294912"/>
    <w:rsid w:val="002A15F5"/>
    <w:rsid w:val="002A226D"/>
    <w:rsid w:val="002A28D5"/>
    <w:rsid w:val="002A5C1F"/>
    <w:rsid w:val="002B11BE"/>
    <w:rsid w:val="002B12E4"/>
    <w:rsid w:val="002B2D87"/>
    <w:rsid w:val="002B4DA6"/>
    <w:rsid w:val="002B5444"/>
    <w:rsid w:val="002B55A9"/>
    <w:rsid w:val="002B6269"/>
    <w:rsid w:val="002B62E4"/>
    <w:rsid w:val="002B78A9"/>
    <w:rsid w:val="002C1A56"/>
    <w:rsid w:val="002C1AC3"/>
    <w:rsid w:val="002C1E79"/>
    <w:rsid w:val="002C357C"/>
    <w:rsid w:val="002C3F23"/>
    <w:rsid w:val="002C3F7A"/>
    <w:rsid w:val="002C5E5B"/>
    <w:rsid w:val="002C6553"/>
    <w:rsid w:val="002C6A57"/>
    <w:rsid w:val="002C6BF0"/>
    <w:rsid w:val="002C712D"/>
    <w:rsid w:val="002D26F4"/>
    <w:rsid w:val="002D37C8"/>
    <w:rsid w:val="002D5A50"/>
    <w:rsid w:val="002D6043"/>
    <w:rsid w:val="002E3A73"/>
    <w:rsid w:val="002F0CC7"/>
    <w:rsid w:val="002F299F"/>
    <w:rsid w:val="002F361F"/>
    <w:rsid w:val="002F3AD1"/>
    <w:rsid w:val="002F7C60"/>
    <w:rsid w:val="00300852"/>
    <w:rsid w:val="00300929"/>
    <w:rsid w:val="00300C23"/>
    <w:rsid w:val="00300D46"/>
    <w:rsid w:val="003012D6"/>
    <w:rsid w:val="0030302F"/>
    <w:rsid w:val="00303F6F"/>
    <w:rsid w:val="003114DA"/>
    <w:rsid w:val="003124CB"/>
    <w:rsid w:val="00315D79"/>
    <w:rsid w:val="00321668"/>
    <w:rsid w:val="00321E81"/>
    <w:rsid w:val="00323DB6"/>
    <w:rsid w:val="00324D06"/>
    <w:rsid w:val="00324FD2"/>
    <w:rsid w:val="00326A07"/>
    <w:rsid w:val="003311EA"/>
    <w:rsid w:val="00331F11"/>
    <w:rsid w:val="00333FA2"/>
    <w:rsid w:val="003343F5"/>
    <w:rsid w:val="0033492D"/>
    <w:rsid w:val="00337126"/>
    <w:rsid w:val="003371CB"/>
    <w:rsid w:val="00337A58"/>
    <w:rsid w:val="003422FA"/>
    <w:rsid w:val="003455B5"/>
    <w:rsid w:val="00346C57"/>
    <w:rsid w:val="00347C49"/>
    <w:rsid w:val="00347D67"/>
    <w:rsid w:val="00347D8E"/>
    <w:rsid w:val="00347E19"/>
    <w:rsid w:val="003508F2"/>
    <w:rsid w:val="00354E76"/>
    <w:rsid w:val="00357736"/>
    <w:rsid w:val="00360244"/>
    <w:rsid w:val="0036135C"/>
    <w:rsid w:val="0036425B"/>
    <w:rsid w:val="0036507D"/>
    <w:rsid w:val="00366619"/>
    <w:rsid w:val="003669A0"/>
    <w:rsid w:val="00366AA3"/>
    <w:rsid w:val="00366F53"/>
    <w:rsid w:val="003678F1"/>
    <w:rsid w:val="00370E41"/>
    <w:rsid w:val="00373680"/>
    <w:rsid w:val="00376F4A"/>
    <w:rsid w:val="00381D45"/>
    <w:rsid w:val="00382278"/>
    <w:rsid w:val="0038250A"/>
    <w:rsid w:val="00382B8E"/>
    <w:rsid w:val="00382E18"/>
    <w:rsid w:val="00382EC5"/>
    <w:rsid w:val="003832E4"/>
    <w:rsid w:val="0038352E"/>
    <w:rsid w:val="003838C8"/>
    <w:rsid w:val="003851EE"/>
    <w:rsid w:val="00385EED"/>
    <w:rsid w:val="003866A9"/>
    <w:rsid w:val="003908B5"/>
    <w:rsid w:val="00392C54"/>
    <w:rsid w:val="00393EC4"/>
    <w:rsid w:val="0039471E"/>
    <w:rsid w:val="003972A2"/>
    <w:rsid w:val="003A03FB"/>
    <w:rsid w:val="003A0AA2"/>
    <w:rsid w:val="003A104A"/>
    <w:rsid w:val="003A2192"/>
    <w:rsid w:val="003A2618"/>
    <w:rsid w:val="003A495B"/>
    <w:rsid w:val="003A513C"/>
    <w:rsid w:val="003A7D71"/>
    <w:rsid w:val="003B0966"/>
    <w:rsid w:val="003B2890"/>
    <w:rsid w:val="003B29DE"/>
    <w:rsid w:val="003B3761"/>
    <w:rsid w:val="003B6B8A"/>
    <w:rsid w:val="003B6FE6"/>
    <w:rsid w:val="003B7641"/>
    <w:rsid w:val="003C3E0C"/>
    <w:rsid w:val="003C58AA"/>
    <w:rsid w:val="003C5CD9"/>
    <w:rsid w:val="003C7871"/>
    <w:rsid w:val="003D32B7"/>
    <w:rsid w:val="003D5C71"/>
    <w:rsid w:val="003D6EF6"/>
    <w:rsid w:val="003E0C42"/>
    <w:rsid w:val="003E145B"/>
    <w:rsid w:val="003E1E26"/>
    <w:rsid w:val="003E3D60"/>
    <w:rsid w:val="003E3FB8"/>
    <w:rsid w:val="003E57E5"/>
    <w:rsid w:val="003E59AC"/>
    <w:rsid w:val="003E6FFE"/>
    <w:rsid w:val="003F12A1"/>
    <w:rsid w:val="003F1AF3"/>
    <w:rsid w:val="003F27F7"/>
    <w:rsid w:val="003F523B"/>
    <w:rsid w:val="003F575B"/>
    <w:rsid w:val="003F763F"/>
    <w:rsid w:val="00403758"/>
    <w:rsid w:val="0040412B"/>
    <w:rsid w:val="004047D1"/>
    <w:rsid w:val="004060E1"/>
    <w:rsid w:val="00413A57"/>
    <w:rsid w:val="004209EE"/>
    <w:rsid w:val="004229D4"/>
    <w:rsid w:val="004234D2"/>
    <w:rsid w:val="0042438F"/>
    <w:rsid w:val="004244B2"/>
    <w:rsid w:val="004279C4"/>
    <w:rsid w:val="0043123E"/>
    <w:rsid w:val="00433B2E"/>
    <w:rsid w:val="00433C5E"/>
    <w:rsid w:val="0043595A"/>
    <w:rsid w:val="00436868"/>
    <w:rsid w:val="00437DDD"/>
    <w:rsid w:val="00442DB1"/>
    <w:rsid w:val="00444170"/>
    <w:rsid w:val="00445B86"/>
    <w:rsid w:val="00446D06"/>
    <w:rsid w:val="004470CE"/>
    <w:rsid w:val="00453BC4"/>
    <w:rsid w:val="004605AB"/>
    <w:rsid w:val="00460BE5"/>
    <w:rsid w:val="004610F8"/>
    <w:rsid w:val="00461286"/>
    <w:rsid w:val="00462A1E"/>
    <w:rsid w:val="004675D6"/>
    <w:rsid w:val="00470181"/>
    <w:rsid w:val="00471052"/>
    <w:rsid w:val="004718A2"/>
    <w:rsid w:val="00471A54"/>
    <w:rsid w:val="004734C8"/>
    <w:rsid w:val="00474B17"/>
    <w:rsid w:val="00475D2E"/>
    <w:rsid w:val="00476D1D"/>
    <w:rsid w:val="00477E8E"/>
    <w:rsid w:val="00480CD7"/>
    <w:rsid w:val="00482477"/>
    <w:rsid w:val="004824C7"/>
    <w:rsid w:val="00482602"/>
    <w:rsid w:val="00483803"/>
    <w:rsid w:val="00484170"/>
    <w:rsid w:val="00485F09"/>
    <w:rsid w:val="004875AC"/>
    <w:rsid w:val="004937B3"/>
    <w:rsid w:val="00493A52"/>
    <w:rsid w:val="00493B4C"/>
    <w:rsid w:val="004942A2"/>
    <w:rsid w:val="004943FE"/>
    <w:rsid w:val="004945FA"/>
    <w:rsid w:val="00494D19"/>
    <w:rsid w:val="00497C2D"/>
    <w:rsid w:val="004A363C"/>
    <w:rsid w:val="004A3C3F"/>
    <w:rsid w:val="004A7449"/>
    <w:rsid w:val="004A75C5"/>
    <w:rsid w:val="004B026F"/>
    <w:rsid w:val="004B2404"/>
    <w:rsid w:val="004B2FCA"/>
    <w:rsid w:val="004B3619"/>
    <w:rsid w:val="004B6137"/>
    <w:rsid w:val="004B6A5C"/>
    <w:rsid w:val="004C29DA"/>
    <w:rsid w:val="004C68CD"/>
    <w:rsid w:val="004C7418"/>
    <w:rsid w:val="004D45A4"/>
    <w:rsid w:val="004D45B1"/>
    <w:rsid w:val="004D4B9B"/>
    <w:rsid w:val="004D4DCE"/>
    <w:rsid w:val="004D4E7D"/>
    <w:rsid w:val="004D4E7E"/>
    <w:rsid w:val="004D6E43"/>
    <w:rsid w:val="004D708E"/>
    <w:rsid w:val="004E04B7"/>
    <w:rsid w:val="004E0D79"/>
    <w:rsid w:val="004E1367"/>
    <w:rsid w:val="004E1492"/>
    <w:rsid w:val="004E5CA8"/>
    <w:rsid w:val="004F31A8"/>
    <w:rsid w:val="004F4753"/>
    <w:rsid w:val="004F5884"/>
    <w:rsid w:val="004F5F88"/>
    <w:rsid w:val="00501476"/>
    <w:rsid w:val="00502EBB"/>
    <w:rsid w:val="00503682"/>
    <w:rsid w:val="00503FBC"/>
    <w:rsid w:val="00504778"/>
    <w:rsid w:val="00505C1F"/>
    <w:rsid w:val="0050628B"/>
    <w:rsid w:val="005071BB"/>
    <w:rsid w:val="005110E8"/>
    <w:rsid w:val="005117B8"/>
    <w:rsid w:val="0051341B"/>
    <w:rsid w:val="0051422B"/>
    <w:rsid w:val="00514BE8"/>
    <w:rsid w:val="0051556D"/>
    <w:rsid w:val="00515AC2"/>
    <w:rsid w:val="00515E4B"/>
    <w:rsid w:val="005162DD"/>
    <w:rsid w:val="00517B88"/>
    <w:rsid w:val="00517DD7"/>
    <w:rsid w:val="00520779"/>
    <w:rsid w:val="00523F6D"/>
    <w:rsid w:val="005256E9"/>
    <w:rsid w:val="00526305"/>
    <w:rsid w:val="0052685A"/>
    <w:rsid w:val="00527E5A"/>
    <w:rsid w:val="00530BA7"/>
    <w:rsid w:val="0053354C"/>
    <w:rsid w:val="00534143"/>
    <w:rsid w:val="00534220"/>
    <w:rsid w:val="00534886"/>
    <w:rsid w:val="00534C82"/>
    <w:rsid w:val="00535979"/>
    <w:rsid w:val="0053714D"/>
    <w:rsid w:val="00537807"/>
    <w:rsid w:val="00537953"/>
    <w:rsid w:val="0054145C"/>
    <w:rsid w:val="00544173"/>
    <w:rsid w:val="0054528F"/>
    <w:rsid w:val="00546931"/>
    <w:rsid w:val="00550A2E"/>
    <w:rsid w:val="00550A6F"/>
    <w:rsid w:val="00554065"/>
    <w:rsid w:val="00564724"/>
    <w:rsid w:val="005655C6"/>
    <w:rsid w:val="005666A0"/>
    <w:rsid w:val="005671A3"/>
    <w:rsid w:val="005704A1"/>
    <w:rsid w:val="005708F7"/>
    <w:rsid w:val="005729D9"/>
    <w:rsid w:val="00575468"/>
    <w:rsid w:val="00575B11"/>
    <w:rsid w:val="0057668F"/>
    <w:rsid w:val="00576A7E"/>
    <w:rsid w:val="00580DA3"/>
    <w:rsid w:val="00582834"/>
    <w:rsid w:val="0058294E"/>
    <w:rsid w:val="00586D63"/>
    <w:rsid w:val="005910C8"/>
    <w:rsid w:val="00591C07"/>
    <w:rsid w:val="005927EB"/>
    <w:rsid w:val="00595009"/>
    <w:rsid w:val="00596C97"/>
    <w:rsid w:val="00597BB8"/>
    <w:rsid w:val="00597EF6"/>
    <w:rsid w:val="005A1185"/>
    <w:rsid w:val="005A2367"/>
    <w:rsid w:val="005A2955"/>
    <w:rsid w:val="005A3459"/>
    <w:rsid w:val="005A4C14"/>
    <w:rsid w:val="005A543D"/>
    <w:rsid w:val="005B0A99"/>
    <w:rsid w:val="005B17BB"/>
    <w:rsid w:val="005B1A3A"/>
    <w:rsid w:val="005B267B"/>
    <w:rsid w:val="005B2D86"/>
    <w:rsid w:val="005B475B"/>
    <w:rsid w:val="005B5870"/>
    <w:rsid w:val="005B7C1D"/>
    <w:rsid w:val="005C0751"/>
    <w:rsid w:val="005C145E"/>
    <w:rsid w:val="005C14DE"/>
    <w:rsid w:val="005C174E"/>
    <w:rsid w:val="005C22A7"/>
    <w:rsid w:val="005C447D"/>
    <w:rsid w:val="005C493E"/>
    <w:rsid w:val="005C4DBF"/>
    <w:rsid w:val="005C7B44"/>
    <w:rsid w:val="005D0E3F"/>
    <w:rsid w:val="005D19A4"/>
    <w:rsid w:val="005D39D8"/>
    <w:rsid w:val="005D4438"/>
    <w:rsid w:val="005D4827"/>
    <w:rsid w:val="005D4FD0"/>
    <w:rsid w:val="005D525C"/>
    <w:rsid w:val="005D7806"/>
    <w:rsid w:val="005E0DF5"/>
    <w:rsid w:val="005E125E"/>
    <w:rsid w:val="005E41AB"/>
    <w:rsid w:val="005F0643"/>
    <w:rsid w:val="005F1D9F"/>
    <w:rsid w:val="005F3C0D"/>
    <w:rsid w:val="005F3D3F"/>
    <w:rsid w:val="005F53A9"/>
    <w:rsid w:val="00600F66"/>
    <w:rsid w:val="00601694"/>
    <w:rsid w:val="00601B35"/>
    <w:rsid w:val="00604EFF"/>
    <w:rsid w:val="00606F16"/>
    <w:rsid w:val="00607E16"/>
    <w:rsid w:val="006124BD"/>
    <w:rsid w:val="006126B9"/>
    <w:rsid w:val="006140CE"/>
    <w:rsid w:val="00616ABB"/>
    <w:rsid w:val="00621507"/>
    <w:rsid w:val="00621F0C"/>
    <w:rsid w:val="00624233"/>
    <w:rsid w:val="00630056"/>
    <w:rsid w:val="00630D4E"/>
    <w:rsid w:val="00632CE2"/>
    <w:rsid w:val="00632E86"/>
    <w:rsid w:val="00637AC7"/>
    <w:rsid w:val="00640F99"/>
    <w:rsid w:val="006417CD"/>
    <w:rsid w:val="00642F5F"/>
    <w:rsid w:val="0064408F"/>
    <w:rsid w:val="0064644D"/>
    <w:rsid w:val="00650860"/>
    <w:rsid w:val="00651352"/>
    <w:rsid w:val="0065147B"/>
    <w:rsid w:val="006529EE"/>
    <w:rsid w:val="00653EDA"/>
    <w:rsid w:val="00653F41"/>
    <w:rsid w:val="00655D5D"/>
    <w:rsid w:val="006565E1"/>
    <w:rsid w:val="00657940"/>
    <w:rsid w:val="006604AB"/>
    <w:rsid w:val="0066231A"/>
    <w:rsid w:val="00666A44"/>
    <w:rsid w:val="00666ADE"/>
    <w:rsid w:val="006677D0"/>
    <w:rsid w:val="00667D4D"/>
    <w:rsid w:val="00671389"/>
    <w:rsid w:val="006715BA"/>
    <w:rsid w:val="006730DB"/>
    <w:rsid w:val="00673986"/>
    <w:rsid w:val="00674594"/>
    <w:rsid w:val="00674596"/>
    <w:rsid w:val="006753B0"/>
    <w:rsid w:val="00676994"/>
    <w:rsid w:val="00682D49"/>
    <w:rsid w:val="006840D1"/>
    <w:rsid w:val="00685E0D"/>
    <w:rsid w:val="006874CF"/>
    <w:rsid w:val="00692D90"/>
    <w:rsid w:val="006945EB"/>
    <w:rsid w:val="006965F9"/>
    <w:rsid w:val="00697E11"/>
    <w:rsid w:val="006A0C29"/>
    <w:rsid w:val="006A20B3"/>
    <w:rsid w:val="006A3460"/>
    <w:rsid w:val="006A38D0"/>
    <w:rsid w:val="006A3CCE"/>
    <w:rsid w:val="006B06BB"/>
    <w:rsid w:val="006B411C"/>
    <w:rsid w:val="006B4421"/>
    <w:rsid w:val="006B677F"/>
    <w:rsid w:val="006B76F6"/>
    <w:rsid w:val="006C1C13"/>
    <w:rsid w:val="006C2A14"/>
    <w:rsid w:val="006C3137"/>
    <w:rsid w:val="006C34D9"/>
    <w:rsid w:val="006D023B"/>
    <w:rsid w:val="006D1BED"/>
    <w:rsid w:val="006D1DD8"/>
    <w:rsid w:val="006D33A9"/>
    <w:rsid w:val="006D3BB0"/>
    <w:rsid w:val="006D6C2D"/>
    <w:rsid w:val="006E176D"/>
    <w:rsid w:val="006E2FF2"/>
    <w:rsid w:val="006F2377"/>
    <w:rsid w:val="006F31F2"/>
    <w:rsid w:val="006F322C"/>
    <w:rsid w:val="006F415E"/>
    <w:rsid w:val="006F5AC3"/>
    <w:rsid w:val="007003EF"/>
    <w:rsid w:val="00701494"/>
    <w:rsid w:val="00703429"/>
    <w:rsid w:val="0070451B"/>
    <w:rsid w:val="00704C4C"/>
    <w:rsid w:val="0070676E"/>
    <w:rsid w:val="0070718E"/>
    <w:rsid w:val="007113DC"/>
    <w:rsid w:val="00711599"/>
    <w:rsid w:val="00711656"/>
    <w:rsid w:val="00712199"/>
    <w:rsid w:val="007129DA"/>
    <w:rsid w:val="00715C04"/>
    <w:rsid w:val="007162A4"/>
    <w:rsid w:val="0071717A"/>
    <w:rsid w:val="007175B3"/>
    <w:rsid w:val="00720EB7"/>
    <w:rsid w:val="00721A55"/>
    <w:rsid w:val="00721D36"/>
    <w:rsid w:val="00722753"/>
    <w:rsid w:val="00723344"/>
    <w:rsid w:val="007242FE"/>
    <w:rsid w:val="00724863"/>
    <w:rsid w:val="0072572C"/>
    <w:rsid w:val="00725B78"/>
    <w:rsid w:val="00727013"/>
    <w:rsid w:val="00727AF3"/>
    <w:rsid w:val="007305F5"/>
    <w:rsid w:val="00732CF5"/>
    <w:rsid w:val="007336EB"/>
    <w:rsid w:val="00733B7A"/>
    <w:rsid w:val="007400E6"/>
    <w:rsid w:val="00740FEA"/>
    <w:rsid w:val="00743C71"/>
    <w:rsid w:val="00744001"/>
    <w:rsid w:val="00744608"/>
    <w:rsid w:val="00744D2B"/>
    <w:rsid w:val="0074671E"/>
    <w:rsid w:val="0075159F"/>
    <w:rsid w:val="00753386"/>
    <w:rsid w:val="00754D8B"/>
    <w:rsid w:val="00757CC4"/>
    <w:rsid w:val="00757E95"/>
    <w:rsid w:val="00761B7B"/>
    <w:rsid w:val="00761F83"/>
    <w:rsid w:val="007622BF"/>
    <w:rsid w:val="00763FCA"/>
    <w:rsid w:val="007645DD"/>
    <w:rsid w:val="00764CD4"/>
    <w:rsid w:val="00766249"/>
    <w:rsid w:val="00766E0D"/>
    <w:rsid w:val="0077056D"/>
    <w:rsid w:val="0077107F"/>
    <w:rsid w:val="00776FD3"/>
    <w:rsid w:val="00777C27"/>
    <w:rsid w:val="007814B4"/>
    <w:rsid w:val="00781A3D"/>
    <w:rsid w:val="007821FB"/>
    <w:rsid w:val="00783C13"/>
    <w:rsid w:val="007856FE"/>
    <w:rsid w:val="00786754"/>
    <w:rsid w:val="00790558"/>
    <w:rsid w:val="00791E6A"/>
    <w:rsid w:val="007932D5"/>
    <w:rsid w:val="00794FD6"/>
    <w:rsid w:val="00797BC1"/>
    <w:rsid w:val="007A063C"/>
    <w:rsid w:val="007A5542"/>
    <w:rsid w:val="007A62AA"/>
    <w:rsid w:val="007A6ACB"/>
    <w:rsid w:val="007B0AD5"/>
    <w:rsid w:val="007B0FEE"/>
    <w:rsid w:val="007B19D8"/>
    <w:rsid w:val="007B2457"/>
    <w:rsid w:val="007B2DF7"/>
    <w:rsid w:val="007B4683"/>
    <w:rsid w:val="007C03B3"/>
    <w:rsid w:val="007C04F6"/>
    <w:rsid w:val="007C247A"/>
    <w:rsid w:val="007C5483"/>
    <w:rsid w:val="007C575B"/>
    <w:rsid w:val="007C5BFF"/>
    <w:rsid w:val="007C7342"/>
    <w:rsid w:val="007C7CA8"/>
    <w:rsid w:val="007D1113"/>
    <w:rsid w:val="007D3F8E"/>
    <w:rsid w:val="007D46B0"/>
    <w:rsid w:val="007D4F25"/>
    <w:rsid w:val="007D5D96"/>
    <w:rsid w:val="007E2063"/>
    <w:rsid w:val="007E33F8"/>
    <w:rsid w:val="007E7625"/>
    <w:rsid w:val="007E7845"/>
    <w:rsid w:val="007E7CD6"/>
    <w:rsid w:val="007F0EC7"/>
    <w:rsid w:val="007F243E"/>
    <w:rsid w:val="007F35FC"/>
    <w:rsid w:val="007F49C2"/>
    <w:rsid w:val="007F526D"/>
    <w:rsid w:val="0080120A"/>
    <w:rsid w:val="008012EA"/>
    <w:rsid w:val="008025F3"/>
    <w:rsid w:val="00804D0F"/>
    <w:rsid w:val="0080521D"/>
    <w:rsid w:val="00806231"/>
    <w:rsid w:val="00807B00"/>
    <w:rsid w:val="0081009E"/>
    <w:rsid w:val="00811FF9"/>
    <w:rsid w:val="00813C2A"/>
    <w:rsid w:val="008158B6"/>
    <w:rsid w:val="0081652D"/>
    <w:rsid w:val="00816ADB"/>
    <w:rsid w:val="00816BF6"/>
    <w:rsid w:val="008172B7"/>
    <w:rsid w:val="0081765A"/>
    <w:rsid w:val="00817EFD"/>
    <w:rsid w:val="00822479"/>
    <w:rsid w:val="00823E8E"/>
    <w:rsid w:val="0082612E"/>
    <w:rsid w:val="008276FB"/>
    <w:rsid w:val="00827B63"/>
    <w:rsid w:val="00830D90"/>
    <w:rsid w:val="0083110D"/>
    <w:rsid w:val="00831282"/>
    <w:rsid w:val="008312C6"/>
    <w:rsid w:val="008314BE"/>
    <w:rsid w:val="0083465D"/>
    <w:rsid w:val="0083551B"/>
    <w:rsid w:val="00835C7E"/>
    <w:rsid w:val="0084198C"/>
    <w:rsid w:val="00841CFF"/>
    <w:rsid w:val="00841EE5"/>
    <w:rsid w:val="008425EC"/>
    <w:rsid w:val="00842AD2"/>
    <w:rsid w:val="008435F9"/>
    <w:rsid w:val="008446BD"/>
    <w:rsid w:val="00844BD0"/>
    <w:rsid w:val="008522DF"/>
    <w:rsid w:val="0085357D"/>
    <w:rsid w:val="008538D1"/>
    <w:rsid w:val="00854442"/>
    <w:rsid w:val="008554AD"/>
    <w:rsid w:val="00856E27"/>
    <w:rsid w:val="008618A0"/>
    <w:rsid w:val="00861C2C"/>
    <w:rsid w:val="00862A0C"/>
    <w:rsid w:val="00863669"/>
    <w:rsid w:val="008651B6"/>
    <w:rsid w:val="0086665E"/>
    <w:rsid w:val="0087781E"/>
    <w:rsid w:val="008824FD"/>
    <w:rsid w:val="00883C43"/>
    <w:rsid w:val="008911FA"/>
    <w:rsid w:val="008930C6"/>
    <w:rsid w:val="00893AA7"/>
    <w:rsid w:val="008A0212"/>
    <w:rsid w:val="008A06BF"/>
    <w:rsid w:val="008A176A"/>
    <w:rsid w:val="008A1A2D"/>
    <w:rsid w:val="008A1EF9"/>
    <w:rsid w:val="008A238E"/>
    <w:rsid w:val="008A2891"/>
    <w:rsid w:val="008A371B"/>
    <w:rsid w:val="008A5443"/>
    <w:rsid w:val="008B3926"/>
    <w:rsid w:val="008B3972"/>
    <w:rsid w:val="008B3B01"/>
    <w:rsid w:val="008B582B"/>
    <w:rsid w:val="008B7E45"/>
    <w:rsid w:val="008C0B8E"/>
    <w:rsid w:val="008C101C"/>
    <w:rsid w:val="008C119C"/>
    <w:rsid w:val="008C44CB"/>
    <w:rsid w:val="008C4B7C"/>
    <w:rsid w:val="008C51E4"/>
    <w:rsid w:val="008C5783"/>
    <w:rsid w:val="008C747E"/>
    <w:rsid w:val="008D247C"/>
    <w:rsid w:val="008D4057"/>
    <w:rsid w:val="008D5072"/>
    <w:rsid w:val="008D5D4F"/>
    <w:rsid w:val="008D612B"/>
    <w:rsid w:val="008E0156"/>
    <w:rsid w:val="008E4B15"/>
    <w:rsid w:val="008F58B2"/>
    <w:rsid w:val="008F6F0F"/>
    <w:rsid w:val="00900415"/>
    <w:rsid w:val="00901089"/>
    <w:rsid w:val="0090121B"/>
    <w:rsid w:val="009018D9"/>
    <w:rsid w:val="00901F9F"/>
    <w:rsid w:val="00905441"/>
    <w:rsid w:val="00906426"/>
    <w:rsid w:val="00911183"/>
    <w:rsid w:val="00916448"/>
    <w:rsid w:val="009213B7"/>
    <w:rsid w:val="009230AA"/>
    <w:rsid w:val="00923860"/>
    <w:rsid w:val="009272C7"/>
    <w:rsid w:val="00930904"/>
    <w:rsid w:val="00930A1E"/>
    <w:rsid w:val="00932A37"/>
    <w:rsid w:val="009331C7"/>
    <w:rsid w:val="00937804"/>
    <w:rsid w:val="009400F4"/>
    <w:rsid w:val="00941BBA"/>
    <w:rsid w:val="0094268A"/>
    <w:rsid w:val="0094288F"/>
    <w:rsid w:val="009444F8"/>
    <w:rsid w:val="00944727"/>
    <w:rsid w:val="00944E2C"/>
    <w:rsid w:val="009475FD"/>
    <w:rsid w:val="00952DEB"/>
    <w:rsid w:val="00952F81"/>
    <w:rsid w:val="0095606C"/>
    <w:rsid w:val="00956482"/>
    <w:rsid w:val="00956EA4"/>
    <w:rsid w:val="00957F00"/>
    <w:rsid w:val="0096010B"/>
    <w:rsid w:val="009601BC"/>
    <w:rsid w:val="00960DB7"/>
    <w:rsid w:val="00961D1F"/>
    <w:rsid w:val="009620DC"/>
    <w:rsid w:val="00964295"/>
    <w:rsid w:val="00964472"/>
    <w:rsid w:val="00970762"/>
    <w:rsid w:val="00970FD5"/>
    <w:rsid w:val="0097275E"/>
    <w:rsid w:val="00977B6D"/>
    <w:rsid w:val="00981E63"/>
    <w:rsid w:val="00982000"/>
    <w:rsid w:val="00983C70"/>
    <w:rsid w:val="009853C6"/>
    <w:rsid w:val="00985474"/>
    <w:rsid w:val="009857AB"/>
    <w:rsid w:val="00990801"/>
    <w:rsid w:val="00990CF8"/>
    <w:rsid w:val="0099215A"/>
    <w:rsid w:val="00993960"/>
    <w:rsid w:val="00993FDE"/>
    <w:rsid w:val="00994172"/>
    <w:rsid w:val="0099547E"/>
    <w:rsid w:val="0099720F"/>
    <w:rsid w:val="0099741D"/>
    <w:rsid w:val="00997947"/>
    <w:rsid w:val="009A35B9"/>
    <w:rsid w:val="009A4465"/>
    <w:rsid w:val="009A6485"/>
    <w:rsid w:val="009B0273"/>
    <w:rsid w:val="009B0A80"/>
    <w:rsid w:val="009B0C3D"/>
    <w:rsid w:val="009B22A4"/>
    <w:rsid w:val="009B476B"/>
    <w:rsid w:val="009B68D5"/>
    <w:rsid w:val="009C0650"/>
    <w:rsid w:val="009C121B"/>
    <w:rsid w:val="009C40B0"/>
    <w:rsid w:val="009D0192"/>
    <w:rsid w:val="009D48CB"/>
    <w:rsid w:val="009D4BF2"/>
    <w:rsid w:val="009D57CC"/>
    <w:rsid w:val="009D73F3"/>
    <w:rsid w:val="009D7443"/>
    <w:rsid w:val="009D7A73"/>
    <w:rsid w:val="009E1A09"/>
    <w:rsid w:val="009E1FB9"/>
    <w:rsid w:val="009E7F05"/>
    <w:rsid w:val="009F1112"/>
    <w:rsid w:val="009F1C46"/>
    <w:rsid w:val="009F2687"/>
    <w:rsid w:val="009F3284"/>
    <w:rsid w:val="009F6C0E"/>
    <w:rsid w:val="00A0371A"/>
    <w:rsid w:val="00A052F4"/>
    <w:rsid w:val="00A070AE"/>
    <w:rsid w:val="00A07918"/>
    <w:rsid w:val="00A12E8B"/>
    <w:rsid w:val="00A14393"/>
    <w:rsid w:val="00A14A0E"/>
    <w:rsid w:val="00A17D48"/>
    <w:rsid w:val="00A21C84"/>
    <w:rsid w:val="00A22563"/>
    <w:rsid w:val="00A227CE"/>
    <w:rsid w:val="00A230B1"/>
    <w:rsid w:val="00A230D7"/>
    <w:rsid w:val="00A237AB"/>
    <w:rsid w:val="00A317DF"/>
    <w:rsid w:val="00A31B90"/>
    <w:rsid w:val="00A33B2E"/>
    <w:rsid w:val="00A34B96"/>
    <w:rsid w:val="00A34E44"/>
    <w:rsid w:val="00A352CB"/>
    <w:rsid w:val="00A3705C"/>
    <w:rsid w:val="00A376E1"/>
    <w:rsid w:val="00A40ADB"/>
    <w:rsid w:val="00A40DBB"/>
    <w:rsid w:val="00A43147"/>
    <w:rsid w:val="00A4567E"/>
    <w:rsid w:val="00A4638E"/>
    <w:rsid w:val="00A46A11"/>
    <w:rsid w:val="00A46C14"/>
    <w:rsid w:val="00A50833"/>
    <w:rsid w:val="00A50A1A"/>
    <w:rsid w:val="00A565CE"/>
    <w:rsid w:val="00A62242"/>
    <w:rsid w:val="00A65B1F"/>
    <w:rsid w:val="00A65E44"/>
    <w:rsid w:val="00A66528"/>
    <w:rsid w:val="00A70314"/>
    <w:rsid w:val="00A740B6"/>
    <w:rsid w:val="00A816AA"/>
    <w:rsid w:val="00A862FA"/>
    <w:rsid w:val="00A867C6"/>
    <w:rsid w:val="00A871A6"/>
    <w:rsid w:val="00A91028"/>
    <w:rsid w:val="00A9297F"/>
    <w:rsid w:val="00AA0ED4"/>
    <w:rsid w:val="00AA14F2"/>
    <w:rsid w:val="00AA2EA6"/>
    <w:rsid w:val="00AA3A94"/>
    <w:rsid w:val="00AA59F8"/>
    <w:rsid w:val="00AB3303"/>
    <w:rsid w:val="00AB4A83"/>
    <w:rsid w:val="00AB4C16"/>
    <w:rsid w:val="00AB4E07"/>
    <w:rsid w:val="00AB59EE"/>
    <w:rsid w:val="00AB6109"/>
    <w:rsid w:val="00AC118A"/>
    <w:rsid w:val="00AC286E"/>
    <w:rsid w:val="00AC324D"/>
    <w:rsid w:val="00AC3D71"/>
    <w:rsid w:val="00AC4F49"/>
    <w:rsid w:val="00AC70E6"/>
    <w:rsid w:val="00AD05FC"/>
    <w:rsid w:val="00AD060D"/>
    <w:rsid w:val="00AD1816"/>
    <w:rsid w:val="00AD5692"/>
    <w:rsid w:val="00AD5B4C"/>
    <w:rsid w:val="00AD7272"/>
    <w:rsid w:val="00AE08A2"/>
    <w:rsid w:val="00AE0F9D"/>
    <w:rsid w:val="00AE3776"/>
    <w:rsid w:val="00AE63B4"/>
    <w:rsid w:val="00AF069B"/>
    <w:rsid w:val="00AF105A"/>
    <w:rsid w:val="00AF3A34"/>
    <w:rsid w:val="00AF4D07"/>
    <w:rsid w:val="00AF4E50"/>
    <w:rsid w:val="00AF7B8D"/>
    <w:rsid w:val="00B0342B"/>
    <w:rsid w:val="00B10671"/>
    <w:rsid w:val="00B10E06"/>
    <w:rsid w:val="00B1204B"/>
    <w:rsid w:val="00B12312"/>
    <w:rsid w:val="00B13762"/>
    <w:rsid w:val="00B16232"/>
    <w:rsid w:val="00B16E32"/>
    <w:rsid w:val="00B17FB8"/>
    <w:rsid w:val="00B2027B"/>
    <w:rsid w:val="00B215AC"/>
    <w:rsid w:val="00B22A5B"/>
    <w:rsid w:val="00B22B79"/>
    <w:rsid w:val="00B2374B"/>
    <w:rsid w:val="00B25405"/>
    <w:rsid w:val="00B25466"/>
    <w:rsid w:val="00B25757"/>
    <w:rsid w:val="00B25A45"/>
    <w:rsid w:val="00B26B9A"/>
    <w:rsid w:val="00B27185"/>
    <w:rsid w:val="00B33106"/>
    <w:rsid w:val="00B3436F"/>
    <w:rsid w:val="00B34D6D"/>
    <w:rsid w:val="00B3557F"/>
    <w:rsid w:val="00B361A1"/>
    <w:rsid w:val="00B37328"/>
    <w:rsid w:val="00B37599"/>
    <w:rsid w:val="00B37EBF"/>
    <w:rsid w:val="00B4366F"/>
    <w:rsid w:val="00B451F5"/>
    <w:rsid w:val="00B478A4"/>
    <w:rsid w:val="00B5124D"/>
    <w:rsid w:val="00B51B35"/>
    <w:rsid w:val="00B52950"/>
    <w:rsid w:val="00B52D9C"/>
    <w:rsid w:val="00B5315B"/>
    <w:rsid w:val="00B53F06"/>
    <w:rsid w:val="00B54701"/>
    <w:rsid w:val="00B54E73"/>
    <w:rsid w:val="00B55E26"/>
    <w:rsid w:val="00B56C47"/>
    <w:rsid w:val="00B61748"/>
    <w:rsid w:val="00B61F0B"/>
    <w:rsid w:val="00B62250"/>
    <w:rsid w:val="00B62EA6"/>
    <w:rsid w:val="00B65F34"/>
    <w:rsid w:val="00B65F5C"/>
    <w:rsid w:val="00B700C8"/>
    <w:rsid w:val="00B71E45"/>
    <w:rsid w:val="00B72565"/>
    <w:rsid w:val="00B73296"/>
    <w:rsid w:val="00B73C1A"/>
    <w:rsid w:val="00B74664"/>
    <w:rsid w:val="00B76106"/>
    <w:rsid w:val="00B7774D"/>
    <w:rsid w:val="00B7790A"/>
    <w:rsid w:val="00B81B51"/>
    <w:rsid w:val="00B90429"/>
    <w:rsid w:val="00B905AD"/>
    <w:rsid w:val="00B92B2A"/>
    <w:rsid w:val="00B93EE9"/>
    <w:rsid w:val="00B943C7"/>
    <w:rsid w:val="00B95D94"/>
    <w:rsid w:val="00B9776C"/>
    <w:rsid w:val="00B97876"/>
    <w:rsid w:val="00B978B6"/>
    <w:rsid w:val="00B97D58"/>
    <w:rsid w:val="00BA0F38"/>
    <w:rsid w:val="00BA2666"/>
    <w:rsid w:val="00BA3FA1"/>
    <w:rsid w:val="00BB11B7"/>
    <w:rsid w:val="00BB205C"/>
    <w:rsid w:val="00BB240E"/>
    <w:rsid w:val="00BB2BF7"/>
    <w:rsid w:val="00BB7F8C"/>
    <w:rsid w:val="00BC0008"/>
    <w:rsid w:val="00BC0CDA"/>
    <w:rsid w:val="00BC165F"/>
    <w:rsid w:val="00BC401B"/>
    <w:rsid w:val="00BC5261"/>
    <w:rsid w:val="00BC5437"/>
    <w:rsid w:val="00BC5CBF"/>
    <w:rsid w:val="00BC6CD6"/>
    <w:rsid w:val="00BC7BB2"/>
    <w:rsid w:val="00BD1E69"/>
    <w:rsid w:val="00BD3789"/>
    <w:rsid w:val="00BD5015"/>
    <w:rsid w:val="00BD5130"/>
    <w:rsid w:val="00BE2974"/>
    <w:rsid w:val="00BE3611"/>
    <w:rsid w:val="00BE4721"/>
    <w:rsid w:val="00BE6779"/>
    <w:rsid w:val="00BE6CEC"/>
    <w:rsid w:val="00BE76C9"/>
    <w:rsid w:val="00BF04D8"/>
    <w:rsid w:val="00BF3B44"/>
    <w:rsid w:val="00BF40D0"/>
    <w:rsid w:val="00BF416B"/>
    <w:rsid w:val="00BF475D"/>
    <w:rsid w:val="00BF4D20"/>
    <w:rsid w:val="00BF51FA"/>
    <w:rsid w:val="00BF6A1C"/>
    <w:rsid w:val="00BF6D83"/>
    <w:rsid w:val="00C00492"/>
    <w:rsid w:val="00C02DBD"/>
    <w:rsid w:val="00C0591E"/>
    <w:rsid w:val="00C07844"/>
    <w:rsid w:val="00C1099B"/>
    <w:rsid w:val="00C118F3"/>
    <w:rsid w:val="00C13263"/>
    <w:rsid w:val="00C1380D"/>
    <w:rsid w:val="00C14DB2"/>
    <w:rsid w:val="00C15E7A"/>
    <w:rsid w:val="00C166F7"/>
    <w:rsid w:val="00C16CB1"/>
    <w:rsid w:val="00C1724E"/>
    <w:rsid w:val="00C21494"/>
    <w:rsid w:val="00C25BBD"/>
    <w:rsid w:val="00C27CD7"/>
    <w:rsid w:val="00C3113D"/>
    <w:rsid w:val="00C327F5"/>
    <w:rsid w:val="00C32BAC"/>
    <w:rsid w:val="00C336BE"/>
    <w:rsid w:val="00C34327"/>
    <w:rsid w:val="00C355B3"/>
    <w:rsid w:val="00C3573D"/>
    <w:rsid w:val="00C423F8"/>
    <w:rsid w:val="00C43936"/>
    <w:rsid w:val="00C47081"/>
    <w:rsid w:val="00C476D2"/>
    <w:rsid w:val="00C47FFC"/>
    <w:rsid w:val="00C5314A"/>
    <w:rsid w:val="00C53C95"/>
    <w:rsid w:val="00C5420E"/>
    <w:rsid w:val="00C56B91"/>
    <w:rsid w:val="00C56D67"/>
    <w:rsid w:val="00C57D86"/>
    <w:rsid w:val="00C61B92"/>
    <w:rsid w:val="00C62CF8"/>
    <w:rsid w:val="00C674A2"/>
    <w:rsid w:val="00C6754E"/>
    <w:rsid w:val="00C679A5"/>
    <w:rsid w:val="00C67CCA"/>
    <w:rsid w:val="00C7280D"/>
    <w:rsid w:val="00C72E36"/>
    <w:rsid w:val="00C7514F"/>
    <w:rsid w:val="00C7541F"/>
    <w:rsid w:val="00C7578D"/>
    <w:rsid w:val="00C776E2"/>
    <w:rsid w:val="00C80507"/>
    <w:rsid w:val="00C80687"/>
    <w:rsid w:val="00C813FD"/>
    <w:rsid w:val="00C81CD9"/>
    <w:rsid w:val="00C85413"/>
    <w:rsid w:val="00C869DC"/>
    <w:rsid w:val="00C87D1E"/>
    <w:rsid w:val="00C90E0F"/>
    <w:rsid w:val="00C90EFF"/>
    <w:rsid w:val="00C939EA"/>
    <w:rsid w:val="00C940EA"/>
    <w:rsid w:val="00C95794"/>
    <w:rsid w:val="00CA03F9"/>
    <w:rsid w:val="00CA05F0"/>
    <w:rsid w:val="00CA27BE"/>
    <w:rsid w:val="00CA5A08"/>
    <w:rsid w:val="00CA7D65"/>
    <w:rsid w:val="00CB007B"/>
    <w:rsid w:val="00CB05BE"/>
    <w:rsid w:val="00CB70A7"/>
    <w:rsid w:val="00CB7BE1"/>
    <w:rsid w:val="00CC3268"/>
    <w:rsid w:val="00CC6044"/>
    <w:rsid w:val="00CD1876"/>
    <w:rsid w:val="00CD26DF"/>
    <w:rsid w:val="00CD27BA"/>
    <w:rsid w:val="00CD4DEC"/>
    <w:rsid w:val="00CD511D"/>
    <w:rsid w:val="00CD6497"/>
    <w:rsid w:val="00CD6AE8"/>
    <w:rsid w:val="00CE077A"/>
    <w:rsid w:val="00CE1693"/>
    <w:rsid w:val="00CE2653"/>
    <w:rsid w:val="00CE444E"/>
    <w:rsid w:val="00CE7BE8"/>
    <w:rsid w:val="00CF039C"/>
    <w:rsid w:val="00CF3FD6"/>
    <w:rsid w:val="00CF4C07"/>
    <w:rsid w:val="00CF4ED8"/>
    <w:rsid w:val="00D00063"/>
    <w:rsid w:val="00D02C31"/>
    <w:rsid w:val="00D0442C"/>
    <w:rsid w:val="00D06950"/>
    <w:rsid w:val="00D10863"/>
    <w:rsid w:val="00D11F90"/>
    <w:rsid w:val="00D11FCE"/>
    <w:rsid w:val="00D12D7A"/>
    <w:rsid w:val="00D14A9F"/>
    <w:rsid w:val="00D1583A"/>
    <w:rsid w:val="00D16084"/>
    <w:rsid w:val="00D161BA"/>
    <w:rsid w:val="00D175E3"/>
    <w:rsid w:val="00D17CE1"/>
    <w:rsid w:val="00D200C7"/>
    <w:rsid w:val="00D202A7"/>
    <w:rsid w:val="00D223B5"/>
    <w:rsid w:val="00D22583"/>
    <w:rsid w:val="00D227D7"/>
    <w:rsid w:val="00D23FF2"/>
    <w:rsid w:val="00D24C08"/>
    <w:rsid w:val="00D34C3D"/>
    <w:rsid w:val="00D34F0C"/>
    <w:rsid w:val="00D371A6"/>
    <w:rsid w:val="00D405E1"/>
    <w:rsid w:val="00D420DB"/>
    <w:rsid w:val="00D4259F"/>
    <w:rsid w:val="00D42EF4"/>
    <w:rsid w:val="00D4358A"/>
    <w:rsid w:val="00D462EB"/>
    <w:rsid w:val="00D47CB5"/>
    <w:rsid w:val="00D5212B"/>
    <w:rsid w:val="00D56445"/>
    <w:rsid w:val="00D56C37"/>
    <w:rsid w:val="00D60916"/>
    <w:rsid w:val="00D62754"/>
    <w:rsid w:val="00D63597"/>
    <w:rsid w:val="00D64F36"/>
    <w:rsid w:val="00D65509"/>
    <w:rsid w:val="00D6581A"/>
    <w:rsid w:val="00D67D4C"/>
    <w:rsid w:val="00D67DC3"/>
    <w:rsid w:val="00D709F7"/>
    <w:rsid w:val="00D7195C"/>
    <w:rsid w:val="00D71A55"/>
    <w:rsid w:val="00D73EE6"/>
    <w:rsid w:val="00D7599B"/>
    <w:rsid w:val="00D760D8"/>
    <w:rsid w:val="00D80AC6"/>
    <w:rsid w:val="00D81B2C"/>
    <w:rsid w:val="00D841E4"/>
    <w:rsid w:val="00D857CC"/>
    <w:rsid w:val="00D863DC"/>
    <w:rsid w:val="00D90D7B"/>
    <w:rsid w:val="00D92D5B"/>
    <w:rsid w:val="00D9405B"/>
    <w:rsid w:val="00D94D39"/>
    <w:rsid w:val="00D96260"/>
    <w:rsid w:val="00D96EE2"/>
    <w:rsid w:val="00DA1353"/>
    <w:rsid w:val="00DA2069"/>
    <w:rsid w:val="00DA5432"/>
    <w:rsid w:val="00DB3555"/>
    <w:rsid w:val="00DB5E10"/>
    <w:rsid w:val="00DB6629"/>
    <w:rsid w:val="00DB68AE"/>
    <w:rsid w:val="00DB702E"/>
    <w:rsid w:val="00DB7450"/>
    <w:rsid w:val="00DC0935"/>
    <w:rsid w:val="00DC09D3"/>
    <w:rsid w:val="00DC24C2"/>
    <w:rsid w:val="00DC383D"/>
    <w:rsid w:val="00DC4E6B"/>
    <w:rsid w:val="00DD14E1"/>
    <w:rsid w:val="00DD5555"/>
    <w:rsid w:val="00DD73AB"/>
    <w:rsid w:val="00DD7497"/>
    <w:rsid w:val="00DE1441"/>
    <w:rsid w:val="00DE23BD"/>
    <w:rsid w:val="00DE25C1"/>
    <w:rsid w:val="00DE2F64"/>
    <w:rsid w:val="00DE3BFB"/>
    <w:rsid w:val="00DE3FAE"/>
    <w:rsid w:val="00DF2D00"/>
    <w:rsid w:val="00DF4C64"/>
    <w:rsid w:val="00DF6BE4"/>
    <w:rsid w:val="00E0010D"/>
    <w:rsid w:val="00E0049A"/>
    <w:rsid w:val="00E01DA9"/>
    <w:rsid w:val="00E01EDC"/>
    <w:rsid w:val="00E02B3D"/>
    <w:rsid w:val="00E02D91"/>
    <w:rsid w:val="00E0332B"/>
    <w:rsid w:val="00E03EBE"/>
    <w:rsid w:val="00E042A2"/>
    <w:rsid w:val="00E043B8"/>
    <w:rsid w:val="00E06178"/>
    <w:rsid w:val="00E06EEE"/>
    <w:rsid w:val="00E11193"/>
    <w:rsid w:val="00E1136D"/>
    <w:rsid w:val="00E13F0B"/>
    <w:rsid w:val="00E15F39"/>
    <w:rsid w:val="00E2135A"/>
    <w:rsid w:val="00E2184C"/>
    <w:rsid w:val="00E22E0E"/>
    <w:rsid w:val="00E24812"/>
    <w:rsid w:val="00E250CA"/>
    <w:rsid w:val="00E2639D"/>
    <w:rsid w:val="00E26482"/>
    <w:rsid w:val="00E26CFA"/>
    <w:rsid w:val="00E318FD"/>
    <w:rsid w:val="00E31E45"/>
    <w:rsid w:val="00E35084"/>
    <w:rsid w:val="00E35A9B"/>
    <w:rsid w:val="00E37ED5"/>
    <w:rsid w:val="00E405A1"/>
    <w:rsid w:val="00E40D44"/>
    <w:rsid w:val="00E4531B"/>
    <w:rsid w:val="00E45FCB"/>
    <w:rsid w:val="00E47492"/>
    <w:rsid w:val="00E54704"/>
    <w:rsid w:val="00E54918"/>
    <w:rsid w:val="00E55126"/>
    <w:rsid w:val="00E622BD"/>
    <w:rsid w:val="00E62E31"/>
    <w:rsid w:val="00E661C2"/>
    <w:rsid w:val="00E70FF1"/>
    <w:rsid w:val="00E715CF"/>
    <w:rsid w:val="00E726FE"/>
    <w:rsid w:val="00E73D04"/>
    <w:rsid w:val="00E73D11"/>
    <w:rsid w:val="00E7528C"/>
    <w:rsid w:val="00E80C1F"/>
    <w:rsid w:val="00E83316"/>
    <w:rsid w:val="00E83A02"/>
    <w:rsid w:val="00E85841"/>
    <w:rsid w:val="00E8593E"/>
    <w:rsid w:val="00E904B8"/>
    <w:rsid w:val="00E91FAA"/>
    <w:rsid w:val="00E9422C"/>
    <w:rsid w:val="00E96C5E"/>
    <w:rsid w:val="00E96FC1"/>
    <w:rsid w:val="00EA0C87"/>
    <w:rsid w:val="00EA100E"/>
    <w:rsid w:val="00EA178E"/>
    <w:rsid w:val="00EA1EEF"/>
    <w:rsid w:val="00EA44DB"/>
    <w:rsid w:val="00EA5AF2"/>
    <w:rsid w:val="00EB0B32"/>
    <w:rsid w:val="00EB189B"/>
    <w:rsid w:val="00EB28BD"/>
    <w:rsid w:val="00EB3B72"/>
    <w:rsid w:val="00EB54A4"/>
    <w:rsid w:val="00EC1DFC"/>
    <w:rsid w:val="00EC4AF0"/>
    <w:rsid w:val="00EC58B6"/>
    <w:rsid w:val="00EC6899"/>
    <w:rsid w:val="00ED008B"/>
    <w:rsid w:val="00ED0205"/>
    <w:rsid w:val="00ED106F"/>
    <w:rsid w:val="00ED165B"/>
    <w:rsid w:val="00ED2731"/>
    <w:rsid w:val="00ED2D35"/>
    <w:rsid w:val="00ED35EB"/>
    <w:rsid w:val="00ED454C"/>
    <w:rsid w:val="00ED5C45"/>
    <w:rsid w:val="00ED612E"/>
    <w:rsid w:val="00ED6FB6"/>
    <w:rsid w:val="00EE040E"/>
    <w:rsid w:val="00EE1624"/>
    <w:rsid w:val="00EE2ADD"/>
    <w:rsid w:val="00EE450E"/>
    <w:rsid w:val="00EE5E7B"/>
    <w:rsid w:val="00EE5F9E"/>
    <w:rsid w:val="00EF0BD5"/>
    <w:rsid w:val="00EF22F1"/>
    <w:rsid w:val="00EF7237"/>
    <w:rsid w:val="00F008ED"/>
    <w:rsid w:val="00F01139"/>
    <w:rsid w:val="00F0152A"/>
    <w:rsid w:val="00F03522"/>
    <w:rsid w:val="00F04366"/>
    <w:rsid w:val="00F043FF"/>
    <w:rsid w:val="00F04BC7"/>
    <w:rsid w:val="00F05265"/>
    <w:rsid w:val="00F06914"/>
    <w:rsid w:val="00F06C39"/>
    <w:rsid w:val="00F075A2"/>
    <w:rsid w:val="00F07CC4"/>
    <w:rsid w:val="00F12FB6"/>
    <w:rsid w:val="00F134FE"/>
    <w:rsid w:val="00F14CC6"/>
    <w:rsid w:val="00F14D26"/>
    <w:rsid w:val="00F218AE"/>
    <w:rsid w:val="00F22E25"/>
    <w:rsid w:val="00F235BA"/>
    <w:rsid w:val="00F249C1"/>
    <w:rsid w:val="00F25502"/>
    <w:rsid w:val="00F25E59"/>
    <w:rsid w:val="00F2662B"/>
    <w:rsid w:val="00F27152"/>
    <w:rsid w:val="00F30C94"/>
    <w:rsid w:val="00F3236A"/>
    <w:rsid w:val="00F324E7"/>
    <w:rsid w:val="00F3271A"/>
    <w:rsid w:val="00F32A65"/>
    <w:rsid w:val="00F33DEE"/>
    <w:rsid w:val="00F35E6A"/>
    <w:rsid w:val="00F41D3A"/>
    <w:rsid w:val="00F4209A"/>
    <w:rsid w:val="00F43FD1"/>
    <w:rsid w:val="00F44018"/>
    <w:rsid w:val="00F46F34"/>
    <w:rsid w:val="00F46FC6"/>
    <w:rsid w:val="00F478E6"/>
    <w:rsid w:val="00F47AD1"/>
    <w:rsid w:val="00F516B7"/>
    <w:rsid w:val="00F519E5"/>
    <w:rsid w:val="00F53D43"/>
    <w:rsid w:val="00F57D73"/>
    <w:rsid w:val="00F61AAE"/>
    <w:rsid w:val="00F6344F"/>
    <w:rsid w:val="00F643C9"/>
    <w:rsid w:val="00F6466E"/>
    <w:rsid w:val="00F67258"/>
    <w:rsid w:val="00F67594"/>
    <w:rsid w:val="00F709FF"/>
    <w:rsid w:val="00F7229A"/>
    <w:rsid w:val="00F752CD"/>
    <w:rsid w:val="00F76E75"/>
    <w:rsid w:val="00F81BEB"/>
    <w:rsid w:val="00F836EF"/>
    <w:rsid w:val="00F85BE3"/>
    <w:rsid w:val="00F85DA5"/>
    <w:rsid w:val="00F861DC"/>
    <w:rsid w:val="00F87B93"/>
    <w:rsid w:val="00F91536"/>
    <w:rsid w:val="00F92837"/>
    <w:rsid w:val="00F93622"/>
    <w:rsid w:val="00F937E0"/>
    <w:rsid w:val="00F94976"/>
    <w:rsid w:val="00F9712D"/>
    <w:rsid w:val="00F975C5"/>
    <w:rsid w:val="00F97DD8"/>
    <w:rsid w:val="00FA1B9B"/>
    <w:rsid w:val="00FA35F4"/>
    <w:rsid w:val="00FA398D"/>
    <w:rsid w:val="00FA5B84"/>
    <w:rsid w:val="00FA67B2"/>
    <w:rsid w:val="00FB18AC"/>
    <w:rsid w:val="00FB19B2"/>
    <w:rsid w:val="00FB1A99"/>
    <w:rsid w:val="00FB240E"/>
    <w:rsid w:val="00FB35F4"/>
    <w:rsid w:val="00FB4DCE"/>
    <w:rsid w:val="00FB6C49"/>
    <w:rsid w:val="00FB7276"/>
    <w:rsid w:val="00FC7C7E"/>
    <w:rsid w:val="00FC7F96"/>
    <w:rsid w:val="00FD53DA"/>
    <w:rsid w:val="00FD71D7"/>
    <w:rsid w:val="00FD7F98"/>
    <w:rsid w:val="00FE0995"/>
    <w:rsid w:val="00FE1EEB"/>
    <w:rsid w:val="00FE2421"/>
    <w:rsid w:val="00FE24C6"/>
    <w:rsid w:val="00FE5CEF"/>
    <w:rsid w:val="00FE5E7B"/>
    <w:rsid w:val="00FF1503"/>
    <w:rsid w:val="00FF3040"/>
    <w:rsid w:val="00FF35B3"/>
    <w:rsid w:val="00FF51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EC6C3"/>
  <w15:chartTrackingRefBased/>
  <w15:docId w15:val="{17D627C8-D853-4747-BCE7-79435D61D6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7B63"/>
    <w:pPr>
      <w:spacing w:before="120" w:after="120" w:line="360" w:lineRule="auto"/>
      <w:jc w:val="both"/>
    </w:pPr>
    <w:rPr>
      <w:rFonts w:ascii="Times New Roman" w:eastAsiaTheme="minorEastAsia" w:hAnsi="Times New Roman"/>
      <w:sz w:val="24"/>
      <w:lang w:val="en-US"/>
    </w:rPr>
  </w:style>
  <w:style w:type="paragraph" w:styleId="Heading1">
    <w:name w:val="heading 1"/>
    <w:basedOn w:val="Normal"/>
    <w:next w:val="Normal"/>
    <w:link w:val="Heading1Char"/>
    <w:uiPriority w:val="9"/>
    <w:qFormat/>
    <w:rsid w:val="00827B63"/>
    <w:pPr>
      <w:keepNext/>
      <w:keepLines/>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827B63"/>
    <w:pPr>
      <w:keepNext/>
      <w:keepLines/>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827B63"/>
    <w:pPr>
      <w:keepNext/>
      <w:keepLines/>
      <w:outlineLvl w:val="2"/>
    </w:pPr>
    <w:rPr>
      <w:rFonts w:eastAsiaTheme="majorEastAsia" w:cstheme="majorBidi"/>
      <w:b/>
      <w:bCs/>
    </w:rPr>
  </w:style>
  <w:style w:type="paragraph" w:styleId="Heading4">
    <w:name w:val="heading 4"/>
    <w:basedOn w:val="Normal"/>
    <w:next w:val="Normal"/>
    <w:link w:val="Heading4Char"/>
    <w:uiPriority w:val="9"/>
    <w:unhideWhenUsed/>
    <w:qFormat/>
    <w:rsid w:val="00827B63"/>
    <w:pPr>
      <w:keepNext/>
      <w:keepLines/>
      <w:outlineLvl w:val="3"/>
    </w:pPr>
    <w:rPr>
      <w:rFonts w:eastAsiaTheme="majorEastAsia" w:cstheme="majorBidi"/>
      <w:b/>
      <w:iCs/>
    </w:rPr>
  </w:style>
  <w:style w:type="paragraph" w:styleId="Heading5">
    <w:name w:val="heading 5"/>
    <w:basedOn w:val="Normal"/>
    <w:next w:val="Normal"/>
    <w:link w:val="Heading5Char"/>
    <w:uiPriority w:val="9"/>
    <w:unhideWhenUsed/>
    <w:qFormat/>
    <w:rsid w:val="00827B63"/>
    <w:pPr>
      <w:keepNext/>
      <w:framePr w:hSpace="180" w:wrap="around" w:vAnchor="text" w:hAnchor="page" w:x="779" w:y="122"/>
      <w:autoSpaceDE w:val="0"/>
      <w:autoSpaceDN w:val="0"/>
      <w:adjustRightInd w:val="0"/>
      <w:jc w:val="left"/>
      <w:outlineLvl w:val="4"/>
    </w:pPr>
    <w:rPr>
      <w:rFonts w:cs="Times New Roman"/>
      <w:b/>
      <w:szCs w:val="20"/>
      <w:lang w:val="en-GB"/>
    </w:rPr>
  </w:style>
  <w:style w:type="paragraph" w:styleId="Heading6">
    <w:name w:val="heading 6"/>
    <w:basedOn w:val="Normal"/>
    <w:next w:val="Normal"/>
    <w:link w:val="Heading6Char"/>
    <w:uiPriority w:val="9"/>
    <w:unhideWhenUsed/>
    <w:qFormat/>
    <w:rsid w:val="00BE4721"/>
    <w:pPr>
      <w:keepNext/>
      <w:spacing w:line="336" w:lineRule="auto"/>
      <w:outlineLvl w:val="5"/>
    </w:pPr>
    <w:rPr>
      <w:rFonts w:cs="Times New Roman"/>
      <w:b/>
      <w:szCs w:val="24"/>
    </w:rPr>
  </w:style>
  <w:style w:type="paragraph" w:styleId="Heading7">
    <w:name w:val="heading 7"/>
    <w:basedOn w:val="Normal"/>
    <w:next w:val="Normal"/>
    <w:link w:val="Heading7Char"/>
    <w:uiPriority w:val="9"/>
    <w:unhideWhenUsed/>
    <w:qFormat/>
    <w:rsid w:val="00C7578D"/>
    <w:pPr>
      <w:keepNext/>
      <w:ind w:left="720" w:hanging="720"/>
      <w:outlineLvl w:val="6"/>
    </w:pPr>
    <w:rPr>
      <w:rFonts w:cs="Times New Roman"/>
      <w:b/>
      <w:szCs w:val="24"/>
    </w:rPr>
  </w:style>
  <w:style w:type="paragraph" w:styleId="Heading8">
    <w:name w:val="heading 8"/>
    <w:basedOn w:val="Normal"/>
    <w:next w:val="Normal"/>
    <w:link w:val="Heading8Char"/>
    <w:uiPriority w:val="9"/>
    <w:semiHidden/>
    <w:unhideWhenUsed/>
    <w:qFormat/>
    <w:rsid w:val="006126B9"/>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27B63"/>
    <w:rPr>
      <w:rFonts w:ascii="Times New Roman" w:eastAsiaTheme="majorEastAsia" w:hAnsi="Times New Roman" w:cstheme="majorBidi"/>
      <w:b/>
      <w:bCs/>
      <w:sz w:val="24"/>
      <w:szCs w:val="28"/>
      <w:lang w:val="en-US"/>
    </w:rPr>
  </w:style>
  <w:style w:type="character" w:customStyle="1" w:styleId="Heading2Char">
    <w:name w:val="Heading 2 Char"/>
    <w:basedOn w:val="DefaultParagraphFont"/>
    <w:link w:val="Heading2"/>
    <w:uiPriority w:val="9"/>
    <w:rsid w:val="00827B63"/>
    <w:rPr>
      <w:rFonts w:ascii="Times New Roman" w:eastAsiaTheme="majorEastAsia" w:hAnsi="Times New Roman" w:cstheme="majorBidi"/>
      <w:b/>
      <w:bCs/>
      <w:sz w:val="24"/>
      <w:szCs w:val="26"/>
      <w:lang w:val="en-US"/>
    </w:rPr>
  </w:style>
  <w:style w:type="character" w:customStyle="1" w:styleId="Heading3Char">
    <w:name w:val="Heading 3 Char"/>
    <w:basedOn w:val="DefaultParagraphFont"/>
    <w:link w:val="Heading3"/>
    <w:uiPriority w:val="9"/>
    <w:rsid w:val="00827B63"/>
    <w:rPr>
      <w:rFonts w:ascii="Times New Roman" w:eastAsiaTheme="majorEastAsia" w:hAnsi="Times New Roman" w:cstheme="majorBidi"/>
      <w:b/>
      <w:bCs/>
      <w:sz w:val="24"/>
      <w:lang w:val="en-US"/>
    </w:rPr>
  </w:style>
  <w:style w:type="character" w:customStyle="1" w:styleId="Heading4Char">
    <w:name w:val="Heading 4 Char"/>
    <w:basedOn w:val="DefaultParagraphFont"/>
    <w:link w:val="Heading4"/>
    <w:uiPriority w:val="9"/>
    <w:rsid w:val="00827B63"/>
    <w:rPr>
      <w:rFonts w:ascii="Times New Roman" w:eastAsiaTheme="majorEastAsia" w:hAnsi="Times New Roman" w:cstheme="majorBidi"/>
      <w:b/>
      <w:iCs/>
      <w:sz w:val="24"/>
      <w:lang w:val="en-US"/>
    </w:rPr>
  </w:style>
  <w:style w:type="paragraph" w:styleId="ListParagraph">
    <w:name w:val="List Paragraph"/>
    <w:basedOn w:val="Normal"/>
    <w:link w:val="ListParagraphChar"/>
    <w:uiPriority w:val="34"/>
    <w:qFormat/>
    <w:rsid w:val="00267BE6"/>
    <w:pPr>
      <w:ind w:left="720"/>
      <w:contextualSpacing/>
    </w:pPr>
  </w:style>
  <w:style w:type="paragraph" w:customStyle="1" w:styleId="Default">
    <w:name w:val="Default"/>
    <w:rsid w:val="00267BE6"/>
    <w:pPr>
      <w:autoSpaceDE w:val="0"/>
      <w:autoSpaceDN w:val="0"/>
      <w:adjustRightInd w:val="0"/>
      <w:spacing w:after="0" w:line="240" w:lineRule="auto"/>
    </w:pPr>
    <w:rPr>
      <w:rFonts w:ascii="Times New Roman" w:eastAsiaTheme="minorEastAsia" w:hAnsi="Times New Roman" w:cs="Times New Roman"/>
      <w:color w:val="000000"/>
      <w:sz w:val="24"/>
      <w:szCs w:val="24"/>
      <w:lang w:val="en-US"/>
    </w:rPr>
  </w:style>
  <w:style w:type="paragraph" w:styleId="TOCHeading">
    <w:name w:val="TOC Heading"/>
    <w:basedOn w:val="Heading1"/>
    <w:next w:val="Normal"/>
    <w:uiPriority w:val="39"/>
    <w:unhideWhenUsed/>
    <w:qFormat/>
    <w:rsid w:val="00267BE6"/>
    <w:pPr>
      <w:jc w:val="left"/>
      <w:outlineLvl w:val="9"/>
    </w:pPr>
    <w:rPr>
      <w:rFonts w:asciiTheme="majorHAnsi" w:hAnsiTheme="majorHAnsi"/>
      <w:color w:val="2E74B5" w:themeColor="accent1" w:themeShade="BF"/>
      <w:sz w:val="28"/>
    </w:rPr>
  </w:style>
  <w:style w:type="paragraph" w:styleId="TOC2">
    <w:name w:val="toc 2"/>
    <w:basedOn w:val="Normal"/>
    <w:next w:val="Normal"/>
    <w:autoRedefine/>
    <w:uiPriority w:val="39"/>
    <w:unhideWhenUsed/>
    <w:rsid w:val="00267BE6"/>
    <w:pPr>
      <w:spacing w:after="100"/>
      <w:ind w:left="220"/>
    </w:pPr>
  </w:style>
  <w:style w:type="paragraph" w:styleId="TOC3">
    <w:name w:val="toc 3"/>
    <w:basedOn w:val="Normal"/>
    <w:next w:val="Normal"/>
    <w:autoRedefine/>
    <w:uiPriority w:val="39"/>
    <w:unhideWhenUsed/>
    <w:rsid w:val="00267BE6"/>
    <w:pPr>
      <w:spacing w:after="100"/>
      <w:ind w:left="440"/>
    </w:pPr>
  </w:style>
  <w:style w:type="character" w:styleId="Hyperlink">
    <w:name w:val="Hyperlink"/>
    <w:basedOn w:val="DefaultParagraphFont"/>
    <w:uiPriority w:val="99"/>
    <w:unhideWhenUsed/>
    <w:rsid w:val="00267BE6"/>
    <w:rPr>
      <w:color w:val="0563C1" w:themeColor="hyperlink"/>
      <w:u w:val="single"/>
    </w:rPr>
  </w:style>
  <w:style w:type="paragraph" w:styleId="TOC1">
    <w:name w:val="toc 1"/>
    <w:basedOn w:val="Normal"/>
    <w:next w:val="Normal"/>
    <w:autoRedefine/>
    <w:uiPriority w:val="39"/>
    <w:unhideWhenUsed/>
    <w:rsid w:val="00267BE6"/>
    <w:pPr>
      <w:tabs>
        <w:tab w:val="right" w:leader="dot" w:pos="9350"/>
      </w:tabs>
      <w:spacing w:after="100"/>
    </w:pPr>
    <w:rPr>
      <w:rFonts w:cs="Times New Roman"/>
      <w:b/>
      <w:noProof/>
    </w:rPr>
  </w:style>
  <w:style w:type="character" w:customStyle="1" w:styleId="BalloonTextChar">
    <w:name w:val="Balloon Text Char"/>
    <w:basedOn w:val="DefaultParagraphFont"/>
    <w:link w:val="BalloonText"/>
    <w:uiPriority w:val="99"/>
    <w:semiHidden/>
    <w:rsid w:val="00267BE6"/>
    <w:rPr>
      <w:rFonts w:ascii="Tahoma" w:eastAsiaTheme="minorEastAsia" w:hAnsi="Tahoma" w:cs="Tahoma"/>
      <w:sz w:val="16"/>
      <w:szCs w:val="16"/>
      <w:lang w:val="en-US"/>
    </w:rPr>
  </w:style>
  <w:style w:type="paragraph" w:styleId="BalloonText">
    <w:name w:val="Balloon Text"/>
    <w:basedOn w:val="Normal"/>
    <w:link w:val="BalloonTextChar"/>
    <w:uiPriority w:val="99"/>
    <w:semiHidden/>
    <w:unhideWhenUsed/>
    <w:rsid w:val="00267BE6"/>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267BE6"/>
    <w:rPr>
      <w:rFonts w:ascii="Tahoma" w:eastAsiaTheme="minorEastAsia" w:hAnsi="Tahoma" w:cs="Tahoma"/>
      <w:sz w:val="16"/>
      <w:szCs w:val="16"/>
      <w:lang w:val="en-US"/>
    </w:rPr>
  </w:style>
  <w:style w:type="paragraph" w:styleId="DocumentMap">
    <w:name w:val="Document Map"/>
    <w:basedOn w:val="Normal"/>
    <w:link w:val="DocumentMapChar"/>
    <w:uiPriority w:val="99"/>
    <w:semiHidden/>
    <w:unhideWhenUsed/>
    <w:rsid w:val="00267BE6"/>
    <w:pPr>
      <w:spacing w:after="0" w:line="240" w:lineRule="auto"/>
    </w:pPr>
    <w:rPr>
      <w:rFonts w:ascii="Tahoma" w:hAnsi="Tahoma" w:cs="Tahoma"/>
      <w:sz w:val="16"/>
      <w:szCs w:val="16"/>
    </w:rPr>
  </w:style>
  <w:style w:type="paragraph" w:styleId="Header">
    <w:name w:val="header"/>
    <w:basedOn w:val="Normal"/>
    <w:link w:val="HeaderChar"/>
    <w:uiPriority w:val="99"/>
    <w:unhideWhenUsed/>
    <w:rsid w:val="00267B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267BE6"/>
    <w:rPr>
      <w:rFonts w:ascii="Times New Roman" w:eastAsiaTheme="minorEastAsia" w:hAnsi="Times New Roman"/>
      <w:sz w:val="24"/>
      <w:lang w:val="en-US"/>
    </w:rPr>
  </w:style>
  <w:style w:type="paragraph" w:styleId="Footer">
    <w:name w:val="footer"/>
    <w:basedOn w:val="Normal"/>
    <w:link w:val="FooterChar"/>
    <w:uiPriority w:val="99"/>
    <w:unhideWhenUsed/>
    <w:rsid w:val="00267B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7BE6"/>
    <w:rPr>
      <w:rFonts w:ascii="Times New Roman" w:eastAsiaTheme="minorEastAsia" w:hAnsi="Times New Roman"/>
      <w:sz w:val="24"/>
      <w:lang w:val="en-US"/>
    </w:rPr>
  </w:style>
  <w:style w:type="table" w:styleId="TableGrid">
    <w:name w:val="Table Grid"/>
    <w:basedOn w:val="TableNormal"/>
    <w:uiPriority w:val="39"/>
    <w:rsid w:val="00267BE6"/>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3Char">
    <w:name w:val="Body Text 3 Char"/>
    <w:basedOn w:val="DefaultParagraphFont"/>
    <w:link w:val="BodyText3"/>
    <w:uiPriority w:val="99"/>
    <w:rsid w:val="00267BE6"/>
    <w:rPr>
      <w:rFonts w:ascii="Calibri" w:eastAsia="Calibri" w:hAnsi="Calibri" w:cs="Times New Roman"/>
      <w:sz w:val="16"/>
      <w:szCs w:val="16"/>
      <w:lang w:val="en-US"/>
    </w:rPr>
  </w:style>
  <w:style w:type="paragraph" w:styleId="BodyText3">
    <w:name w:val="Body Text 3"/>
    <w:basedOn w:val="Normal"/>
    <w:link w:val="BodyText3Char"/>
    <w:uiPriority w:val="99"/>
    <w:unhideWhenUsed/>
    <w:rsid w:val="00267BE6"/>
    <w:rPr>
      <w:rFonts w:ascii="Calibri" w:eastAsia="Calibri" w:hAnsi="Calibri" w:cs="Times New Roman"/>
      <w:sz w:val="16"/>
      <w:szCs w:val="16"/>
    </w:rPr>
  </w:style>
  <w:style w:type="character" w:customStyle="1" w:styleId="apple-converted-space">
    <w:name w:val="apple-converted-space"/>
    <w:basedOn w:val="DefaultParagraphFont"/>
    <w:rsid w:val="00267BE6"/>
  </w:style>
  <w:style w:type="character" w:styleId="Strong">
    <w:name w:val="Strong"/>
    <w:basedOn w:val="DefaultParagraphFont"/>
    <w:uiPriority w:val="22"/>
    <w:qFormat/>
    <w:rsid w:val="00267BE6"/>
    <w:rPr>
      <w:b/>
      <w:bCs/>
    </w:rPr>
  </w:style>
  <w:style w:type="paragraph" w:styleId="Caption">
    <w:name w:val="caption"/>
    <w:basedOn w:val="Normal"/>
    <w:next w:val="Normal"/>
    <w:uiPriority w:val="35"/>
    <w:unhideWhenUsed/>
    <w:qFormat/>
    <w:rsid w:val="00267BE6"/>
    <w:pPr>
      <w:spacing w:line="240" w:lineRule="auto"/>
    </w:pPr>
    <w:rPr>
      <w:i/>
      <w:iCs/>
      <w:color w:val="44546A" w:themeColor="text2"/>
      <w:sz w:val="18"/>
      <w:szCs w:val="18"/>
    </w:rPr>
  </w:style>
  <w:style w:type="character" w:styleId="Emphasis">
    <w:name w:val="Emphasis"/>
    <w:basedOn w:val="DefaultParagraphFont"/>
    <w:uiPriority w:val="20"/>
    <w:qFormat/>
    <w:rsid w:val="00267BE6"/>
    <w:rPr>
      <w:i/>
      <w:iCs/>
    </w:rPr>
  </w:style>
  <w:style w:type="paragraph" w:styleId="TableofFigures">
    <w:name w:val="table of figures"/>
    <w:basedOn w:val="Normal"/>
    <w:next w:val="Normal"/>
    <w:uiPriority w:val="99"/>
    <w:unhideWhenUsed/>
    <w:rsid w:val="00267BE6"/>
    <w:pPr>
      <w:spacing w:after="0"/>
    </w:pPr>
  </w:style>
  <w:style w:type="character" w:customStyle="1" w:styleId="ls5b">
    <w:name w:val="ls5b"/>
    <w:basedOn w:val="DefaultParagraphFont"/>
    <w:rsid w:val="00267BE6"/>
  </w:style>
  <w:style w:type="character" w:customStyle="1" w:styleId="lsa1">
    <w:name w:val="lsa1"/>
    <w:basedOn w:val="DefaultParagraphFont"/>
    <w:rsid w:val="00267BE6"/>
  </w:style>
  <w:style w:type="character" w:customStyle="1" w:styleId="t">
    <w:name w:val="t"/>
    <w:basedOn w:val="DefaultParagraphFont"/>
    <w:rsid w:val="00267BE6"/>
  </w:style>
  <w:style w:type="paragraph" w:styleId="BodyText">
    <w:name w:val="Body Text"/>
    <w:basedOn w:val="Normal"/>
    <w:link w:val="BodyTextChar"/>
    <w:uiPriority w:val="99"/>
    <w:semiHidden/>
    <w:unhideWhenUsed/>
    <w:rsid w:val="00267BE6"/>
  </w:style>
  <w:style w:type="character" w:customStyle="1" w:styleId="BodyTextChar">
    <w:name w:val="Body Text Char"/>
    <w:basedOn w:val="DefaultParagraphFont"/>
    <w:link w:val="BodyText"/>
    <w:uiPriority w:val="99"/>
    <w:semiHidden/>
    <w:rsid w:val="00267BE6"/>
    <w:rPr>
      <w:rFonts w:ascii="Times New Roman" w:eastAsiaTheme="minorEastAsia" w:hAnsi="Times New Roman"/>
      <w:sz w:val="24"/>
      <w:lang w:val="en-US"/>
    </w:rPr>
  </w:style>
  <w:style w:type="paragraph" w:styleId="BodyText2">
    <w:name w:val="Body Text 2"/>
    <w:basedOn w:val="Normal"/>
    <w:link w:val="BodyText2Char"/>
    <w:uiPriority w:val="99"/>
    <w:unhideWhenUsed/>
    <w:rsid w:val="00E01DA9"/>
  </w:style>
  <w:style w:type="character" w:customStyle="1" w:styleId="BodyText2Char">
    <w:name w:val="Body Text 2 Char"/>
    <w:basedOn w:val="DefaultParagraphFont"/>
    <w:link w:val="BodyText2"/>
    <w:uiPriority w:val="99"/>
    <w:rsid w:val="00E01DA9"/>
    <w:rPr>
      <w:rFonts w:ascii="Times New Roman" w:eastAsiaTheme="minorEastAsia" w:hAnsi="Times New Roman"/>
      <w:sz w:val="24"/>
      <w:lang w:val="en-US"/>
    </w:rPr>
  </w:style>
  <w:style w:type="character" w:customStyle="1" w:styleId="UnresolvedMention1">
    <w:name w:val="Unresolved Mention1"/>
    <w:basedOn w:val="DefaultParagraphFont"/>
    <w:uiPriority w:val="99"/>
    <w:semiHidden/>
    <w:unhideWhenUsed/>
    <w:rsid w:val="009A35B9"/>
    <w:rPr>
      <w:color w:val="605E5C"/>
      <w:shd w:val="clear" w:color="auto" w:fill="E1DFDD"/>
    </w:rPr>
  </w:style>
  <w:style w:type="character" w:customStyle="1" w:styleId="hlfld-title">
    <w:name w:val="hlfld-title"/>
    <w:basedOn w:val="DefaultParagraphFont"/>
    <w:rsid w:val="00C25BBD"/>
  </w:style>
  <w:style w:type="character" w:customStyle="1" w:styleId="Heading5Char">
    <w:name w:val="Heading 5 Char"/>
    <w:basedOn w:val="DefaultParagraphFont"/>
    <w:link w:val="Heading5"/>
    <w:uiPriority w:val="9"/>
    <w:rsid w:val="00827B63"/>
    <w:rPr>
      <w:rFonts w:ascii="Times New Roman" w:eastAsiaTheme="minorEastAsia" w:hAnsi="Times New Roman" w:cs="Times New Roman"/>
      <w:b/>
      <w:sz w:val="24"/>
      <w:szCs w:val="20"/>
    </w:rPr>
  </w:style>
  <w:style w:type="character" w:customStyle="1" w:styleId="Heading6Char">
    <w:name w:val="Heading 6 Char"/>
    <w:basedOn w:val="DefaultParagraphFont"/>
    <w:link w:val="Heading6"/>
    <w:uiPriority w:val="9"/>
    <w:rsid w:val="00BE4721"/>
    <w:rPr>
      <w:rFonts w:ascii="Times New Roman" w:eastAsiaTheme="minorEastAsia" w:hAnsi="Times New Roman" w:cs="Times New Roman"/>
      <w:b/>
      <w:sz w:val="24"/>
      <w:szCs w:val="24"/>
      <w:lang w:val="en-US"/>
    </w:rPr>
  </w:style>
  <w:style w:type="paragraph" w:styleId="NoSpacing">
    <w:name w:val="No Spacing"/>
    <w:uiPriority w:val="1"/>
    <w:qFormat/>
    <w:rsid w:val="00A91028"/>
    <w:pPr>
      <w:spacing w:after="0" w:line="240" w:lineRule="auto"/>
      <w:jc w:val="both"/>
    </w:pPr>
    <w:rPr>
      <w:rFonts w:ascii="Times New Roman" w:eastAsiaTheme="minorEastAsia" w:hAnsi="Times New Roman"/>
      <w:sz w:val="24"/>
      <w:lang w:val="en-US"/>
    </w:rPr>
  </w:style>
  <w:style w:type="paragraph" w:styleId="BodyTextIndent">
    <w:name w:val="Body Text Indent"/>
    <w:basedOn w:val="Normal"/>
    <w:link w:val="BodyTextIndentChar"/>
    <w:uiPriority w:val="99"/>
    <w:unhideWhenUsed/>
    <w:rsid w:val="00034DBB"/>
    <w:pPr>
      <w:spacing w:after="0"/>
      <w:ind w:left="24"/>
    </w:pPr>
    <w:rPr>
      <w:rFonts w:cs="Times New Roman"/>
      <w:szCs w:val="24"/>
    </w:rPr>
  </w:style>
  <w:style w:type="character" w:customStyle="1" w:styleId="BodyTextIndentChar">
    <w:name w:val="Body Text Indent Char"/>
    <w:basedOn w:val="DefaultParagraphFont"/>
    <w:link w:val="BodyTextIndent"/>
    <w:uiPriority w:val="99"/>
    <w:rsid w:val="00034DBB"/>
    <w:rPr>
      <w:rFonts w:ascii="Times New Roman" w:eastAsiaTheme="minorEastAsia" w:hAnsi="Times New Roman" w:cs="Times New Roman"/>
      <w:sz w:val="24"/>
      <w:szCs w:val="24"/>
      <w:lang w:val="en-US"/>
    </w:rPr>
  </w:style>
  <w:style w:type="character" w:customStyle="1" w:styleId="Heading7Char">
    <w:name w:val="Heading 7 Char"/>
    <w:basedOn w:val="DefaultParagraphFont"/>
    <w:link w:val="Heading7"/>
    <w:uiPriority w:val="9"/>
    <w:rsid w:val="00C7578D"/>
    <w:rPr>
      <w:rFonts w:ascii="Times New Roman" w:eastAsiaTheme="minorEastAsia" w:hAnsi="Times New Roman" w:cs="Times New Roman"/>
      <w:b/>
      <w:sz w:val="24"/>
      <w:szCs w:val="24"/>
      <w:lang w:val="en-US"/>
    </w:rPr>
  </w:style>
  <w:style w:type="table" w:styleId="ListTable6Colorful">
    <w:name w:val="List Table 6 Colorful"/>
    <w:basedOn w:val="TableNormal"/>
    <w:uiPriority w:val="51"/>
    <w:rsid w:val="00D34F0C"/>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2">
    <w:name w:val="Plain Table 2"/>
    <w:basedOn w:val="TableNormal"/>
    <w:uiPriority w:val="42"/>
    <w:rsid w:val="00DD749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ListTable1Light-Accent3">
    <w:name w:val="List Table 1 Light Accent 3"/>
    <w:basedOn w:val="TableNormal"/>
    <w:uiPriority w:val="46"/>
    <w:rsid w:val="00446D06"/>
    <w:pPr>
      <w:spacing w:after="0" w:line="240" w:lineRule="auto"/>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PlainTable4">
    <w:name w:val="Plain Table 4"/>
    <w:basedOn w:val="TableNormal"/>
    <w:uiPriority w:val="44"/>
    <w:rsid w:val="000D121C"/>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B3557F"/>
    <w:rPr>
      <w:sz w:val="16"/>
      <w:szCs w:val="16"/>
    </w:rPr>
  </w:style>
  <w:style w:type="paragraph" w:styleId="CommentText">
    <w:name w:val="annotation text"/>
    <w:basedOn w:val="Normal"/>
    <w:link w:val="CommentTextChar"/>
    <w:uiPriority w:val="99"/>
    <w:semiHidden/>
    <w:unhideWhenUsed/>
    <w:rsid w:val="00B3557F"/>
    <w:pPr>
      <w:spacing w:line="240" w:lineRule="auto"/>
    </w:pPr>
    <w:rPr>
      <w:sz w:val="20"/>
      <w:szCs w:val="20"/>
    </w:rPr>
  </w:style>
  <w:style w:type="character" w:customStyle="1" w:styleId="CommentTextChar">
    <w:name w:val="Comment Text Char"/>
    <w:basedOn w:val="DefaultParagraphFont"/>
    <w:link w:val="CommentText"/>
    <w:uiPriority w:val="99"/>
    <w:semiHidden/>
    <w:rsid w:val="00B3557F"/>
    <w:rPr>
      <w:rFonts w:ascii="Times New Roman" w:eastAsiaTheme="minorEastAsia" w:hAnsi="Times New Roman"/>
      <w:sz w:val="20"/>
      <w:szCs w:val="20"/>
      <w:lang w:val="en-US"/>
    </w:rPr>
  </w:style>
  <w:style w:type="paragraph" w:styleId="CommentSubject">
    <w:name w:val="annotation subject"/>
    <w:basedOn w:val="CommentText"/>
    <w:next w:val="CommentText"/>
    <w:link w:val="CommentSubjectChar"/>
    <w:uiPriority w:val="99"/>
    <w:semiHidden/>
    <w:unhideWhenUsed/>
    <w:rsid w:val="00B3557F"/>
    <w:rPr>
      <w:b/>
      <w:bCs/>
    </w:rPr>
  </w:style>
  <w:style w:type="character" w:customStyle="1" w:styleId="CommentSubjectChar">
    <w:name w:val="Comment Subject Char"/>
    <w:basedOn w:val="CommentTextChar"/>
    <w:link w:val="CommentSubject"/>
    <w:uiPriority w:val="99"/>
    <w:semiHidden/>
    <w:rsid w:val="00B3557F"/>
    <w:rPr>
      <w:rFonts w:ascii="Times New Roman" w:eastAsiaTheme="minorEastAsia" w:hAnsi="Times New Roman"/>
      <w:b/>
      <w:bCs/>
      <w:sz w:val="20"/>
      <w:szCs w:val="20"/>
      <w:lang w:val="en-US"/>
    </w:rPr>
  </w:style>
  <w:style w:type="character" w:customStyle="1" w:styleId="Heading8Char">
    <w:name w:val="Heading 8 Char"/>
    <w:basedOn w:val="DefaultParagraphFont"/>
    <w:link w:val="Heading8"/>
    <w:uiPriority w:val="9"/>
    <w:semiHidden/>
    <w:rsid w:val="006126B9"/>
    <w:rPr>
      <w:rFonts w:asciiTheme="majorHAnsi" w:eastAsiaTheme="majorEastAsia" w:hAnsiTheme="majorHAnsi" w:cstheme="majorBidi"/>
      <w:color w:val="272727" w:themeColor="text1" w:themeTint="D8"/>
      <w:sz w:val="21"/>
      <w:szCs w:val="21"/>
      <w:lang w:val="en-US"/>
    </w:rPr>
  </w:style>
  <w:style w:type="character" w:customStyle="1" w:styleId="ref-lnk">
    <w:name w:val="ref-lnk"/>
    <w:basedOn w:val="DefaultParagraphFont"/>
    <w:rsid w:val="00EE2ADD"/>
  </w:style>
  <w:style w:type="character" w:customStyle="1" w:styleId="hgkelc">
    <w:name w:val="hgkelc"/>
    <w:basedOn w:val="DefaultParagraphFont"/>
    <w:rsid w:val="00C336BE"/>
  </w:style>
  <w:style w:type="character" w:customStyle="1" w:styleId="ListParagraphChar">
    <w:name w:val="List Paragraph Char"/>
    <w:link w:val="ListParagraph"/>
    <w:uiPriority w:val="34"/>
    <w:rsid w:val="004D45B1"/>
    <w:rPr>
      <w:rFonts w:ascii="Times New Roman" w:eastAsiaTheme="minorEastAsia"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009505">
      <w:bodyDiv w:val="1"/>
      <w:marLeft w:val="0"/>
      <w:marRight w:val="0"/>
      <w:marTop w:val="0"/>
      <w:marBottom w:val="0"/>
      <w:divBdr>
        <w:top w:val="none" w:sz="0" w:space="0" w:color="auto"/>
        <w:left w:val="none" w:sz="0" w:space="0" w:color="auto"/>
        <w:bottom w:val="none" w:sz="0" w:space="0" w:color="auto"/>
        <w:right w:val="none" w:sz="0" w:space="0" w:color="auto"/>
      </w:divBdr>
    </w:div>
    <w:div w:id="179244298">
      <w:bodyDiv w:val="1"/>
      <w:marLeft w:val="0"/>
      <w:marRight w:val="0"/>
      <w:marTop w:val="0"/>
      <w:marBottom w:val="0"/>
      <w:divBdr>
        <w:top w:val="none" w:sz="0" w:space="0" w:color="auto"/>
        <w:left w:val="none" w:sz="0" w:space="0" w:color="auto"/>
        <w:bottom w:val="none" w:sz="0" w:space="0" w:color="auto"/>
        <w:right w:val="none" w:sz="0" w:space="0" w:color="auto"/>
      </w:divBdr>
    </w:div>
    <w:div w:id="206380796">
      <w:bodyDiv w:val="1"/>
      <w:marLeft w:val="0"/>
      <w:marRight w:val="0"/>
      <w:marTop w:val="0"/>
      <w:marBottom w:val="0"/>
      <w:divBdr>
        <w:top w:val="none" w:sz="0" w:space="0" w:color="auto"/>
        <w:left w:val="none" w:sz="0" w:space="0" w:color="auto"/>
        <w:bottom w:val="none" w:sz="0" w:space="0" w:color="auto"/>
        <w:right w:val="none" w:sz="0" w:space="0" w:color="auto"/>
      </w:divBdr>
    </w:div>
    <w:div w:id="277681629">
      <w:bodyDiv w:val="1"/>
      <w:marLeft w:val="0"/>
      <w:marRight w:val="0"/>
      <w:marTop w:val="0"/>
      <w:marBottom w:val="0"/>
      <w:divBdr>
        <w:top w:val="none" w:sz="0" w:space="0" w:color="auto"/>
        <w:left w:val="none" w:sz="0" w:space="0" w:color="auto"/>
        <w:bottom w:val="none" w:sz="0" w:space="0" w:color="auto"/>
        <w:right w:val="none" w:sz="0" w:space="0" w:color="auto"/>
      </w:divBdr>
    </w:div>
    <w:div w:id="455490006">
      <w:bodyDiv w:val="1"/>
      <w:marLeft w:val="0"/>
      <w:marRight w:val="0"/>
      <w:marTop w:val="0"/>
      <w:marBottom w:val="0"/>
      <w:divBdr>
        <w:top w:val="none" w:sz="0" w:space="0" w:color="auto"/>
        <w:left w:val="none" w:sz="0" w:space="0" w:color="auto"/>
        <w:bottom w:val="none" w:sz="0" w:space="0" w:color="auto"/>
        <w:right w:val="none" w:sz="0" w:space="0" w:color="auto"/>
      </w:divBdr>
    </w:div>
    <w:div w:id="501630140">
      <w:bodyDiv w:val="1"/>
      <w:marLeft w:val="0"/>
      <w:marRight w:val="0"/>
      <w:marTop w:val="0"/>
      <w:marBottom w:val="0"/>
      <w:divBdr>
        <w:top w:val="none" w:sz="0" w:space="0" w:color="auto"/>
        <w:left w:val="none" w:sz="0" w:space="0" w:color="auto"/>
        <w:bottom w:val="none" w:sz="0" w:space="0" w:color="auto"/>
        <w:right w:val="none" w:sz="0" w:space="0" w:color="auto"/>
      </w:divBdr>
    </w:div>
    <w:div w:id="502084059">
      <w:bodyDiv w:val="1"/>
      <w:marLeft w:val="0"/>
      <w:marRight w:val="0"/>
      <w:marTop w:val="0"/>
      <w:marBottom w:val="0"/>
      <w:divBdr>
        <w:top w:val="none" w:sz="0" w:space="0" w:color="auto"/>
        <w:left w:val="none" w:sz="0" w:space="0" w:color="auto"/>
        <w:bottom w:val="none" w:sz="0" w:space="0" w:color="auto"/>
        <w:right w:val="none" w:sz="0" w:space="0" w:color="auto"/>
      </w:divBdr>
      <w:divsChild>
        <w:div w:id="1334189345">
          <w:marLeft w:val="0"/>
          <w:marRight w:val="0"/>
          <w:marTop w:val="0"/>
          <w:marBottom w:val="0"/>
          <w:divBdr>
            <w:top w:val="none" w:sz="0" w:space="0" w:color="auto"/>
            <w:left w:val="none" w:sz="0" w:space="0" w:color="auto"/>
            <w:bottom w:val="none" w:sz="0" w:space="0" w:color="auto"/>
            <w:right w:val="none" w:sz="0" w:space="0" w:color="auto"/>
          </w:divBdr>
        </w:div>
      </w:divsChild>
    </w:div>
    <w:div w:id="550848585">
      <w:bodyDiv w:val="1"/>
      <w:marLeft w:val="0"/>
      <w:marRight w:val="0"/>
      <w:marTop w:val="0"/>
      <w:marBottom w:val="0"/>
      <w:divBdr>
        <w:top w:val="none" w:sz="0" w:space="0" w:color="auto"/>
        <w:left w:val="none" w:sz="0" w:space="0" w:color="auto"/>
        <w:bottom w:val="none" w:sz="0" w:space="0" w:color="auto"/>
        <w:right w:val="none" w:sz="0" w:space="0" w:color="auto"/>
      </w:divBdr>
    </w:div>
    <w:div w:id="557403182">
      <w:bodyDiv w:val="1"/>
      <w:marLeft w:val="0"/>
      <w:marRight w:val="0"/>
      <w:marTop w:val="0"/>
      <w:marBottom w:val="0"/>
      <w:divBdr>
        <w:top w:val="none" w:sz="0" w:space="0" w:color="auto"/>
        <w:left w:val="none" w:sz="0" w:space="0" w:color="auto"/>
        <w:bottom w:val="none" w:sz="0" w:space="0" w:color="auto"/>
        <w:right w:val="none" w:sz="0" w:space="0" w:color="auto"/>
      </w:divBdr>
    </w:div>
    <w:div w:id="562446436">
      <w:bodyDiv w:val="1"/>
      <w:marLeft w:val="0"/>
      <w:marRight w:val="0"/>
      <w:marTop w:val="0"/>
      <w:marBottom w:val="0"/>
      <w:divBdr>
        <w:top w:val="none" w:sz="0" w:space="0" w:color="auto"/>
        <w:left w:val="none" w:sz="0" w:space="0" w:color="auto"/>
        <w:bottom w:val="none" w:sz="0" w:space="0" w:color="auto"/>
        <w:right w:val="none" w:sz="0" w:space="0" w:color="auto"/>
      </w:divBdr>
    </w:div>
    <w:div w:id="563948773">
      <w:bodyDiv w:val="1"/>
      <w:marLeft w:val="0"/>
      <w:marRight w:val="0"/>
      <w:marTop w:val="0"/>
      <w:marBottom w:val="0"/>
      <w:divBdr>
        <w:top w:val="none" w:sz="0" w:space="0" w:color="auto"/>
        <w:left w:val="none" w:sz="0" w:space="0" w:color="auto"/>
        <w:bottom w:val="none" w:sz="0" w:space="0" w:color="auto"/>
        <w:right w:val="none" w:sz="0" w:space="0" w:color="auto"/>
      </w:divBdr>
    </w:div>
    <w:div w:id="724718679">
      <w:bodyDiv w:val="1"/>
      <w:marLeft w:val="0"/>
      <w:marRight w:val="0"/>
      <w:marTop w:val="0"/>
      <w:marBottom w:val="0"/>
      <w:divBdr>
        <w:top w:val="none" w:sz="0" w:space="0" w:color="auto"/>
        <w:left w:val="none" w:sz="0" w:space="0" w:color="auto"/>
        <w:bottom w:val="none" w:sz="0" w:space="0" w:color="auto"/>
        <w:right w:val="none" w:sz="0" w:space="0" w:color="auto"/>
      </w:divBdr>
    </w:div>
    <w:div w:id="756483861">
      <w:bodyDiv w:val="1"/>
      <w:marLeft w:val="0"/>
      <w:marRight w:val="0"/>
      <w:marTop w:val="0"/>
      <w:marBottom w:val="0"/>
      <w:divBdr>
        <w:top w:val="none" w:sz="0" w:space="0" w:color="auto"/>
        <w:left w:val="none" w:sz="0" w:space="0" w:color="auto"/>
        <w:bottom w:val="none" w:sz="0" w:space="0" w:color="auto"/>
        <w:right w:val="none" w:sz="0" w:space="0" w:color="auto"/>
      </w:divBdr>
    </w:div>
    <w:div w:id="939526715">
      <w:bodyDiv w:val="1"/>
      <w:marLeft w:val="0"/>
      <w:marRight w:val="0"/>
      <w:marTop w:val="0"/>
      <w:marBottom w:val="0"/>
      <w:divBdr>
        <w:top w:val="none" w:sz="0" w:space="0" w:color="auto"/>
        <w:left w:val="none" w:sz="0" w:space="0" w:color="auto"/>
        <w:bottom w:val="none" w:sz="0" w:space="0" w:color="auto"/>
        <w:right w:val="none" w:sz="0" w:space="0" w:color="auto"/>
      </w:divBdr>
    </w:div>
    <w:div w:id="1278682191">
      <w:bodyDiv w:val="1"/>
      <w:marLeft w:val="0"/>
      <w:marRight w:val="0"/>
      <w:marTop w:val="0"/>
      <w:marBottom w:val="0"/>
      <w:divBdr>
        <w:top w:val="none" w:sz="0" w:space="0" w:color="auto"/>
        <w:left w:val="none" w:sz="0" w:space="0" w:color="auto"/>
        <w:bottom w:val="none" w:sz="0" w:space="0" w:color="auto"/>
        <w:right w:val="none" w:sz="0" w:space="0" w:color="auto"/>
      </w:divBdr>
    </w:div>
    <w:div w:id="1341737183">
      <w:bodyDiv w:val="1"/>
      <w:marLeft w:val="0"/>
      <w:marRight w:val="0"/>
      <w:marTop w:val="0"/>
      <w:marBottom w:val="0"/>
      <w:divBdr>
        <w:top w:val="none" w:sz="0" w:space="0" w:color="auto"/>
        <w:left w:val="none" w:sz="0" w:space="0" w:color="auto"/>
        <w:bottom w:val="none" w:sz="0" w:space="0" w:color="auto"/>
        <w:right w:val="none" w:sz="0" w:space="0" w:color="auto"/>
      </w:divBdr>
    </w:div>
    <w:div w:id="1516383375">
      <w:bodyDiv w:val="1"/>
      <w:marLeft w:val="0"/>
      <w:marRight w:val="0"/>
      <w:marTop w:val="0"/>
      <w:marBottom w:val="0"/>
      <w:divBdr>
        <w:top w:val="none" w:sz="0" w:space="0" w:color="auto"/>
        <w:left w:val="none" w:sz="0" w:space="0" w:color="auto"/>
        <w:bottom w:val="none" w:sz="0" w:space="0" w:color="auto"/>
        <w:right w:val="none" w:sz="0" w:space="0" w:color="auto"/>
      </w:divBdr>
    </w:div>
    <w:div w:id="1526092484">
      <w:bodyDiv w:val="1"/>
      <w:marLeft w:val="0"/>
      <w:marRight w:val="0"/>
      <w:marTop w:val="0"/>
      <w:marBottom w:val="0"/>
      <w:divBdr>
        <w:top w:val="none" w:sz="0" w:space="0" w:color="auto"/>
        <w:left w:val="none" w:sz="0" w:space="0" w:color="auto"/>
        <w:bottom w:val="none" w:sz="0" w:space="0" w:color="auto"/>
        <w:right w:val="none" w:sz="0" w:space="0" w:color="auto"/>
      </w:divBdr>
    </w:div>
    <w:div w:id="1528639942">
      <w:bodyDiv w:val="1"/>
      <w:marLeft w:val="0"/>
      <w:marRight w:val="0"/>
      <w:marTop w:val="0"/>
      <w:marBottom w:val="0"/>
      <w:divBdr>
        <w:top w:val="none" w:sz="0" w:space="0" w:color="auto"/>
        <w:left w:val="none" w:sz="0" w:space="0" w:color="auto"/>
        <w:bottom w:val="none" w:sz="0" w:space="0" w:color="auto"/>
        <w:right w:val="none" w:sz="0" w:space="0" w:color="auto"/>
      </w:divBdr>
    </w:div>
    <w:div w:id="1571307403">
      <w:bodyDiv w:val="1"/>
      <w:marLeft w:val="0"/>
      <w:marRight w:val="0"/>
      <w:marTop w:val="0"/>
      <w:marBottom w:val="0"/>
      <w:divBdr>
        <w:top w:val="none" w:sz="0" w:space="0" w:color="auto"/>
        <w:left w:val="none" w:sz="0" w:space="0" w:color="auto"/>
        <w:bottom w:val="none" w:sz="0" w:space="0" w:color="auto"/>
        <w:right w:val="none" w:sz="0" w:space="0" w:color="auto"/>
      </w:divBdr>
    </w:div>
    <w:div w:id="1676493098">
      <w:bodyDiv w:val="1"/>
      <w:marLeft w:val="0"/>
      <w:marRight w:val="0"/>
      <w:marTop w:val="0"/>
      <w:marBottom w:val="0"/>
      <w:divBdr>
        <w:top w:val="none" w:sz="0" w:space="0" w:color="auto"/>
        <w:left w:val="none" w:sz="0" w:space="0" w:color="auto"/>
        <w:bottom w:val="none" w:sz="0" w:space="0" w:color="auto"/>
        <w:right w:val="none" w:sz="0" w:space="0" w:color="auto"/>
      </w:divBdr>
    </w:div>
    <w:div w:id="1744375644">
      <w:bodyDiv w:val="1"/>
      <w:marLeft w:val="0"/>
      <w:marRight w:val="0"/>
      <w:marTop w:val="0"/>
      <w:marBottom w:val="0"/>
      <w:divBdr>
        <w:top w:val="none" w:sz="0" w:space="0" w:color="auto"/>
        <w:left w:val="none" w:sz="0" w:space="0" w:color="auto"/>
        <w:bottom w:val="none" w:sz="0" w:space="0" w:color="auto"/>
        <w:right w:val="none" w:sz="0" w:space="0" w:color="auto"/>
      </w:divBdr>
    </w:div>
    <w:div w:id="1923173734">
      <w:bodyDiv w:val="1"/>
      <w:marLeft w:val="0"/>
      <w:marRight w:val="0"/>
      <w:marTop w:val="0"/>
      <w:marBottom w:val="0"/>
      <w:divBdr>
        <w:top w:val="none" w:sz="0" w:space="0" w:color="auto"/>
        <w:left w:val="none" w:sz="0" w:space="0" w:color="auto"/>
        <w:bottom w:val="none" w:sz="0" w:space="0" w:color="auto"/>
        <w:right w:val="none" w:sz="0" w:space="0" w:color="auto"/>
      </w:divBdr>
    </w:div>
    <w:div w:id="1972244532">
      <w:bodyDiv w:val="1"/>
      <w:marLeft w:val="0"/>
      <w:marRight w:val="0"/>
      <w:marTop w:val="0"/>
      <w:marBottom w:val="0"/>
      <w:divBdr>
        <w:top w:val="none" w:sz="0" w:space="0" w:color="auto"/>
        <w:left w:val="none" w:sz="0" w:space="0" w:color="auto"/>
        <w:bottom w:val="none" w:sz="0" w:space="0" w:color="auto"/>
        <w:right w:val="none" w:sz="0" w:space="0" w:color="auto"/>
      </w:divBdr>
    </w:div>
    <w:div w:id="1977223052">
      <w:bodyDiv w:val="1"/>
      <w:marLeft w:val="0"/>
      <w:marRight w:val="0"/>
      <w:marTop w:val="0"/>
      <w:marBottom w:val="0"/>
      <w:divBdr>
        <w:top w:val="none" w:sz="0" w:space="0" w:color="auto"/>
        <w:left w:val="none" w:sz="0" w:space="0" w:color="auto"/>
        <w:bottom w:val="none" w:sz="0" w:space="0" w:color="auto"/>
        <w:right w:val="none" w:sz="0" w:space="0" w:color="auto"/>
      </w:divBdr>
      <w:divsChild>
        <w:div w:id="711461001">
          <w:marLeft w:val="0"/>
          <w:marRight w:val="0"/>
          <w:marTop w:val="0"/>
          <w:marBottom w:val="0"/>
          <w:divBdr>
            <w:top w:val="none" w:sz="0" w:space="0" w:color="auto"/>
            <w:left w:val="none" w:sz="0" w:space="0" w:color="auto"/>
            <w:bottom w:val="none" w:sz="0" w:space="0" w:color="auto"/>
            <w:right w:val="none" w:sz="0" w:space="0" w:color="auto"/>
          </w:divBdr>
        </w:div>
      </w:divsChild>
    </w:div>
    <w:div w:id="2070493400">
      <w:bodyDiv w:val="1"/>
      <w:marLeft w:val="0"/>
      <w:marRight w:val="0"/>
      <w:marTop w:val="0"/>
      <w:marBottom w:val="0"/>
      <w:divBdr>
        <w:top w:val="none" w:sz="0" w:space="0" w:color="auto"/>
        <w:left w:val="none" w:sz="0" w:space="0" w:color="auto"/>
        <w:bottom w:val="none" w:sz="0" w:space="0" w:color="auto"/>
        <w:right w:val="none" w:sz="0" w:space="0" w:color="auto"/>
      </w:divBdr>
    </w:div>
    <w:div w:id="2142310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0.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hyperlink" Target="http://www.rba.go.ke/service-providers/registered-fund-manager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30.png"/><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file:///D:\RESEARCH\Aden%20Derow%20%20Ali%20MUA%20PhD\Derow%20PhD%20Thesis%20-%203rd%20September%202022.docx" TargetMode="External"/><Relationship Id="rId14"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68694F-A1B9-4095-A02E-6971ECF611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184</Pages>
  <Words>61018</Words>
  <Characters>347809</Characters>
  <Application>Microsoft Office Word</Application>
  <DocSecurity>0</DocSecurity>
  <Lines>2898</Lines>
  <Paragraphs>816</Paragraphs>
  <ScaleCrop>false</ScaleCrop>
  <HeadingPairs>
    <vt:vector size="4" baseType="variant">
      <vt:variant>
        <vt:lpstr>Title</vt:lpstr>
      </vt:variant>
      <vt:variant>
        <vt:i4>1</vt:i4>
      </vt:variant>
      <vt:variant>
        <vt:lpstr>Headings</vt:lpstr>
      </vt:variant>
      <vt:variant>
        <vt:i4>38</vt:i4>
      </vt:variant>
    </vt:vector>
  </HeadingPairs>
  <TitlesOfParts>
    <vt:vector size="39" baseType="lpstr">
      <vt:lpstr/>
      <vt:lpstr/>
      <vt:lpstr>DECLARATION</vt:lpstr>
      <vt:lpstr>DEDICATION</vt:lpstr>
      <vt:lpstr>ACKNOWLEDGEMENT</vt:lpstr>
      <vt:lpstr>ACRONYMS AND ABBREVIATIONS</vt:lpstr>
      <vt:lpstr>OPERATIONAL DEFINITION OF TERMS</vt:lpstr>
      <vt:lpstr>&lt;TABLE OF CONTENTS</vt:lpstr>
      <vt:lpstr>LIST OF TABLES</vt:lpstr>
      <vt:lpstr>LIST OF FIGURES</vt:lpstr>
      <vt:lpstr>ABSTRACT</vt:lpstr>
      <vt:lpstr>CHAPTER ONE</vt:lpstr>
      <vt:lpstr>INTRODUCTION</vt:lpstr>
      <vt:lpstr>    1.0 Introduction</vt:lpstr>
      <vt:lpstr>    1.1 Background of the Study</vt:lpstr>
      <vt:lpstr>        1.1.1 Pillars of Corporate Governance</vt:lpstr>
      <vt:lpstr>        1.1.2 Investment Policies </vt:lpstr>
      <vt:lpstr>        1.1.3 Government Regulations</vt:lpstr>
      <vt:lpstr>        1.1.4 Performance of Pension Fund Managers </vt:lpstr>
      <vt:lpstr>    1.2 Statement of the Problem</vt:lpstr>
      <vt:lpstr>    1.3 Objective of the Study</vt:lpstr>
      <vt:lpstr>        1.3.1 General Objective </vt:lpstr>
      <vt:lpstr>        1.3.2 Specific Objectives </vt:lpstr>
      <vt:lpstr>    1.4 Significance of the Study</vt:lpstr>
      <vt:lpstr>    1.5 Scope of the Study</vt:lpstr>
      <vt:lpstr>    1.6 Limitations</vt:lpstr>
      <vt:lpstr>    1.7 Delimitations</vt:lpstr>
      <vt:lpstr>    1.8 Chapter Summary</vt:lpstr>
      <vt:lpstr>CHAPTER TWO</vt:lpstr>
      <vt:lpstr>LITERATURE REVIEW</vt:lpstr>
      <vt:lpstr>    2.0 Introduction </vt:lpstr>
      <vt:lpstr>    2.1 Theoretical Reviews</vt:lpstr>
      <vt:lpstr>        2.1.1 Agency Theory</vt:lpstr>
      <vt:lpstr>        2.1.2 Stakeholder Theory</vt:lpstr>
      <vt:lpstr>        2.1.3 Neoclassical Theory </vt:lpstr>
      <vt:lpstr>        2.1.4 The Q Theory of Investment </vt:lpstr>
      <vt:lpstr>        2.1.5 Resource Dependency Theory</vt:lpstr>
      <vt:lpstr>    2.2 Empirical Review</vt:lpstr>
      <vt:lpstr>        2.2.1 Pillars of Corporate Governance and Firm Performance</vt:lpstr>
    </vt:vector>
  </TitlesOfParts>
  <Company/>
  <LinksUpToDate>false</LinksUpToDate>
  <CharactersWithSpaces>408011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cp:lastPrinted>2022-09-04T17:50:00Z</cp:lastPrinted>
  <dcterms:created xsi:type="dcterms:W3CDTF">2022-10-26T09:28:00Z</dcterms:created>
  <dcterms:modified xsi:type="dcterms:W3CDTF">2022-10-26T09:28:00Z</dcterms:modified>
</cp:coreProperties>
</file>